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20" w:hangingChars="200"/>
        <w:rPr>
          <w:b/>
          <w:bCs/>
          <w:color w:val="auto"/>
          <w:sz w:val="84"/>
          <w:highlight w:val="none"/>
        </w:rPr>
      </w:pPr>
      <w:r>
        <w:rPr>
          <w:color w:val="auto"/>
          <w:sz w:val="36"/>
          <w:highlight w:val="none"/>
        </w:rPr>
        <w:t xml:space="preserve"> </w:t>
      </w:r>
    </w:p>
    <w:p>
      <w:pPr>
        <w:pStyle w:val="8"/>
        <w:spacing w:line="360" w:lineRule="auto"/>
        <w:rPr>
          <w:rFonts w:ascii="Times New Roman" w:hAnsi="Times New Roman" w:eastAsia="宋体"/>
          <w:color w:val="auto"/>
          <w:highlight w:val="none"/>
        </w:rPr>
      </w:pPr>
      <w:r>
        <w:rPr>
          <w:rFonts w:ascii="Times New Roman" w:hAnsi="Times New Roman" w:eastAsia="宋体"/>
          <w:color w:val="auto"/>
          <w:highlight w:val="none"/>
        </w:rPr>
        <w:t xml:space="preserve"> </w:t>
      </w:r>
    </w:p>
    <w:p>
      <w:pPr>
        <w:spacing w:line="360" w:lineRule="auto"/>
        <w:jc w:val="center"/>
        <w:rPr>
          <w:b/>
          <w:bCs/>
          <w:color w:val="auto"/>
          <w:sz w:val="44"/>
          <w:highlight w:val="none"/>
        </w:rPr>
      </w:pPr>
    </w:p>
    <w:p>
      <w:pPr>
        <w:spacing w:line="360" w:lineRule="auto"/>
        <w:jc w:val="center"/>
        <w:rPr>
          <w:b/>
          <w:bCs/>
          <w:color w:val="auto"/>
          <w:sz w:val="44"/>
          <w:highlight w:val="none"/>
        </w:rPr>
      </w:pPr>
    </w:p>
    <w:p>
      <w:pPr>
        <w:spacing w:line="360" w:lineRule="auto"/>
        <w:jc w:val="center"/>
        <w:rPr>
          <w:b/>
          <w:bCs/>
          <w:color w:val="auto"/>
          <w:sz w:val="84"/>
          <w:highlight w:val="none"/>
        </w:rPr>
      </w:pPr>
      <w:r>
        <w:rPr>
          <w:rFonts w:hint="eastAsia"/>
          <w:b/>
          <w:bCs/>
          <w:color w:val="auto"/>
          <w:sz w:val="84"/>
          <w:highlight w:val="none"/>
        </w:rPr>
        <w:t>招</w:t>
      </w:r>
      <w:r>
        <w:rPr>
          <w:b/>
          <w:bCs/>
          <w:color w:val="auto"/>
          <w:sz w:val="84"/>
          <w:highlight w:val="none"/>
        </w:rPr>
        <w:t xml:space="preserve"> </w:t>
      </w:r>
      <w:r>
        <w:rPr>
          <w:rFonts w:hint="eastAsia"/>
          <w:b/>
          <w:bCs/>
          <w:color w:val="auto"/>
          <w:sz w:val="84"/>
          <w:highlight w:val="none"/>
        </w:rPr>
        <w:t>标</w:t>
      </w:r>
      <w:r>
        <w:rPr>
          <w:b/>
          <w:bCs/>
          <w:color w:val="auto"/>
          <w:sz w:val="84"/>
          <w:highlight w:val="none"/>
        </w:rPr>
        <w:t xml:space="preserve"> </w:t>
      </w:r>
      <w:r>
        <w:rPr>
          <w:rFonts w:hint="eastAsia"/>
          <w:b/>
          <w:bCs/>
          <w:color w:val="auto"/>
          <w:sz w:val="84"/>
          <w:highlight w:val="none"/>
        </w:rPr>
        <w:t>文</w:t>
      </w:r>
      <w:r>
        <w:rPr>
          <w:b/>
          <w:bCs/>
          <w:color w:val="auto"/>
          <w:sz w:val="84"/>
          <w:highlight w:val="none"/>
        </w:rPr>
        <w:t xml:space="preserve"> </w:t>
      </w:r>
      <w:r>
        <w:rPr>
          <w:rFonts w:hint="eastAsia"/>
          <w:b/>
          <w:bCs/>
          <w:color w:val="auto"/>
          <w:sz w:val="84"/>
          <w:highlight w:val="none"/>
        </w:rPr>
        <w:t>件</w:t>
      </w:r>
    </w:p>
    <w:p>
      <w:pPr>
        <w:tabs>
          <w:tab w:val="left" w:pos="5408"/>
        </w:tabs>
        <w:spacing w:line="360" w:lineRule="auto"/>
        <w:jc w:val="left"/>
        <w:rPr>
          <w:b/>
          <w:bCs/>
          <w:color w:val="auto"/>
          <w:sz w:val="84"/>
          <w:highlight w:val="none"/>
        </w:rPr>
      </w:pPr>
      <w:r>
        <w:rPr>
          <w:b/>
          <w:bCs/>
          <w:color w:val="auto"/>
          <w:sz w:val="84"/>
          <w:highlight w:val="none"/>
        </w:rPr>
        <w:tab/>
      </w:r>
    </w:p>
    <w:p>
      <w:pPr>
        <w:spacing w:line="360" w:lineRule="auto"/>
        <w:rPr>
          <w:b/>
          <w:bCs/>
          <w:color w:val="auto"/>
          <w:sz w:val="32"/>
          <w:szCs w:val="32"/>
          <w:highlight w:val="none"/>
        </w:rPr>
      </w:pPr>
      <w:r>
        <w:rPr>
          <w:rFonts w:hint="eastAsia"/>
          <w:b/>
          <w:bCs/>
          <w:color w:val="auto"/>
          <w:sz w:val="32"/>
          <w:szCs w:val="32"/>
          <w:highlight w:val="none"/>
        </w:rPr>
        <w:t>招标编号：</w:t>
      </w:r>
      <w:r>
        <w:rPr>
          <w:b/>
          <w:bCs/>
          <w:color w:val="auto"/>
          <w:sz w:val="32"/>
          <w:szCs w:val="32"/>
          <w:highlight w:val="none"/>
        </w:rPr>
        <w:t>LNGX-2403021</w:t>
      </w:r>
    </w:p>
    <w:p>
      <w:pPr>
        <w:spacing w:line="360" w:lineRule="auto"/>
        <w:ind w:right="1016" w:rightChars="484"/>
        <w:rPr>
          <w:b/>
          <w:bCs/>
          <w:color w:val="auto"/>
          <w:sz w:val="32"/>
          <w:szCs w:val="32"/>
          <w:highlight w:val="none"/>
        </w:rPr>
      </w:pPr>
    </w:p>
    <w:p>
      <w:pPr>
        <w:spacing w:line="360" w:lineRule="auto"/>
        <w:ind w:left="1417" w:right="42" w:rightChars="20" w:hanging="1417" w:hangingChars="441"/>
        <w:rPr>
          <w:b/>
          <w:color w:val="auto"/>
          <w:kern w:val="0"/>
          <w:sz w:val="30"/>
          <w:szCs w:val="30"/>
          <w:highlight w:val="none"/>
        </w:rPr>
      </w:pPr>
      <w:r>
        <w:rPr>
          <w:rFonts w:hint="eastAsia"/>
          <w:b/>
          <w:color w:val="auto"/>
          <w:kern w:val="0"/>
          <w:sz w:val="32"/>
          <w:szCs w:val="32"/>
          <w:highlight w:val="none"/>
        </w:rPr>
        <w:t>项目名称：</w:t>
      </w:r>
      <w:r>
        <w:rPr>
          <w:rFonts w:hint="eastAsia"/>
          <w:b/>
          <w:color w:val="auto"/>
          <w:kern w:val="0"/>
          <w:sz w:val="30"/>
          <w:szCs w:val="30"/>
          <w:highlight w:val="none"/>
        </w:rPr>
        <w:t>辽宁省营口市海洋生态保护修复工程项目生态修复效果与减灾功能评估</w:t>
      </w:r>
    </w:p>
    <w:p>
      <w:pPr>
        <w:spacing w:line="360" w:lineRule="auto"/>
        <w:jc w:val="center"/>
        <w:rPr>
          <w:b/>
          <w:color w:val="auto"/>
          <w:sz w:val="28"/>
          <w:szCs w:val="28"/>
          <w:highlight w:val="none"/>
        </w:rPr>
      </w:pPr>
    </w:p>
    <w:p>
      <w:pPr>
        <w:spacing w:line="360" w:lineRule="auto"/>
        <w:ind w:left="1417" w:right="42" w:rightChars="20" w:hanging="1417" w:hangingChars="441"/>
        <w:rPr>
          <w:b/>
          <w:color w:val="auto"/>
          <w:kern w:val="0"/>
          <w:sz w:val="32"/>
          <w:szCs w:val="32"/>
          <w:highlight w:val="none"/>
        </w:rPr>
      </w:pPr>
      <w:r>
        <w:rPr>
          <w:rFonts w:hint="eastAsia"/>
          <w:b/>
          <w:color w:val="auto"/>
          <w:kern w:val="0"/>
          <w:sz w:val="32"/>
          <w:szCs w:val="32"/>
          <w:highlight w:val="none"/>
        </w:rPr>
        <w:t>招标人：营口市自然资源局</w:t>
      </w:r>
    </w:p>
    <w:p>
      <w:pPr>
        <w:spacing w:line="360" w:lineRule="auto"/>
        <w:ind w:left="1417" w:right="42" w:rightChars="20" w:hanging="1417" w:hangingChars="441"/>
        <w:rPr>
          <w:b/>
          <w:color w:val="auto"/>
          <w:kern w:val="0"/>
          <w:sz w:val="32"/>
          <w:szCs w:val="32"/>
          <w:highlight w:val="none"/>
        </w:rPr>
      </w:pPr>
      <w:r>
        <w:rPr>
          <w:rFonts w:hint="eastAsia"/>
          <w:b/>
          <w:color w:val="auto"/>
          <w:kern w:val="0"/>
          <w:sz w:val="32"/>
          <w:szCs w:val="32"/>
          <w:highlight w:val="none"/>
        </w:rPr>
        <w:t>招标代理机构：辽宁国信建设工程管理有限公司</w:t>
      </w:r>
    </w:p>
    <w:p>
      <w:pPr>
        <w:spacing w:line="360" w:lineRule="auto"/>
        <w:rPr>
          <w:color w:val="auto"/>
          <w:szCs w:val="24"/>
          <w:highlight w:val="none"/>
        </w:rPr>
      </w:pPr>
    </w:p>
    <w:p>
      <w:pPr>
        <w:spacing w:line="360" w:lineRule="auto"/>
        <w:rPr>
          <w:color w:val="auto"/>
          <w:szCs w:val="24"/>
          <w:highlight w:val="none"/>
        </w:rPr>
      </w:pPr>
    </w:p>
    <w:p>
      <w:pPr>
        <w:spacing w:line="360" w:lineRule="auto"/>
        <w:jc w:val="center"/>
        <w:rPr>
          <w:b/>
          <w:color w:val="auto"/>
          <w:sz w:val="36"/>
          <w:szCs w:val="28"/>
          <w:highlight w:val="none"/>
        </w:rPr>
      </w:pPr>
      <w:r>
        <w:rPr>
          <w:b/>
          <w:color w:val="auto"/>
          <w:sz w:val="28"/>
          <w:szCs w:val="28"/>
          <w:highlight w:val="none"/>
        </w:rPr>
        <w:t>2024年</w:t>
      </w:r>
      <w:r>
        <w:rPr>
          <w:rFonts w:hint="eastAsia"/>
          <w:b/>
          <w:color w:val="auto"/>
          <w:sz w:val="28"/>
          <w:szCs w:val="28"/>
          <w:highlight w:val="none"/>
          <w:lang w:val="en-US" w:eastAsia="zh-CN"/>
        </w:rPr>
        <w:t>7</w:t>
      </w:r>
      <w:r>
        <w:rPr>
          <w:rFonts w:hint="eastAsia"/>
          <w:b/>
          <w:color w:val="auto"/>
          <w:sz w:val="28"/>
          <w:szCs w:val="28"/>
          <w:highlight w:val="none"/>
        </w:rPr>
        <w:t>月</w:t>
      </w:r>
    </w:p>
    <w:p>
      <w:pPr>
        <w:spacing w:line="360" w:lineRule="auto"/>
        <w:jc w:val="center"/>
        <w:rPr>
          <w:b/>
          <w:color w:val="auto"/>
          <w:sz w:val="36"/>
          <w:szCs w:val="28"/>
          <w:highlight w:val="none"/>
        </w:rPr>
        <w:sectPr>
          <w:footerReference r:id="rId5" w:type="first"/>
          <w:headerReference r:id="rId3" w:type="default"/>
          <w:footerReference r:id="rId4" w:type="default"/>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jc w:val="center"/>
        <w:rPr>
          <w:b/>
          <w:color w:val="auto"/>
          <w:sz w:val="32"/>
          <w:highlight w:val="none"/>
        </w:rPr>
      </w:pPr>
      <w:r>
        <w:rPr>
          <w:rFonts w:hint="eastAsia"/>
          <w:b/>
          <w:color w:val="auto"/>
          <w:sz w:val="32"/>
          <w:highlight w:val="none"/>
        </w:rPr>
        <w:t>目</w:t>
      </w:r>
      <w:r>
        <w:rPr>
          <w:b/>
          <w:color w:val="auto"/>
          <w:sz w:val="32"/>
          <w:highlight w:val="none"/>
        </w:rPr>
        <w:t xml:space="preserve"> </w:t>
      </w:r>
      <w:r>
        <w:rPr>
          <w:rFonts w:hint="eastAsia"/>
          <w:b/>
          <w:color w:val="auto"/>
          <w:sz w:val="32"/>
          <w:highlight w:val="none"/>
        </w:rPr>
        <w:t>录</w:t>
      </w:r>
    </w:p>
    <w:p>
      <w:pPr>
        <w:autoSpaceDE w:val="0"/>
        <w:autoSpaceDN w:val="0"/>
        <w:adjustRightInd w:val="0"/>
        <w:spacing w:line="360" w:lineRule="auto"/>
        <w:jc w:val="center"/>
        <w:rPr>
          <w:b/>
          <w:color w:val="auto"/>
          <w:sz w:val="32"/>
          <w:highlight w:val="none"/>
        </w:rPr>
      </w:pPr>
    </w:p>
    <w:p>
      <w:pPr>
        <w:spacing w:line="360" w:lineRule="auto"/>
        <w:rPr>
          <w:color w:val="auto"/>
          <w:highlight w:val="none"/>
        </w:rPr>
      </w:pPr>
    </w:p>
    <w:p>
      <w:pPr>
        <w:pStyle w:val="19"/>
        <w:tabs>
          <w:tab w:val="right" w:leader="dot" w:pos="9355"/>
        </w:tabs>
        <w:rPr>
          <w:color w:val="auto"/>
          <w:highlight w:val="none"/>
        </w:rPr>
      </w:pPr>
      <w:r>
        <w:rPr>
          <w:rFonts w:hint="eastAsia"/>
          <w:color w:val="auto"/>
          <w:sz w:val="28"/>
          <w:szCs w:val="28"/>
          <w:highlight w:val="none"/>
        </w:rPr>
        <w:fldChar w:fldCharType="begin"/>
      </w:r>
      <w:r>
        <w:rPr>
          <w:rStyle w:val="29"/>
          <w:color w:val="auto"/>
          <w:sz w:val="28"/>
          <w:szCs w:val="28"/>
          <w:highlight w:val="none"/>
        </w:rPr>
        <w:instrText xml:space="preserve"> TOC \o "1-3" \h \z \u </w:instrText>
      </w:r>
      <w:r>
        <w:rPr>
          <w:rFonts w:hint="eastAsia"/>
          <w:color w:val="auto"/>
          <w:sz w:val="28"/>
          <w:szCs w:val="28"/>
          <w:highlight w:val="none"/>
        </w:rPr>
        <w:fldChar w:fldCharType="separate"/>
      </w:r>
      <w:r>
        <w:rPr>
          <w:color w:val="auto"/>
          <w:highlight w:val="none"/>
        </w:rPr>
        <w:fldChar w:fldCharType="begin"/>
      </w:r>
      <w:r>
        <w:rPr>
          <w:color w:val="auto"/>
          <w:highlight w:val="none"/>
        </w:rPr>
        <w:instrText xml:space="preserve"> HYPERLINK \l "_Toc25734" </w:instrText>
      </w:r>
      <w:r>
        <w:rPr>
          <w:color w:val="auto"/>
          <w:highlight w:val="none"/>
        </w:rPr>
        <w:fldChar w:fldCharType="separate"/>
      </w:r>
      <w:r>
        <w:rPr>
          <w:color w:val="auto"/>
          <w:w w:val="90"/>
          <w:highlight w:val="none"/>
        </w:rPr>
        <w:t xml:space="preserve">第一章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_Toc25734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"_Toc18752" </w:instrText>
      </w:r>
      <w:r>
        <w:rPr>
          <w:color w:val="auto"/>
          <w:highlight w:val="none"/>
        </w:rPr>
        <w:fldChar w:fldCharType="separate"/>
      </w:r>
      <w:r>
        <w:rPr>
          <w:color w:val="auto"/>
          <w:w w:val="90"/>
          <w:highlight w:val="none"/>
        </w:rPr>
        <w:t xml:space="preserve">第二章 </w:t>
      </w:r>
      <w:r>
        <w:rPr>
          <w:rFonts w:hint="eastAsia"/>
          <w:color w:val="auto"/>
          <w:szCs w:val="24"/>
          <w:highlight w:val="none"/>
        </w:rPr>
        <w:t>投标人须知</w:t>
      </w:r>
      <w:r>
        <w:rPr>
          <w:rFonts w:hint="eastAsia"/>
          <w:color w:val="auto"/>
          <w:w w:val="90"/>
          <w:highlight w:val="none"/>
        </w:rPr>
        <w:t>前附表</w:t>
      </w:r>
      <w:r>
        <w:rPr>
          <w:color w:val="auto"/>
          <w:highlight w:val="none"/>
        </w:rPr>
        <w:tab/>
      </w:r>
      <w:r>
        <w:rPr>
          <w:color w:val="auto"/>
          <w:highlight w:val="none"/>
        </w:rPr>
        <w:fldChar w:fldCharType="begin"/>
      </w:r>
      <w:r>
        <w:rPr>
          <w:color w:val="auto"/>
          <w:highlight w:val="none"/>
        </w:rPr>
        <w:instrText xml:space="preserve"> PAGEREF _Toc18752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"_Toc8512" </w:instrText>
      </w:r>
      <w:r>
        <w:rPr>
          <w:color w:val="auto"/>
          <w:highlight w:val="none"/>
        </w:rPr>
        <w:fldChar w:fldCharType="separate"/>
      </w:r>
      <w:r>
        <w:rPr>
          <w:color w:val="auto"/>
          <w:w w:val="90"/>
          <w:highlight w:val="none"/>
        </w:rPr>
        <w:t xml:space="preserve">第三章 </w:t>
      </w:r>
      <w:r>
        <w:rPr>
          <w:rFonts w:hint="eastAsia"/>
          <w:color w:val="auto"/>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_Toc8512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"_Toc10022" </w:instrText>
      </w:r>
      <w:r>
        <w:rPr>
          <w:color w:val="auto"/>
          <w:highlight w:val="none"/>
        </w:rPr>
        <w:fldChar w:fldCharType="separate"/>
      </w:r>
      <w:r>
        <w:rPr>
          <w:color w:val="auto"/>
          <w:w w:val="90"/>
          <w:highlight w:val="none"/>
        </w:rPr>
        <w:t xml:space="preserve">第四章 </w:t>
      </w:r>
      <w:r>
        <w:rPr>
          <w:rFonts w:hint="eastAsia"/>
          <w:color w:val="auto"/>
          <w:w w:val="90"/>
          <w:highlight w:val="none"/>
        </w:rPr>
        <w:t>合同主要条款</w:t>
      </w:r>
      <w:r>
        <w:rPr>
          <w:color w:val="auto"/>
          <w:highlight w:val="none"/>
        </w:rPr>
        <w:tab/>
      </w:r>
      <w:r>
        <w:rPr>
          <w:color w:val="auto"/>
          <w:highlight w:val="none"/>
        </w:rPr>
        <w:fldChar w:fldCharType="begin"/>
      </w:r>
      <w:r>
        <w:rPr>
          <w:color w:val="auto"/>
          <w:highlight w:val="none"/>
        </w:rPr>
        <w:instrText xml:space="preserve"> PAGEREF _Toc10022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"_Toc22813" </w:instrText>
      </w:r>
      <w:r>
        <w:rPr>
          <w:color w:val="auto"/>
          <w:highlight w:val="none"/>
        </w:rPr>
        <w:fldChar w:fldCharType="separate"/>
      </w:r>
      <w:r>
        <w:rPr>
          <w:color w:val="auto"/>
          <w:w w:val="90"/>
          <w:highlight w:val="none"/>
        </w:rPr>
        <w:t xml:space="preserve">第五章 </w:t>
      </w:r>
      <w:r>
        <w:rPr>
          <w:rFonts w:hint="eastAsia"/>
          <w:color w:val="auto"/>
          <w:w w:val="90"/>
          <w:highlight w:val="none"/>
        </w:rPr>
        <w:t>项目情况及服务需求</w:t>
      </w:r>
      <w:r>
        <w:rPr>
          <w:color w:val="auto"/>
          <w:highlight w:val="none"/>
        </w:rPr>
        <w:tab/>
      </w:r>
      <w:r>
        <w:rPr>
          <w:color w:val="auto"/>
          <w:highlight w:val="none"/>
        </w:rPr>
        <w:fldChar w:fldCharType="begin"/>
      </w:r>
      <w:r>
        <w:rPr>
          <w:color w:val="auto"/>
          <w:highlight w:val="none"/>
        </w:rPr>
        <w:instrText xml:space="preserve"> PAGEREF _Toc22813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color w:val="auto"/>
          <w:w w:val="90"/>
          <w:highlight w:val="none"/>
        </w:rPr>
        <w:t xml:space="preserve">第六章 </w:t>
      </w:r>
      <w:r>
        <w:rPr>
          <w:rFonts w:hint="eastAsia"/>
          <w:color w:val="auto"/>
          <w:w w:val="90"/>
          <w:highlight w:val="none"/>
        </w:rPr>
        <w:t>附件（投标文件格式）</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"_Toc16137" </w:instrText>
      </w:r>
      <w:r>
        <w:rPr>
          <w:color w:val="auto"/>
          <w:highlight w:val="none"/>
        </w:rPr>
        <w:fldChar w:fldCharType="separate"/>
      </w:r>
      <w:r>
        <w:rPr>
          <w:rFonts w:hint="eastAsia"/>
          <w:color w:val="auto"/>
          <w:highlight w:val="none"/>
        </w:rPr>
        <w:t>第一部分</w:t>
      </w:r>
      <w:r>
        <w:rPr>
          <w:color w:val="auto"/>
          <w:highlight w:val="none"/>
        </w:rPr>
        <w:t xml:space="preserve"> </w:t>
      </w:r>
      <w:r>
        <w:rPr>
          <w:rFonts w:hint="eastAsia"/>
          <w:color w:val="auto"/>
          <w:highlight w:val="none"/>
        </w:rPr>
        <w:t>投标函部分</w:t>
      </w:r>
      <w:r>
        <w:rPr>
          <w:color w:val="auto"/>
          <w:highlight w:val="none"/>
        </w:rPr>
        <w:tab/>
      </w:r>
      <w:r>
        <w:rPr>
          <w:color w:val="auto"/>
          <w:highlight w:val="none"/>
        </w:rPr>
        <w:fldChar w:fldCharType="begin"/>
      </w:r>
      <w:r>
        <w:rPr>
          <w:color w:val="auto"/>
          <w:highlight w:val="none"/>
        </w:rPr>
        <w:instrText xml:space="preserve"> PAGEREF _Toc16137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"_Toc28002" </w:instrText>
      </w:r>
      <w:r>
        <w:rPr>
          <w:color w:val="auto"/>
          <w:highlight w:val="none"/>
        </w:rPr>
        <w:fldChar w:fldCharType="separate"/>
      </w:r>
      <w:r>
        <w:rPr>
          <w:color w:val="auto"/>
          <w:szCs w:val="28"/>
          <w:highlight w:val="none"/>
        </w:rPr>
        <w:t>1、投标函(格式)</w:t>
      </w:r>
      <w:r>
        <w:rPr>
          <w:color w:val="auto"/>
          <w:highlight w:val="none"/>
        </w:rPr>
        <w:tab/>
      </w:r>
      <w:r>
        <w:rPr>
          <w:color w:val="auto"/>
          <w:highlight w:val="none"/>
        </w:rPr>
        <w:fldChar w:fldCharType="begin"/>
      </w:r>
      <w:r>
        <w:rPr>
          <w:color w:val="auto"/>
          <w:highlight w:val="none"/>
        </w:rPr>
        <w:instrText xml:space="preserve"> PAGEREF _Toc28002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"_Toc19545" </w:instrText>
      </w:r>
      <w:r>
        <w:rPr>
          <w:color w:val="auto"/>
          <w:highlight w:val="none"/>
        </w:rPr>
        <w:fldChar w:fldCharType="separate"/>
      </w:r>
      <w:r>
        <w:rPr>
          <w:color w:val="auto"/>
          <w:szCs w:val="28"/>
          <w:highlight w:val="none"/>
        </w:rPr>
        <w:t>2、投标函附录格式</w:t>
      </w:r>
      <w:r>
        <w:rPr>
          <w:color w:val="auto"/>
          <w:highlight w:val="none"/>
        </w:rPr>
        <w:tab/>
      </w:r>
      <w:r>
        <w:rPr>
          <w:color w:val="auto"/>
          <w:highlight w:val="none"/>
        </w:rPr>
        <w:fldChar w:fldCharType="begin"/>
      </w:r>
      <w:r>
        <w:rPr>
          <w:color w:val="auto"/>
          <w:highlight w:val="none"/>
        </w:rPr>
        <w:instrText xml:space="preserve"> PAGEREF _Toc19545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"_Toc18397" </w:instrText>
      </w:r>
      <w:r>
        <w:rPr>
          <w:color w:val="auto"/>
          <w:highlight w:val="none"/>
        </w:rPr>
        <w:fldChar w:fldCharType="separate"/>
      </w:r>
      <w:r>
        <w:rPr>
          <w:rFonts w:hint="eastAsia"/>
          <w:color w:val="auto"/>
          <w:highlight w:val="none"/>
        </w:rPr>
        <w:t>第二部分</w:t>
      </w:r>
      <w:r>
        <w:rPr>
          <w:color w:val="auto"/>
          <w:highlight w:val="none"/>
        </w:rPr>
        <w:t xml:space="preserve"> </w:t>
      </w:r>
      <w:r>
        <w:rPr>
          <w:rFonts w:hint="eastAsia"/>
          <w:color w:val="auto"/>
          <w:highlight w:val="none"/>
        </w:rPr>
        <w:t>资格审查部分</w:t>
      </w:r>
      <w:r>
        <w:rPr>
          <w:color w:val="auto"/>
          <w:highlight w:val="none"/>
        </w:rPr>
        <w:tab/>
      </w:r>
      <w:r>
        <w:rPr>
          <w:color w:val="auto"/>
          <w:highlight w:val="none"/>
        </w:rPr>
        <w:fldChar w:fldCharType="begin"/>
      </w:r>
      <w:r>
        <w:rPr>
          <w:color w:val="auto"/>
          <w:highlight w:val="none"/>
        </w:rPr>
        <w:instrText xml:space="preserve"> PAGEREF _Toc18397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"_Toc18633" </w:instrText>
      </w:r>
      <w:r>
        <w:rPr>
          <w:color w:val="auto"/>
          <w:highlight w:val="none"/>
        </w:rPr>
        <w:fldChar w:fldCharType="separate"/>
      </w:r>
      <w:r>
        <w:rPr>
          <w:color w:val="auto"/>
          <w:szCs w:val="28"/>
          <w:highlight w:val="none"/>
        </w:rPr>
        <w:t>1</w:t>
      </w:r>
      <w:r>
        <w:rPr>
          <w:rFonts w:hint="eastAsia"/>
          <w:color w:val="auto"/>
          <w:szCs w:val="28"/>
          <w:highlight w:val="none"/>
        </w:rPr>
        <w:t>、投标人一般情况（格式）</w:t>
      </w:r>
      <w:r>
        <w:rPr>
          <w:color w:val="auto"/>
          <w:highlight w:val="none"/>
        </w:rPr>
        <w:tab/>
      </w:r>
      <w:r>
        <w:rPr>
          <w:color w:val="auto"/>
          <w:highlight w:val="none"/>
        </w:rPr>
        <w:fldChar w:fldCharType="begin"/>
      </w:r>
      <w:r>
        <w:rPr>
          <w:color w:val="auto"/>
          <w:highlight w:val="none"/>
        </w:rPr>
        <w:instrText xml:space="preserve"> PAGEREF _Toc18633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"_Toc30089" </w:instrText>
      </w:r>
      <w:r>
        <w:rPr>
          <w:color w:val="auto"/>
          <w:highlight w:val="none"/>
        </w:rPr>
        <w:fldChar w:fldCharType="separate"/>
      </w:r>
      <w:r>
        <w:rPr>
          <w:color w:val="auto"/>
          <w:szCs w:val="28"/>
          <w:highlight w:val="none"/>
        </w:rPr>
        <w:t>2</w:t>
      </w:r>
      <w:r>
        <w:rPr>
          <w:rFonts w:hint="eastAsia"/>
          <w:color w:val="auto"/>
          <w:szCs w:val="28"/>
          <w:highlight w:val="none"/>
        </w:rPr>
        <w:t>、法定代表人身份证明书（格式）</w:t>
      </w:r>
      <w:r>
        <w:rPr>
          <w:color w:val="auto"/>
          <w:highlight w:val="none"/>
        </w:rPr>
        <w:tab/>
      </w:r>
      <w:r>
        <w:rPr>
          <w:color w:val="auto"/>
          <w:highlight w:val="none"/>
        </w:rPr>
        <w:fldChar w:fldCharType="begin"/>
      </w:r>
      <w:r>
        <w:rPr>
          <w:color w:val="auto"/>
          <w:highlight w:val="none"/>
        </w:rPr>
        <w:instrText xml:space="preserve"> PAGEREF _Toc30089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"_Toc752" </w:instrText>
      </w:r>
      <w:r>
        <w:rPr>
          <w:color w:val="auto"/>
          <w:highlight w:val="none"/>
        </w:rPr>
        <w:fldChar w:fldCharType="separate"/>
      </w:r>
      <w:r>
        <w:rPr>
          <w:color w:val="auto"/>
          <w:szCs w:val="28"/>
          <w:highlight w:val="none"/>
        </w:rPr>
        <w:t>3</w:t>
      </w:r>
      <w:r>
        <w:rPr>
          <w:rFonts w:hint="eastAsia"/>
          <w:color w:val="auto"/>
          <w:szCs w:val="28"/>
          <w:highlight w:val="none"/>
        </w:rPr>
        <w:t>、法定代表人授权书（格式）（如法定代表人投标不需此项）</w:t>
      </w:r>
      <w:r>
        <w:rPr>
          <w:color w:val="auto"/>
          <w:highlight w:val="none"/>
        </w:rPr>
        <w:tab/>
      </w:r>
      <w:r>
        <w:rPr>
          <w:color w:val="auto"/>
          <w:highlight w:val="none"/>
        </w:rPr>
        <w:fldChar w:fldCharType="begin"/>
      </w:r>
      <w:r>
        <w:rPr>
          <w:color w:val="auto"/>
          <w:highlight w:val="none"/>
        </w:rPr>
        <w:instrText xml:space="preserve"> PAGEREF _Toc752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"_Toc31028" </w:instrText>
      </w:r>
      <w:r>
        <w:rPr>
          <w:color w:val="auto"/>
          <w:highlight w:val="none"/>
        </w:rPr>
        <w:fldChar w:fldCharType="separate"/>
      </w:r>
      <w:r>
        <w:rPr>
          <w:rFonts w:hint="eastAsia"/>
          <w:color w:val="auto"/>
          <w:highlight w:val="none"/>
        </w:rPr>
        <w:t>4、项目负责人</w:t>
      </w:r>
      <w:r>
        <w:rPr>
          <w:color w:val="auto"/>
          <w:highlight w:val="none"/>
        </w:rPr>
        <w:tab/>
      </w:r>
      <w:r>
        <w:rPr>
          <w:color w:val="auto"/>
          <w:highlight w:val="none"/>
        </w:rPr>
        <w:fldChar w:fldCharType="begin"/>
      </w:r>
      <w:r>
        <w:rPr>
          <w:color w:val="auto"/>
          <w:highlight w:val="none"/>
        </w:rPr>
        <w:instrText xml:space="preserve"> PAGEREF _Toc31028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"_Toc28333" </w:instrText>
      </w:r>
      <w:r>
        <w:rPr>
          <w:color w:val="auto"/>
          <w:highlight w:val="none"/>
        </w:rPr>
        <w:fldChar w:fldCharType="separate"/>
      </w:r>
      <w:r>
        <w:rPr>
          <w:color w:val="auto"/>
          <w:szCs w:val="28"/>
          <w:highlight w:val="none"/>
        </w:rPr>
        <w:t>5</w:t>
      </w:r>
      <w:r>
        <w:rPr>
          <w:rFonts w:hint="eastAsia"/>
          <w:color w:val="auto"/>
          <w:szCs w:val="28"/>
          <w:highlight w:val="none"/>
        </w:rPr>
        <w:t>、投标保证书格式</w:t>
      </w:r>
      <w:r>
        <w:rPr>
          <w:color w:val="auto"/>
          <w:highlight w:val="none"/>
        </w:rPr>
        <w:tab/>
      </w:r>
      <w:r>
        <w:rPr>
          <w:color w:val="auto"/>
          <w:highlight w:val="none"/>
        </w:rPr>
        <w:fldChar w:fldCharType="begin"/>
      </w:r>
      <w:r>
        <w:rPr>
          <w:color w:val="auto"/>
          <w:highlight w:val="none"/>
        </w:rPr>
        <w:instrText xml:space="preserve"> PAGEREF _Toc28333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"_Toc10853" </w:instrText>
      </w:r>
      <w:r>
        <w:rPr>
          <w:color w:val="auto"/>
          <w:highlight w:val="none"/>
        </w:rPr>
        <w:fldChar w:fldCharType="separate"/>
      </w:r>
      <w:r>
        <w:rPr>
          <w:color w:val="auto"/>
          <w:szCs w:val="28"/>
          <w:highlight w:val="none"/>
        </w:rPr>
        <w:t>6</w:t>
      </w:r>
      <w:r>
        <w:rPr>
          <w:rFonts w:hint="eastAsia"/>
          <w:color w:val="auto"/>
          <w:szCs w:val="28"/>
          <w:highlight w:val="none"/>
        </w:rPr>
        <w:t>、投标保证金收据扫描件或付款凭证</w:t>
      </w:r>
      <w:r>
        <w:rPr>
          <w:color w:val="auto"/>
          <w:highlight w:val="none"/>
        </w:rPr>
        <w:tab/>
      </w:r>
      <w:r>
        <w:rPr>
          <w:color w:val="auto"/>
          <w:highlight w:val="none"/>
        </w:rPr>
        <w:fldChar w:fldCharType="begin"/>
      </w:r>
      <w:r>
        <w:rPr>
          <w:color w:val="auto"/>
          <w:highlight w:val="none"/>
        </w:rPr>
        <w:instrText xml:space="preserve"> PAGEREF _Toc10853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"_Toc29700" </w:instrText>
      </w:r>
      <w:r>
        <w:rPr>
          <w:color w:val="auto"/>
          <w:highlight w:val="none"/>
        </w:rPr>
        <w:fldChar w:fldCharType="separate"/>
      </w:r>
      <w:r>
        <w:rPr>
          <w:rFonts w:hint="eastAsia"/>
          <w:color w:val="auto"/>
          <w:highlight w:val="none"/>
        </w:rPr>
        <w:t>第三部分</w:t>
      </w:r>
      <w:r>
        <w:rPr>
          <w:color w:val="auto"/>
          <w:highlight w:val="none"/>
        </w:rPr>
        <w:t xml:space="preserve"> </w:t>
      </w:r>
      <w:r>
        <w:rPr>
          <w:rFonts w:hint="eastAsia"/>
          <w:color w:val="auto"/>
          <w:highlight w:val="none"/>
        </w:rPr>
        <w:t>技术部分</w:t>
      </w:r>
      <w:r>
        <w:rPr>
          <w:color w:val="auto"/>
          <w:highlight w:val="none"/>
        </w:rPr>
        <w:tab/>
      </w:r>
      <w:r>
        <w:rPr>
          <w:color w:val="auto"/>
          <w:highlight w:val="none"/>
        </w:rPr>
        <w:fldChar w:fldCharType="begin"/>
      </w:r>
      <w:r>
        <w:rPr>
          <w:color w:val="auto"/>
          <w:highlight w:val="none"/>
        </w:rPr>
        <w:instrText xml:space="preserve"> PAGEREF _Toc29700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"_Toc27966" </w:instrText>
      </w:r>
      <w:r>
        <w:rPr>
          <w:color w:val="auto"/>
          <w:highlight w:val="none"/>
        </w:rPr>
        <w:fldChar w:fldCharType="separate"/>
      </w:r>
      <w:r>
        <w:rPr>
          <w:rFonts w:hint="eastAsia"/>
          <w:color w:val="auto"/>
          <w:highlight w:val="none"/>
        </w:rPr>
        <w:t>第四部分</w:t>
      </w:r>
      <w:r>
        <w:rPr>
          <w:color w:val="auto"/>
          <w:highlight w:val="none"/>
        </w:rPr>
        <w:t xml:space="preserve"> </w:t>
      </w:r>
      <w:r>
        <w:rPr>
          <w:rFonts w:hint="eastAsia"/>
          <w:color w:val="auto"/>
          <w:highlight w:val="none"/>
        </w:rPr>
        <w:t>商务部分</w:t>
      </w:r>
      <w:r>
        <w:rPr>
          <w:color w:val="auto"/>
          <w:highlight w:val="none"/>
        </w:rPr>
        <w:tab/>
      </w:r>
      <w:r>
        <w:rPr>
          <w:color w:val="auto"/>
          <w:highlight w:val="none"/>
        </w:rPr>
        <w:fldChar w:fldCharType="begin"/>
      </w:r>
      <w:r>
        <w:rPr>
          <w:color w:val="auto"/>
          <w:highlight w:val="none"/>
        </w:rPr>
        <w:instrText xml:space="preserve"> PAGEREF _Toc27966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"_Toc23035" </w:instrText>
      </w:r>
      <w:r>
        <w:rPr>
          <w:color w:val="auto"/>
          <w:highlight w:val="none"/>
        </w:rPr>
        <w:fldChar w:fldCharType="separate"/>
      </w:r>
      <w:r>
        <w:rPr>
          <w:color w:val="auto"/>
          <w:szCs w:val="28"/>
          <w:highlight w:val="none"/>
        </w:rPr>
        <w:t>1、</w:t>
      </w:r>
      <w:r>
        <w:rPr>
          <w:rFonts w:hint="eastAsia"/>
          <w:color w:val="auto"/>
          <w:szCs w:val="28"/>
          <w:highlight w:val="none"/>
        </w:rPr>
        <w:t>服务说明</w:t>
      </w:r>
      <w:r>
        <w:rPr>
          <w:color w:val="auto"/>
          <w:highlight w:val="none"/>
        </w:rPr>
        <w:tab/>
      </w:r>
      <w:r>
        <w:rPr>
          <w:color w:val="auto"/>
          <w:highlight w:val="none"/>
        </w:rPr>
        <w:fldChar w:fldCharType="begin"/>
      </w:r>
      <w:r>
        <w:rPr>
          <w:color w:val="auto"/>
          <w:highlight w:val="none"/>
        </w:rPr>
        <w:instrText xml:space="preserve"> PAGEREF _Toc23035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"_Toc14964" </w:instrText>
      </w:r>
      <w:r>
        <w:rPr>
          <w:color w:val="auto"/>
          <w:highlight w:val="none"/>
        </w:rPr>
        <w:fldChar w:fldCharType="separate"/>
      </w:r>
      <w:r>
        <w:rPr>
          <w:color w:val="auto"/>
          <w:szCs w:val="28"/>
          <w:highlight w:val="none"/>
        </w:rPr>
        <w:t>2</w:t>
      </w:r>
      <w:r>
        <w:rPr>
          <w:rFonts w:hint="eastAsia"/>
          <w:color w:val="auto"/>
          <w:szCs w:val="28"/>
          <w:highlight w:val="none"/>
        </w:rPr>
        <w:t>、拟投入本项目的人员情况（格式）</w:t>
      </w:r>
      <w:r>
        <w:rPr>
          <w:color w:val="auto"/>
          <w:highlight w:val="none"/>
        </w:rPr>
        <w:tab/>
      </w:r>
      <w:r>
        <w:rPr>
          <w:color w:val="auto"/>
          <w:highlight w:val="none"/>
        </w:rPr>
        <w:fldChar w:fldCharType="begin"/>
      </w:r>
      <w:r>
        <w:rPr>
          <w:color w:val="auto"/>
          <w:highlight w:val="none"/>
        </w:rPr>
        <w:instrText xml:space="preserve"> PAGEREF _Toc14964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"_Toc21806" </w:instrText>
      </w:r>
      <w:r>
        <w:rPr>
          <w:color w:val="auto"/>
          <w:highlight w:val="none"/>
        </w:rPr>
        <w:fldChar w:fldCharType="separate"/>
      </w:r>
      <w:r>
        <w:rPr>
          <w:color w:val="auto"/>
          <w:szCs w:val="28"/>
          <w:highlight w:val="none"/>
        </w:rPr>
        <w:t>3</w:t>
      </w:r>
      <w:r>
        <w:rPr>
          <w:rFonts w:hint="eastAsia"/>
          <w:color w:val="auto"/>
          <w:szCs w:val="28"/>
          <w:highlight w:val="none"/>
        </w:rPr>
        <w:t>、</w:t>
      </w:r>
      <w:r>
        <w:rPr>
          <w:color w:val="auto"/>
          <w:szCs w:val="28"/>
          <w:highlight w:val="none"/>
        </w:rPr>
        <w:t>2021</w:t>
      </w:r>
      <w:r>
        <w:rPr>
          <w:rFonts w:hint="eastAsia"/>
          <w:color w:val="auto"/>
          <w:szCs w:val="28"/>
          <w:highlight w:val="none"/>
        </w:rPr>
        <w:t>年</w:t>
      </w:r>
      <w:r>
        <w:rPr>
          <w:color w:val="auto"/>
          <w:szCs w:val="28"/>
          <w:highlight w:val="none"/>
        </w:rPr>
        <w:t>1月1日至今类似</w:t>
      </w:r>
      <w:r>
        <w:rPr>
          <w:rFonts w:hint="eastAsia"/>
          <w:color w:val="auto"/>
          <w:szCs w:val="28"/>
          <w:highlight w:val="none"/>
        </w:rPr>
        <w:t>服务业绩（如有）</w:t>
      </w:r>
      <w:r>
        <w:rPr>
          <w:color w:val="auto"/>
          <w:highlight w:val="none"/>
        </w:rPr>
        <w:tab/>
      </w:r>
      <w:r>
        <w:rPr>
          <w:color w:val="auto"/>
          <w:highlight w:val="none"/>
        </w:rPr>
        <w:fldChar w:fldCharType="begin"/>
      </w:r>
      <w:r>
        <w:rPr>
          <w:color w:val="auto"/>
          <w:highlight w:val="none"/>
        </w:rPr>
        <w:instrText xml:space="preserve"> PAGEREF _Toc21806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 </w:instrText>
      </w:r>
      <w:r>
        <w:rPr>
          <w:color w:val="auto"/>
          <w:highlight w:val="none"/>
        </w:rPr>
        <w:fldChar w:fldCharType="separate"/>
      </w:r>
      <w:r>
        <w:rPr>
          <w:rFonts w:hint="eastAsia"/>
          <w:color w:val="auto"/>
          <w:highlight w:val="none"/>
        </w:rPr>
        <w:t>第五部分</w:t>
      </w:r>
      <w:r>
        <w:rPr>
          <w:color w:val="auto"/>
          <w:highlight w:val="none"/>
        </w:rPr>
        <w:t xml:space="preserve"> </w:t>
      </w:r>
      <w:r>
        <w:rPr>
          <w:rFonts w:hint="eastAsia"/>
          <w:color w:val="auto"/>
          <w:highlight w:val="none"/>
        </w:rPr>
        <w:t>其他资料</w:t>
      </w:r>
      <w:r>
        <w:rPr>
          <w:color w:val="auto"/>
          <w:highlight w:val="none"/>
        </w:rPr>
        <w:tab/>
      </w:r>
      <w:r>
        <w:rPr>
          <w:color w:val="auto"/>
          <w:highlight w:val="none"/>
        </w:rPr>
        <w:fldChar w:fldCharType="begin"/>
      </w:r>
      <w:r>
        <w:rPr>
          <w:color w:val="auto"/>
          <w:highlight w:val="none"/>
        </w:rPr>
        <w:instrText xml:space="preserve"> PAGEREF _Toc2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"_Toc16436" </w:instrText>
      </w:r>
      <w:r>
        <w:rPr>
          <w:color w:val="auto"/>
          <w:highlight w:val="none"/>
        </w:rPr>
        <w:fldChar w:fldCharType="separate"/>
      </w:r>
      <w:r>
        <w:rPr>
          <w:color w:val="auto"/>
          <w:szCs w:val="28"/>
          <w:highlight w:val="none"/>
        </w:rPr>
        <w:t>1、承诺书</w:t>
      </w:r>
      <w:r>
        <w:rPr>
          <w:rFonts w:hint="eastAsia"/>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_Toc16436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"_Toc26756" </w:instrText>
      </w:r>
      <w:r>
        <w:rPr>
          <w:color w:val="auto"/>
          <w:highlight w:val="none"/>
        </w:rPr>
        <w:fldChar w:fldCharType="separate"/>
      </w:r>
      <w:r>
        <w:rPr>
          <w:color w:val="auto"/>
          <w:szCs w:val="28"/>
          <w:highlight w:val="none"/>
        </w:rPr>
        <w:t>2</w:t>
      </w:r>
      <w:r>
        <w:rPr>
          <w:rFonts w:hint="eastAsia"/>
          <w:color w:val="auto"/>
          <w:szCs w:val="28"/>
          <w:highlight w:val="none"/>
        </w:rPr>
        <w:t>、待解决的诉讼（格式）</w:t>
      </w:r>
      <w:r>
        <w:rPr>
          <w:color w:val="auto"/>
          <w:highlight w:val="none"/>
        </w:rPr>
        <w:tab/>
      </w:r>
      <w:r>
        <w:rPr>
          <w:color w:val="auto"/>
          <w:highlight w:val="none"/>
        </w:rPr>
        <w:fldChar w:fldCharType="begin"/>
      </w:r>
      <w:r>
        <w:rPr>
          <w:color w:val="auto"/>
          <w:highlight w:val="none"/>
        </w:rPr>
        <w:instrText xml:space="preserve"> PAGEREF _Toc26756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"_Toc29714" </w:instrText>
      </w:r>
      <w:r>
        <w:rPr>
          <w:color w:val="auto"/>
          <w:highlight w:val="none"/>
        </w:rPr>
        <w:fldChar w:fldCharType="separate"/>
      </w:r>
      <w:r>
        <w:rPr>
          <w:color w:val="auto"/>
          <w:szCs w:val="28"/>
          <w:highlight w:val="none"/>
        </w:rPr>
        <w:t>3</w:t>
      </w:r>
      <w:r>
        <w:rPr>
          <w:rFonts w:hint="eastAsia"/>
          <w:color w:val="auto"/>
          <w:szCs w:val="28"/>
          <w:highlight w:val="none"/>
        </w:rPr>
        <w:t>、投标人未处于被责令停业，财产被接管、冻结破产状态承诺书（格式）</w:t>
      </w:r>
      <w:r>
        <w:rPr>
          <w:color w:val="auto"/>
          <w:highlight w:val="none"/>
        </w:rPr>
        <w:tab/>
      </w:r>
      <w:r>
        <w:rPr>
          <w:color w:val="auto"/>
          <w:highlight w:val="none"/>
        </w:rPr>
        <w:fldChar w:fldCharType="begin"/>
      </w:r>
      <w:r>
        <w:rPr>
          <w:color w:val="auto"/>
          <w:highlight w:val="none"/>
        </w:rPr>
        <w:instrText xml:space="preserve"> PAGEREF _Toc29714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2"/>
        <w:tabs>
          <w:tab w:val="right" w:leader="dot" w:pos="9355"/>
          <w:tab w:val="clear" w:pos="9628"/>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color w:val="auto"/>
          <w:highlight w:val="none"/>
        </w:rPr>
        <w:t>4、投标人认为所需要的其他材料</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"_Toc10566" </w:instrText>
      </w:r>
      <w:r>
        <w:rPr>
          <w:color w:val="auto"/>
          <w:highlight w:val="none"/>
        </w:rPr>
        <w:fldChar w:fldCharType="separate"/>
      </w:r>
      <w:r>
        <w:rPr>
          <w:color w:val="auto"/>
          <w:w w:val="90"/>
          <w:highlight w:val="none"/>
        </w:rPr>
        <w:t xml:space="preserve">第七章 </w:t>
      </w:r>
      <w:r>
        <w:rPr>
          <w:rFonts w:hint="eastAsia"/>
          <w:color w:val="auto"/>
          <w:w w:val="90"/>
          <w:highlight w:val="none"/>
        </w:rPr>
        <w:t>评标办法</w:t>
      </w:r>
      <w:r>
        <w:rPr>
          <w:color w:val="auto"/>
          <w:highlight w:val="none"/>
        </w:rPr>
        <w:tab/>
      </w:r>
      <w:r>
        <w:rPr>
          <w:color w:val="auto"/>
          <w:highlight w:val="none"/>
        </w:rPr>
        <w:fldChar w:fldCharType="begin"/>
      </w:r>
      <w:r>
        <w:rPr>
          <w:color w:val="auto"/>
          <w:highlight w:val="none"/>
        </w:rPr>
        <w:instrText xml:space="preserve"> PAGEREF _Toc10566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tabs>
          <w:tab w:val="right" w:leader="dot" w:pos="9628"/>
        </w:tabs>
        <w:snapToGrid w:val="0"/>
        <w:spacing w:line="360" w:lineRule="auto"/>
        <w:rPr>
          <w:color w:val="auto"/>
          <w:sz w:val="30"/>
          <w:highlight w:val="none"/>
        </w:rPr>
        <w:sectPr>
          <w:headerReference r:id="rId6" w:type="first"/>
          <w:pgSz w:w="11906" w:h="16838"/>
          <w:pgMar w:top="1134" w:right="1133" w:bottom="1134" w:left="1418" w:header="454" w:footer="454" w:gutter="0"/>
          <w:cols w:space="720" w:num="1"/>
          <w:titlePg/>
          <w:docGrid w:type="lines" w:linePitch="312" w:charSpace="0"/>
        </w:sectPr>
      </w:pPr>
      <w:r>
        <w:rPr>
          <w:rFonts w:hint="eastAsia"/>
          <w:color w:val="auto"/>
          <w:szCs w:val="28"/>
          <w:highlight w:val="none"/>
        </w:rPr>
        <w:fldChar w:fldCharType="end"/>
      </w:r>
    </w:p>
    <w:p>
      <w:pPr>
        <w:spacing w:line="360" w:lineRule="auto"/>
        <w:rPr>
          <w:color w:val="auto"/>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pStyle w:val="2"/>
        <w:numPr>
          <w:ilvl w:val="0"/>
          <w:numId w:val="2"/>
        </w:numPr>
        <w:spacing w:line="360" w:lineRule="auto"/>
        <w:jc w:val="center"/>
        <w:rPr>
          <w:color w:val="auto"/>
          <w:w w:val="90"/>
          <w:highlight w:val="none"/>
        </w:rPr>
      </w:pPr>
      <w:bookmarkStart w:id="0" w:name="_Toc350515646"/>
      <w:bookmarkEnd w:id="0"/>
      <w:bookmarkStart w:id="1" w:name="_Toc30943"/>
      <w:bookmarkEnd w:id="1"/>
      <w:bookmarkStart w:id="2" w:name="_Toc344394137"/>
      <w:bookmarkEnd w:id="2"/>
      <w:bookmarkStart w:id="3" w:name="_Toc349568709"/>
      <w:bookmarkEnd w:id="3"/>
      <w:bookmarkStart w:id="4" w:name="_Toc349568450"/>
      <w:bookmarkEnd w:id="4"/>
      <w:bookmarkStart w:id="5" w:name="_Toc343510551"/>
      <w:bookmarkEnd w:id="5"/>
      <w:bookmarkStart w:id="6" w:name="_Toc25734"/>
      <w:bookmarkEnd w:id="6"/>
      <w:r>
        <w:rPr>
          <w:color w:val="auto"/>
          <w:w w:val="90"/>
          <w:highlight w:val="none"/>
        </w:rPr>
        <w:t xml:space="preserve">  </w:t>
      </w:r>
      <w:r>
        <w:rPr>
          <w:rFonts w:hint="eastAsia"/>
          <w:color w:val="auto"/>
          <w:highlight w:val="none"/>
        </w:rPr>
        <w:t>招标公告</w:t>
      </w:r>
    </w:p>
    <w:p>
      <w:pPr>
        <w:spacing w:line="360" w:lineRule="auto"/>
        <w:rPr>
          <w:color w:val="auto"/>
          <w:highlight w:val="none"/>
        </w:rPr>
      </w:pPr>
    </w:p>
    <w:p>
      <w:pPr>
        <w:pStyle w:val="14"/>
        <w:spacing w:line="360" w:lineRule="auto"/>
        <w:jc w:val="center"/>
        <w:rPr>
          <w:b/>
          <w:color w:val="auto"/>
          <w:sz w:val="30"/>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center"/>
        <w:rPr>
          <w:rFonts w:hint="eastAsia" w:eastAsia="宋体"/>
          <w:color w:val="auto"/>
          <w:sz w:val="28"/>
          <w:szCs w:val="24"/>
          <w:highlight w:val="none"/>
          <w:lang w:eastAsia="zh-CN"/>
        </w:rPr>
      </w:pPr>
      <w:r>
        <w:rPr>
          <w:b/>
          <w:bCs/>
          <w:color w:val="auto"/>
          <w:sz w:val="32"/>
          <w:szCs w:val="24"/>
          <w:highlight w:val="none"/>
        </w:rPr>
        <w:br w:type="page"/>
      </w:r>
      <w:r>
        <w:rPr>
          <w:rFonts w:hint="eastAsia"/>
          <w:b/>
          <w:bCs/>
          <w:color w:val="auto"/>
          <w:sz w:val="32"/>
          <w:szCs w:val="24"/>
          <w:highlight w:val="none"/>
          <w:lang w:eastAsia="zh-CN"/>
        </w:rPr>
        <w:t>辽宁省营口市海洋生态保护修复工程项目生态修复效果与减灾功能评估</w:t>
      </w:r>
    </w:p>
    <w:p>
      <w:pPr>
        <w:spacing w:line="360" w:lineRule="auto"/>
        <w:jc w:val="center"/>
        <w:rPr>
          <w:b/>
          <w:bCs/>
          <w:color w:val="auto"/>
          <w:sz w:val="40"/>
          <w:szCs w:val="24"/>
          <w:highlight w:val="none"/>
        </w:rPr>
      </w:pPr>
      <w:bookmarkStart w:id="7" w:name="资格预审合格通知书"/>
      <w:bookmarkEnd w:id="7"/>
      <w:r>
        <w:rPr>
          <w:rFonts w:hint="eastAsia"/>
          <w:b/>
          <w:bCs/>
          <w:color w:val="auto"/>
          <w:sz w:val="40"/>
          <w:szCs w:val="24"/>
          <w:highlight w:val="none"/>
        </w:rPr>
        <w:t>招标公告</w:t>
      </w:r>
    </w:p>
    <w:p>
      <w:pPr>
        <w:spacing w:after="120" w:line="360" w:lineRule="auto"/>
        <w:rPr>
          <w:b/>
          <w:bCs/>
          <w:color w:val="auto"/>
          <w:sz w:val="20"/>
          <w:szCs w:val="24"/>
          <w:highlight w:val="none"/>
        </w:rPr>
      </w:pPr>
    </w:p>
    <w:p>
      <w:pPr>
        <w:spacing w:line="360" w:lineRule="auto"/>
        <w:ind w:firstLine="566" w:firstLineChars="236"/>
        <w:rPr>
          <w:color w:val="auto"/>
          <w:sz w:val="24"/>
          <w:szCs w:val="24"/>
          <w:highlight w:val="none"/>
        </w:rPr>
      </w:pPr>
      <w:r>
        <w:rPr>
          <w:rFonts w:hint="eastAsia"/>
          <w:color w:val="auto"/>
          <w:sz w:val="24"/>
          <w:szCs w:val="24"/>
          <w:highlight w:val="none"/>
          <w:u w:val="single"/>
        </w:rPr>
        <w:t>辽宁国信建设工程管理有限公司</w:t>
      </w:r>
      <w:r>
        <w:rPr>
          <w:rFonts w:hint="eastAsia"/>
          <w:color w:val="auto"/>
          <w:sz w:val="24"/>
          <w:szCs w:val="24"/>
          <w:highlight w:val="none"/>
        </w:rPr>
        <w:t>受</w:t>
      </w:r>
      <w:r>
        <w:rPr>
          <w:rFonts w:hint="eastAsia"/>
          <w:color w:val="auto"/>
          <w:sz w:val="24"/>
          <w:szCs w:val="24"/>
          <w:highlight w:val="none"/>
          <w:u w:val="single"/>
        </w:rPr>
        <w:t>营口市自然资源局</w:t>
      </w:r>
      <w:r>
        <w:rPr>
          <w:rFonts w:hint="eastAsia"/>
          <w:color w:val="auto"/>
          <w:sz w:val="24"/>
          <w:szCs w:val="24"/>
          <w:highlight w:val="none"/>
        </w:rPr>
        <w:t>委托对</w:t>
      </w:r>
      <w:r>
        <w:rPr>
          <w:rFonts w:hint="eastAsia"/>
          <w:color w:val="auto"/>
          <w:sz w:val="24"/>
          <w:szCs w:val="24"/>
          <w:highlight w:val="none"/>
          <w:u w:val="single"/>
          <w:lang w:eastAsia="zh-CN"/>
        </w:rPr>
        <w:t>辽宁省营口市海洋生态保护修复工程项目生态修复效果与减灾功能评估</w:t>
      </w:r>
      <w:r>
        <w:rPr>
          <w:rFonts w:hint="eastAsia"/>
          <w:color w:val="auto"/>
          <w:sz w:val="24"/>
          <w:szCs w:val="24"/>
          <w:highlight w:val="none"/>
        </w:rPr>
        <w:t>（招标编号：</w:t>
      </w:r>
      <w:r>
        <w:rPr>
          <w:color w:val="auto"/>
          <w:sz w:val="24"/>
          <w:szCs w:val="24"/>
          <w:highlight w:val="none"/>
        </w:rPr>
        <w:t>LNGX-2403021</w:t>
      </w:r>
      <w:r>
        <w:rPr>
          <w:rFonts w:hint="eastAsia"/>
          <w:color w:val="auto"/>
          <w:sz w:val="24"/>
          <w:szCs w:val="24"/>
          <w:highlight w:val="none"/>
        </w:rPr>
        <w:t>）进行国内公开招标，欢迎有意愿、有合格资质条件的投标单位参加投标。</w:t>
      </w:r>
    </w:p>
    <w:p>
      <w:pPr>
        <w:numPr>
          <w:ilvl w:val="0"/>
          <w:numId w:val="3"/>
        </w:numPr>
        <w:tabs>
          <w:tab w:val="left" w:pos="709"/>
          <w:tab w:val="left" w:pos="1134"/>
        </w:tabs>
        <w:spacing w:line="360" w:lineRule="auto"/>
        <w:ind w:left="0" w:firstLine="567"/>
        <w:rPr>
          <w:color w:val="auto"/>
          <w:sz w:val="24"/>
          <w:szCs w:val="24"/>
          <w:highlight w:val="none"/>
        </w:rPr>
      </w:pPr>
      <w:r>
        <w:rPr>
          <w:rFonts w:hint="eastAsia"/>
          <w:b/>
          <w:color w:val="auto"/>
          <w:sz w:val="24"/>
          <w:szCs w:val="24"/>
          <w:highlight w:val="none"/>
        </w:rPr>
        <w:t>项目名称：</w:t>
      </w:r>
      <w:r>
        <w:rPr>
          <w:rFonts w:hint="eastAsia"/>
          <w:color w:val="auto"/>
          <w:sz w:val="24"/>
          <w:szCs w:val="24"/>
          <w:highlight w:val="none"/>
          <w:lang w:eastAsia="zh-CN"/>
        </w:rPr>
        <w:t>辽宁省营口市海洋生态保护修复工程项目生态修复效果与减灾功能评估</w:t>
      </w:r>
      <w:r>
        <w:rPr>
          <w:rFonts w:hint="eastAsia"/>
          <w:color w:val="auto"/>
          <w:sz w:val="24"/>
          <w:szCs w:val="24"/>
          <w:highlight w:val="none"/>
        </w:rPr>
        <w:t>。</w:t>
      </w:r>
    </w:p>
    <w:p>
      <w:pPr>
        <w:numPr>
          <w:ilvl w:val="0"/>
          <w:numId w:val="3"/>
        </w:numPr>
        <w:tabs>
          <w:tab w:val="left" w:pos="993"/>
          <w:tab w:val="left" w:pos="1134"/>
        </w:tabs>
        <w:spacing w:line="360" w:lineRule="auto"/>
        <w:ind w:left="0" w:firstLine="567"/>
        <w:rPr>
          <w:color w:val="auto"/>
          <w:sz w:val="24"/>
          <w:szCs w:val="24"/>
          <w:highlight w:val="none"/>
        </w:rPr>
      </w:pPr>
      <w:r>
        <w:rPr>
          <w:rFonts w:hint="eastAsia"/>
          <w:b/>
          <w:color w:val="auto"/>
          <w:sz w:val="24"/>
          <w:szCs w:val="24"/>
          <w:highlight w:val="none"/>
        </w:rPr>
        <w:t>招标范围：</w:t>
      </w:r>
      <w:r>
        <w:rPr>
          <w:rFonts w:hint="eastAsia"/>
          <w:bCs/>
          <w:color w:val="auto"/>
          <w:sz w:val="24"/>
          <w:szCs w:val="24"/>
          <w:highlight w:val="none"/>
        </w:rPr>
        <w:t>本项目拟完成修复总面积</w:t>
      </w:r>
      <w:r>
        <w:rPr>
          <w:bCs/>
          <w:color w:val="auto"/>
          <w:sz w:val="24"/>
          <w:szCs w:val="24"/>
          <w:highlight w:val="none"/>
        </w:rPr>
        <w:t xml:space="preserve"> 1630.34ha,整治修复岸线长度 2951.90m，其中修复砂质岸线 1287m、生态护岸 1664.90m；整治修复滨海湿地面积1555.22ha，其中保育和种植盐沼植被面积269.69ha、浒苔防治面积1006.83ha。</w:t>
      </w:r>
      <w:r>
        <w:rPr>
          <w:rFonts w:hint="eastAsia"/>
          <w:bCs/>
          <w:color w:val="auto"/>
          <w:sz w:val="24"/>
          <w:szCs w:val="24"/>
          <w:highlight w:val="none"/>
        </w:rPr>
        <w:t>针对上述内容拟委托</w:t>
      </w:r>
      <w:r>
        <w:rPr>
          <w:bCs/>
          <w:color w:val="auto"/>
          <w:sz w:val="24"/>
          <w:szCs w:val="24"/>
          <w:highlight w:val="none"/>
        </w:rPr>
        <w:t>1家服务机构提供</w:t>
      </w:r>
      <w:r>
        <w:rPr>
          <w:rFonts w:hint="eastAsia"/>
          <w:color w:val="auto"/>
          <w:sz w:val="24"/>
          <w:highlight w:val="none"/>
          <w:lang w:eastAsia="zh-CN"/>
        </w:rPr>
        <w:t>生态修复效果与减灾功能评估</w:t>
      </w:r>
      <w:r>
        <w:rPr>
          <w:rFonts w:hint="eastAsia"/>
          <w:bCs/>
          <w:color w:val="auto"/>
          <w:sz w:val="24"/>
          <w:szCs w:val="24"/>
          <w:highlight w:val="none"/>
        </w:rPr>
        <w:t>服务。</w:t>
      </w:r>
    </w:p>
    <w:p>
      <w:pPr>
        <w:numPr>
          <w:ilvl w:val="0"/>
          <w:numId w:val="3"/>
        </w:numPr>
        <w:tabs>
          <w:tab w:val="left" w:pos="993"/>
          <w:tab w:val="left" w:pos="1134"/>
        </w:tabs>
        <w:spacing w:line="360" w:lineRule="auto"/>
        <w:ind w:left="0" w:firstLine="567"/>
        <w:rPr>
          <w:color w:val="auto"/>
          <w:sz w:val="24"/>
          <w:szCs w:val="24"/>
          <w:highlight w:val="none"/>
        </w:rPr>
      </w:pPr>
      <w:r>
        <w:rPr>
          <w:rFonts w:hint="eastAsia"/>
          <w:b/>
          <w:color w:val="auto"/>
          <w:sz w:val="24"/>
          <w:szCs w:val="24"/>
          <w:highlight w:val="none"/>
        </w:rPr>
        <w:t>服务地点：</w:t>
      </w:r>
      <w:r>
        <w:rPr>
          <w:rFonts w:hint="eastAsia"/>
          <w:color w:val="auto"/>
          <w:sz w:val="24"/>
          <w:szCs w:val="24"/>
          <w:highlight w:val="none"/>
        </w:rPr>
        <w:t>招标人</w:t>
      </w:r>
      <w:r>
        <w:rPr>
          <w:rFonts w:hint="eastAsia"/>
          <w:color w:val="auto"/>
          <w:kern w:val="0"/>
          <w:sz w:val="24"/>
          <w:highlight w:val="none"/>
        </w:rPr>
        <w:t>指定地点。</w:t>
      </w:r>
    </w:p>
    <w:p>
      <w:pPr>
        <w:numPr>
          <w:ilvl w:val="0"/>
          <w:numId w:val="3"/>
        </w:numPr>
        <w:tabs>
          <w:tab w:val="left" w:pos="993"/>
          <w:tab w:val="left" w:pos="1134"/>
        </w:tabs>
        <w:spacing w:line="360" w:lineRule="auto"/>
        <w:ind w:left="0" w:firstLine="567"/>
        <w:rPr>
          <w:color w:val="auto"/>
          <w:sz w:val="24"/>
          <w:szCs w:val="24"/>
          <w:highlight w:val="none"/>
        </w:rPr>
      </w:pPr>
      <w:r>
        <w:rPr>
          <w:rFonts w:hint="eastAsia"/>
          <w:b/>
          <w:color w:val="auto"/>
          <w:sz w:val="24"/>
          <w:szCs w:val="24"/>
          <w:highlight w:val="none"/>
        </w:rPr>
        <w:t>资金来源及落实情况：</w:t>
      </w:r>
      <w:r>
        <w:rPr>
          <w:rFonts w:hint="eastAsia"/>
          <w:color w:val="auto"/>
          <w:sz w:val="24"/>
          <w:szCs w:val="24"/>
          <w:highlight w:val="none"/>
        </w:rPr>
        <w:t>中央资金，已落实。估算价：7</w:t>
      </w:r>
      <w:r>
        <w:rPr>
          <w:rFonts w:hint="eastAsia"/>
          <w:color w:val="auto"/>
          <w:sz w:val="24"/>
          <w:szCs w:val="24"/>
          <w:highlight w:val="none"/>
          <w:lang w:val="en-US" w:eastAsia="zh-CN"/>
        </w:rPr>
        <w:t>1</w:t>
      </w:r>
      <w:r>
        <w:rPr>
          <w:rFonts w:hint="eastAsia"/>
          <w:color w:val="auto"/>
          <w:sz w:val="24"/>
          <w:szCs w:val="24"/>
          <w:highlight w:val="none"/>
        </w:rPr>
        <w:t>0万元。</w:t>
      </w:r>
    </w:p>
    <w:p>
      <w:pPr>
        <w:numPr>
          <w:ilvl w:val="0"/>
          <w:numId w:val="3"/>
        </w:numPr>
        <w:tabs>
          <w:tab w:val="left" w:pos="1134"/>
        </w:tabs>
        <w:spacing w:line="360" w:lineRule="auto"/>
        <w:ind w:left="0" w:firstLine="567"/>
        <w:rPr>
          <w:color w:val="auto"/>
          <w:sz w:val="24"/>
          <w:szCs w:val="24"/>
          <w:highlight w:val="none"/>
        </w:rPr>
      </w:pPr>
      <w:r>
        <w:rPr>
          <w:rFonts w:hint="eastAsia"/>
          <w:b/>
          <w:color w:val="auto"/>
          <w:sz w:val="24"/>
          <w:szCs w:val="24"/>
          <w:highlight w:val="none"/>
        </w:rPr>
        <w:t>服务期限：</w:t>
      </w:r>
      <w:r>
        <w:rPr>
          <w:bCs/>
          <w:color w:val="auto"/>
          <w:sz w:val="24"/>
          <w:szCs w:val="24"/>
          <w:highlight w:val="none"/>
        </w:rPr>
        <w:t>2024年08月01日至202</w:t>
      </w:r>
      <w:r>
        <w:rPr>
          <w:rFonts w:hint="eastAsia"/>
          <w:bCs/>
          <w:color w:val="auto"/>
          <w:sz w:val="24"/>
          <w:szCs w:val="24"/>
          <w:highlight w:val="none"/>
          <w:lang w:val="en-US" w:eastAsia="zh-CN"/>
        </w:rPr>
        <w:t>8</w:t>
      </w:r>
      <w:r>
        <w:rPr>
          <w:bCs/>
          <w:color w:val="auto"/>
          <w:sz w:val="24"/>
          <w:szCs w:val="24"/>
          <w:highlight w:val="none"/>
        </w:rPr>
        <w:t>年12月31日。（具体时间以合同签订为准）。</w:t>
      </w:r>
    </w:p>
    <w:p>
      <w:pPr>
        <w:numPr>
          <w:ilvl w:val="0"/>
          <w:numId w:val="3"/>
        </w:numPr>
        <w:tabs>
          <w:tab w:val="left" w:pos="1134"/>
        </w:tabs>
        <w:spacing w:line="360" w:lineRule="auto"/>
        <w:ind w:left="0" w:firstLine="567"/>
        <w:rPr>
          <w:color w:val="auto"/>
          <w:sz w:val="24"/>
          <w:szCs w:val="24"/>
          <w:highlight w:val="none"/>
        </w:rPr>
      </w:pPr>
      <w:r>
        <w:rPr>
          <w:rFonts w:hint="eastAsia"/>
          <w:b/>
          <w:color w:val="auto"/>
          <w:sz w:val="24"/>
          <w:szCs w:val="24"/>
          <w:highlight w:val="none"/>
        </w:rPr>
        <w:t>投标资格要求：</w:t>
      </w:r>
    </w:p>
    <w:p>
      <w:pPr>
        <w:numPr>
          <w:ilvl w:val="0"/>
          <w:numId w:val="4"/>
        </w:numPr>
        <w:tabs>
          <w:tab w:val="left" w:pos="993"/>
          <w:tab w:val="clear" w:pos="780"/>
        </w:tabs>
        <w:snapToGrid w:val="0"/>
        <w:spacing w:line="360" w:lineRule="auto"/>
        <w:ind w:left="0" w:firstLine="540"/>
        <w:rPr>
          <w:color w:val="auto"/>
          <w:kern w:val="0"/>
          <w:sz w:val="24"/>
          <w:szCs w:val="28"/>
          <w:highlight w:val="none"/>
        </w:rPr>
      </w:pPr>
      <w:r>
        <w:rPr>
          <w:rFonts w:hint="eastAsia"/>
          <w:color w:val="auto"/>
          <w:sz w:val="24"/>
          <w:szCs w:val="24"/>
          <w:highlight w:val="none"/>
        </w:rPr>
        <w:t>投标人须</w:t>
      </w:r>
      <w:r>
        <w:rPr>
          <w:rFonts w:hint="eastAsia"/>
          <w:color w:val="auto"/>
          <w:sz w:val="24"/>
          <w:highlight w:val="none"/>
        </w:rPr>
        <w:t>具有独立承担民事责任能力的在中华人民共和国境内注册的法人或其他组织，具有从事本项目的能力</w:t>
      </w:r>
      <w:r>
        <w:rPr>
          <w:rFonts w:hint="eastAsia"/>
          <w:color w:val="auto"/>
          <w:sz w:val="24"/>
          <w:szCs w:val="24"/>
          <w:highlight w:val="none"/>
        </w:rPr>
        <w:t>；</w:t>
      </w:r>
    </w:p>
    <w:p>
      <w:pPr>
        <w:numPr>
          <w:ilvl w:val="0"/>
          <w:numId w:val="4"/>
        </w:numPr>
        <w:tabs>
          <w:tab w:val="left" w:pos="993"/>
          <w:tab w:val="clear" w:pos="780"/>
        </w:tabs>
        <w:snapToGrid w:val="0"/>
        <w:spacing w:line="360" w:lineRule="auto"/>
        <w:ind w:left="0" w:firstLine="540"/>
        <w:rPr>
          <w:color w:val="auto"/>
          <w:kern w:val="0"/>
          <w:sz w:val="24"/>
          <w:szCs w:val="28"/>
          <w:highlight w:val="none"/>
        </w:rPr>
      </w:pPr>
      <w:r>
        <w:rPr>
          <w:rFonts w:hint="eastAsia"/>
          <w:color w:val="auto"/>
          <w:kern w:val="0"/>
          <w:sz w:val="24"/>
          <w:szCs w:val="28"/>
          <w:highlight w:val="none"/>
        </w:rPr>
        <w:t>投标人</w:t>
      </w:r>
      <w:r>
        <w:rPr>
          <w:rFonts w:hint="eastAsia"/>
          <w:color w:val="auto"/>
          <w:sz w:val="24"/>
          <w:highlight w:val="none"/>
        </w:rPr>
        <w:t>不得被列入“失信被执行人”或“失信惩戒对象”或“重大税收违法案件当事人”，以“信用中国”网站（</w:t>
      </w:r>
      <w:r>
        <w:rPr>
          <w:color w:val="auto"/>
          <w:sz w:val="24"/>
          <w:highlight w:val="none"/>
        </w:rPr>
        <w:t>www.creditchina.gov.cn）查询为准。（需在</w:t>
      </w:r>
      <w:r>
        <w:rPr>
          <w:rFonts w:hint="eastAsia"/>
          <w:color w:val="auto"/>
          <w:sz w:val="24"/>
          <w:highlight w:val="none"/>
        </w:rPr>
        <w:t>招标公告发布后从“信用中国”网站打印查询结果并加盖公章）；</w:t>
      </w:r>
    </w:p>
    <w:p>
      <w:pPr>
        <w:numPr>
          <w:ilvl w:val="0"/>
          <w:numId w:val="4"/>
        </w:numPr>
        <w:tabs>
          <w:tab w:val="left" w:pos="993"/>
          <w:tab w:val="clear" w:pos="780"/>
        </w:tabs>
        <w:snapToGrid w:val="0"/>
        <w:spacing w:line="360" w:lineRule="auto"/>
        <w:ind w:left="0" w:firstLine="540"/>
        <w:rPr>
          <w:color w:val="auto"/>
          <w:sz w:val="24"/>
          <w:szCs w:val="24"/>
          <w:highlight w:val="none"/>
        </w:rPr>
      </w:pPr>
      <w:r>
        <w:rPr>
          <w:rFonts w:hint="eastAsia"/>
          <w:color w:val="auto"/>
          <w:sz w:val="24"/>
          <w:szCs w:val="24"/>
          <w:highlight w:val="none"/>
        </w:rPr>
        <w:t>投标人须具有</w:t>
      </w:r>
      <w:r>
        <w:rPr>
          <w:rFonts w:hint="eastAsia"/>
          <w:color w:val="auto"/>
          <w:sz w:val="24"/>
          <w:szCs w:val="24"/>
          <w:highlight w:val="none"/>
          <w:lang w:val="en-US" w:eastAsia="zh-CN"/>
        </w:rPr>
        <w:t>有效的</w:t>
      </w:r>
      <w:r>
        <w:rPr>
          <w:rFonts w:hint="eastAsia"/>
          <w:color w:val="auto"/>
          <w:sz w:val="24"/>
          <w:szCs w:val="24"/>
          <w:highlight w:val="none"/>
        </w:rPr>
        <w:t>测绘</w:t>
      </w:r>
      <w:r>
        <w:rPr>
          <w:rFonts w:hint="eastAsia"/>
          <w:color w:val="auto"/>
          <w:sz w:val="24"/>
          <w:szCs w:val="24"/>
          <w:highlight w:val="none"/>
          <w:lang w:val="en-US" w:eastAsia="zh-CN"/>
        </w:rPr>
        <w:t>乙</w:t>
      </w:r>
      <w:r>
        <w:rPr>
          <w:rFonts w:hint="eastAsia"/>
          <w:color w:val="auto"/>
          <w:sz w:val="24"/>
          <w:szCs w:val="24"/>
          <w:highlight w:val="none"/>
        </w:rPr>
        <w:t>级</w:t>
      </w:r>
      <w:r>
        <w:rPr>
          <w:color w:val="auto"/>
          <w:sz w:val="24"/>
          <w:szCs w:val="24"/>
          <w:highlight w:val="none"/>
        </w:rPr>
        <w:t>(</w:t>
      </w:r>
      <w:r>
        <w:rPr>
          <w:rFonts w:hint="eastAsia"/>
          <w:color w:val="auto"/>
          <w:sz w:val="24"/>
          <w:szCs w:val="24"/>
          <w:highlight w:val="none"/>
        </w:rPr>
        <w:t>含</w:t>
      </w:r>
      <w:r>
        <w:rPr>
          <w:color w:val="auto"/>
          <w:sz w:val="24"/>
          <w:szCs w:val="24"/>
          <w:highlight w:val="none"/>
        </w:rPr>
        <w:t>)</w:t>
      </w:r>
      <w:r>
        <w:rPr>
          <w:rFonts w:hint="eastAsia"/>
          <w:color w:val="auto"/>
          <w:sz w:val="24"/>
          <w:szCs w:val="24"/>
          <w:highlight w:val="none"/>
        </w:rPr>
        <w:t>以上资质证书（专业范围含海洋测绘）证书</w:t>
      </w:r>
      <w:r>
        <w:rPr>
          <w:rFonts w:hint="eastAsia"/>
          <w:color w:val="auto"/>
          <w:sz w:val="24"/>
          <w:szCs w:val="24"/>
          <w:highlight w:val="none"/>
          <w:lang w:val="en-US" w:eastAsia="zh-CN"/>
        </w:rPr>
        <w:t>及有效的</w:t>
      </w:r>
      <w:r>
        <w:rPr>
          <w:rFonts w:hint="eastAsia" w:ascii="宋体" w:hAnsi="宋体" w:cs="宋体"/>
          <w:color w:val="auto"/>
          <w:kern w:val="0"/>
          <w:sz w:val="24"/>
          <w:szCs w:val="28"/>
          <w:highlight w:val="none"/>
          <w:lang w:val="en-US" w:eastAsia="zh-CN"/>
        </w:rPr>
        <w:t>省级及以上质量技术监督部门颁发的</w:t>
      </w:r>
      <w:r>
        <w:rPr>
          <w:color w:val="auto"/>
          <w:sz w:val="24"/>
          <w:szCs w:val="24"/>
          <w:highlight w:val="none"/>
        </w:rPr>
        <w:t>CMA</w:t>
      </w:r>
      <w:r>
        <w:rPr>
          <w:rFonts w:hint="eastAsia"/>
          <w:color w:val="auto"/>
          <w:sz w:val="24"/>
          <w:szCs w:val="24"/>
          <w:highlight w:val="none"/>
          <w:lang w:val="en-US" w:eastAsia="zh-CN"/>
        </w:rPr>
        <w:t>认证证书</w:t>
      </w:r>
      <w:r>
        <w:rPr>
          <w:rFonts w:hint="eastAsia"/>
          <w:color w:val="auto"/>
          <w:sz w:val="24"/>
          <w:szCs w:val="24"/>
          <w:highlight w:val="none"/>
          <w:lang w:eastAsia="zh-CN"/>
        </w:rPr>
        <w:t>（</w:t>
      </w:r>
      <w:r>
        <w:rPr>
          <w:rFonts w:hint="eastAsia"/>
          <w:color w:val="auto"/>
          <w:sz w:val="24"/>
          <w:szCs w:val="24"/>
          <w:highlight w:val="none"/>
        </w:rPr>
        <w:t>检测范围应包括海水</w:t>
      </w:r>
      <w:r>
        <w:rPr>
          <w:rFonts w:hint="eastAsia"/>
          <w:color w:val="auto"/>
          <w:sz w:val="24"/>
          <w:szCs w:val="24"/>
          <w:highlight w:val="none"/>
          <w:lang w:val="en-US" w:eastAsia="zh-CN"/>
        </w:rPr>
        <w:t>水质</w:t>
      </w:r>
      <w:r>
        <w:rPr>
          <w:rFonts w:hint="eastAsia"/>
          <w:color w:val="auto"/>
          <w:sz w:val="24"/>
          <w:szCs w:val="24"/>
          <w:highlight w:val="none"/>
        </w:rPr>
        <w:t>、海洋沉积物</w:t>
      </w:r>
      <w:r>
        <w:rPr>
          <w:rFonts w:hint="eastAsia" w:ascii="宋体" w:hAnsi="宋体" w:cs="宋体"/>
          <w:color w:val="auto"/>
          <w:kern w:val="0"/>
          <w:sz w:val="24"/>
          <w:szCs w:val="28"/>
          <w:highlight w:val="none"/>
          <w:lang w:val="en-US" w:eastAsia="zh-CN"/>
        </w:rPr>
        <w:t>及海洋生物生态相关内容</w:t>
      </w:r>
      <w:r>
        <w:rPr>
          <w:rFonts w:hint="eastAsia"/>
          <w:color w:val="auto"/>
          <w:sz w:val="24"/>
          <w:szCs w:val="24"/>
          <w:highlight w:val="none"/>
          <w:lang w:eastAsia="zh-CN"/>
        </w:rPr>
        <w:t>）</w:t>
      </w:r>
      <w:r>
        <w:rPr>
          <w:rFonts w:hint="eastAsia"/>
          <w:color w:val="auto"/>
          <w:sz w:val="24"/>
          <w:szCs w:val="24"/>
          <w:highlight w:val="none"/>
        </w:rPr>
        <w:t>；</w:t>
      </w:r>
    </w:p>
    <w:p>
      <w:pPr>
        <w:numPr>
          <w:ilvl w:val="0"/>
          <w:numId w:val="4"/>
        </w:numPr>
        <w:tabs>
          <w:tab w:val="left" w:pos="993"/>
          <w:tab w:val="clear" w:pos="780"/>
        </w:tabs>
        <w:snapToGrid w:val="0"/>
        <w:spacing w:line="360" w:lineRule="auto"/>
        <w:ind w:left="0" w:firstLine="540"/>
        <w:rPr>
          <w:color w:val="auto"/>
          <w:kern w:val="0"/>
          <w:sz w:val="24"/>
          <w:szCs w:val="28"/>
          <w:highlight w:val="none"/>
        </w:rPr>
      </w:pPr>
      <w:r>
        <w:rPr>
          <w:rFonts w:hint="eastAsia" w:ascii="宋体" w:hAnsi="宋体" w:eastAsia="宋体" w:cs="宋体"/>
          <w:color w:val="auto"/>
          <w:kern w:val="0"/>
          <w:sz w:val="24"/>
          <w:szCs w:val="28"/>
          <w:highlight w:val="none"/>
        </w:rPr>
        <w:t>本项目不接受联合体投标申请</w:t>
      </w:r>
      <w:r>
        <w:rPr>
          <w:rFonts w:hint="eastAsia"/>
          <w:color w:val="auto"/>
          <w:kern w:val="0"/>
          <w:sz w:val="24"/>
          <w:szCs w:val="28"/>
          <w:highlight w:val="none"/>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单位负责人为同一人或者存在控股、管理关系的不同单位，不得参加同一招标项目投标</w:t>
      </w:r>
      <w:r>
        <w:rPr>
          <w:rFonts w:hint="eastAsia" w:ascii="宋体" w:hAnsi="宋体" w:eastAsia="宋体" w:cs="宋体"/>
          <w:color w:val="auto"/>
          <w:kern w:val="0"/>
          <w:sz w:val="24"/>
          <w:szCs w:val="28"/>
          <w:highlight w:val="none"/>
          <w:lang w:eastAsia="zh-CN"/>
        </w:rPr>
        <w:t>。</w:t>
      </w:r>
    </w:p>
    <w:p>
      <w:pPr>
        <w:numPr>
          <w:ilvl w:val="0"/>
          <w:numId w:val="3"/>
        </w:numPr>
        <w:tabs>
          <w:tab w:val="left" w:pos="1134"/>
        </w:tabs>
        <w:spacing w:line="360" w:lineRule="auto"/>
        <w:ind w:left="0" w:firstLine="567"/>
        <w:rPr>
          <w:b/>
          <w:color w:val="auto"/>
          <w:sz w:val="24"/>
          <w:szCs w:val="24"/>
          <w:highlight w:val="none"/>
        </w:rPr>
      </w:pPr>
      <w:r>
        <w:rPr>
          <w:rFonts w:hint="eastAsia"/>
          <w:b/>
          <w:color w:val="auto"/>
          <w:sz w:val="24"/>
          <w:szCs w:val="24"/>
          <w:highlight w:val="none"/>
        </w:rPr>
        <w:t>资格审查方式：资格后审。</w:t>
      </w:r>
    </w:p>
    <w:p>
      <w:pPr>
        <w:numPr>
          <w:ilvl w:val="0"/>
          <w:numId w:val="3"/>
        </w:numPr>
        <w:tabs>
          <w:tab w:val="left" w:pos="1134"/>
        </w:tabs>
        <w:spacing w:line="360" w:lineRule="auto"/>
        <w:ind w:left="0" w:firstLine="567"/>
        <w:rPr>
          <w:b/>
          <w:color w:val="auto"/>
          <w:sz w:val="24"/>
          <w:szCs w:val="24"/>
          <w:highlight w:val="none"/>
        </w:rPr>
      </w:pPr>
      <w:r>
        <w:rPr>
          <w:rFonts w:hint="eastAsia"/>
          <w:b/>
          <w:color w:val="auto"/>
          <w:sz w:val="24"/>
          <w:szCs w:val="24"/>
          <w:highlight w:val="none"/>
        </w:rPr>
        <w:t>招标文件的获取：</w:t>
      </w:r>
    </w:p>
    <w:p>
      <w:pPr>
        <w:spacing w:line="360" w:lineRule="auto"/>
        <w:ind w:firstLine="480" w:firstLineChars="200"/>
        <w:rPr>
          <w:color w:val="auto"/>
          <w:sz w:val="24"/>
          <w:szCs w:val="24"/>
          <w:highlight w:val="none"/>
        </w:rPr>
      </w:pPr>
      <w:r>
        <w:rPr>
          <w:color w:val="auto"/>
          <w:sz w:val="24"/>
          <w:szCs w:val="24"/>
          <w:highlight w:val="none"/>
        </w:rPr>
        <w:t>1.凡有意参加投标者，</w:t>
      </w:r>
      <w:r>
        <w:rPr>
          <w:rFonts w:hint="eastAsia"/>
          <w:color w:val="auto"/>
          <w:sz w:val="24"/>
          <w:szCs w:val="24"/>
          <w:highlight w:val="none"/>
        </w:rPr>
        <w:t>在“辽宁省公共资源交易一张网电子化平台（</w:t>
      </w:r>
      <w:r>
        <w:rPr>
          <w:color w:val="auto"/>
          <w:sz w:val="24"/>
          <w:szCs w:val="24"/>
          <w:highlight w:val="none"/>
        </w:rPr>
        <w:t>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spacing w:line="360" w:lineRule="auto"/>
        <w:ind w:firstLine="480" w:firstLineChars="200"/>
        <w:rPr>
          <w:b/>
          <w:color w:val="auto"/>
          <w:sz w:val="24"/>
          <w:szCs w:val="24"/>
          <w:highlight w:val="none"/>
        </w:rPr>
      </w:pPr>
      <w:r>
        <w:rPr>
          <w:color w:val="auto"/>
          <w:sz w:val="24"/>
          <w:szCs w:val="24"/>
          <w:highlight w:val="none"/>
        </w:rPr>
        <w:t>2.</w:t>
      </w:r>
      <w:r>
        <w:rPr>
          <w:rFonts w:hint="eastAsia"/>
          <w:color w:val="auto"/>
          <w:sz w:val="24"/>
          <w:szCs w:val="24"/>
          <w:highlight w:val="none"/>
        </w:rPr>
        <w:t>领取招标文件时间：自</w:t>
      </w:r>
      <w:r>
        <w:rPr>
          <w:color w:val="auto"/>
          <w:sz w:val="24"/>
          <w:szCs w:val="24"/>
          <w:highlight w:val="none"/>
          <w:u w:val="single"/>
        </w:rPr>
        <w:t>2024年0</w:t>
      </w:r>
      <w:r>
        <w:rPr>
          <w:rFonts w:hint="eastAsia"/>
          <w:color w:val="auto"/>
          <w:sz w:val="24"/>
          <w:szCs w:val="24"/>
          <w:highlight w:val="none"/>
          <w:u w:val="single"/>
          <w:lang w:eastAsia="zh-CN"/>
        </w:rPr>
        <w:t>7</w:t>
      </w:r>
      <w:r>
        <w:rPr>
          <w:rFonts w:hint="eastAsia"/>
          <w:color w:val="auto"/>
          <w:sz w:val="24"/>
          <w:szCs w:val="24"/>
          <w:highlight w:val="none"/>
          <w:u w:val="single"/>
        </w:rPr>
        <w:t>月</w:t>
      </w:r>
      <w:r>
        <w:rPr>
          <w:color w:val="auto"/>
          <w:sz w:val="24"/>
          <w:szCs w:val="24"/>
          <w:highlight w:val="none"/>
          <w:u w:val="single"/>
        </w:rPr>
        <w:t>XX</w:t>
      </w:r>
      <w:r>
        <w:rPr>
          <w:rFonts w:hint="eastAsia"/>
          <w:color w:val="auto"/>
          <w:sz w:val="24"/>
          <w:szCs w:val="24"/>
          <w:highlight w:val="none"/>
          <w:u w:val="single"/>
        </w:rPr>
        <w:t>日</w:t>
      </w:r>
      <w:r>
        <w:rPr>
          <w:color w:val="auto"/>
          <w:sz w:val="24"/>
          <w:szCs w:val="24"/>
          <w:highlight w:val="none"/>
          <w:u w:val="single"/>
        </w:rPr>
        <w:t>16:00</w:t>
      </w:r>
      <w:r>
        <w:rPr>
          <w:rFonts w:hint="eastAsia"/>
          <w:color w:val="auto"/>
          <w:sz w:val="24"/>
          <w:szCs w:val="24"/>
          <w:highlight w:val="none"/>
        </w:rPr>
        <w:t>起至</w:t>
      </w:r>
      <w:r>
        <w:rPr>
          <w:color w:val="auto"/>
          <w:sz w:val="24"/>
          <w:szCs w:val="24"/>
          <w:highlight w:val="none"/>
          <w:u w:val="single"/>
        </w:rPr>
        <w:t>2024年0</w:t>
      </w:r>
      <w:r>
        <w:rPr>
          <w:rFonts w:hint="eastAsia"/>
          <w:color w:val="auto"/>
          <w:sz w:val="24"/>
          <w:szCs w:val="24"/>
          <w:highlight w:val="none"/>
          <w:u w:val="single"/>
          <w:lang w:eastAsia="zh-CN"/>
        </w:rPr>
        <w:t>7</w:t>
      </w:r>
      <w:r>
        <w:rPr>
          <w:rFonts w:hint="eastAsia"/>
          <w:color w:val="auto"/>
          <w:sz w:val="24"/>
          <w:szCs w:val="24"/>
          <w:highlight w:val="none"/>
          <w:u w:val="single"/>
        </w:rPr>
        <w:t>月</w:t>
      </w:r>
      <w:r>
        <w:rPr>
          <w:color w:val="auto"/>
          <w:sz w:val="24"/>
          <w:szCs w:val="24"/>
          <w:highlight w:val="none"/>
          <w:u w:val="single"/>
        </w:rPr>
        <w:t>XX</w:t>
      </w:r>
      <w:r>
        <w:rPr>
          <w:rFonts w:hint="eastAsia"/>
          <w:color w:val="auto"/>
          <w:sz w:val="24"/>
          <w:szCs w:val="24"/>
          <w:highlight w:val="none"/>
          <w:u w:val="single"/>
        </w:rPr>
        <w:t>日</w:t>
      </w:r>
      <w:r>
        <w:rPr>
          <w:color w:val="auto"/>
          <w:sz w:val="24"/>
          <w:szCs w:val="24"/>
          <w:highlight w:val="none"/>
          <w:u w:val="single"/>
        </w:rPr>
        <w:t>17:00</w:t>
      </w:r>
      <w:r>
        <w:rPr>
          <w:rFonts w:hint="eastAsia"/>
          <w:color w:val="auto"/>
          <w:sz w:val="24"/>
          <w:szCs w:val="24"/>
          <w:highlight w:val="none"/>
        </w:rPr>
        <w:t>止。</w:t>
      </w:r>
    </w:p>
    <w:p>
      <w:pPr>
        <w:numPr>
          <w:ilvl w:val="0"/>
          <w:numId w:val="3"/>
        </w:numPr>
        <w:tabs>
          <w:tab w:val="left" w:pos="1134"/>
        </w:tabs>
        <w:spacing w:line="360" w:lineRule="auto"/>
        <w:ind w:left="0" w:firstLine="567"/>
        <w:rPr>
          <w:b/>
          <w:color w:val="auto"/>
          <w:sz w:val="24"/>
          <w:szCs w:val="24"/>
          <w:highlight w:val="none"/>
        </w:rPr>
      </w:pPr>
      <w:r>
        <w:rPr>
          <w:rFonts w:hint="eastAsia"/>
          <w:b/>
          <w:color w:val="auto"/>
          <w:sz w:val="24"/>
          <w:szCs w:val="24"/>
          <w:highlight w:val="none"/>
        </w:rPr>
        <w:t>投标文件的递交及开标：</w:t>
      </w:r>
      <w:r>
        <w:rPr>
          <w:b/>
          <w:color w:val="auto"/>
          <w:sz w:val="24"/>
          <w:szCs w:val="24"/>
          <w:highlight w:val="none"/>
        </w:rPr>
        <w:t xml:space="preserve"> </w:t>
      </w:r>
    </w:p>
    <w:p>
      <w:pPr>
        <w:spacing w:line="360" w:lineRule="auto"/>
        <w:ind w:firstLine="480" w:firstLineChars="200"/>
        <w:rPr>
          <w:color w:val="auto"/>
          <w:sz w:val="24"/>
          <w:szCs w:val="24"/>
          <w:highlight w:val="none"/>
        </w:rPr>
      </w:pPr>
      <w:r>
        <w:rPr>
          <w:color w:val="auto"/>
          <w:sz w:val="24"/>
          <w:szCs w:val="24"/>
          <w:highlight w:val="none"/>
        </w:rPr>
        <w:t>1.投标文件递交的截止时间和开标时间：</w:t>
      </w:r>
      <w:r>
        <w:rPr>
          <w:color w:val="auto"/>
          <w:sz w:val="24"/>
          <w:szCs w:val="24"/>
          <w:highlight w:val="none"/>
          <w:u w:val="single"/>
        </w:rPr>
        <w:t>2024年07</w:t>
      </w:r>
      <w:r>
        <w:rPr>
          <w:rFonts w:hint="eastAsia"/>
          <w:color w:val="auto"/>
          <w:sz w:val="24"/>
          <w:szCs w:val="24"/>
          <w:highlight w:val="none"/>
          <w:u w:val="single"/>
        </w:rPr>
        <w:t>月</w:t>
      </w:r>
      <w:r>
        <w:rPr>
          <w:color w:val="auto"/>
          <w:sz w:val="24"/>
          <w:szCs w:val="24"/>
          <w:highlight w:val="none"/>
          <w:u w:val="single"/>
        </w:rPr>
        <w:t>XX</w:t>
      </w:r>
      <w:r>
        <w:rPr>
          <w:rFonts w:hint="eastAsia"/>
          <w:color w:val="auto"/>
          <w:sz w:val="24"/>
          <w:szCs w:val="24"/>
          <w:highlight w:val="none"/>
          <w:u w:val="single"/>
        </w:rPr>
        <w:t>日上午</w:t>
      </w:r>
      <w:r>
        <w:rPr>
          <w:color w:val="auto"/>
          <w:sz w:val="24"/>
          <w:szCs w:val="24"/>
          <w:highlight w:val="none"/>
          <w:u w:val="single"/>
        </w:rPr>
        <w:t>9时30分</w:t>
      </w:r>
      <w:r>
        <w:rPr>
          <w:rFonts w:hint="eastAsia"/>
          <w:color w:val="auto"/>
          <w:sz w:val="24"/>
          <w:szCs w:val="24"/>
          <w:highlight w:val="none"/>
        </w:rPr>
        <w:t>（北京时间）。。</w:t>
      </w:r>
    </w:p>
    <w:p>
      <w:pPr>
        <w:spacing w:line="360" w:lineRule="auto"/>
        <w:ind w:firstLine="480" w:firstLineChars="200"/>
        <w:rPr>
          <w:color w:val="auto"/>
          <w:sz w:val="24"/>
          <w:szCs w:val="24"/>
          <w:highlight w:val="none"/>
        </w:rPr>
      </w:pPr>
      <w:r>
        <w:rPr>
          <w:color w:val="auto"/>
          <w:sz w:val="24"/>
          <w:szCs w:val="24"/>
          <w:highlight w:val="none"/>
        </w:rPr>
        <w:t>2.投标文件递交</w:t>
      </w:r>
      <w:r>
        <w:rPr>
          <w:rFonts w:hint="eastAsia"/>
          <w:color w:val="auto"/>
          <w:sz w:val="24"/>
          <w:szCs w:val="24"/>
          <w:highlight w:val="none"/>
        </w:rPr>
        <w:t>地址：在“辽宁省公共资源交易一张网电子化平台（</w:t>
      </w:r>
      <w:r>
        <w:rPr>
          <w:color w:val="auto"/>
          <w:sz w:val="24"/>
          <w:szCs w:val="24"/>
          <w:highlight w:val="none"/>
        </w:rPr>
        <w:t>https://www.lnsggzy.com/EpointSSO/login/oauth2login）”上传投标文件。</w:t>
      </w:r>
    </w:p>
    <w:p>
      <w:pPr>
        <w:spacing w:line="360" w:lineRule="auto"/>
        <w:ind w:firstLine="480" w:firstLineChars="200"/>
        <w:rPr>
          <w:color w:val="auto"/>
          <w:sz w:val="24"/>
          <w:szCs w:val="24"/>
          <w:highlight w:val="none"/>
        </w:rPr>
      </w:pPr>
      <w:r>
        <w:rPr>
          <w:color w:val="auto"/>
          <w:sz w:val="24"/>
          <w:szCs w:val="24"/>
          <w:highlight w:val="none"/>
        </w:rPr>
        <w:t>3.开标方式：</w:t>
      </w:r>
      <w:r>
        <w:rPr>
          <w:rFonts w:hint="eastAsia"/>
          <w:color w:val="auto"/>
          <w:sz w:val="24"/>
          <w:szCs w:val="24"/>
          <w:highlight w:val="none"/>
        </w:rPr>
        <w:t>远程开标（不见面交易）。</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开标网址：</w:t>
      </w:r>
      <w:r>
        <w:rPr>
          <w:color w:val="auto"/>
          <w:sz w:val="24"/>
          <w:szCs w:val="24"/>
          <w:highlight w:val="none"/>
          <w:u w:val="single"/>
        </w:rPr>
        <w:t>https://www.lnsggzy.com/BidOpeningHall/bidhall/dqliaoning/login</w:t>
      </w:r>
      <w:r>
        <w:rPr>
          <w:rFonts w:hint="eastAsia"/>
          <w:color w:val="auto"/>
          <w:sz w:val="24"/>
          <w:szCs w:val="24"/>
          <w:highlight w:val="none"/>
        </w:rPr>
        <w:t>。投标文件需要用实体</w:t>
      </w:r>
      <w:r>
        <w:rPr>
          <w:color w:val="auto"/>
          <w:sz w:val="24"/>
          <w:szCs w:val="24"/>
          <w:highlight w:val="none"/>
        </w:rPr>
        <w:t xml:space="preserve">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w:t>
      </w:r>
      <w:r>
        <w:rPr>
          <w:rFonts w:hint="eastAsia"/>
          <w:color w:val="auto"/>
          <w:sz w:val="24"/>
          <w:szCs w:val="24"/>
          <w:highlight w:val="none"/>
        </w:rPr>
        <w:t>数字证书解密投标文件，未在规定时间内完成解密的投标人，视为放弃本次投标。</w:t>
      </w:r>
    </w:p>
    <w:p>
      <w:pPr>
        <w:numPr>
          <w:ilvl w:val="0"/>
          <w:numId w:val="3"/>
        </w:numPr>
        <w:tabs>
          <w:tab w:val="left" w:pos="1418"/>
        </w:tabs>
        <w:spacing w:line="360" w:lineRule="auto"/>
        <w:ind w:left="0" w:firstLine="482" w:firstLineChars="200"/>
        <w:rPr>
          <w:color w:val="auto"/>
          <w:sz w:val="24"/>
          <w:highlight w:val="none"/>
        </w:rPr>
      </w:pPr>
      <w:r>
        <w:rPr>
          <w:rFonts w:hint="eastAsia"/>
          <w:b/>
          <w:color w:val="auto"/>
          <w:sz w:val="24"/>
          <w:szCs w:val="24"/>
          <w:highlight w:val="none"/>
        </w:rPr>
        <w:t>发布公告的媒介：</w:t>
      </w:r>
      <w:r>
        <w:rPr>
          <w:rFonts w:hint="eastAsia"/>
          <w:color w:val="auto"/>
          <w:sz w:val="24"/>
          <w:szCs w:val="24"/>
          <w:highlight w:val="none"/>
        </w:rPr>
        <w:t>本次招标公告同时在辽宁省招标投标监管网、</w:t>
      </w:r>
      <w:r>
        <w:rPr>
          <w:rFonts w:eastAsia="Helvetica"/>
          <w:color w:val="auto"/>
          <w:sz w:val="24"/>
          <w:szCs w:val="24"/>
          <w:highlight w:val="none"/>
          <w:shd w:val="clear" w:color="auto" w:fill="FFFFFF"/>
        </w:rPr>
        <w:t>辽宁省公共资源交易网</w:t>
      </w:r>
      <w:r>
        <w:rPr>
          <w:rFonts w:hint="eastAsia"/>
          <w:color w:val="auto"/>
          <w:sz w:val="24"/>
          <w:szCs w:val="24"/>
          <w:highlight w:val="none"/>
          <w:shd w:val="clear" w:color="auto" w:fill="FFFFFF"/>
        </w:rPr>
        <w:t>及营口市公共资源交易网</w:t>
      </w:r>
      <w:r>
        <w:rPr>
          <w:rFonts w:hint="eastAsia"/>
          <w:color w:val="auto"/>
          <w:sz w:val="24"/>
          <w:szCs w:val="24"/>
          <w:highlight w:val="none"/>
        </w:rPr>
        <w:t>上发布。</w:t>
      </w:r>
    </w:p>
    <w:p>
      <w:pPr>
        <w:numPr>
          <w:ilvl w:val="0"/>
          <w:numId w:val="3"/>
        </w:numPr>
        <w:tabs>
          <w:tab w:val="left" w:pos="1418"/>
        </w:tabs>
        <w:spacing w:line="360" w:lineRule="auto"/>
        <w:ind w:left="0" w:firstLine="482" w:firstLineChars="200"/>
        <w:rPr>
          <w:color w:val="auto"/>
          <w:sz w:val="24"/>
          <w:highlight w:val="none"/>
        </w:rPr>
      </w:pPr>
      <w:r>
        <w:rPr>
          <w:rFonts w:hint="eastAsia"/>
          <w:b/>
          <w:color w:val="auto"/>
          <w:sz w:val="24"/>
          <w:szCs w:val="24"/>
          <w:highlight w:val="none"/>
        </w:rPr>
        <w:t>联系方式</w:t>
      </w:r>
    </w:p>
    <w:p>
      <w:pPr>
        <w:spacing w:line="360" w:lineRule="auto"/>
        <w:rPr>
          <w:color w:val="auto"/>
          <w:sz w:val="24"/>
          <w:highlight w:val="none"/>
        </w:rPr>
      </w:pPr>
      <w:r>
        <w:rPr>
          <w:rFonts w:hint="eastAsia"/>
          <w:color w:val="auto"/>
          <w:sz w:val="24"/>
          <w:highlight w:val="none"/>
        </w:rPr>
        <w:t>招标人：营口市自然资源局</w:t>
      </w:r>
    </w:p>
    <w:p>
      <w:pPr>
        <w:spacing w:line="360" w:lineRule="auto"/>
        <w:rPr>
          <w:color w:val="auto"/>
          <w:sz w:val="24"/>
          <w:highlight w:val="none"/>
        </w:rPr>
      </w:pPr>
      <w:r>
        <w:rPr>
          <w:rFonts w:hint="eastAsia"/>
          <w:color w:val="auto"/>
          <w:sz w:val="24"/>
          <w:highlight w:val="none"/>
        </w:rPr>
        <w:t>地址：营口市站前区辽河大街东</w:t>
      </w:r>
      <w:r>
        <w:rPr>
          <w:color w:val="auto"/>
          <w:sz w:val="24"/>
          <w:highlight w:val="none"/>
        </w:rPr>
        <w:t>14-5号</w:t>
      </w:r>
    </w:p>
    <w:p>
      <w:pPr>
        <w:spacing w:line="360" w:lineRule="auto"/>
        <w:rPr>
          <w:color w:val="auto"/>
          <w:sz w:val="24"/>
          <w:highlight w:val="none"/>
        </w:rPr>
      </w:pPr>
      <w:r>
        <w:rPr>
          <w:rFonts w:hint="eastAsia"/>
          <w:color w:val="auto"/>
          <w:sz w:val="24"/>
          <w:highlight w:val="none"/>
        </w:rPr>
        <w:t>联系人：鲍先生</w:t>
      </w:r>
    </w:p>
    <w:p>
      <w:pPr>
        <w:spacing w:line="360" w:lineRule="auto"/>
        <w:rPr>
          <w:color w:val="auto"/>
          <w:sz w:val="24"/>
          <w:highlight w:val="none"/>
        </w:rPr>
      </w:pPr>
      <w:r>
        <w:rPr>
          <w:rFonts w:hint="eastAsia"/>
          <w:color w:val="auto"/>
          <w:sz w:val="24"/>
          <w:highlight w:val="none"/>
        </w:rPr>
        <w:t>联系电话：</w:t>
      </w:r>
      <w:r>
        <w:rPr>
          <w:rFonts w:hint="eastAsia" w:ascii="宋体" w:hAnsi="宋体" w:eastAsia="宋体" w:cs="宋体"/>
          <w:color w:val="auto"/>
          <w:sz w:val="24"/>
          <w:highlight w:val="none"/>
        </w:rPr>
        <w:t>0417-2661302</w:t>
      </w: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招标代理机构：辽宁国信建设工程管理有限公司</w:t>
      </w:r>
    </w:p>
    <w:p>
      <w:pPr>
        <w:spacing w:line="360" w:lineRule="auto"/>
        <w:rPr>
          <w:color w:val="auto"/>
          <w:sz w:val="24"/>
          <w:highlight w:val="none"/>
        </w:rPr>
      </w:pPr>
      <w:r>
        <w:rPr>
          <w:rFonts w:hint="eastAsia"/>
          <w:color w:val="auto"/>
          <w:sz w:val="24"/>
          <w:highlight w:val="none"/>
        </w:rPr>
        <w:t>联系地址：营口市站前区东新路</w:t>
      </w:r>
      <w:r>
        <w:rPr>
          <w:color w:val="auto"/>
          <w:sz w:val="24"/>
          <w:highlight w:val="none"/>
        </w:rPr>
        <w:t>7-12号</w:t>
      </w:r>
    </w:p>
    <w:p>
      <w:pPr>
        <w:spacing w:line="360" w:lineRule="auto"/>
        <w:rPr>
          <w:color w:val="auto"/>
          <w:sz w:val="24"/>
          <w:highlight w:val="none"/>
        </w:rPr>
      </w:pPr>
      <w:r>
        <w:rPr>
          <w:rFonts w:hint="eastAsia"/>
          <w:color w:val="auto"/>
          <w:sz w:val="24"/>
          <w:highlight w:val="none"/>
        </w:rPr>
        <w:t>联系人：魏先生</w:t>
      </w:r>
    </w:p>
    <w:p>
      <w:pPr>
        <w:spacing w:line="360" w:lineRule="auto"/>
        <w:rPr>
          <w:color w:val="auto"/>
          <w:sz w:val="24"/>
          <w:highlight w:val="none"/>
        </w:rPr>
      </w:pPr>
      <w:r>
        <w:rPr>
          <w:rFonts w:hint="eastAsia"/>
          <w:color w:val="auto"/>
          <w:sz w:val="24"/>
          <w:highlight w:val="none"/>
        </w:rPr>
        <w:t>联系电话：</w:t>
      </w:r>
      <w:r>
        <w:rPr>
          <w:color w:val="auto"/>
          <w:sz w:val="24"/>
          <w:highlight w:val="none"/>
        </w:rPr>
        <w:t>0417-3355086</w:t>
      </w:r>
    </w:p>
    <w:p>
      <w:pPr>
        <w:spacing w:line="360" w:lineRule="auto"/>
        <w:rPr>
          <w:color w:val="auto"/>
          <w:sz w:val="24"/>
          <w:highlight w:val="none"/>
        </w:rPr>
      </w:pPr>
      <w:r>
        <w:rPr>
          <w:rFonts w:hint="eastAsia"/>
          <w:color w:val="auto"/>
          <w:sz w:val="24"/>
          <w:highlight w:val="none"/>
        </w:rPr>
        <w:t>传真：</w:t>
      </w:r>
      <w:r>
        <w:rPr>
          <w:color w:val="auto"/>
          <w:sz w:val="24"/>
          <w:highlight w:val="none"/>
        </w:rPr>
        <w:t>0417-3355059</w:t>
      </w:r>
    </w:p>
    <w:p>
      <w:pPr>
        <w:spacing w:line="360" w:lineRule="auto"/>
        <w:rPr>
          <w:color w:val="auto"/>
          <w:sz w:val="24"/>
          <w:highlight w:val="none"/>
        </w:rPr>
      </w:pPr>
      <w:r>
        <w:rPr>
          <w:rFonts w:hint="eastAsia"/>
          <w:color w:val="auto"/>
          <w:sz w:val="24"/>
          <w:highlight w:val="none"/>
        </w:rPr>
        <w:t>电子信箱：</w:t>
      </w:r>
      <w:r>
        <w:rPr>
          <w:color w:val="auto"/>
          <w:sz w:val="24"/>
          <w:highlight w:val="none"/>
        </w:rPr>
        <w:t>gxzbscb@163.com</w:t>
      </w:r>
    </w:p>
    <w:p>
      <w:pPr>
        <w:rPr>
          <w:color w:val="auto"/>
          <w:highlight w:val="none"/>
        </w:rPr>
      </w:pPr>
    </w:p>
    <w:p>
      <w:pPr>
        <w:spacing w:line="360" w:lineRule="auto"/>
        <w:jc w:val="center"/>
        <w:rPr>
          <w:color w:val="auto"/>
          <w:sz w:val="24"/>
          <w:highlight w:val="none"/>
        </w:rPr>
      </w:pPr>
      <w:r>
        <w:rPr>
          <w:color w:val="auto"/>
          <w:sz w:val="24"/>
          <w:highlight w:val="none"/>
        </w:rPr>
        <w:t xml:space="preserve">                            </w:t>
      </w:r>
    </w:p>
    <w:p>
      <w:pPr>
        <w:spacing w:line="360" w:lineRule="auto"/>
        <w:ind w:right="120"/>
        <w:jc w:val="right"/>
        <w:rPr>
          <w:color w:val="auto"/>
          <w:highlight w:val="none"/>
        </w:rPr>
      </w:pPr>
      <w:r>
        <w:rPr>
          <w:color w:val="auto"/>
          <w:sz w:val="24"/>
          <w:highlight w:val="none"/>
        </w:rPr>
        <w:t xml:space="preserve"> </w:t>
      </w:r>
    </w:p>
    <w:p>
      <w:pPr>
        <w:spacing w:line="360" w:lineRule="auto"/>
        <w:rPr>
          <w:rFonts w:hint="eastAsia" w:ascii="宋体" w:hAnsi="宋体" w:eastAsia="宋体" w:cs="宋体"/>
          <w:color w:val="auto"/>
          <w:sz w:val="24"/>
          <w:szCs w:val="24"/>
          <w:highlight w:val="none"/>
        </w:rPr>
      </w:pPr>
      <w:bookmarkStart w:id="8" w:name="_Toc349568710"/>
      <w:bookmarkEnd w:id="8"/>
      <w:bookmarkStart w:id="9" w:name="_Toc19585"/>
      <w:bookmarkEnd w:id="9"/>
      <w:bookmarkStart w:id="10" w:name="_Toc350515647"/>
      <w:bookmarkEnd w:id="10"/>
      <w:bookmarkStart w:id="11" w:name="_Toc349568451"/>
      <w:bookmarkEnd w:id="11"/>
      <w:bookmarkStart w:id="12" w:name="_Toc18752"/>
      <w:bookmarkEnd w:id="12"/>
      <w:bookmarkStart w:id="13" w:name="_Toc344394138"/>
      <w:bookmarkEnd w:id="13"/>
      <w:bookmarkStart w:id="14" w:name="_Toc343510552"/>
      <w:bookmarkEnd w:id="14"/>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color w:val="auto"/>
          <w:w w:val="90"/>
          <w:highlight w:val="none"/>
        </w:rPr>
      </w:pPr>
      <w:r>
        <w:rPr>
          <w:color w:val="auto"/>
          <w:w w:val="90"/>
          <w:highlight w:val="none"/>
        </w:rPr>
        <w:t xml:space="preserve">  </w:t>
      </w:r>
      <w:r>
        <w:rPr>
          <w:rFonts w:hint="eastAsia"/>
          <w:color w:val="auto"/>
          <w:szCs w:val="24"/>
          <w:highlight w:val="none"/>
        </w:rPr>
        <w:t>投标人须知</w:t>
      </w:r>
      <w:r>
        <w:rPr>
          <w:rFonts w:hint="eastAsia"/>
          <w:color w:val="auto"/>
          <w:w w:val="90"/>
          <w:highlight w:val="none"/>
        </w:rPr>
        <w:t>前附表</w:t>
      </w: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tabs>
          <w:tab w:val="left" w:pos="7770"/>
        </w:tabs>
        <w:autoSpaceDE w:val="0"/>
        <w:autoSpaceDN w:val="0"/>
        <w:spacing w:line="360" w:lineRule="auto"/>
        <w:rPr>
          <w:color w:val="auto"/>
          <w:sz w:val="24"/>
          <w:highlight w:val="none"/>
        </w:rPr>
      </w:pPr>
    </w:p>
    <w:p>
      <w:pPr>
        <w:spacing w:after="120" w:afterLines="50" w:line="360" w:lineRule="auto"/>
        <w:ind w:firstLine="442"/>
        <w:jc w:val="center"/>
        <w:rPr>
          <w:b/>
          <w:color w:val="auto"/>
          <w:w w:val="90"/>
          <w:sz w:val="36"/>
          <w:highlight w:val="none"/>
        </w:rPr>
      </w:pPr>
      <w:r>
        <w:rPr>
          <w:b/>
          <w:color w:val="auto"/>
          <w:w w:val="90"/>
          <w:sz w:val="36"/>
          <w:highlight w:val="none"/>
        </w:rPr>
        <w:br w:type="page"/>
      </w:r>
      <w:r>
        <w:rPr>
          <w:rFonts w:hint="eastAsia"/>
          <w:b/>
          <w:color w:val="auto"/>
          <w:w w:val="90"/>
          <w:sz w:val="36"/>
          <w:highlight w:val="none"/>
        </w:rPr>
        <w:t>一、投标人须知前附表</w:t>
      </w:r>
    </w:p>
    <w:p>
      <w:pPr>
        <w:tabs>
          <w:tab w:val="left" w:pos="7770"/>
        </w:tabs>
        <w:autoSpaceDE w:val="0"/>
        <w:autoSpaceDN w:val="0"/>
        <w:spacing w:line="360" w:lineRule="auto"/>
        <w:rPr>
          <w:color w:val="auto"/>
          <w:highlight w:val="none"/>
        </w:rPr>
      </w:pPr>
    </w:p>
    <w:tbl>
      <w:tblPr>
        <w:tblStyle w:val="26"/>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815"/>
        <w:gridCol w:w="8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blHeader/>
          <w:jc w:val="center"/>
        </w:trPr>
        <w:tc>
          <w:tcPr>
            <w:tcW w:w="560" w:type="dxa"/>
            <w:vAlign w:val="center"/>
          </w:tcPr>
          <w:p>
            <w:pPr>
              <w:snapToGrid w:val="0"/>
              <w:spacing w:line="360" w:lineRule="auto"/>
              <w:jc w:val="center"/>
              <w:rPr>
                <w:b/>
                <w:color w:val="auto"/>
                <w:sz w:val="24"/>
                <w:szCs w:val="24"/>
                <w:highlight w:val="none"/>
              </w:rPr>
            </w:pPr>
            <w:r>
              <w:rPr>
                <w:rFonts w:hint="eastAsia"/>
                <w:b/>
                <w:color w:val="auto"/>
                <w:sz w:val="24"/>
                <w:szCs w:val="24"/>
                <w:highlight w:val="none"/>
              </w:rPr>
              <w:t>项号</w:t>
            </w:r>
          </w:p>
        </w:tc>
        <w:tc>
          <w:tcPr>
            <w:tcW w:w="815" w:type="dxa"/>
            <w:vAlign w:val="center"/>
          </w:tcPr>
          <w:p>
            <w:pPr>
              <w:snapToGrid w:val="0"/>
              <w:spacing w:line="360" w:lineRule="auto"/>
              <w:jc w:val="center"/>
              <w:rPr>
                <w:b/>
                <w:color w:val="auto"/>
                <w:sz w:val="24"/>
                <w:szCs w:val="24"/>
                <w:highlight w:val="none"/>
              </w:rPr>
            </w:pPr>
            <w:r>
              <w:rPr>
                <w:rFonts w:hint="eastAsia"/>
                <w:b/>
                <w:color w:val="auto"/>
                <w:sz w:val="24"/>
                <w:szCs w:val="24"/>
                <w:highlight w:val="none"/>
              </w:rPr>
              <w:t>条款号</w:t>
            </w:r>
          </w:p>
        </w:tc>
        <w:tc>
          <w:tcPr>
            <w:tcW w:w="8647" w:type="dxa"/>
            <w:vAlign w:val="center"/>
          </w:tcPr>
          <w:p>
            <w:pPr>
              <w:snapToGrid w:val="0"/>
              <w:spacing w:line="360" w:lineRule="auto"/>
              <w:jc w:val="center"/>
              <w:rPr>
                <w:b/>
                <w:color w:val="auto"/>
                <w:sz w:val="24"/>
                <w:szCs w:val="24"/>
                <w:highlight w:val="none"/>
              </w:rPr>
            </w:pPr>
            <w:r>
              <w:rPr>
                <w:rFonts w:hint="eastAsia"/>
                <w:b/>
                <w:color w:val="auto"/>
                <w:sz w:val="24"/>
                <w:szCs w:val="24"/>
                <w:highlight w:val="none"/>
              </w:rPr>
              <w:t>内</w:t>
            </w:r>
            <w:r>
              <w:rPr>
                <w:b/>
                <w:color w:val="auto"/>
                <w:sz w:val="24"/>
                <w:szCs w:val="24"/>
                <w:highlight w:val="none"/>
              </w:rPr>
              <w:t xml:space="preserve">      </w:t>
            </w:r>
            <w:r>
              <w:rPr>
                <w:rFonts w:hint="eastAsia"/>
                <w:b/>
                <w:color w:val="auto"/>
                <w:sz w:val="24"/>
                <w:szCs w:val="24"/>
                <w:highlight w:val="none"/>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jc w:val="center"/>
        </w:trPr>
        <w:tc>
          <w:tcPr>
            <w:tcW w:w="10022" w:type="dxa"/>
            <w:gridSpan w:val="3"/>
            <w:shd w:val="clear" w:color="auto" w:fill="E6E6E6"/>
            <w:vAlign w:val="center"/>
          </w:tcPr>
          <w:p>
            <w:pPr>
              <w:snapToGrid w:val="0"/>
              <w:spacing w:line="360" w:lineRule="auto"/>
              <w:jc w:val="center"/>
              <w:rPr>
                <w:b/>
                <w:color w:val="auto"/>
                <w:sz w:val="24"/>
                <w:szCs w:val="24"/>
                <w:highlight w:val="none"/>
              </w:rPr>
            </w:pPr>
            <w:r>
              <w:rPr>
                <w:rFonts w:hint="eastAsia"/>
                <w:b/>
                <w:color w:val="auto"/>
                <w:sz w:val="24"/>
                <w:szCs w:val="24"/>
                <w:highlight w:val="none"/>
              </w:rPr>
              <w:t>内</w:t>
            </w:r>
            <w:r>
              <w:rPr>
                <w:b/>
                <w:color w:val="auto"/>
                <w:sz w:val="24"/>
                <w:szCs w:val="24"/>
                <w:highlight w:val="none"/>
              </w:rPr>
              <w:t xml:space="preserve"> </w:t>
            </w:r>
            <w:r>
              <w:rPr>
                <w:rFonts w:hint="eastAsia"/>
                <w:b/>
                <w:color w:val="auto"/>
                <w:sz w:val="24"/>
                <w:szCs w:val="24"/>
                <w:highlight w:val="none"/>
              </w:rPr>
              <w:t>容</w:t>
            </w:r>
            <w:r>
              <w:rPr>
                <w:b/>
                <w:color w:val="auto"/>
                <w:sz w:val="24"/>
                <w:szCs w:val="24"/>
                <w:highlight w:val="none"/>
              </w:rPr>
              <w:t xml:space="preserve"> </w:t>
            </w:r>
            <w:r>
              <w:rPr>
                <w:rFonts w:hint="eastAsia"/>
                <w:b/>
                <w:color w:val="auto"/>
                <w:sz w:val="24"/>
                <w:szCs w:val="24"/>
                <w:highlight w:val="none"/>
              </w:rPr>
              <w:t>和</w:t>
            </w:r>
            <w:r>
              <w:rPr>
                <w:b/>
                <w:color w:val="auto"/>
                <w:sz w:val="24"/>
                <w:szCs w:val="24"/>
                <w:highlight w:val="none"/>
              </w:rPr>
              <w:t xml:space="preserve"> </w:t>
            </w:r>
            <w:r>
              <w:rPr>
                <w:rFonts w:hint="eastAsia"/>
                <w:b/>
                <w:color w:val="auto"/>
                <w:sz w:val="24"/>
                <w:szCs w:val="24"/>
                <w:highlight w:val="none"/>
              </w:rPr>
              <w:t>说</w:t>
            </w:r>
            <w:r>
              <w:rPr>
                <w:b/>
                <w:color w:val="auto"/>
                <w:sz w:val="24"/>
                <w:szCs w:val="24"/>
                <w:highlight w:val="none"/>
              </w:rPr>
              <w:t xml:space="preserve">  </w:t>
            </w:r>
            <w:r>
              <w:rPr>
                <w:rFonts w:hint="eastAsia"/>
                <w:b/>
                <w:color w:val="auto"/>
                <w:sz w:val="24"/>
                <w:szCs w:val="24"/>
                <w:highlight w:val="none"/>
              </w:rPr>
              <w:t>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3"/>
              <w:numPr>
                <w:ilvl w:val="0"/>
                <w:numId w:val="5"/>
              </w:numPr>
              <w:snapToGrid w:val="0"/>
              <w:spacing w:line="360" w:lineRule="auto"/>
              <w:ind w:firstLineChars="0"/>
              <w:jc w:val="center"/>
              <w:rPr>
                <w:b/>
                <w:color w:val="auto"/>
                <w:sz w:val="24"/>
                <w:highlight w:val="none"/>
              </w:rPr>
            </w:pPr>
            <w:r>
              <w:rPr>
                <w:color w:val="auto"/>
                <w:sz w:val="24"/>
                <w:highlight w:val="none"/>
              </w:rPr>
              <w:t>2</w:t>
            </w:r>
          </w:p>
        </w:tc>
        <w:tc>
          <w:tcPr>
            <w:tcW w:w="815" w:type="dxa"/>
            <w:tcBorders>
              <w:bottom w:val="single" w:color="auto" w:sz="6" w:space="0"/>
            </w:tcBorders>
            <w:shd w:val="clear" w:color="auto" w:fill="FFFFFF"/>
            <w:vAlign w:val="center"/>
          </w:tcPr>
          <w:p>
            <w:pPr>
              <w:snapToGrid w:val="0"/>
              <w:spacing w:line="360" w:lineRule="auto"/>
              <w:jc w:val="center"/>
              <w:rPr>
                <w:b/>
                <w:color w:val="auto"/>
                <w:sz w:val="24"/>
                <w:szCs w:val="24"/>
                <w:highlight w:val="none"/>
              </w:rPr>
            </w:pPr>
            <w:r>
              <w:rPr>
                <w:bCs/>
                <w:color w:val="auto"/>
                <w:sz w:val="24"/>
                <w:szCs w:val="24"/>
                <w:highlight w:val="none"/>
              </w:rPr>
              <w:t>3.1</w:t>
            </w:r>
          </w:p>
        </w:tc>
        <w:tc>
          <w:tcPr>
            <w:tcW w:w="8647" w:type="dxa"/>
            <w:shd w:val="clear" w:color="auto" w:fill="FFFFFF"/>
            <w:vAlign w:val="center"/>
          </w:tcPr>
          <w:p>
            <w:pPr>
              <w:snapToGrid w:val="0"/>
              <w:spacing w:line="360" w:lineRule="auto"/>
              <w:rPr>
                <w:b/>
                <w:color w:val="auto"/>
                <w:sz w:val="24"/>
                <w:szCs w:val="24"/>
                <w:highlight w:val="none"/>
              </w:rPr>
            </w:pPr>
            <w:r>
              <w:rPr>
                <w:rFonts w:hint="eastAsia"/>
                <w:color w:val="auto"/>
                <w:sz w:val="24"/>
                <w:szCs w:val="24"/>
                <w:highlight w:val="none"/>
              </w:rPr>
              <w:t>资金来源：中央资金，已落实。估算价：7</w:t>
            </w:r>
            <w:r>
              <w:rPr>
                <w:rFonts w:hint="eastAsia"/>
                <w:color w:val="auto"/>
                <w:sz w:val="24"/>
                <w:szCs w:val="24"/>
                <w:highlight w:val="none"/>
                <w:lang w:val="en-US" w:eastAsia="zh-CN"/>
              </w:rPr>
              <w:t>1</w:t>
            </w:r>
            <w:r>
              <w:rPr>
                <w:rFonts w:hint="eastAsia"/>
                <w:color w:val="auto"/>
                <w:sz w:val="24"/>
                <w:szCs w:val="24"/>
                <w:highlight w:val="none"/>
              </w:rPr>
              <w:t>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3"/>
              <w:numPr>
                <w:ilvl w:val="0"/>
                <w:numId w:val="5"/>
              </w:numPr>
              <w:snapToGrid w:val="0"/>
              <w:spacing w:line="360" w:lineRule="auto"/>
              <w:ind w:firstLineChars="0"/>
              <w:jc w:val="center"/>
              <w:rPr>
                <w:b/>
                <w:color w:val="auto"/>
                <w:sz w:val="24"/>
                <w:highlight w:val="none"/>
              </w:rPr>
            </w:pPr>
            <w:r>
              <w:rPr>
                <w:color w:val="auto"/>
                <w:sz w:val="24"/>
                <w:highlight w:val="none"/>
              </w:rPr>
              <w:t>2</w:t>
            </w:r>
          </w:p>
        </w:tc>
        <w:tc>
          <w:tcPr>
            <w:tcW w:w="815" w:type="dxa"/>
            <w:tcBorders>
              <w:top w:val="single" w:color="auto" w:sz="6" w:space="0"/>
              <w:bottom w:val="single" w:color="auto" w:sz="6" w:space="0"/>
            </w:tcBorders>
            <w:shd w:val="clear" w:color="auto" w:fill="FFFFFF"/>
            <w:vAlign w:val="center"/>
          </w:tcPr>
          <w:p>
            <w:pPr>
              <w:snapToGrid w:val="0"/>
              <w:spacing w:line="360" w:lineRule="auto"/>
              <w:jc w:val="center"/>
              <w:rPr>
                <w:color w:val="auto"/>
                <w:sz w:val="24"/>
                <w:szCs w:val="24"/>
                <w:highlight w:val="none"/>
              </w:rPr>
            </w:pPr>
            <w:r>
              <w:rPr>
                <w:color w:val="auto"/>
                <w:sz w:val="24"/>
                <w:szCs w:val="24"/>
                <w:highlight w:val="none"/>
              </w:rPr>
              <w:t>1.1</w:t>
            </w:r>
          </w:p>
        </w:tc>
        <w:tc>
          <w:tcPr>
            <w:tcW w:w="8647" w:type="dxa"/>
            <w:shd w:val="clear" w:color="auto" w:fill="FFFFFF"/>
            <w:vAlign w:val="center"/>
          </w:tcPr>
          <w:p>
            <w:pPr>
              <w:snapToGrid w:val="0"/>
              <w:spacing w:line="360" w:lineRule="auto"/>
              <w:rPr>
                <w:color w:val="auto"/>
                <w:sz w:val="24"/>
                <w:szCs w:val="24"/>
                <w:highlight w:val="none"/>
              </w:rPr>
            </w:pPr>
            <w:r>
              <w:rPr>
                <w:rFonts w:hint="eastAsia"/>
                <w:color w:val="auto"/>
                <w:sz w:val="24"/>
                <w:highlight w:val="none"/>
              </w:rPr>
              <w:t>招标方式：公开招标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3</w:t>
            </w:r>
          </w:p>
        </w:tc>
        <w:tc>
          <w:tcPr>
            <w:tcW w:w="815" w:type="dxa"/>
            <w:tcBorders>
              <w:top w:val="single" w:color="auto" w:sz="6" w:space="0"/>
            </w:tcBorders>
            <w:vAlign w:val="center"/>
          </w:tcPr>
          <w:p>
            <w:pPr>
              <w:snapToGrid w:val="0"/>
              <w:spacing w:line="360" w:lineRule="auto"/>
              <w:jc w:val="center"/>
              <w:rPr>
                <w:color w:val="auto"/>
                <w:sz w:val="24"/>
                <w:szCs w:val="24"/>
                <w:highlight w:val="none"/>
              </w:rPr>
            </w:pPr>
            <w:r>
              <w:rPr>
                <w:color w:val="auto"/>
                <w:sz w:val="24"/>
                <w:szCs w:val="24"/>
                <w:highlight w:val="none"/>
              </w:rPr>
              <w:t>1.2</w:t>
            </w:r>
          </w:p>
        </w:tc>
        <w:tc>
          <w:tcPr>
            <w:tcW w:w="8647" w:type="dxa"/>
            <w:vAlign w:val="center"/>
          </w:tcPr>
          <w:p>
            <w:pPr>
              <w:snapToGrid w:val="0"/>
              <w:spacing w:line="360" w:lineRule="auto"/>
              <w:rPr>
                <w:rFonts w:hint="eastAsia" w:eastAsia="宋体"/>
                <w:color w:val="auto"/>
                <w:sz w:val="24"/>
                <w:szCs w:val="24"/>
                <w:highlight w:val="none"/>
                <w:lang w:eastAsia="zh-CN"/>
              </w:rPr>
            </w:pPr>
            <w:r>
              <w:rPr>
                <w:rFonts w:hint="eastAsia"/>
                <w:color w:val="auto"/>
                <w:sz w:val="24"/>
                <w:szCs w:val="24"/>
                <w:highlight w:val="none"/>
              </w:rPr>
              <w:t>项目名称：</w:t>
            </w:r>
            <w:r>
              <w:rPr>
                <w:rFonts w:hint="eastAsia"/>
                <w:color w:val="auto"/>
                <w:sz w:val="24"/>
                <w:highlight w:val="none"/>
                <w:lang w:eastAsia="zh-CN"/>
              </w:rPr>
              <w:t>辽宁省营口市海洋生态保护修复工程项目生态修复效果与减灾功能评估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4</w:t>
            </w:r>
          </w:p>
        </w:tc>
        <w:tc>
          <w:tcPr>
            <w:tcW w:w="815" w:type="dxa"/>
            <w:vAlign w:val="center"/>
          </w:tcPr>
          <w:p>
            <w:pPr>
              <w:snapToGrid w:val="0"/>
              <w:spacing w:line="360" w:lineRule="auto"/>
              <w:jc w:val="center"/>
              <w:rPr>
                <w:color w:val="auto"/>
                <w:sz w:val="24"/>
                <w:szCs w:val="24"/>
                <w:highlight w:val="none"/>
              </w:rPr>
            </w:pPr>
            <w:r>
              <w:rPr>
                <w:color w:val="auto"/>
                <w:sz w:val="24"/>
                <w:szCs w:val="24"/>
                <w:highlight w:val="none"/>
              </w:rPr>
              <w:t>1.3</w:t>
            </w:r>
          </w:p>
        </w:tc>
        <w:tc>
          <w:tcPr>
            <w:tcW w:w="8647" w:type="dxa"/>
            <w:vAlign w:val="center"/>
          </w:tcPr>
          <w:p>
            <w:pPr>
              <w:snapToGrid w:val="0"/>
              <w:spacing w:line="360" w:lineRule="auto"/>
              <w:rPr>
                <w:bCs/>
                <w:color w:val="auto"/>
                <w:kern w:val="0"/>
                <w:sz w:val="24"/>
                <w:highlight w:val="none"/>
              </w:rPr>
            </w:pPr>
            <w:r>
              <w:rPr>
                <w:rFonts w:hint="eastAsia"/>
                <w:color w:val="auto"/>
                <w:sz w:val="24"/>
                <w:szCs w:val="24"/>
                <w:highlight w:val="none"/>
              </w:rPr>
              <w:t>招标人名称：</w:t>
            </w:r>
            <w:r>
              <w:rPr>
                <w:rFonts w:hint="eastAsia"/>
                <w:bCs/>
                <w:color w:val="auto"/>
                <w:kern w:val="0"/>
                <w:sz w:val="24"/>
                <w:highlight w:val="none"/>
              </w:rPr>
              <w:t>营口市自然资源局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5</w:t>
            </w:r>
          </w:p>
        </w:tc>
        <w:tc>
          <w:tcPr>
            <w:tcW w:w="815" w:type="dxa"/>
            <w:vAlign w:val="center"/>
          </w:tcPr>
          <w:p>
            <w:pPr>
              <w:snapToGrid w:val="0"/>
              <w:spacing w:line="360" w:lineRule="auto"/>
              <w:jc w:val="center"/>
              <w:rPr>
                <w:color w:val="auto"/>
                <w:sz w:val="24"/>
                <w:szCs w:val="24"/>
                <w:highlight w:val="none"/>
              </w:rPr>
            </w:pPr>
            <w:r>
              <w:rPr>
                <w:color w:val="auto"/>
                <w:sz w:val="24"/>
                <w:szCs w:val="24"/>
                <w:highlight w:val="none"/>
              </w:rPr>
              <w:t>1.4</w:t>
            </w:r>
          </w:p>
        </w:tc>
        <w:tc>
          <w:tcPr>
            <w:tcW w:w="8647" w:type="dxa"/>
            <w:vAlign w:val="center"/>
          </w:tcPr>
          <w:p>
            <w:pPr>
              <w:snapToGrid w:val="0"/>
              <w:spacing w:line="360" w:lineRule="auto"/>
              <w:rPr>
                <w:color w:val="auto"/>
                <w:sz w:val="24"/>
                <w:szCs w:val="24"/>
                <w:highlight w:val="none"/>
              </w:rPr>
            </w:pPr>
            <w:r>
              <w:rPr>
                <w:rFonts w:hint="eastAsia"/>
                <w:color w:val="auto"/>
                <w:sz w:val="24"/>
                <w:szCs w:val="24"/>
                <w:highlight w:val="none"/>
              </w:rPr>
              <w:t>招标代理机构名称：</w:t>
            </w:r>
            <w:r>
              <w:rPr>
                <w:rFonts w:hint="eastAsia"/>
                <w:color w:val="auto"/>
                <w:sz w:val="24"/>
                <w:highlight w:val="none"/>
              </w:rPr>
              <w:t>辽宁国信建设工程管理有限公司</w:t>
            </w:r>
          </w:p>
          <w:p>
            <w:pPr>
              <w:snapToGrid w:val="0"/>
              <w:spacing w:line="360" w:lineRule="auto"/>
              <w:rPr>
                <w:color w:val="auto"/>
                <w:sz w:val="24"/>
                <w:szCs w:val="24"/>
                <w:highlight w:val="none"/>
              </w:rPr>
            </w:pPr>
            <w:r>
              <w:rPr>
                <w:rFonts w:hint="eastAsia"/>
                <w:color w:val="auto"/>
                <w:sz w:val="24"/>
                <w:szCs w:val="24"/>
                <w:highlight w:val="none"/>
              </w:rPr>
              <w:t>地址：</w:t>
            </w:r>
            <w:r>
              <w:rPr>
                <w:rFonts w:hint="eastAsia"/>
                <w:color w:val="auto"/>
                <w:sz w:val="24"/>
                <w:highlight w:val="none"/>
              </w:rPr>
              <w:t>营口市站前区东新路</w:t>
            </w:r>
            <w:r>
              <w:rPr>
                <w:color w:val="auto"/>
                <w:sz w:val="24"/>
                <w:highlight w:val="none"/>
              </w:rPr>
              <w:t>7-12号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6</w:t>
            </w:r>
          </w:p>
        </w:tc>
        <w:tc>
          <w:tcPr>
            <w:tcW w:w="815" w:type="dxa"/>
            <w:vAlign w:val="center"/>
          </w:tcPr>
          <w:p>
            <w:pPr>
              <w:snapToGrid w:val="0"/>
              <w:spacing w:line="360" w:lineRule="auto"/>
              <w:jc w:val="center"/>
              <w:rPr>
                <w:color w:val="auto"/>
                <w:sz w:val="24"/>
                <w:szCs w:val="24"/>
                <w:highlight w:val="none"/>
              </w:rPr>
            </w:pPr>
            <w:r>
              <w:rPr>
                <w:color w:val="auto"/>
                <w:sz w:val="24"/>
                <w:szCs w:val="24"/>
                <w:highlight w:val="none"/>
              </w:rPr>
              <w:t>1.5</w:t>
            </w:r>
          </w:p>
        </w:tc>
        <w:tc>
          <w:tcPr>
            <w:tcW w:w="8647" w:type="dxa"/>
            <w:vAlign w:val="center"/>
          </w:tcPr>
          <w:p>
            <w:pPr>
              <w:snapToGrid w:val="0"/>
              <w:spacing w:line="360" w:lineRule="auto"/>
              <w:rPr>
                <w:color w:val="auto"/>
                <w:sz w:val="24"/>
                <w:szCs w:val="24"/>
                <w:highlight w:val="none"/>
              </w:rPr>
            </w:pPr>
            <w:r>
              <w:rPr>
                <w:rFonts w:hint="eastAsia"/>
                <w:color w:val="auto"/>
                <w:sz w:val="24"/>
                <w:highlight w:val="none"/>
              </w:rPr>
              <w:t>服务地点：</w:t>
            </w:r>
            <w:r>
              <w:rPr>
                <w:rFonts w:hint="eastAsia"/>
                <w:color w:val="auto"/>
                <w:sz w:val="24"/>
                <w:szCs w:val="24"/>
                <w:highlight w:val="none"/>
              </w:rPr>
              <w:t>招标人</w:t>
            </w:r>
            <w:r>
              <w:rPr>
                <w:rFonts w:hint="eastAsia"/>
                <w:color w:val="auto"/>
                <w:kern w:val="0"/>
                <w:sz w:val="24"/>
                <w:highlight w:val="none"/>
              </w:rPr>
              <w:t>指定地点。</w:t>
            </w:r>
            <w:r>
              <w:rPr>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7</w:t>
            </w:r>
          </w:p>
        </w:tc>
        <w:tc>
          <w:tcPr>
            <w:tcW w:w="815" w:type="dxa"/>
            <w:vAlign w:val="center"/>
          </w:tcPr>
          <w:p>
            <w:pPr>
              <w:snapToGrid w:val="0"/>
              <w:spacing w:line="360" w:lineRule="auto"/>
              <w:jc w:val="center"/>
              <w:rPr>
                <w:color w:val="auto"/>
                <w:sz w:val="24"/>
                <w:szCs w:val="24"/>
                <w:highlight w:val="none"/>
              </w:rPr>
            </w:pPr>
            <w:r>
              <w:rPr>
                <w:color w:val="auto"/>
                <w:sz w:val="24"/>
                <w:szCs w:val="24"/>
                <w:highlight w:val="none"/>
              </w:rPr>
              <w:t>1.6</w:t>
            </w:r>
          </w:p>
        </w:tc>
        <w:tc>
          <w:tcPr>
            <w:tcW w:w="8647" w:type="dxa"/>
            <w:vAlign w:val="center"/>
          </w:tcPr>
          <w:p>
            <w:pPr>
              <w:snapToGrid w:val="0"/>
              <w:spacing w:line="360" w:lineRule="auto"/>
              <w:jc w:val="left"/>
              <w:rPr>
                <w:color w:val="auto"/>
                <w:sz w:val="24"/>
                <w:highlight w:val="none"/>
              </w:rPr>
            </w:pPr>
            <w:r>
              <w:rPr>
                <w:rFonts w:hint="eastAsia"/>
                <w:color w:val="auto"/>
                <w:sz w:val="24"/>
                <w:highlight w:val="none"/>
              </w:rPr>
              <w:t>质量要求：合格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3</w:t>
            </w:r>
          </w:p>
        </w:tc>
        <w:tc>
          <w:tcPr>
            <w:tcW w:w="815" w:type="dxa"/>
            <w:vAlign w:val="center"/>
          </w:tcPr>
          <w:p>
            <w:pPr>
              <w:snapToGrid w:val="0"/>
              <w:spacing w:line="360" w:lineRule="auto"/>
              <w:jc w:val="center"/>
              <w:rPr>
                <w:color w:val="auto"/>
                <w:sz w:val="24"/>
                <w:szCs w:val="24"/>
                <w:highlight w:val="none"/>
              </w:rPr>
            </w:pPr>
            <w:r>
              <w:rPr>
                <w:color w:val="auto"/>
                <w:sz w:val="24"/>
                <w:szCs w:val="24"/>
                <w:highlight w:val="none"/>
              </w:rPr>
              <w:t>2.1</w:t>
            </w:r>
          </w:p>
        </w:tc>
        <w:tc>
          <w:tcPr>
            <w:tcW w:w="8647" w:type="dxa"/>
            <w:vAlign w:val="center"/>
          </w:tcPr>
          <w:p>
            <w:pPr>
              <w:tabs>
                <w:tab w:val="left" w:pos="993"/>
                <w:tab w:val="left" w:pos="1134"/>
              </w:tabs>
              <w:spacing w:line="360" w:lineRule="auto"/>
              <w:rPr>
                <w:color w:val="auto"/>
                <w:sz w:val="24"/>
                <w:highlight w:val="none"/>
              </w:rPr>
            </w:pPr>
            <w:r>
              <w:rPr>
                <w:rFonts w:hint="eastAsia"/>
                <w:color w:val="auto"/>
                <w:sz w:val="24"/>
                <w:szCs w:val="24"/>
                <w:highlight w:val="none"/>
              </w:rPr>
              <w:t>招标范围：</w:t>
            </w:r>
            <w:r>
              <w:rPr>
                <w:rFonts w:hint="eastAsia"/>
                <w:bCs/>
                <w:color w:val="auto"/>
                <w:sz w:val="24"/>
                <w:szCs w:val="24"/>
                <w:highlight w:val="none"/>
              </w:rPr>
              <w:t>本项目拟完成修复总面积</w:t>
            </w:r>
            <w:r>
              <w:rPr>
                <w:bCs/>
                <w:color w:val="auto"/>
                <w:sz w:val="24"/>
                <w:szCs w:val="24"/>
                <w:highlight w:val="none"/>
              </w:rPr>
              <w:t xml:space="preserve"> 1630.34ha,整治修复岸线长度 2951.90m，其中修复砂质岸线 1287m、生态护岸 1664.90m；整治修复滨海湿地面积1555.22ha，其中保育和种植盐沼植被面积269.69ha、浒苔防治面积1006.83ha。</w:t>
            </w:r>
            <w:r>
              <w:rPr>
                <w:rFonts w:hint="eastAsia"/>
                <w:bCs/>
                <w:color w:val="auto"/>
                <w:sz w:val="24"/>
                <w:szCs w:val="24"/>
                <w:highlight w:val="none"/>
              </w:rPr>
              <w:t>针对上述内容拟委托</w:t>
            </w:r>
            <w:r>
              <w:rPr>
                <w:bCs/>
                <w:color w:val="auto"/>
                <w:sz w:val="24"/>
                <w:szCs w:val="24"/>
                <w:highlight w:val="none"/>
              </w:rPr>
              <w:t>1家服务机构提供</w:t>
            </w:r>
            <w:r>
              <w:rPr>
                <w:rFonts w:hint="eastAsia"/>
                <w:color w:val="auto"/>
                <w:sz w:val="24"/>
                <w:highlight w:val="none"/>
                <w:lang w:eastAsia="zh-CN"/>
              </w:rPr>
              <w:t>生态修复效果与减灾功能评估</w:t>
            </w:r>
            <w:r>
              <w:rPr>
                <w:rFonts w:hint="eastAsia"/>
                <w:bCs/>
                <w:color w:val="auto"/>
                <w:sz w:val="24"/>
                <w:szCs w:val="24"/>
                <w:highlight w:val="none"/>
              </w:rPr>
              <w:t>服务。（服务内容包括但不限于资料收集和整理、项目过程实施、成果编制及提交审核、修改及复核、资料归档、过程技术咨询及根据招标人对项目的要求所进行的其他工作。所编制的成果报告须遵照</w:t>
            </w:r>
            <w:r>
              <w:rPr>
                <w:bCs/>
                <w:color w:val="auto"/>
                <w:sz w:val="24"/>
                <w:szCs w:val="24"/>
                <w:highlight w:val="none"/>
              </w:rPr>
              <w:t>法规及规范要求</w:t>
            </w:r>
            <w:r>
              <w:rPr>
                <w:rFonts w:hint="eastAsia"/>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5</w:t>
            </w:r>
          </w:p>
        </w:tc>
        <w:tc>
          <w:tcPr>
            <w:tcW w:w="815" w:type="dxa"/>
            <w:vAlign w:val="center"/>
          </w:tcPr>
          <w:p>
            <w:pPr>
              <w:snapToGrid w:val="0"/>
              <w:spacing w:line="360" w:lineRule="auto"/>
              <w:jc w:val="center"/>
              <w:rPr>
                <w:color w:val="auto"/>
                <w:sz w:val="24"/>
                <w:szCs w:val="24"/>
                <w:highlight w:val="none"/>
              </w:rPr>
            </w:pPr>
            <w:r>
              <w:rPr>
                <w:color w:val="auto"/>
                <w:sz w:val="24"/>
                <w:highlight w:val="none"/>
              </w:rPr>
              <w:t>2.2</w:t>
            </w:r>
          </w:p>
        </w:tc>
        <w:tc>
          <w:tcPr>
            <w:tcW w:w="8647" w:type="dxa"/>
            <w:vAlign w:val="center"/>
          </w:tcPr>
          <w:p>
            <w:pPr>
              <w:snapToGrid w:val="0"/>
              <w:spacing w:line="360" w:lineRule="auto"/>
              <w:rPr>
                <w:color w:val="auto"/>
                <w:sz w:val="24"/>
                <w:highlight w:val="none"/>
              </w:rPr>
            </w:pPr>
            <w:r>
              <w:rPr>
                <w:rFonts w:hint="eastAsia"/>
                <w:color w:val="auto"/>
                <w:sz w:val="24"/>
                <w:szCs w:val="24"/>
                <w:highlight w:val="none"/>
              </w:rPr>
              <w:t>服务期限：</w:t>
            </w:r>
            <w:r>
              <w:rPr>
                <w:color w:val="auto"/>
                <w:sz w:val="24"/>
                <w:szCs w:val="24"/>
                <w:highlight w:val="none"/>
              </w:rPr>
              <w:t>2024年08月01日</w:t>
            </w:r>
            <w:r>
              <w:rPr>
                <w:rFonts w:hint="eastAsia"/>
                <w:bCs/>
                <w:color w:val="auto"/>
                <w:sz w:val="24"/>
                <w:szCs w:val="24"/>
                <w:highlight w:val="none"/>
              </w:rPr>
              <w:t>至</w:t>
            </w:r>
            <w:r>
              <w:rPr>
                <w:bCs/>
                <w:color w:val="auto"/>
                <w:sz w:val="24"/>
                <w:szCs w:val="24"/>
                <w:highlight w:val="none"/>
              </w:rPr>
              <w:t>202</w:t>
            </w:r>
            <w:r>
              <w:rPr>
                <w:rFonts w:hint="eastAsia"/>
                <w:bCs/>
                <w:color w:val="auto"/>
                <w:sz w:val="24"/>
                <w:szCs w:val="24"/>
                <w:highlight w:val="none"/>
                <w:lang w:eastAsia="zh-CN"/>
              </w:rPr>
              <w:t>8</w:t>
            </w:r>
            <w:r>
              <w:rPr>
                <w:bCs/>
                <w:color w:val="auto"/>
                <w:sz w:val="24"/>
                <w:szCs w:val="24"/>
                <w:highlight w:val="none"/>
              </w:rPr>
              <w:t>年12月31日。（具体时间以合同签订为准）。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6</w:t>
            </w:r>
          </w:p>
        </w:tc>
        <w:tc>
          <w:tcPr>
            <w:tcW w:w="815" w:type="dxa"/>
            <w:vAlign w:val="center"/>
          </w:tcPr>
          <w:p>
            <w:pPr>
              <w:snapToGrid w:val="0"/>
              <w:spacing w:line="360" w:lineRule="auto"/>
              <w:jc w:val="center"/>
              <w:rPr>
                <w:color w:val="auto"/>
                <w:sz w:val="24"/>
                <w:highlight w:val="none"/>
              </w:rPr>
            </w:pPr>
            <w:r>
              <w:rPr>
                <w:color w:val="auto"/>
                <w:sz w:val="24"/>
                <w:highlight w:val="none"/>
              </w:rPr>
              <w:t>5.1</w:t>
            </w:r>
          </w:p>
        </w:tc>
        <w:tc>
          <w:tcPr>
            <w:tcW w:w="8647" w:type="dxa"/>
            <w:vAlign w:val="center"/>
          </w:tcPr>
          <w:p>
            <w:pPr>
              <w:snapToGrid w:val="0"/>
              <w:spacing w:line="360" w:lineRule="auto"/>
              <w:rPr>
                <w:color w:val="auto"/>
                <w:sz w:val="24"/>
                <w:highlight w:val="none"/>
              </w:rPr>
            </w:pPr>
            <w:r>
              <w:rPr>
                <w:rFonts w:hint="eastAsia"/>
                <w:color w:val="auto"/>
                <w:sz w:val="24"/>
                <w:szCs w:val="24"/>
                <w:highlight w:val="none"/>
              </w:rPr>
              <w:t>资格审查方式：资格后审。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b/>
                <w:color w:val="auto"/>
                <w:sz w:val="24"/>
                <w:szCs w:val="24"/>
                <w:highlight w:val="none"/>
              </w:rPr>
            </w:pPr>
            <w:r>
              <w:rPr>
                <w:rFonts w:hint="eastAsia"/>
                <w:b/>
                <w:color w:val="auto"/>
                <w:sz w:val="24"/>
                <w:szCs w:val="24"/>
                <w:highlight w:val="none"/>
              </w:rPr>
              <w:t>投标人资格条件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bottom w:val="single" w:color="auto" w:sz="6" w:space="0"/>
            </w:tcBorders>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11</w:t>
            </w:r>
          </w:p>
        </w:tc>
        <w:tc>
          <w:tcPr>
            <w:tcW w:w="815" w:type="dxa"/>
            <w:tcBorders>
              <w:top w:val="single" w:color="auto" w:sz="6" w:space="0"/>
              <w:bottom w:val="single" w:color="auto" w:sz="6" w:space="0"/>
            </w:tcBorders>
            <w:vAlign w:val="center"/>
          </w:tcPr>
          <w:p>
            <w:pPr>
              <w:snapToGrid w:val="0"/>
              <w:spacing w:line="360" w:lineRule="auto"/>
              <w:jc w:val="center"/>
              <w:rPr>
                <w:color w:val="auto"/>
                <w:sz w:val="24"/>
                <w:szCs w:val="24"/>
                <w:highlight w:val="none"/>
              </w:rPr>
            </w:pPr>
            <w:r>
              <w:rPr>
                <w:color w:val="auto"/>
                <w:sz w:val="24"/>
                <w:szCs w:val="24"/>
                <w:highlight w:val="none"/>
              </w:rPr>
              <w:t>4</w:t>
            </w:r>
          </w:p>
        </w:tc>
        <w:tc>
          <w:tcPr>
            <w:tcW w:w="8647" w:type="dxa"/>
            <w:tcBorders>
              <w:top w:val="single" w:color="auto" w:sz="6" w:space="0"/>
              <w:bottom w:val="single" w:color="auto" w:sz="6" w:space="0"/>
            </w:tcBorders>
            <w:vAlign w:val="center"/>
          </w:tcPr>
          <w:p>
            <w:pPr>
              <w:snapToGrid w:val="0"/>
              <w:spacing w:line="360" w:lineRule="auto"/>
              <w:rPr>
                <w:color w:val="auto"/>
                <w:sz w:val="24"/>
                <w:szCs w:val="24"/>
                <w:highlight w:val="none"/>
              </w:rPr>
            </w:pPr>
            <w:r>
              <w:rPr>
                <w:rFonts w:hint="eastAsia"/>
                <w:color w:val="auto"/>
                <w:sz w:val="24"/>
                <w:szCs w:val="24"/>
                <w:highlight w:val="none"/>
              </w:rPr>
              <w:t>本次招标实行资格后审，投标人的资格要求同本项目招标公告《投标资格要求》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b/>
                <w:color w:val="auto"/>
                <w:sz w:val="24"/>
                <w:szCs w:val="24"/>
                <w:highlight w:val="none"/>
              </w:rPr>
            </w:pPr>
            <w:r>
              <w:rPr>
                <w:rFonts w:hint="eastAsia"/>
                <w:b/>
                <w:color w:val="auto"/>
                <w:sz w:val="24"/>
                <w:szCs w:val="24"/>
                <w:highlight w:val="none"/>
              </w:rPr>
              <w:t>现场踏勘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560" w:type="dxa"/>
            <w:tcBorders>
              <w:top w:val="single" w:color="auto" w:sz="6" w:space="0"/>
              <w:bottom w:val="single" w:color="auto" w:sz="6" w:space="0"/>
            </w:tcBorders>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12</w:t>
            </w:r>
          </w:p>
        </w:tc>
        <w:tc>
          <w:tcPr>
            <w:tcW w:w="815" w:type="dxa"/>
            <w:tcBorders>
              <w:top w:val="single" w:color="auto" w:sz="6" w:space="0"/>
              <w:bottom w:val="single" w:color="auto" w:sz="6" w:space="0"/>
            </w:tcBorders>
            <w:vAlign w:val="center"/>
          </w:tcPr>
          <w:p>
            <w:pPr>
              <w:snapToGrid w:val="0"/>
              <w:spacing w:line="360" w:lineRule="auto"/>
              <w:jc w:val="center"/>
              <w:rPr>
                <w:color w:val="auto"/>
                <w:sz w:val="24"/>
                <w:szCs w:val="24"/>
                <w:highlight w:val="none"/>
              </w:rPr>
            </w:pPr>
            <w:r>
              <w:rPr>
                <w:color w:val="auto"/>
                <w:sz w:val="24"/>
                <w:szCs w:val="24"/>
                <w:highlight w:val="none"/>
              </w:rPr>
              <w:t>6.1</w:t>
            </w:r>
          </w:p>
        </w:tc>
        <w:tc>
          <w:tcPr>
            <w:tcW w:w="8647" w:type="dxa"/>
            <w:tcBorders>
              <w:top w:val="single" w:color="auto" w:sz="6" w:space="0"/>
              <w:bottom w:val="single" w:color="auto" w:sz="6" w:space="0"/>
            </w:tcBorders>
            <w:vAlign w:val="center"/>
          </w:tcPr>
          <w:p>
            <w:pPr>
              <w:snapToGrid w:val="0"/>
              <w:spacing w:line="360" w:lineRule="auto"/>
              <w:rPr>
                <w:color w:val="auto"/>
                <w:sz w:val="24"/>
                <w:szCs w:val="24"/>
                <w:highlight w:val="none"/>
              </w:rPr>
            </w:pPr>
            <w:r>
              <w:rPr>
                <w:rFonts w:hint="eastAsia"/>
                <w:color w:val="auto"/>
                <w:sz w:val="24"/>
                <w:szCs w:val="24"/>
                <w:highlight w:val="none"/>
              </w:rPr>
              <w:t>招标人不统一组织踏勘。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b/>
                <w:color w:val="auto"/>
                <w:sz w:val="24"/>
                <w:szCs w:val="24"/>
                <w:highlight w:val="none"/>
              </w:rPr>
            </w:pPr>
            <w:r>
              <w:rPr>
                <w:rFonts w:hint="eastAsia"/>
                <w:b/>
                <w:color w:val="auto"/>
                <w:sz w:val="24"/>
                <w:szCs w:val="24"/>
                <w:highlight w:val="none"/>
              </w:rPr>
              <w:t>投标人对招标文件提出的异议及要求澄清的截止时间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13</w:t>
            </w:r>
          </w:p>
        </w:tc>
        <w:tc>
          <w:tcPr>
            <w:tcW w:w="815" w:type="dxa"/>
            <w:tcBorders>
              <w:top w:val="single" w:color="auto" w:sz="6" w:space="0"/>
            </w:tcBorders>
            <w:vAlign w:val="center"/>
          </w:tcPr>
          <w:p>
            <w:pPr>
              <w:snapToGrid w:val="0"/>
              <w:spacing w:line="360" w:lineRule="auto"/>
              <w:jc w:val="center"/>
              <w:rPr>
                <w:color w:val="auto"/>
                <w:sz w:val="24"/>
                <w:szCs w:val="24"/>
                <w:highlight w:val="none"/>
              </w:rPr>
            </w:pPr>
            <w:r>
              <w:rPr>
                <w:color w:val="auto"/>
                <w:sz w:val="24"/>
                <w:szCs w:val="24"/>
                <w:highlight w:val="none"/>
              </w:rPr>
              <w:t>9</w:t>
            </w:r>
          </w:p>
        </w:tc>
        <w:tc>
          <w:tcPr>
            <w:tcW w:w="8647" w:type="dxa"/>
            <w:tcBorders>
              <w:top w:val="single" w:color="auto" w:sz="6" w:space="0"/>
            </w:tcBorders>
            <w:vAlign w:val="center"/>
          </w:tcPr>
          <w:p>
            <w:pPr>
              <w:snapToGrid w:val="0"/>
              <w:spacing w:line="360" w:lineRule="auto"/>
              <w:jc w:val="left"/>
              <w:rPr>
                <w:color w:val="auto"/>
                <w:sz w:val="24"/>
                <w:highlight w:val="none"/>
              </w:rPr>
            </w:pPr>
            <w:r>
              <w:rPr>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pPr>
              <w:snapToGrid w:val="0"/>
              <w:spacing w:line="360" w:lineRule="auto"/>
              <w:rPr>
                <w:color w:val="auto"/>
                <w:sz w:val="24"/>
                <w:szCs w:val="24"/>
                <w:highlight w:val="none"/>
              </w:rPr>
            </w:pPr>
            <w:r>
              <w:rPr>
                <w:color w:val="auto"/>
                <w:sz w:val="24"/>
                <w:highlight w:val="none"/>
              </w:rPr>
              <w:t>2、投标人要求澄清招标文件的截止时间为投标截止时间15日前。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tcBorders>
            <w:shd w:val="clear" w:color="auto" w:fill="D9D9D9"/>
            <w:vAlign w:val="center"/>
          </w:tcPr>
          <w:p>
            <w:pPr>
              <w:snapToGrid w:val="0"/>
              <w:spacing w:line="360" w:lineRule="auto"/>
              <w:jc w:val="center"/>
              <w:rPr>
                <w:color w:val="auto"/>
                <w:sz w:val="24"/>
                <w:highlight w:val="none"/>
              </w:rPr>
            </w:pPr>
            <w:r>
              <w:rPr>
                <w:rFonts w:hint="eastAsia"/>
                <w:b/>
                <w:color w:val="auto"/>
                <w:sz w:val="24"/>
                <w:szCs w:val="24"/>
                <w:highlight w:val="none"/>
              </w:rPr>
              <w:t>投</w:t>
            </w:r>
            <w:r>
              <w:rPr>
                <w:b/>
                <w:color w:val="auto"/>
                <w:sz w:val="24"/>
                <w:szCs w:val="24"/>
                <w:highlight w:val="none"/>
              </w:rPr>
              <w:t xml:space="preserve">  </w:t>
            </w:r>
            <w:r>
              <w:rPr>
                <w:rFonts w:hint="eastAsia"/>
                <w:b/>
                <w:color w:val="auto"/>
                <w:sz w:val="24"/>
                <w:szCs w:val="24"/>
                <w:highlight w:val="none"/>
              </w:rPr>
              <w:t>标</w:t>
            </w:r>
            <w:r>
              <w:rPr>
                <w:b/>
                <w:color w:val="auto"/>
                <w:sz w:val="24"/>
                <w:szCs w:val="24"/>
                <w:highlight w:val="none"/>
              </w:rPr>
              <w:t xml:space="preserve">  </w:t>
            </w:r>
            <w:r>
              <w:rPr>
                <w:rFonts w:hint="eastAsia"/>
                <w:b/>
                <w:color w:val="auto"/>
                <w:sz w:val="24"/>
                <w:szCs w:val="24"/>
                <w:highlight w:val="none"/>
              </w:rPr>
              <w:t>报</w:t>
            </w:r>
            <w:r>
              <w:rPr>
                <w:b/>
                <w:color w:val="auto"/>
                <w:sz w:val="24"/>
                <w:szCs w:val="24"/>
                <w:highlight w:val="none"/>
              </w:rPr>
              <w:t xml:space="preserve">  </w:t>
            </w:r>
            <w:r>
              <w:rPr>
                <w:rFonts w:hint="eastAsia"/>
                <w:b/>
                <w:color w:val="auto"/>
                <w:sz w:val="24"/>
                <w:szCs w:val="24"/>
                <w:highlight w:val="none"/>
              </w:rPr>
              <w:t>价</w:t>
            </w:r>
            <w:r>
              <w:rPr>
                <w:b/>
                <w:color w:val="auto"/>
                <w:sz w:val="24"/>
                <w:szCs w:val="24"/>
                <w:highlight w:val="none"/>
              </w:rPr>
              <w:t xml:space="preserve">  </w:t>
            </w:r>
            <w:r>
              <w:rPr>
                <w:rFonts w:hint="eastAsia"/>
                <w:b/>
                <w:color w:val="auto"/>
                <w:sz w:val="24"/>
                <w:szCs w:val="24"/>
                <w:highlight w:val="none"/>
              </w:rPr>
              <w:t>和</w:t>
            </w:r>
            <w:r>
              <w:rPr>
                <w:b/>
                <w:color w:val="auto"/>
                <w:sz w:val="24"/>
                <w:szCs w:val="24"/>
                <w:highlight w:val="none"/>
              </w:rPr>
              <w:t xml:space="preserve">  </w:t>
            </w:r>
            <w:r>
              <w:rPr>
                <w:rFonts w:hint="eastAsia"/>
                <w:b/>
                <w:color w:val="auto"/>
                <w:sz w:val="24"/>
                <w:szCs w:val="24"/>
                <w:highlight w:val="none"/>
              </w:rPr>
              <w:t>货</w:t>
            </w:r>
            <w:r>
              <w:rPr>
                <w:b/>
                <w:color w:val="auto"/>
                <w:sz w:val="24"/>
                <w:szCs w:val="24"/>
                <w:highlight w:val="none"/>
              </w:rPr>
              <w:t xml:space="preserve">  </w:t>
            </w:r>
            <w:r>
              <w:rPr>
                <w:rFonts w:hint="eastAsia"/>
                <w:b/>
                <w:color w:val="auto"/>
                <w:sz w:val="24"/>
                <w:szCs w:val="24"/>
                <w:highlight w:val="none"/>
              </w:rPr>
              <w:t>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3"/>
              <w:numPr>
                <w:ilvl w:val="0"/>
                <w:numId w:val="5"/>
              </w:numPr>
              <w:snapToGrid w:val="0"/>
              <w:spacing w:line="360" w:lineRule="auto"/>
              <w:ind w:firstLineChars="0"/>
              <w:jc w:val="center"/>
              <w:rPr>
                <w:color w:val="auto"/>
                <w:sz w:val="24"/>
                <w:highlight w:val="none"/>
              </w:rPr>
            </w:pPr>
          </w:p>
        </w:tc>
        <w:tc>
          <w:tcPr>
            <w:tcW w:w="815" w:type="dxa"/>
            <w:tcBorders>
              <w:top w:val="single" w:color="auto" w:sz="6" w:space="0"/>
            </w:tcBorders>
            <w:vAlign w:val="center"/>
          </w:tcPr>
          <w:p>
            <w:pPr>
              <w:snapToGrid w:val="0"/>
              <w:spacing w:line="360" w:lineRule="auto"/>
              <w:jc w:val="center"/>
              <w:rPr>
                <w:color w:val="auto"/>
                <w:sz w:val="24"/>
                <w:szCs w:val="24"/>
                <w:highlight w:val="none"/>
              </w:rPr>
            </w:pPr>
            <w:r>
              <w:rPr>
                <w:color w:val="auto"/>
                <w:sz w:val="24"/>
                <w:szCs w:val="24"/>
                <w:highlight w:val="none"/>
              </w:rPr>
              <w:t>14.1</w:t>
            </w:r>
          </w:p>
        </w:tc>
        <w:tc>
          <w:tcPr>
            <w:tcW w:w="8647" w:type="dxa"/>
            <w:tcBorders>
              <w:top w:val="single" w:color="auto" w:sz="6" w:space="0"/>
            </w:tcBorders>
            <w:vAlign w:val="center"/>
          </w:tcPr>
          <w:p>
            <w:pPr>
              <w:snapToGrid w:val="0"/>
              <w:spacing w:line="360" w:lineRule="auto"/>
              <w:jc w:val="left"/>
              <w:rPr>
                <w:color w:val="auto"/>
                <w:sz w:val="24"/>
                <w:highlight w:val="none"/>
              </w:rPr>
            </w:pPr>
            <w:r>
              <w:rPr>
                <w:rFonts w:hint="eastAsia"/>
                <w:color w:val="auto"/>
                <w:sz w:val="24"/>
                <w:highlight w:val="none"/>
              </w:rPr>
              <w:t>投标报价方式：投标报价应为固定总价的报价方式，投标人根据招标人提供的资料自行填报固定总价，其价格应包含完成所需的一切费用。按可调整价格报价的投标文件将被视为不响应招标文件。</w:t>
            </w:r>
          </w:p>
          <w:p>
            <w:pPr>
              <w:snapToGrid w:val="0"/>
              <w:spacing w:line="360" w:lineRule="auto"/>
              <w:jc w:val="left"/>
              <w:rPr>
                <w:color w:val="auto"/>
                <w:highlight w:val="none"/>
              </w:rPr>
            </w:pPr>
            <w:r>
              <w:rPr>
                <w:rFonts w:hint="eastAsia"/>
                <w:color w:val="auto"/>
                <w:sz w:val="24"/>
                <w:highlight w:val="none"/>
              </w:rPr>
              <w:t>本项目最高投标限价：</w:t>
            </w:r>
            <w:r>
              <w:rPr>
                <w:rFonts w:hint="eastAsia"/>
                <w:color w:val="auto"/>
                <w:sz w:val="24"/>
                <w:highlight w:val="none"/>
                <w:lang w:val="en-US" w:eastAsia="zh-CN"/>
              </w:rPr>
              <w:t>720</w:t>
            </w:r>
            <w:r>
              <w:rPr>
                <w:rFonts w:hint="eastAsia"/>
                <w:color w:val="auto"/>
                <w:sz w:val="24"/>
                <w:highlight w:val="none"/>
              </w:rPr>
              <w:t>万元。投标人所填报价不得高于上述最高限价，否则按废标处理。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tcBorders>
            <w:vAlign w:val="center"/>
          </w:tcPr>
          <w:p>
            <w:pPr>
              <w:pStyle w:val="33"/>
              <w:numPr>
                <w:ilvl w:val="0"/>
                <w:numId w:val="5"/>
              </w:numPr>
              <w:snapToGrid w:val="0"/>
              <w:spacing w:line="360" w:lineRule="auto"/>
              <w:ind w:firstLineChars="0"/>
              <w:jc w:val="center"/>
              <w:rPr>
                <w:color w:val="auto"/>
                <w:sz w:val="24"/>
                <w:highlight w:val="none"/>
              </w:rPr>
            </w:pPr>
          </w:p>
        </w:tc>
        <w:tc>
          <w:tcPr>
            <w:tcW w:w="815" w:type="dxa"/>
            <w:tcBorders>
              <w:top w:val="single" w:color="auto" w:sz="6" w:space="0"/>
            </w:tcBorders>
            <w:vAlign w:val="center"/>
          </w:tcPr>
          <w:p>
            <w:pPr>
              <w:snapToGrid w:val="0"/>
              <w:spacing w:line="360" w:lineRule="auto"/>
              <w:jc w:val="center"/>
              <w:rPr>
                <w:color w:val="auto"/>
                <w:sz w:val="24"/>
                <w:szCs w:val="24"/>
                <w:highlight w:val="none"/>
              </w:rPr>
            </w:pPr>
            <w:r>
              <w:rPr>
                <w:color w:val="auto"/>
                <w:sz w:val="24"/>
                <w:szCs w:val="24"/>
                <w:highlight w:val="none"/>
              </w:rPr>
              <w:t>15.1</w:t>
            </w:r>
          </w:p>
        </w:tc>
        <w:tc>
          <w:tcPr>
            <w:tcW w:w="8647" w:type="dxa"/>
            <w:tcBorders>
              <w:top w:val="single" w:color="auto" w:sz="6" w:space="0"/>
            </w:tcBorders>
            <w:vAlign w:val="center"/>
          </w:tcPr>
          <w:p>
            <w:pPr>
              <w:snapToGrid w:val="0"/>
              <w:spacing w:line="360" w:lineRule="auto"/>
              <w:jc w:val="left"/>
              <w:rPr>
                <w:color w:val="auto"/>
                <w:sz w:val="24"/>
                <w:highlight w:val="none"/>
              </w:rPr>
            </w:pPr>
            <w:r>
              <w:rPr>
                <w:rFonts w:hint="eastAsia"/>
                <w:color w:val="auto"/>
                <w:sz w:val="24"/>
                <w:highlight w:val="none"/>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6" w:hRule="atLeast"/>
          <w:jc w:val="center"/>
        </w:trPr>
        <w:tc>
          <w:tcPr>
            <w:tcW w:w="10022" w:type="dxa"/>
            <w:gridSpan w:val="3"/>
            <w:shd w:val="clear" w:color="auto" w:fill="E6E6E6"/>
            <w:vAlign w:val="center"/>
          </w:tcPr>
          <w:p>
            <w:pPr>
              <w:snapToGrid w:val="0"/>
              <w:spacing w:line="360" w:lineRule="auto"/>
              <w:jc w:val="center"/>
              <w:rPr>
                <w:b/>
                <w:color w:val="auto"/>
                <w:sz w:val="24"/>
                <w:szCs w:val="24"/>
                <w:highlight w:val="none"/>
              </w:rPr>
            </w:pPr>
            <w:r>
              <w:rPr>
                <w:rFonts w:hint="eastAsia"/>
                <w:b/>
                <w:color w:val="auto"/>
                <w:sz w:val="24"/>
                <w:szCs w:val="24"/>
                <w:highlight w:val="none"/>
              </w:rPr>
              <w:t>投</w:t>
            </w:r>
            <w:r>
              <w:rPr>
                <w:b/>
                <w:color w:val="auto"/>
                <w:sz w:val="24"/>
                <w:szCs w:val="24"/>
                <w:highlight w:val="none"/>
              </w:rPr>
              <w:t xml:space="preserve"> </w:t>
            </w:r>
            <w:r>
              <w:rPr>
                <w:rFonts w:hint="eastAsia"/>
                <w:b/>
                <w:color w:val="auto"/>
                <w:sz w:val="24"/>
                <w:szCs w:val="24"/>
                <w:highlight w:val="none"/>
              </w:rPr>
              <w:t>标</w:t>
            </w:r>
            <w:r>
              <w:rPr>
                <w:b/>
                <w:color w:val="auto"/>
                <w:sz w:val="24"/>
                <w:szCs w:val="24"/>
                <w:highlight w:val="none"/>
              </w:rPr>
              <w:t xml:space="preserve"> </w:t>
            </w:r>
            <w:r>
              <w:rPr>
                <w:rFonts w:hint="eastAsia"/>
                <w:b/>
                <w:color w:val="auto"/>
                <w:sz w:val="24"/>
                <w:szCs w:val="24"/>
                <w:highlight w:val="none"/>
              </w:rPr>
              <w:t>文</w:t>
            </w:r>
            <w:r>
              <w:rPr>
                <w:b/>
                <w:color w:val="auto"/>
                <w:sz w:val="24"/>
                <w:szCs w:val="24"/>
                <w:highlight w:val="none"/>
              </w:rPr>
              <w:t xml:space="preserve"> </w:t>
            </w:r>
            <w:r>
              <w:rPr>
                <w:rFonts w:hint="eastAsia"/>
                <w:b/>
                <w:color w:val="auto"/>
                <w:sz w:val="24"/>
                <w:szCs w:val="24"/>
                <w:highlight w:val="none"/>
              </w:rPr>
              <w:t>件</w:t>
            </w:r>
            <w:r>
              <w:rPr>
                <w:b/>
                <w:color w:val="auto"/>
                <w:sz w:val="24"/>
                <w:szCs w:val="24"/>
                <w:highlight w:val="none"/>
              </w:rPr>
              <w:t xml:space="preserve"> </w:t>
            </w:r>
            <w:r>
              <w:rPr>
                <w:rFonts w:hint="eastAsia"/>
                <w:b/>
                <w:color w:val="auto"/>
                <w:sz w:val="24"/>
                <w:szCs w:val="24"/>
                <w:highlight w:val="none"/>
              </w:rPr>
              <w:t>的</w:t>
            </w:r>
            <w:r>
              <w:rPr>
                <w:b/>
                <w:color w:val="auto"/>
                <w:sz w:val="24"/>
                <w:szCs w:val="24"/>
                <w:highlight w:val="none"/>
              </w:rPr>
              <w:t xml:space="preserve"> </w:t>
            </w:r>
            <w:r>
              <w:rPr>
                <w:rFonts w:hint="eastAsia"/>
                <w:b/>
                <w:color w:val="auto"/>
                <w:sz w:val="24"/>
                <w:szCs w:val="24"/>
                <w:highlight w:val="none"/>
              </w:rPr>
              <w:t>编</w:t>
            </w:r>
            <w:r>
              <w:rPr>
                <w:b/>
                <w:color w:val="auto"/>
                <w:sz w:val="24"/>
                <w:szCs w:val="24"/>
                <w:highlight w:val="none"/>
              </w:rPr>
              <w:t xml:space="preserve"> </w:t>
            </w:r>
            <w:r>
              <w:rPr>
                <w:rFonts w:hint="eastAsia"/>
                <w:b/>
                <w:color w:val="auto"/>
                <w:sz w:val="24"/>
                <w:szCs w:val="24"/>
                <w:highlight w:val="none"/>
              </w:rPr>
              <w:t>制</w:t>
            </w:r>
            <w:r>
              <w:rPr>
                <w:b/>
                <w:color w:val="auto"/>
                <w:sz w:val="24"/>
                <w:szCs w:val="24"/>
                <w:highlight w:val="none"/>
              </w:rPr>
              <w:t xml:space="preserve"> </w:t>
            </w:r>
            <w:r>
              <w:rPr>
                <w:rFonts w:hint="eastAsia"/>
                <w:b/>
                <w:color w:val="auto"/>
                <w:sz w:val="24"/>
                <w:szCs w:val="24"/>
                <w:highlight w:val="none"/>
              </w:rPr>
              <w:t>和</w:t>
            </w:r>
            <w:r>
              <w:rPr>
                <w:b/>
                <w:color w:val="auto"/>
                <w:sz w:val="24"/>
                <w:szCs w:val="24"/>
                <w:highlight w:val="none"/>
              </w:rPr>
              <w:t xml:space="preserve"> </w:t>
            </w:r>
            <w:r>
              <w:rPr>
                <w:rFonts w:hint="eastAsia"/>
                <w:b/>
                <w:color w:val="auto"/>
                <w:sz w:val="24"/>
                <w:szCs w:val="24"/>
                <w:highlight w:val="none"/>
              </w:rPr>
              <w:t>递</w:t>
            </w:r>
            <w:r>
              <w:rPr>
                <w:b/>
                <w:color w:val="auto"/>
                <w:sz w:val="24"/>
                <w:szCs w:val="24"/>
                <w:highlight w:val="none"/>
              </w:rPr>
              <w:t xml:space="preserve"> </w:t>
            </w:r>
            <w:r>
              <w:rPr>
                <w:rFonts w:hint="eastAsia"/>
                <w:b/>
                <w:color w:val="auto"/>
                <w:sz w:val="24"/>
                <w:szCs w:val="24"/>
                <w:highlight w:val="none"/>
              </w:rPr>
              <w:t>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14</w:t>
            </w:r>
          </w:p>
        </w:tc>
        <w:tc>
          <w:tcPr>
            <w:tcW w:w="815" w:type="dxa"/>
            <w:vAlign w:val="center"/>
          </w:tcPr>
          <w:p>
            <w:pPr>
              <w:snapToGrid w:val="0"/>
              <w:spacing w:line="360" w:lineRule="auto"/>
              <w:jc w:val="center"/>
              <w:rPr>
                <w:color w:val="auto"/>
                <w:sz w:val="24"/>
                <w:szCs w:val="24"/>
                <w:highlight w:val="none"/>
              </w:rPr>
            </w:pPr>
            <w:r>
              <w:rPr>
                <w:color w:val="auto"/>
                <w:sz w:val="24"/>
                <w:szCs w:val="24"/>
                <w:highlight w:val="none"/>
              </w:rPr>
              <w:t>18</w:t>
            </w:r>
          </w:p>
        </w:tc>
        <w:tc>
          <w:tcPr>
            <w:tcW w:w="8647" w:type="dxa"/>
            <w:vAlign w:val="center"/>
          </w:tcPr>
          <w:p>
            <w:pPr>
              <w:snapToGrid w:val="0"/>
              <w:spacing w:line="360" w:lineRule="auto"/>
              <w:jc w:val="left"/>
              <w:rPr>
                <w:color w:val="auto"/>
                <w:sz w:val="24"/>
                <w:highlight w:val="none"/>
              </w:rPr>
            </w:pPr>
            <w:r>
              <w:rPr>
                <w:rFonts w:hint="eastAsia"/>
                <w:color w:val="auto"/>
                <w:sz w:val="24"/>
                <w:highlight w:val="none"/>
              </w:rPr>
              <w:t>是否要求投标人递交投标保证金：</w:t>
            </w:r>
          </w:p>
          <w:p>
            <w:pPr>
              <w:snapToGrid w:val="0"/>
              <w:spacing w:line="360" w:lineRule="auto"/>
              <w:jc w:val="left"/>
              <w:rPr>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不要求</w:t>
            </w:r>
          </w:p>
          <w:p>
            <w:pPr>
              <w:snapToGrid w:val="0"/>
              <w:spacing w:line="360" w:lineRule="auto"/>
              <w:jc w:val="left"/>
              <w:rPr>
                <w:color w:val="auto"/>
                <w:sz w:val="24"/>
                <w:highlight w:val="none"/>
              </w:rPr>
            </w:pPr>
            <w:r>
              <w:rPr>
                <w:color w:val="auto"/>
                <w:sz w:val="24"/>
                <w:highlight w:val="none"/>
              </w:rPr>
              <w:t xml:space="preserve">☑ </w:t>
            </w:r>
            <w:r>
              <w:rPr>
                <w:rFonts w:hint="eastAsia"/>
                <w:color w:val="auto"/>
                <w:sz w:val="24"/>
                <w:highlight w:val="none"/>
              </w:rPr>
              <w:t>要求</w:t>
            </w:r>
          </w:p>
          <w:p>
            <w:pPr>
              <w:snapToGrid w:val="0"/>
              <w:spacing w:line="360" w:lineRule="auto"/>
              <w:jc w:val="left"/>
              <w:rPr>
                <w:color w:val="auto"/>
                <w:sz w:val="24"/>
                <w:highlight w:val="none"/>
              </w:rPr>
            </w:pPr>
            <w:r>
              <w:rPr>
                <w:color w:val="auto"/>
                <w:sz w:val="24"/>
                <w:highlight w:val="none"/>
              </w:rPr>
              <w:t>1.投标保证金有效期：与投标有效期一致。</w:t>
            </w:r>
          </w:p>
          <w:p>
            <w:pPr>
              <w:snapToGrid w:val="0"/>
              <w:spacing w:line="360" w:lineRule="auto"/>
              <w:jc w:val="left"/>
              <w:rPr>
                <w:color w:val="auto"/>
                <w:sz w:val="24"/>
                <w:highlight w:val="none"/>
              </w:rPr>
            </w:pPr>
            <w:r>
              <w:rPr>
                <w:color w:val="auto"/>
                <w:sz w:val="24"/>
                <w:highlight w:val="none"/>
              </w:rPr>
              <w:t>2.投标保证金的形式：</w:t>
            </w:r>
          </w:p>
          <w:p>
            <w:pPr>
              <w:snapToGrid w:val="0"/>
              <w:spacing w:line="360" w:lineRule="auto"/>
              <w:jc w:val="left"/>
              <w:rPr>
                <w:color w:val="auto"/>
                <w:sz w:val="24"/>
                <w:highlight w:val="none"/>
              </w:rPr>
            </w:pPr>
            <w:r>
              <w:rPr>
                <w:color w:val="auto"/>
                <w:sz w:val="24"/>
                <w:highlight w:val="none"/>
              </w:rPr>
              <w:t xml:space="preserve">☑ </w:t>
            </w:r>
            <w:r>
              <w:rPr>
                <w:rFonts w:hint="eastAsia"/>
                <w:color w:val="auto"/>
                <w:sz w:val="24"/>
                <w:highlight w:val="none"/>
              </w:rPr>
              <w:t>电汇</w:t>
            </w:r>
            <w:r>
              <w:rPr>
                <w:color w:val="auto"/>
                <w:sz w:val="24"/>
                <w:highlight w:val="none"/>
              </w:rPr>
              <w:t xml:space="preserve"> ☑ 保函：        </w:t>
            </w:r>
          </w:p>
          <w:p>
            <w:pPr>
              <w:snapToGrid w:val="0"/>
              <w:spacing w:line="360" w:lineRule="auto"/>
              <w:jc w:val="left"/>
              <w:rPr>
                <w:color w:val="auto"/>
                <w:sz w:val="24"/>
                <w:highlight w:val="none"/>
              </w:rPr>
            </w:pPr>
            <w:r>
              <w:rPr>
                <w:color w:val="auto"/>
                <w:sz w:val="24"/>
                <w:highlight w:val="none"/>
              </w:rPr>
              <w:t>3.投标保证金金额：人民币</w:t>
            </w:r>
            <w:r>
              <w:rPr>
                <w:rFonts w:hint="eastAsia"/>
                <w:color w:val="auto"/>
                <w:sz w:val="24"/>
                <w:highlight w:val="none"/>
                <w:lang w:val="en-US" w:eastAsia="zh-CN"/>
              </w:rPr>
              <w:t>70000.00</w:t>
            </w:r>
            <w:r>
              <w:rPr>
                <w:rFonts w:hint="eastAsia"/>
                <w:color w:val="auto"/>
                <w:sz w:val="24"/>
                <w:highlight w:val="none"/>
              </w:rPr>
              <w:t>元。</w:t>
            </w:r>
          </w:p>
          <w:p>
            <w:pPr>
              <w:snapToGrid w:val="0"/>
              <w:spacing w:line="360" w:lineRule="auto"/>
              <w:jc w:val="left"/>
              <w:rPr>
                <w:color w:val="auto"/>
                <w:sz w:val="24"/>
                <w:highlight w:val="none"/>
              </w:rPr>
            </w:pPr>
            <w:r>
              <w:rPr>
                <w:rFonts w:hint="eastAsia"/>
                <w:color w:val="auto"/>
                <w:sz w:val="24"/>
                <w:highlight w:val="none"/>
              </w:rPr>
              <w:t>（</w:t>
            </w:r>
            <w:r>
              <w:rPr>
                <w:color w:val="auto"/>
                <w:sz w:val="24"/>
                <w:highlight w:val="none"/>
              </w:rPr>
              <w:t>1）电汇：投标保证金必须是从投标人单位的基本账户转入收取投标保证金的账户。</w:t>
            </w:r>
          </w:p>
          <w:p>
            <w:pPr>
              <w:snapToGrid w:val="0"/>
              <w:spacing w:line="360" w:lineRule="auto"/>
              <w:jc w:val="left"/>
              <w:rPr>
                <w:color w:val="auto"/>
                <w:sz w:val="24"/>
                <w:highlight w:val="none"/>
              </w:rPr>
            </w:pPr>
            <w:r>
              <w:rPr>
                <w:rFonts w:hint="eastAsia"/>
                <w:color w:val="auto"/>
                <w:sz w:val="24"/>
                <w:highlight w:val="none"/>
              </w:rPr>
              <w:t>（</w:t>
            </w:r>
            <w:r>
              <w:rPr>
                <w:color w:val="auto"/>
                <w:sz w:val="24"/>
                <w:highlight w:val="none"/>
              </w:rPr>
              <w:t>2）此账户仅为递交投标保证金的账户，汇款时请备注项目编号及款项。</w:t>
            </w:r>
          </w:p>
          <w:p>
            <w:pPr>
              <w:snapToGrid w:val="0"/>
              <w:spacing w:line="360" w:lineRule="auto"/>
              <w:jc w:val="left"/>
              <w:rPr>
                <w:color w:val="auto"/>
                <w:sz w:val="24"/>
                <w:highlight w:val="none"/>
              </w:rPr>
            </w:pPr>
            <w:r>
              <w:rPr>
                <w:rFonts w:hint="eastAsia"/>
                <w:color w:val="auto"/>
                <w:sz w:val="24"/>
                <w:highlight w:val="none"/>
              </w:rPr>
              <w:t>收取投标保证金账号：</w:t>
            </w:r>
          </w:p>
          <w:p>
            <w:pPr>
              <w:snapToGrid w:val="0"/>
              <w:spacing w:line="360" w:lineRule="auto"/>
              <w:jc w:val="left"/>
              <w:rPr>
                <w:color w:val="auto"/>
                <w:sz w:val="24"/>
                <w:highlight w:val="none"/>
              </w:rPr>
            </w:pPr>
            <w:r>
              <w:rPr>
                <w:rFonts w:hint="eastAsia"/>
                <w:color w:val="auto"/>
                <w:sz w:val="24"/>
                <w:highlight w:val="none"/>
              </w:rPr>
              <w:t>账户名称：辽宁国信建设工程管理有限公司</w:t>
            </w:r>
          </w:p>
          <w:p>
            <w:pPr>
              <w:snapToGrid w:val="0"/>
              <w:spacing w:line="360" w:lineRule="auto"/>
              <w:jc w:val="left"/>
              <w:rPr>
                <w:color w:val="auto"/>
                <w:sz w:val="24"/>
                <w:highlight w:val="none"/>
              </w:rPr>
            </w:pPr>
            <w:r>
              <w:rPr>
                <w:rFonts w:hint="eastAsia"/>
                <w:color w:val="auto"/>
                <w:sz w:val="24"/>
                <w:highlight w:val="none"/>
              </w:rPr>
              <w:t>开户银行：招商银行营口分行营业部</w:t>
            </w:r>
          </w:p>
          <w:p>
            <w:pPr>
              <w:snapToGrid w:val="0"/>
              <w:spacing w:line="360" w:lineRule="auto"/>
              <w:jc w:val="left"/>
              <w:rPr>
                <w:color w:val="auto"/>
                <w:sz w:val="24"/>
                <w:highlight w:val="none"/>
              </w:rPr>
            </w:pPr>
            <w:r>
              <w:rPr>
                <w:rFonts w:hint="eastAsia"/>
                <w:color w:val="auto"/>
                <w:sz w:val="24"/>
                <w:highlight w:val="none"/>
              </w:rPr>
              <w:t>账</w:t>
            </w:r>
            <w:r>
              <w:rPr>
                <w:color w:val="auto"/>
                <w:sz w:val="24"/>
                <w:highlight w:val="none"/>
              </w:rPr>
              <w:t xml:space="preserve">    </w:t>
            </w:r>
            <w:r>
              <w:rPr>
                <w:rFonts w:hint="eastAsia"/>
                <w:color w:val="auto"/>
                <w:sz w:val="24"/>
                <w:highlight w:val="none"/>
              </w:rPr>
              <w:t>号：</w:t>
            </w:r>
            <w:r>
              <w:rPr>
                <w:color w:val="auto"/>
                <w:sz w:val="24"/>
                <w:highlight w:val="none"/>
              </w:rPr>
              <w:t>417900156710302</w:t>
            </w:r>
          </w:p>
          <w:p>
            <w:pPr>
              <w:snapToGrid w:val="0"/>
              <w:spacing w:line="360" w:lineRule="auto"/>
              <w:jc w:val="left"/>
              <w:rPr>
                <w:color w:val="auto"/>
                <w:sz w:val="24"/>
                <w:highlight w:val="none"/>
              </w:rPr>
            </w:pPr>
            <w:r>
              <w:rPr>
                <w:color w:val="auto"/>
                <w:sz w:val="24"/>
                <w:highlight w:val="none"/>
              </w:rPr>
              <w:t>a.请将投标保证金在投标截止时间前转入收取投标保证金的账户，以到账时间为准。</w:t>
            </w:r>
          </w:p>
          <w:p>
            <w:pPr>
              <w:snapToGrid w:val="0"/>
              <w:spacing w:line="360" w:lineRule="auto"/>
              <w:jc w:val="left"/>
              <w:rPr>
                <w:color w:val="auto"/>
                <w:sz w:val="24"/>
                <w:highlight w:val="none"/>
              </w:rPr>
            </w:pPr>
            <w:r>
              <w:rPr>
                <w:color w:val="auto"/>
                <w:sz w:val="24"/>
                <w:highlight w:val="none"/>
              </w:rPr>
              <w:t>b.投标保证金退还时一律以银行转账方式退回，不退现金。</w:t>
            </w:r>
          </w:p>
          <w:p>
            <w:pPr>
              <w:snapToGrid w:val="0"/>
              <w:spacing w:line="360" w:lineRule="auto"/>
              <w:jc w:val="left"/>
              <w:rPr>
                <w:color w:val="auto"/>
                <w:sz w:val="24"/>
                <w:highlight w:val="none"/>
              </w:rPr>
            </w:pPr>
            <w:r>
              <w:rPr>
                <w:color w:val="auto"/>
                <w:sz w:val="24"/>
                <w:highlight w:val="none"/>
              </w:rPr>
              <w:t xml:space="preserve">c.投标保证金的退还事宜请与招标代理机构联系，电话：0417-3355086 </w:t>
            </w:r>
            <w:r>
              <w:rPr>
                <w:rFonts w:hint="eastAsia"/>
                <w:color w:val="auto"/>
                <w:sz w:val="24"/>
                <w:highlight w:val="none"/>
              </w:rPr>
              <w:t>。</w:t>
            </w:r>
          </w:p>
          <w:p>
            <w:pPr>
              <w:snapToGrid w:val="0"/>
              <w:spacing w:line="360" w:lineRule="auto"/>
              <w:jc w:val="left"/>
              <w:rPr>
                <w:color w:val="auto"/>
                <w:sz w:val="24"/>
                <w:highlight w:val="none"/>
              </w:rPr>
            </w:pPr>
            <w:r>
              <w:rPr>
                <w:rFonts w:hint="eastAsia"/>
                <w:color w:val="auto"/>
                <w:sz w:val="24"/>
                <w:highlight w:val="none"/>
              </w:rPr>
              <w:t>（</w:t>
            </w:r>
            <w:r>
              <w:rPr>
                <w:color w:val="auto"/>
                <w:sz w:val="24"/>
                <w:highlight w:val="none"/>
              </w:rPr>
              <w:t>2）保函（包括：银行业金融机构保函、担保公司担保保函等）</w:t>
            </w:r>
          </w:p>
          <w:p>
            <w:pPr>
              <w:snapToGrid w:val="0"/>
              <w:spacing w:line="360" w:lineRule="auto"/>
              <w:jc w:val="left"/>
              <w:rPr>
                <w:color w:val="auto"/>
                <w:sz w:val="24"/>
                <w:highlight w:val="none"/>
              </w:rPr>
            </w:pPr>
            <w:r>
              <w:rPr>
                <w:rFonts w:hint="eastAsia"/>
                <w:color w:val="auto"/>
                <w:sz w:val="24"/>
                <w:highlight w:val="none"/>
              </w:rPr>
              <w:t>递交要求：投标人须将有效的保函及投标人的基本账户开户许可证（或基本存款账户信息）的原件扫描件或截图编制在招标文件指定位置中。</w:t>
            </w:r>
          </w:p>
          <w:p>
            <w:pPr>
              <w:snapToGrid w:val="0"/>
              <w:spacing w:line="360" w:lineRule="auto"/>
              <w:jc w:val="left"/>
              <w:rPr>
                <w:i/>
                <w:color w:val="auto"/>
                <w:sz w:val="24"/>
                <w:szCs w:val="24"/>
                <w:highlight w:val="none"/>
              </w:rPr>
            </w:pPr>
            <w:r>
              <w:rPr>
                <w:color w:val="auto"/>
                <w:sz w:val="24"/>
                <w:highlight w:val="none"/>
              </w:rPr>
              <w:t>4.其他：投标人须将有效的保函及投标人的基本账户开户许可证（或基本存款账户信息）的原件扫描件或截图，以PDF文件格式，在保证金（或保函）递交截止时间前发送到招标代理机构邮箱并通过电话确认（邮箱：gxzbscb@163.com，联系电话：0417-3355086，邮件主题和正文需注明投标单位名称和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p>
        </w:tc>
        <w:tc>
          <w:tcPr>
            <w:tcW w:w="815" w:type="dxa"/>
            <w:vAlign w:val="center"/>
          </w:tcPr>
          <w:p>
            <w:pPr>
              <w:snapToGrid w:val="0"/>
              <w:spacing w:line="360" w:lineRule="auto"/>
              <w:jc w:val="center"/>
              <w:rPr>
                <w:color w:val="auto"/>
                <w:sz w:val="24"/>
                <w:szCs w:val="24"/>
                <w:highlight w:val="none"/>
              </w:rPr>
            </w:pPr>
            <w:r>
              <w:rPr>
                <w:color w:val="auto"/>
                <w:sz w:val="24"/>
                <w:szCs w:val="24"/>
                <w:highlight w:val="none"/>
              </w:rPr>
              <w:t>19.1</w:t>
            </w:r>
          </w:p>
        </w:tc>
        <w:tc>
          <w:tcPr>
            <w:tcW w:w="8647" w:type="dxa"/>
            <w:vAlign w:val="center"/>
          </w:tcPr>
          <w:p>
            <w:pPr>
              <w:snapToGrid w:val="0"/>
              <w:spacing w:line="360" w:lineRule="auto"/>
              <w:jc w:val="left"/>
              <w:rPr>
                <w:i/>
                <w:color w:val="auto"/>
                <w:sz w:val="24"/>
                <w:szCs w:val="24"/>
                <w:highlight w:val="none"/>
              </w:rPr>
            </w:pPr>
            <w:r>
              <w:rPr>
                <w:rFonts w:hint="eastAsia"/>
                <w:color w:val="auto"/>
                <w:sz w:val="24"/>
                <w:szCs w:val="24"/>
                <w:highlight w:val="none"/>
              </w:rPr>
              <w:t>投标有效期：</w:t>
            </w:r>
            <w:r>
              <w:rPr>
                <w:color w:val="auto"/>
                <w:sz w:val="24"/>
                <w:szCs w:val="24"/>
                <w:highlight w:val="none"/>
                <w:u w:val="single"/>
              </w:rPr>
              <w:t>90日历</w:t>
            </w:r>
            <w:r>
              <w:rPr>
                <w:rFonts w:hint="eastAsia"/>
                <w:color w:val="auto"/>
                <w:sz w:val="24"/>
                <w:szCs w:val="24"/>
                <w:highlight w:val="none"/>
              </w:rPr>
              <w:t>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15</w:t>
            </w:r>
          </w:p>
        </w:tc>
        <w:tc>
          <w:tcPr>
            <w:tcW w:w="815" w:type="dxa"/>
            <w:vAlign w:val="center"/>
          </w:tcPr>
          <w:p>
            <w:pPr>
              <w:snapToGrid w:val="0"/>
              <w:spacing w:line="360" w:lineRule="auto"/>
              <w:jc w:val="center"/>
              <w:rPr>
                <w:color w:val="auto"/>
                <w:sz w:val="24"/>
                <w:szCs w:val="24"/>
                <w:highlight w:val="none"/>
              </w:rPr>
            </w:pPr>
            <w:r>
              <w:rPr>
                <w:color w:val="auto"/>
                <w:sz w:val="24"/>
                <w:szCs w:val="24"/>
                <w:highlight w:val="none"/>
              </w:rPr>
              <w:t>20.1</w:t>
            </w:r>
          </w:p>
        </w:tc>
        <w:tc>
          <w:tcPr>
            <w:tcW w:w="8647" w:type="dxa"/>
            <w:vAlign w:val="center"/>
          </w:tcPr>
          <w:p>
            <w:pPr>
              <w:snapToGrid w:val="0"/>
              <w:spacing w:line="360" w:lineRule="auto"/>
              <w:jc w:val="left"/>
              <w:rPr>
                <w:color w:val="auto"/>
                <w:sz w:val="24"/>
                <w:szCs w:val="24"/>
                <w:highlight w:val="none"/>
              </w:rPr>
            </w:pPr>
            <w:r>
              <w:rPr>
                <w:rFonts w:hint="eastAsia"/>
                <w:color w:val="auto"/>
                <w:sz w:val="24"/>
                <w:szCs w:val="24"/>
                <w:highlight w:val="none"/>
              </w:rPr>
              <w:t>纸质版投标文件份数：</w:t>
            </w:r>
          </w:p>
          <w:p>
            <w:pPr>
              <w:snapToGrid w:val="0"/>
              <w:spacing w:line="360" w:lineRule="auto"/>
              <w:jc w:val="left"/>
              <w:rPr>
                <w:color w:val="auto"/>
                <w:sz w:val="24"/>
                <w:szCs w:val="24"/>
                <w:highlight w:val="none"/>
              </w:rPr>
            </w:pPr>
            <w:r>
              <w:rPr>
                <w:color w:val="auto"/>
                <w:sz w:val="24"/>
                <w:szCs w:val="24"/>
                <w:highlight w:val="none"/>
              </w:rPr>
              <w:t>1、正本</w:t>
            </w:r>
            <w:r>
              <w:rPr>
                <w:rFonts w:hint="eastAsia"/>
                <w:color w:val="auto"/>
                <w:sz w:val="24"/>
                <w:szCs w:val="24"/>
                <w:highlight w:val="none"/>
                <w:u w:val="single"/>
              </w:rPr>
              <w:t>壹</w:t>
            </w:r>
            <w:r>
              <w:rPr>
                <w:rFonts w:hint="eastAsia"/>
                <w:color w:val="auto"/>
                <w:sz w:val="24"/>
                <w:szCs w:val="24"/>
                <w:highlight w:val="none"/>
              </w:rPr>
              <w:t>本，副本</w:t>
            </w:r>
            <w:r>
              <w:rPr>
                <w:rFonts w:hint="eastAsia"/>
                <w:color w:val="auto"/>
                <w:sz w:val="24"/>
                <w:szCs w:val="24"/>
                <w:highlight w:val="none"/>
                <w:u w:val="single"/>
              </w:rPr>
              <w:t>肆</w:t>
            </w:r>
            <w:r>
              <w:rPr>
                <w:rFonts w:hint="eastAsia"/>
                <w:color w:val="auto"/>
                <w:sz w:val="24"/>
                <w:szCs w:val="24"/>
                <w:highlight w:val="none"/>
              </w:rPr>
              <w:t>本，封面应分别注明正、副本字样。</w:t>
            </w:r>
          </w:p>
          <w:p>
            <w:pPr>
              <w:snapToGrid w:val="0"/>
              <w:spacing w:line="360" w:lineRule="auto"/>
              <w:jc w:val="left"/>
              <w:rPr>
                <w:color w:val="auto"/>
                <w:sz w:val="24"/>
                <w:szCs w:val="24"/>
                <w:highlight w:val="none"/>
              </w:rPr>
            </w:pPr>
            <w:r>
              <w:rPr>
                <w:color w:val="auto"/>
                <w:sz w:val="24"/>
                <w:szCs w:val="24"/>
                <w:highlight w:val="none"/>
              </w:rPr>
              <w:t xml:space="preserve">2、投标文件电子文档贰份（(U </w:t>
            </w:r>
            <w:r>
              <w:rPr>
                <w:rFonts w:hint="eastAsia"/>
                <w:color w:val="auto"/>
                <w:sz w:val="24"/>
                <w:szCs w:val="24"/>
                <w:highlight w:val="none"/>
              </w:rPr>
              <w:t>盘</w:t>
            </w:r>
            <w:r>
              <w:rPr>
                <w:color w:val="auto"/>
                <w:sz w:val="24"/>
                <w:szCs w:val="24"/>
                <w:highlight w:val="none"/>
              </w:rPr>
              <w:t xml:space="preserve">word </w:t>
            </w:r>
            <w:r>
              <w:rPr>
                <w:rFonts w:hint="eastAsia"/>
                <w:color w:val="auto"/>
                <w:sz w:val="24"/>
                <w:szCs w:val="24"/>
                <w:highlight w:val="none"/>
              </w:rPr>
              <w:t>版一份，加盖公章的</w:t>
            </w:r>
            <w:r>
              <w:rPr>
                <w:color w:val="auto"/>
                <w:sz w:val="24"/>
                <w:szCs w:val="24"/>
                <w:highlight w:val="none"/>
              </w:rPr>
              <w:t xml:space="preserve">PDF </w:t>
            </w:r>
            <w:r>
              <w:rPr>
                <w:rFonts w:hint="eastAsia"/>
                <w:color w:val="auto"/>
                <w:sz w:val="24"/>
                <w:szCs w:val="24"/>
                <w:highlight w:val="none"/>
              </w:rPr>
              <w:t>版一份））。</w:t>
            </w:r>
          </w:p>
          <w:p>
            <w:pPr>
              <w:pStyle w:val="25"/>
              <w:ind w:left="0" w:firstLine="0"/>
              <w:rPr>
                <w:color w:val="auto"/>
                <w:highlight w:val="none"/>
              </w:rPr>
            </w:pPr>
            <w:r>
              <w:rPr>
                <w:color w:val="auto"/>
                <w:szCs w:val="24"/>
                <w:highlight w:val="none"/>
              </w:rPr>
              <w:t>3、仅由中标人提供。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16</w:t>
            </w:r>
          </w:p>
        </w:tc>
        <w:tc>
          <w:tcPr>
            <w:tcW w:w="815" w:type="dxa"/>
            <w:vAlign w:val="center"/>
          </w:tcPr>
          <w:p>
            <w:pPr>
              <w:snapToGrid w:val="0"/>
              <w:spacing w:line="360" w:lineRule="auto"/>
              <w:jc w:val="center"/>
              <w:rPr>
                <w:color w:val="auto"/>
                <w:sz w:val="24"/>
                <w:szCs w:val="24"/>
                <w:highlight w:val="none"/>
              </w:rPr>
            </w:pPr>
            <w:r>
              <w:rPr>
                <w:color w:val="auto"/>
                <w:sz w:val="24"/>
                <w:szCs w:val="24"/>
                <w:highlight w:val="none"/>
              </w:rPr>
              <w:t>21.3</w:t>
            </w:r>
          </w:p>
          <w:p>
            <w:pPr>
              <w:snapToGrid w:val="0"/>
              <w:spacing w:line="360" w:lineRule="auto"/>
              <w:jc w:val="center"/>
              <w:rPr>
                <w:color w:val="auto"/>
                <w:sz w:val="24"/>
                <w:szCs w:val="24"/>
                <w:highlight w:val="none"/>
              </w:rPr>
            </w:pPr>
            <w:r>
              <w:rPr>
                <w:color w:val="auto"/>
                <w:sz w:val="24"/>
                <w:szCs w:val="24"/>
                <w:highlight w:val="none"/>
              </w:rPr>
              <w:t>22.1</w:t>
            </w:r>
          </w:p>
        </w:tc>
        <w:tc>
          <w:tcPr>
            <w:tcW w:w="8647" w:type="dxa"/>
            <w:vAlign w:val="center"/>
          </w:tcPr>
          <w:p>
            <w:pPr>
              <w:snapToGrid w:val="0"/>
              <w:spacing w:line="360" w:lineRule="auto"/>
              <w:jc w:val="left"/>
              <w:rPr>
                <w:color w:val="auto"/>
                <w:sz w:val="24"/>
                <w:szCs w:val="24"/>
                <w:highlight w:val="none"/>
                <w:u w:val="single"/>
              </w:rPr>
            </w:pPr>
            <w:r>
              <w:rPr>
                <w:rFonts w:hint="eastAsia"/>
                <w:color w:val="auto"/>
                <w:sz w:val="24"/>
                <w:szCs w:val="24"/>
                <w:highlight w:val="none"/>
              </w:rPr>
              <w:t>投标文件递交截止时间：</w:t>
            </w:r>
            <w:r>
              <w:rPr>
                <w:color w:val="auto"/>
                <w:sz w:val="24"/>
                <w:szCs w:val="24"/>
                <w:highlight w:val="none"/>
                <w:u w:val="single"/>
              </w:rPr>
              <w:t>2024年07</w:t>
            </w:r>
            <w:r>
              <w:rPr>
                <w:rFonts w:hint="eastAsia"/>
                <w:color w:val="auto"/>
                <w:sz w:val="24"/>
                <w:szCs w:val="24"/>
                <w:highlight w:val="none"/>
                <w:u w:val="single"/>
              </w:rPr>
              <w:t>月</w:t>
            </w:r>
            <w:r>
              <w:rPr>
                <w:color w:val="auto"/>
                <w:sz w:val="24"/>
                <w:szCs w:val="24"/>
                <w:highlight w:val="none"/>
                <w:u w:val="single"/>
              </w:rPr>
              <w:t>XX</w:t>
            </w:r>
            <w:r>
              <w:rPr>
                <w:rFonts w:hint="eastAsia"/>
                <w:color w:val="auto"/>
                <w:sz w:val="24"/>
                <w:szCs w:val="24"/>
                <w:highlight w:val="none"/>
                <w:u w:val="single"/>
              </w:rPr>
              <w:t>日上午</w:t>
            </w:r>
            <w:r>
              <w:rPr>
                <w:color w:val="auto"/>
                <w:sz w:val="24"/>
                <w:szCs w:val="24"/>
                <w:highlight w:val="none"/>
                <w:u w:val="single"/>
              </w:rPr>
              <w:t>9时30分(北京时间)</w:t>
            </w:r>
          </w:p>
          <w:p>
            <w:pPr>
              <w:snapToGrid w:val="0"/>
              <w:spacing w:line="360" w:lineRule="auto"/>
              <w:jc w:val="left"/>
              <w:rPr>
                <w:b/>
                <w:color w:val="auto"/>
                <w:sz w:val="24"/>
                <w:szCs w:val="24"/>
                <w:highlight w:val="none"/>
              </w:rPr>
            </w:pPr>
            <w:r>
              <w:rPr>
                <w:rFonts w:hint="eastAsia"/>
                <w:color w:val="auto"/>
                <w:sz w:val="24"/>
                <w:szCs w:val="24"/>
                <w:highlight w:val="none"/>
              </w:rPr>
              <w:t>投标文件递交地址：</w:t>
            </w:r>
            <w:r>
              <w:rPr>
                <w:rFonts w:hint="eastAsia"/>
                <w:color w:val="auto"/>
                <w:sz w:val="24"/>
                <w:highlight w:val="none"/>
              </w:rPr>
              <w:t>在“辽宁省公共资源交易一张网电子化平台（</w:t>
            </w:r>
            <w:r>
              <w:rPr>
                <w:color w:val="auto"/>
                <w:sz w:val="24"/>
                <w:highlight w:val="none"/>
              </w:rPr>
              <w:t>https://www.lnsggzy.com/EpointSSO/login/oauth2login）”上传投标文件。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560" w:type="dxa"/>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17</w:t>
            </w:r>
          </w:p>
        </w:tc>
        <w:tc>
          <w:tcPr>
            <w:tcW w:w="815" w:type="dxa"/>
            <w:vAlign w:val="center"/>
          </w:tcPr>
          <w:p>
            <w:pPr>
              <w:snapToGrid w:val="0"/>
              <w:spacing w:line="360" w:lineRule="auto"/>
              <w:jc w:val="center"/>
              <w:rPr>
                <w:color w:val="auto"/>
                <w:sz w:val="24"/>
                <w:szCs w:val="24"/>
                <w:highlight w:val="none"/>
              </w:rPr>
            </w:pPr>
            <w:r>
              <w:rPr>
                <w:color w:val="auto"/>
                <w:sz w:val="24"/>
                <w:szCs w:val="24"/>
                <w:highlight w:val="none"/>
              </w:rPr>
              <w:t>25.1</w:t>
            </w:r>
          </w:p>
        </w:tc>
        <w:tc>
          <w:tcPr>
            <w:tcW w:w="8647" w:type="dxa"/>
          </w:tcPr>
          <w:p>
            <w:pPr>
              <w:snapToGrid w:val="0"/>
              <w:spacing w:line="360" w:lineRule="auto"/>
              <w:jc w:val="left"/>
              <w:rPr>
                <w:color w:val="auto"/>
                <w:sz w:val="24"/>
                <w:szCs w:val="24"/>
                <w:highlight w:val="none"/>
              </w:rPr>
            </w:pPr>
            <w:r>
              <w:rPr>
                <w:rFonts w:hint="eastAsia"/>
                <w:color w:val="auto"/>
                <w:sz w:val="24"/>
                <w:szCs w:val="24"/>
                <w:highlight w:val="none"/>
              </w:rPr>
              <w:t>开标时间：</w:t>
            </w:r>
            <w:r>
              <w:rPr>
                <w:color w:val="auto"/>
                <w:sz w:val="24"/>
                <w:szCs w:val="24"/>
                <w:highlight w:val="none"/>
                <w:u w:val="single"/>
              </w:rPr>
              <w:t>2024年07</w:t>
            </w:r>
            <w:r>
              <w:rPr>
                <w:rFonts w:hint="eastAsia"/>
                <w:color w:val="auto"/>
                <w:sz w:val="24"/>
                <w:szCs w:val="24"/>
                <w:highlight w:val="none"/>
                <w:u w:val="single"/>
              </w:rPr>
              <w:t>月</w:t>
            </w:r>
            <w:r>
              <w:rPr>
                <w:color w:val="auto"/>
                <w:sz w:val="24"/>
                <w:szCs w:val="24"/>
                <w:highlight w:val="none"/>
                <w:u w:val="single"/>
              </w:rPr>
              <w:t>XX</w:t>
            </w:r>
            <w:r>
              <w:rPr>
                <w:rFonts w:hint="eastAsia"/>
                <w:color w:val="auto"/>
                <w:sz w:val="24"/>
                <w:szCs w:val="24"/>
                <w:highlight w:val="none"/>
                <w:u w:val="single"/>
              </w:rPr>
              <w:t>日上午</w:t>
            </w:r>
            <w:r>
              <w:rPr>
                <w:color w:val="auto"/>
                <w:sz w:val="24"/>
                <w:szCs w:val="24"/>
                <w:highlight w:val="none"/>
                <w:u w:val="single"/>
              </w:rPr>
              <w:t>9时30</w:t>
            </w:r>
            <w:r>
              <w:rPr>
                <w:rFonts w:hint="eastAsia"/>
                <w:color w:val="auto"/>
                <w:sz w:val="24"/>
                <w:szCs w:val="24"/>
                <w:highlight w:val="none"/>
              </w:rPr>
              <w:t>分</w:t>
            </w:r>
            <w:r>
              <w:rPr>
                <w:color w:val="auto"/>
                <w:sz w:val="24"/>
                <w:szCs w:val="24"/>
                <w:highlight w:val="none"/>
              </w:rPr>
              <w:t>(北京时间)</w:t>
            </w:r>
          </w:p>
          <w:p>
            <w:pPr>
              <w:snapToGrid w:val="0"/>
              <w:spacing w:line="360" w:lineRule="auto"/>
              <w:jc w:val="left"/>
              <w:rPr>
                <w:color w:val="auto"/>
                <w:sz w:val="24"/>
                <w:szCs w:val="24"/>
                <w:highlight w:val="none"/>
              </w:rPr>
            </w:pPr>
            <w:r>
              <w:rPr>
                <w:rFonts w:hint="eastAsia"/>
                <w:color w:val="auto"/>
                <w:sz w:val="24"/>
                <w:szCs w:val="24"/>
                <w:highlight w:val="none"/>
              </w:rPr>
              <w:t>开标方式：远程开标（不见面交易）</w:t>
            </w:r>
          </w:p>
          <w:p>
            <w:pPr>
              <w:snapToGrid w:val="0"/>
              <w:spacing w:line="360" w:lineRule="auto"/>
              <w:jc w:val="left"/>
              <w:rPr>
                <w:color w:val="auto"/>
                <w:sz w:val="24"/>
                <w:szCs w:val="24"/>
                <w:highlight w:val="none"/>
              </w:rPr>
            </w:pPr>
            <w:r>
              <w:rPr>
                <w:rFonts w:hint="eastAsia"/>
                <w:color w:val="auto"/>
                <w:sz w:val="24"/>
                <w:szCs w:val="24"/>
                <w:highlight w:val="none"/>
              </w:rPr>
              <w:t>解密时间：招标人发出解密提示后</w:t>
            </w:r>
            <w:r>
              <w:rPr>
                <w:color w:val="auto"/>
                <w:sz w:val="24"/>
                <w:szCs w:val="24"/>
                <w:highlight w:val="none"/>
              </w:rPr>
              <w:t>30分钟内。遇到投标人较多或其他特殊情况在30分钟内无法完成解密的，可报项目行政监督部门适当延长解密时间。</w:t>
            </w:r>
          </w:p>
          <w:p>
            <w:pPr>
              <w:snapToGrid w:val="0"/>
              <w:spacing w:line="360" w:lineRule="auto"/>
              <w:jc w:val="left"/>
              <w:rPr>
                <w:color w:val="auto"/>
                <w:sz w:val="24"/>
                <w:szCs w:val="24"/>
                <w:highlight w:val="none"/>
              </w:rPr>
            </w:pPr>
            <w:r>
              <w:rPr>
                <w:rFonts w:hint="eastAsia"/>
                <w:color w:val="auto"/>
                <w:sz w:val="24"/>
                <w:szCs w:val="24"/>
                <w:highlight w:val="none"/>
              </w:rPr>
              <w:t>注意：</w:t>
            </w:r>
            <w:r>
              <w:rPr>
                <w:color w:val="auto"/>
                <w:sz w:val="24"/>
                <w:szCs w:val="24"/>
                <w:highlight w:val="none"/>
              </w:rPr>
              <w:t>1.递交投标文件截止时间止到开标结束不得擅自离开开标大厅，否则影响到文件解密、质疑等环节的后果由投标人自行承担。</w:t>
            </w:r>
          </w:p>
          <w:p>
            <w:pPr>
              <w:snapToGrid w:val="0"/>
              <w:spacing w:line="360" w:lineRule="auto"/>
              <w:jc w:val="left"/>
              <w:rPr>
                <w:color w:val="auto"/>
                <w:sz w:val="24"/>
                <w:szCs w:val="24"/>
                <w:highlight w:val="none"/>
              </w:rPr>
            </w:pPr>
            <w:r>
              <w:rPr>
                <w:color w:val="auto"/>
                <w:sz w:val="24"/>
                <w:szCs w:val="24"/>
                <w:highlight w:val="none"/>
              </w:rPr>
              <w:t>2.投标人应在规定的投标文件解密时间内完成投标文件解密操作，若在规定时间内未完成解密操作或解密失败的，后果由投标人自行承担。</w:t>
            </w:r>
          </w:p>
          <w:p>
            <w:pPr>
              <w:snapToGrid w:val="0"/>
              <w:spacing w:line="360" w:lineRule="auto"/>
              <w:jc w:val="left"/>
              <w:rPr>
                <w:color w:val="auto"/>
                <w:highlight w:val="none"/>
              </w:rPr>
            </w:pPr>
            <w:r>
              <w:rPr>
                <w:color w:val="auto"/>
                <w:sz w:val="24"/>
                <w:szCs w:val="24"/>
                <w:highlight w:val="none"/>
              </w:rPr>
              <w:t>3.在开标记录生成并公布后的5分钟内完成在开标记录表确认的操作，未在规定时间内完成确认的视为认同开标结果。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10022" w:type="dxa"/>
            <w:gridSpan w:val="3"/>
            <w:shd w:val="clear" w:color="auto" w:fill="E0E0E0"/>
            <w:vAlign w:val="center"/>
          </w:tcPr>
          <w:p>
            <w:pPr>
              <w:snapToGrid w:val="0"/>
              <w:spacing w:line="360" w:lineRule="auto"/>
              <w:jc w:val="center"/>
              <w:rPr>
                <w:color w:val="auto"/>
                <w:sz w:val="24"/>
                <w:szCs w:val="24"/>
                <w:highlight w:val="none"/>
              </w:rPr>
            </w:pPr>
            <w:r>
              <w:rPr>
                <w:rFonts w:hint="eastAsia"/>
                <w:b/>
                <w:color w:val="auto"/>
                <w:sz w:val="24"/>
                <w:szCs w:val="24"/>
                <w:highlight w:val="none"/>
              </w:rPr>
              <w:t>评</w:t>
            </w:r>
            <w:r>
              <w:rPr>
                <w:b/>
                <w:color w:val="auto"/>
                <w:sz w:val="24"/>
                <w:szCs w:val="24"/>
                <w:highlight w:val="none"/>
              </w:rPr>
              <w:t xml:space="preserve">   </w:t>
            </w:r>
            <w:r>
              <w:rPr>
                <w:rFonts w:hint="eastAsia"/>
                <w:b/>
                <w:color w:val="auto"/>
                <w:sz w:val="24"/>
                <w:szCs w:val="24"/>
                <w:highlight w:val="none"/>
              </w:rPr>
              <w:t>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right w:val="single" w:color="auto" w:sz="4" w:space="0"/>
            </w:tcBorders>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18</w:t>
            </w:r>
          </w:p>
        </w:tc>
        <w:tc>
          <w:tcPr>
            <w:tcW w:w="815" w:type="dxa"/>
            <w:tcBorders>
              <w:right w:val="single" w:color="auto" w:sz="4" w:space="0"/>
            </w:tcBorders>
            <w:vAlign w:val="center"/>
          </w:tcPr>
          <w:p>
            <w:pPr>
              <w:snapToGrid w:val="0"/>
              <w:spacing w:line="360" w:lineRule="auto"/>
              <w:jc w:val="center"/>
              <w:rPr>
                <w:color w:val="auto"/>
                <w:sz w:val="24"/>
                <w:szCs w:val="24"/>
                <w:highlight w:val="none"/>
              </w:rPr>
            </w:pPr>
            <w:r>
              <w:rPr>
                <w:color w:val="auto"/>
                <w:sz w:val="24"/>
                <w:szCs w:val="24"/>
                <w:highlight w:val="none"/>
              </w:rPr>
              <w:t>31.4</w:t>
            </w:r>
          </w:p>
        </w:tc>
        <w:tc>
          <w:tcPr>
            <w:tcW w:w="8647" w:type="dxa"/>
            <w:tcBorders>
              <w:left w:val="single" w:color="auto" w:sz="4" w:space="0"/>
            </w:tcBorders>
            <w:vAlign w:val="center"/>
          </w:tcPr>
          <w:p>
            <w:pPr>
              <w:snapToGrid w:val="0"/>
              <w:spacing w:line="360" w:lineRule="auto"/>
              <w:rPr>
                <w:color w:val="auto"/>
                <w:sz w:val="24"/>
                <w:szCs w:val="24"/>
                <w:highlight w:val="none"/>
              </w:rPr>
            </w:pPr>
            <w:r>
              <w:rPr>
                <w:rFonts w:hint="eastAsia"/>
                <w:color w:val="auto"/>
                <w:sz w:val="24"/>
                <w:szCs w:val="24"/>
                <w:highlight w:val="none"/>
              </w:rPr>
              <w:t>评标方法及标准：详见招标文件第七章《评标办法》。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b/>
                <w:color w:val="auto"/>
                <w:sz w:val="24"/>
                <w:szCs w:val="24"/>
                <w:highlight w:val="none"/>
              </w:rPr>
            </w:pPr>
            <w:r>
              <w:rPr>
                <w:rFonts w:hint="eastAsia"/>
                <w:b/>
                <w:color w:val="auto"/>
                <w:sz w:val="24"/>
                <w:szCs w:val="24"/>
                <w:highlight w:val="none"/>
              </w:rPr>
              <w:t>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top w:val="single" w:color="auto" w:sz="6" w:space="0"/>
              <w:bottom w:val="single" w:color="auto" w:sz="6" w:space="0"/>
            </w:tcBorders>
            <w:vAlign w:val="center"/>
          </w:tcPr>
          <w:p>
            <w:pPr>
              <w:pStyle w:val="33"/>
              <w:numPr>
                <w:ilvl w:val="0"/>
                <w:numId w:val="5"/>
              </w:numPr>
              <w:snapToGrid w:val="0"/>
              <w:spacing w:line="360" w:lineRule="auto"/>
              <w:ind w:firstLineChars="0"/>
              <w:jc w:val="center"/>
              <w:rPr>
                <w:color w:val="auto"/>
                <w:sz w:val="24"/>
                <w:highlight w:val="none"/>
              </w:rPr>
            </w:pPr>
            <w:r>
              <w:rPr>
                <w:color w:val="auto"/>
                <w:sz w:val="24"/>
                <w:highlight w:val="none"/>
              </w:rPr>
              <w:t>19</w:t>
            </w:r>
          </w:p>
        </w:tc>
        <w:tc>
          <w:tcPr>
            <w:tcW w:w="815" w:type="dxa"/>
            <w:tcBorders>
              <w:top w:val="single" w:color="auto" w:sz="6" w:space="0"/>
              <w:bottom w:val="single" w:color="auto" w:sz="6" w:space="0"/>
            </w:tcBorders>
            <w:vAlign w:val="center"/>
          </w:tcPr>
          <w:p>
            <w:pPr>
              <w:snapToGrid w:val="0"/>
              <w:spacing w:line="360" w:lineRule="auto"/>
              <w:jc w:val="center"/>
              <w:rPr>
                <w:color w:val="auto"/>
                <w:sz w:val="24"/>
                <w:szCs w:val="24"/>
                <w:highlight w:val="none"/>
              </w:rPr>
            </w:pPr>
            <w:r>
              <w:rPr>
                <w:color w:val="auto"/>
                <w:sz w:val="24"/>
                <w:szCs w:val="24"/>
                <w:highlight w:val="none"/>
              </w:rPr>
              <w:t>7.3</w:t>
            </w:r>
          </w:p>
        </w:tc>
        <w:tc>
          <w:tcPr>
            <w:tcW w:w="8647" w:type="dxa"/>
            <w:tcBorders>
              <w:top w:val="single" w:color="auto" w:sz="6" w:space="0"/>
              <w:bottom w:val="single" w:color="auto" w:sz="6" w:space="0"/>
            </w:tcBorders>
            <w:vAlign w:val="center"/>
          </w:tcPr>
          <w:p>
            <w:pPr>
              <w:snapToGrid w:val="0"/>
              <w:spacing w:line="360" w:lineRule="auto"/>
              <w:jc w:val="left"/>
              <w:rPr>
                <w:b/>
                <w:color w:val="auto"/>
                <w:sz w:val="24"/>
                <w:szCs w:val="24"/>
                <w:highlight w:val="none"/>
              </w:rPr>
            </w:pPr>
            <w:r>
              <w:rPr>
                <w:rFonts w:hint="eastAsia"/>
                <w:color w:val="auto"/>
                <w:sz w:val="24"/>
                <w:highlight w:val="none"/>
              </w:rPr>
              <w:t>以中标价为计算基数，参照原国家发展计划委员会《招标代理服务收费管理暂行办法》</w:t>
            </w:r>
            <w:r>
              <w:rPr>
                <w:color w:val="auto"/>
                <w:sz w:val="24"/>
                <w:highlight w:val="none"/>
              </w:rPr>
              <w:t>(计价格[2002]1980号文)(</w:t>
            </w:r>
            <w:r>
              <w:rPr>
                <w:rFonts w:hint="eastAsia"/>
                <w:color w:val="auto"/>
                <w:sz w:val="24"/>
                <w:highlight w:val="none"/>
              </w:rPr>
              <w:t>服务类</w:t>
            </w:r>
            <w:r>
              <w:rPr>
                <w:color w:val="auto"/>
                <w:sz w:val="24"/>
                <w:highlight w:val="none"/>
              </w:rPr>
              <w:t>)</w:t>
            </w:r>
            <w:r>
              <w:rPr>
                <w:rFonts w:hint="eastAsia"/>
                <w:color w:val="auto"/>
                <w:sz w:val="24"/>
                <w:highlight w:val="none"/>
              </w:rPr>
              <w:t>标准收取，由</w:t>
            </w:r>
            <w:r>
              <w:rPr>
                <w:rFonts w:hint="eastAsia"/>
                <w:b/>
                <w:color w:val="auto"/>
                <w:sz w:val="24"/>
                <w:highlight w:val="none"/>
                <w:u w:val="single"/>
              </w:rPr>
              <w:t>中标人</w:t>
            </w:r>
            <w:r>
              <w:rPr>
                <w:rFonts w:hint="eastAsia"/>
                <w:color w:val="auto"/>
                <w:sz w:val="24"/>
                <w:highlight w:val="none"/>
              </w:rPr>
              <w:t>在领取中标通知书的同时以现金或电汇向招标代理机构交纳招标代理服务费用。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b/>
                <w:color w:val="auto"/>
                <w:sz w:val="24"/>
                <w:highlight w:val="none"/>
              </w:rPr>
            </w:pPr>
            <w:r>
              <w:rPr>
                <w:rFonts w:hint="eastAsia"/>
                <w:b/>
                <w:color w:val="auto"/>
                <w:sz w:val="24"/>
                <w:highlight w:val="none"/>
              </w:rPr>
              <w:t>公证服务费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color w:val="auto"/>
                <w:sz w:val="24"/>
                <w:highlight w:val="none"/>
              </w:rPr>
            </w:pPr>
            <w:r>
              <w:rPr>
                <w:rFonts w:hint="eastAsia"/>
                <w:b/>
                <w:color w:val="auto"/>
                <w:sz w:val="24"/>
                <w:szCs w:val="24"/>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3"/>
              <w:numPr>
                <w:ilvl w:val="0"/>
                <w:numId w:val="5"/>
              </w:numPr>
              <w:snapToGrid w:val="0"/>
              <w:spacing w:line="360" w:lineRule="auto"/>
              <w:ind w:firstLineChars="0"/>
              <w:jc w:val="center"/>
              <w:rPr>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ind w:firstLine="480" w:firstLineChars="200"/>
              <w:jc w:val="left"/>
              <w:rPr>
                <w:color w:val="auto"/>
                <w:sz w:val="24"/>
                <w:highlight w:val="none"/>
              </w:rPr>
            </w:pPr>
            <w:r>
              <w:rPr>
                <w:rFonts w:hint="eastAsia"/>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022" w:type="dxa"/>
            <w:gridSpan w:val="3"/>
            <w:tcBorders>
              <w:top w:val="single" w:color="auto" w:sz="6" w:space="0"/>
              <w:bottom w:val="single" w:color="auto" w:sz="6" w:space="0"/>
            </w:tcBorders>
            <w:vAlign w:val="center"/>
          </w:tcPr>
          <w:p>
            <w:pPr>
              <w:snapToGrid w:val="0"/>
              <w:spacing w:line="360" w:lineRule="auto"/>
              <w:jc w:val="center"/>
              <w:rPr>
                <w:color w:val="auto"/>
                <w:sz w:val="24"/>
                <w:highlight w:val="none"/>
              </w:rPr>
            </w:pPr>
            <w:r>
              <w:rPr>
                <w:rFonts w:hint="eastAsia"/>
                <w:color w:val="auto"/>
                <w:sz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3"/>
              <w:numPr>
                <w:ilvl w:val="0"/>
                <w:numId w:val="5"/>
              </w:numPr>
              <w:snapToGrid w:val="0"/>
              <w:spacing w:line="360" w:lineRule="auto"/>
              <w:ind w:firstLineChars="0"/>
              <w:jc w:val="center"/>
              <w:rPr>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jc w:val="left"/>
              <w:rPr>
                <w:color w:val="auto"/>
                <w:highlight w:val="none"/>
              </w:rPr>
            </w:pPr>
            <w:r>
              <w:rPr>
                <w:rFonts w:hint="eastAsia"/>
                <w:color w:val="auto"/>
                <w:sz w:val="24"/>
                <w:highlight w:val="none"/>
              </w:rPr>
              <w:t>招标代理机构服务质量监督电话：</w:t>
            </w:r>
            <w:r>
              <w:rPr>
                <w:color w:val="auto"/>
                <w:sz w:val="24"/>
                <w:highlight w:val="none"/>
              </w:rPr>
              <w:t>0417-3322810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3"/>
              <w:numPr>
                <w:ilvl w:val="0"/>
                <w:numId w:val="5"/>
              </w:numPr>
              <w:snapToGrid w:val="0"/>
              <w:spacing w:line="360" w:lineRule="auto"/>
              <w:ind w:firstLineChars="0"/>
              <w:jc w:val="center"/>
              <w:rPr>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color w:val="auto"/>
                <w:sz w:val="24"/>
                <w:highlight w:val="none"/>
              </w:rPr>
            </w:pPr>
          </w:p>
        </w:tc>
        <w:tc>
          <w:tcPr>
            <w:tcW w:w="8647" w:type="dxa"/>
            <w:tcBorders>
              <w:top w:val="single" w:color="auto" w:sz="6" w:space="0"/>
              <w:bottom w:val="single" w:color="auto" w:sz="6" w:space="0"/>
            </w:tcBorders>
            <w:vAlign w:val="center"/>
          </w:tcPr>
          <w:p>
            <w:pPr>
              <w:numPr>
                <w:ilvl w:val="0"/>
                <w:numId w:val="6"/>
              </w:numPr>
              <w:snapToGrid w:val="0"/>
              <w:spacing w:line="360" w:lineRule="auto"/>
              <w:jc w:val="left"/>
              <w:rPr>
                <w:rFonts w:hint="eastAsia"/>
                <w:color w:val="auto"/>
                <w:sz w:val="24"/>
                <w:highlight w:val="none"/>
              </w:rPr>
            </w:pPr>
            <w:r>
              <w:rPr>
                <w:rFonts w:hint="eastAsia"/>
                <w:color w:val="auto"/>
                <w:sz w:val="24"/>
                <w:highlight w:val="none"/>
                <w:lang w:val="en-US" w:eastAsia="zh-CN"/>
              </w:rPr>
              <w:t>付款方式：</w:t>
            </w:r>
            <w:r>
              <w:rPr>
                <w:rFonts w:hint="eastAsia"/>
                <w:color w:val="auto"/>
                <w:sz w:val="24"/>
                <w:highlight w:val="none"/>
              </w:rPr>
              <w:t>分四次支付。第一次付款：提交</w:t>
            </w:r>
            <w:r>
              <w:rPr>
                <w:rFonts w:hint="eastAsia"/>
                <w:color w:val="auto"/>
                <w:sz w:val="24"/>
                <w:highlight w:val="none"/>
                <w:lang w:val="en-US" w:eastAsia="zh-CN"/>
              </w:rPr>
              <w:t>效果评估</w:t>
            </w:r>
            <w:r>
              <w:rPr>
                <w:rFonts w:hint="eastAsia"/>
                <w:color w:val="auto"/>
                <w:sz w:val="24"/>
                <w:highlight w:val="none"/>
              </w:rPr>
              <w:t>方案后20日内，支付至合同价款的30%；第二次付款：市级验收时提交成果报告并通过专家评审后，支付至合同价款的75%；第三次付款：项目省级验收后，支付至合同价款的90%；第四次付款：验收通过后2年内提交</w:t>
            </w:r>
            <w:r>
              <w:rPr>
                <w:rFonts w:hint="eastAsia"/>
                <w:color w:val="auto"/>
                <w:sz w:val="24"/>
                <w:highlight w:val="none"/>
                <w:lang w:val="en-US" w:eastAsia="zh-CN"/>
              </w:rPr>
              <w:t>综合成效评估</w:t>
            </w:r>
            <w:r>
              <w:rPr>
                <w:rFonts w:hint="eastAsia"/>
                <w:color w:val="auto"/>
                <w:sz w:val="24"/>
                <w:highlight w:val="none"/>
              </w:rPr>
              <w:t>报告，支付至合同价款的100%。四次付款均应提供有效发票。</w:t>
            </w:r>
          </w:p>
          <w:p>
            <w:pPr>
              <w:snapToGrid w:val="0"/>
              <w:spacing w:line="360" w:lineRule="auto"/>
              <w:jc w:val="left"/>
              <w:rPr>
                <w:color w:val="auto"/>
                <w:highlight w:val="none"/>
              </w:rPr>
            </w:pPr>
            <w:r>
              <w:rPr>
                <w:rFonts w:hint="eastAsia"/>
                <w:color w:val="auto"/>
                <w:sz w:val="24"/>
                <w:highlight w:val="none"/>
              </w:rPr>
              <w:t>2. 交易中心服务费：按辽发改价格 (2023) 128 号规定执行。由中标人向营口市建设工程交易服务中心有限公司全额缴纳，此项费用不得在投标报价中。</w:t>
            </w:r>
          </w:p>
        </w:tc>
      </w:tr>
    </w:tbl>
    <w:p>
      <w:pPr>
        <w:tabs>
          <w:tab w:val="left" w:pos="7770"/>
        </w:tabs>
        <w:autoSpaceDE w:val="0"/>
        <w:autoSpaceDN w:val="0"/>
        <w:spacing w:line="360" w:lineRule="auto"/>
        <w:rPr>
          <w:color w:val="auto"/>
          <w:highlight w:val="none"/>
        </w:rPr>
        <w:sectPr>
          <w:headerReference r:id="rId7"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color w:val="auto"/>
          <w:w w:val="90"/>
          <w:highlight w:val="none"/>
        </w:rPr>
      </w:pPr>
      <w:bookmarkStart w:id="15" w:name="_Toc8512"/>
      <w:bookmarkEnd w:id="15"/>
      <w:bookmarkStart w:id="16" w:name="_Toc349568711"/>
      <w:bookmarkEnd w:id="16"/>
      <w:bookmarkStart w:id="17" w:name="_Toc350515648"/>
      <w:bookmarkEnd w:id="17"/>
      <w:bookmarkStart w:id="18" w:name="_Toc344394139"/>
      <w:bookmarkEnd w:id="18"/>
      <w:bookmarkStart w:id="19" w:name="_Toc349568452"/>
      <w:bookmarkEnd w:id="19"/>
      <w:bookmarkStart w:id="20" w:name="_Toc343510553"/>
      <w:bookmarkEnd w:id="20"/>
      <w:bookmarkStart w:id="21" w:name="_Toc7705"/>
      <w:bookmarkEnd w:id="21"/>
      <w:r>
        <w:rPr>
          <w:color w:val="auto"/>
          <w:w w:val="90"/>
          <w:highlight w:val="none"/>
        </w:rPr>
        <w:t xml:space="preserve">  </w:t>
      </w:r>
      <w:r>
        <w:rPr>
          <w:rFonts w:hint="eastAsia"/>
          <w:color w:val="auto"/>
          <w:szCs w:val="24"/>
          <w:highlight w:val="none"/>
        </w:rPr>
        <w:t>投标人须知</w:t>
      </w: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tabs>
          <w:tab w:val="left" w:pos="7770"/>
        </w:tabs>
        <w:autoSpaceDE w:val="0"/>
        <w:autoSpaceDN w:val="0"/>
        <w:spacing w:line="360" w:lineRule="auto"/>
        <w:rPr>
          <w:color w:val="auto"/>
          <w:highlight w:val="none"/>
        </w:rPr>
      </w:pPr>
    </w:p>
    <w:p>
      <w:pPr>
        <w:spacing w:line="240" w:lineRule="auto"/>
        <w:jc w:val="left"/>
        <w:rPr>
          <w:rFonts w:hint="eastAsia"/>
          <w:b/>
          <w:color w:val="auto"/>
          <w:sz w:val="36"/>
          <w:szCs w:val="36"/>
          <w:highlight w:val="none"/>
        </w:rPr>
      </w:pPr>
      <w:r>
        <w:rPr>
          <w:rFonts w:hint="eastAsia"/>
          <w:b/>
          <w:color w:val="auto"/>
          <w:sz w:val="36"/>
          <w:szCs w:val="36"/>
          <w:highlight w:val="none"/>
        </w:rPr>
        <w:br w:type="page"/>
      </w:r>
    </w:p>
    <w:p>
      <w:pPr>
        <w:spacing w:line="360" w:lineRule="auto"/>
        <w:jc w:val="center"/>
        <w:rPr>
          <w:b/>
          <w:color w:val="auto"/>
          <w:sz w:val="36"/>
          <w:szCs w:val="36"/>
          <w:highlight w:val="none"/>
        </w:rPr>
      </w:pPr>
      <w:r>
        <w:rPr>
          <w:rFonts w:hint="eastAsia"/>
          <w:b/>
          <w:color w:val="auto"/>
          <w:sz w:val="36"/>
          <w:szCs w:val="36"/>
          <w:highlight w:val="none"/>
        </w:rPr>
        <w:t>投标人须知</w:t>
      </w:r>
    </w:p>
    <w:p>
      <w:pPr>
        <w:pStyle w:val="5"/>
        <w:tabs>
          <w:tab w:val="center" w:pos="4677"/>
          <w:tab w:val="left" w:pos="6240"/>
        </w:tabs>
        <w:rPr>
          <w:rFonts w:ascii="Times New Roman" w:hAnsi="Times New Roman" w:eastAsia="宋体"/>
          <w:b/>
          <w:color w:val="auto"/>
          <w:highlight w:val="none"/>
        </w:rPr>
      </w:pPr>
      <w:r>
        <w:rPr>
          <w:rFonts w:hint="eastAsia" w:ascii="Times New Roman" w:hAnsi="Times New Roman" w:eastAsia="宋体"/>
          <w:b/>
          <w:color w:val="auto"/>
          <w:highlight w:val="none"/>
        </w:rPr>
        <w:t>（一）总</w:t>
      </w:r>
      <w:r>
        <w:rPr>
          <w:rFonts w:ascii="Times New Roman" w:hAnsi="Times New Roman" w:eastAsia="宋体"/>
          <w:b/>
          <w:color w:val="auto"/>
          <w:highlight w:val="none"/>
        </w:rPr>
        <w:t xml:space="preserve">   </w:t>
      </w:r>
      <w:r>
        <w:rPr>
          <w:rFonts w:hint="eastAsia" w:ascii="Times New Roman" w:hAnsi="Times New Roman" w:eastAsia="宋体"/>
          <w:b/>
          <w:color w:val="auto"/>
          <w:highlight w:val="none"/>
        </w:rPr>
        <w:t>则</w:t>
      </w:r>
    </w:p>
    <w:p>
      <w:pPr>
        <w:pStyle w:val="6"/>
        <w:ind w:left="1008" w:hanging="1008"/>
        <w:rPr>
          <w:rFonts w:ascii="Times New Roman" w:hAnsi="Times New Roman"/>
          <w:bCs/>
          <w:color w:val="auto"/>
          <w:highlight w:val="none"/>
        </w:rPr>
      </w:pPr>
      <w:r>
        <w:rPr>
          <w:rFonts w:ascii="Times New Roman" w:hAnsi="Times New Roman"/>
          <w:bCs/>
          <w:color w:val="auto"/>
          <w:highlight w:val="none"/>
        </w:rPr>
        <w:t>1、项目说明</w:t>
      </w:r>
    </w:p>
    <w:p>
      <w:pPr>
        <w:spacing w:line="360" w:lineRule="auto"/>
        <w:ind w:left="2161" w:leftChars="229" w:hanging="1680" w:hangingChars="700"/>
        <w:rPr>
          <w:color w:val="auto"/>
          <w:sz w:val="24"/>
          <w:highlight w:val="none"/>
        </w:rPr>
      </w:pPr>
      <w:r>
        <w:rPr>
          <w:color w:val="auto"/>
          <w:sz w:val="24"/>
          <w:highlight w:val="none"/>
        </w:rPr>
        <w:t>1.1招标方式：公开招标</w:t>
      </w:r>
    </w:p>
    <w:p>
      <w:pPr>
        <w:spacing w:line="360" w:lineRule="auto"/>
        <w:ind w:firstLine="480" w:firstLineChars="200"/>
        <w:rPr>
          <w:rFonts w:hint="eastAsia" w:eastAsia="宋体"/>
          <w:color w:val="auto"/>
          <w:sz w:val="24"/>
          <w:highlight w:val="none"/>
          <w:lang w:eastAsia="zh-CN"/>
        </w:rPr>
      </w:pPr>
      <w:r>
        <w:rPr>
          <w:color w:val="auto"/>
          <w:sz w:val="24"/>
          <w:highlight w:val="none"/>
        </w:rPr>
        <w:t>1.2项目名称：</w:t>
      </w:r>
      <w:r>
        <w:rPr>
          <w:rFonts w:hint="eastAsia"/>
          <w:color w:val="auto"/>
          <w:sz w:val="24"/>
          <w:highlight w:val="none"/>
          <w:lang w:eastAsia="zh-CN"/>
        </w:rPr>
        <w:t>辽宁省营口市海洋生态保护修复工程项目生态修复效果与减灾功能评估</w:t>
      </w:r>
    </w:p>
    <w:p>
      <w:pPr>
        <w:spacing w:line="360" w:lineRule="auto"/>
        <w:ind w:firstLine="480" w:firstLineChars="200"/>
        <w:rPr>
          <w:color w:val="auto"/>
          <w:sz w:val="24"/>
          <w:highlight w:val="none"/>
        </w:rPr>
      </w:pPr>
      <w:r>
        <w:rPr>
          <w:color w:val="auto"/>
          <w:sz w:val="24"/>
          <w:highlight w:val="none"/>
        </w:rPr>
        <w:t>1.3招标人名称：</w:t>
      </w:r>
      <w:r>
        <w:rPr>
          <w:rFonts w:hint="eastAsia"/>
          <w:color w:val="auto"/>
          <w:sz w:val="24"/>
          <w:highlight w:val="none"/>
        </w:rPr>
        <w:t>营口市自然资源局</w:t>
      </w:r>
    </w:p>
    <w:p>
      <w:pPr>
        <w:spacing w:line="360" w:lineRule="auto"/>
        <w:ind w:firstLine="480" w:firstLineChars="200"/>
        <w:rPr>
          <w:color w:val="auto"/>
          <w:sz w:val="24"/>
          <w:highlight w:val="none"/>
        </w:rPr>
      </w:pPr>
      <w:r>
        <w:rPr>
          <w:color w:val="auto"/>
          <w:sz w:val="24"/>
          <w:highlight w:val="none"/>
        </w:rPr>
        <w:t>1.4招标代理机构名称：辽宁国信建设工程管理有限公司</w:t>
      </w:r>
    </w:p>
    <w:p>
      <w:pPr>
        <w:spacing w:line="360" w:lineRule="auto"/>
        <w:ind w:firstLine="480" w:firstLineChars="200"/>
        <w:rPr>
          <w:color w:val="auto"/>
          <w:kern w:val="0"/>
          <w:sz w:val="24"/>
          <w:highlight w:val="none"/>
        </w:rPr>
      </w:pPr>
      <w:r>
        <w:rPr>
          <w:color w:val="auto"/>
          <w:sz w:val="24"/>
          <w:highlight w:val="none"/>
        </w:rPr>
        <w:t>1.5</w:t>
      </w:r>
      <w:r>
        <w:rPr>
          <w:rFonts w:hint="eastAsia"/>
          <w:color w:val="auto"/>
          <w:sz w:val="24"/>
          <w:highlight w:val="none"/>
        </w:rPr>
        <w:t>服务地点：</w:t>
      </w:r>
      <w:r>
        <w:rPr>
          <w:rFonts w:hint="eastAsia"/>
          <w:color w:val="auto"/>
          <w:sz w:val="24"/>
          <w:szCs w:val="24"/>
          <w:highlight w:val="none"/>
        </w:rPr>
        <w:t>招标人</w:t>
      </w:r>
      <w:r>
        <w:rPr>
          <w:rFonts w:hint="eastAsia"/>
          <w:color w:val="auto"/>
          <w:kern w:val="0"/>
          <w:sz w:val="24"/>
          <w:highlight w:val="none"/>
        </w:rPr>
        <w:t>指定地点。</w:t>
      </w:r>
    </w:p>
    <w:p>
      <w:pPr>
        <w:spacing w:line="360" w:lineRule="auto"/>
        <w:ind w:firstLine="480" w:firstLineChars="200"/>
        <w:rPr>
          <w:color w:val="auto"/>
          <w:sz w:val="24"/>
          <w:highlight w:val="none"/>
        </w:rPr>
      </w:pPr>
      <w:r>
        <w:rPr>
          <w:color w:val="auto"/>
          <w:sz w:val="24"/>
          <w:highlight w:val="none"/>
        </w:rPr>
        <w:t>1.6质量要求：</w:t>
      </w:r>
      <w:r>
        <w:rPr>
          <w:rFonts w:hint="eastAsia"/>
          <w:color w:val="auto"/>
          <w:sz w:val="24"/>
          <w:highlight w:val="none"/>
        </w:rPr>
        <w:t>合格</w:t>
      </w:r>
    </w:p>
    <w:p>
      <w:pPr>
        <w:spacing w:line="360" w:lineRule="auto"/>
        <w:ind w:firstLine="480" w:firstLineChars="200"/>
        <w:rPr>
          <w:color w:val="auto"/>
          <w:sz w:val="24"/>
          <w:highlight w:val="none"/>
        </w:rPr>
      </w:pPr>
      <w:r>
        <w:rPr>
          <w:color w:val="auto"/>
          <w:sz w:val="24"/>
          <w:highlight w:val="none"/>
        </w:rPr>
        <w:t>1.7本招标文件服从于国家、行业主管部门及地方的法律法规，本招标文件未能说明的部分，按照国家、行业主管部门及地方法律法规严格执行。</w:t>
      </w:r>
    </w:p>
    <w:p>
      <w:pPr>
        <w:pStyle w:val="6"/>
        <w:numPr>
          <w:ilvl w:val="0"/>
          <w:numId w:val="7"/>
        </w:numPr>
        <w:rPr>
          <w:rFonts w:ascii="Times New Roman" w:hAnsi="Times New Roman"/>
          <w:bCs/>
          <w:color w:val="auto"/>
          <w:highlight w:val="none"/>
        </w:rPr>
      </w:pPr>
      <w:r>
        <w:rPr>
          <w:rFonts w:hint="eastAsia" w:ascii="Times New Roman" w:hAnsi="Times New Roman"/>
          <w:bCs/>
          <w:color w:val="auto"/>
          <w:highlight w:val="none"/>
        </w:rPr>
        <w:t>招标范围、交货期及合同期限</w:t>
      </w:r>
    </w:p>
    <w:p>
      <w:pPr>
        <w:spacing w:line="360" w:lineRule="auto"/>
        <w:ind w:firstLine="480" w:firstLineChars="200"/>
        <w:rPr>
          <w:color w:val="auto"/>
          <w:sz w:val="24"/>
          <w:szCs w:val="24"/>
          <w:highlight w:val="none"/>
        </w:rPr>
      </w:pPr>
      <w:r>
        <w:rPr>
          <w:color w:val="auto"/>
          <w:sz w:val="24"/>
          <w:highlight w:val="none"/>
        </w:rPr>
        <w:t>2</w:t>
      </w:r>
      <w:r>
        <w:rPr>
          <w:color w:val="auto"/>
          <w:sz w:val="24"/>
          <w:szCs w:val="24"/>
          <w:highlight w:val="none"/>
        </w:rPr>
        <w:t>.1</w:t>
      </w:r>
      <w:r>
        <w:rPr>
          <w:rFonts w:hint="eastAsia"/>
          <w:color w:val="auto"/>
          <w:sz w:val="24"/>
          <w:szCs w:val="24"/>
          <w:highlight w:val="none"/>
        </w:rPr>
        <w:t>招标范围：</w:t>
      </w:r>
      <w:r>
        <w:rPr>
          <w:rFonts w:hint="eastAsia"/>
          <w:bCs/>
          <w:color w:val="auto"/>
          <w:sz w:val="24"/>
          <w:szCs w:val="24"/>
          <w:highlight w:val="none"/>
        </w:rPr>
        <w:t>本项目拟完成修复总面积</w:t>
      </w:r>
      <w:r>
        <w:rPr>
          <w:bCs/>
          <w:color w:val="auto"/>
          <w:sz w:val="24"/>
          <w:szCs w:val="24"/>
          <w:highlight w:val="none"/>
        </w:rPr>
        <w:t xml:space="preserve"> 1630.34ha,整治修复岸线长度 2951.90m，其中修复砂质岸线 1287m、生态护岸 1664.90m；整治修复滨海湿地面积1555.22ha，其中保育和种植盐沼植被面积269.69ha、浒苔防治面积1006.83ha。</w:t>
      </w:r>
      <w:r>
        <w:rPr>
          <w:rFonts w:hint="eastAsia"/>
          <w:bCs/>
          <w:color w:val="auto"/>
          <w:sz w:val="24"/>
          <w:szCs w:val="24"/>
          <w:highlight w:val="none"/>
        </w:rPr>
        <w:t>针对上述内容拟委托</w:t>
      </w:r>
      <w:r>
        <w:rPr>
          <w:bCs/>
          <w:color w:val="auto"/>
          <w:sz w:val="24"/>
          <w:szCs w:val="24"/>
          <w:highlight w:val="none"/>
        </w:rPr>
        <w:t>1家服务机构提供</w:t>
      </w:r>
      <w:r>
        <w:rPr>
          <w:rFonts w:hint="eastAsia"/>
          <w:color w:val="auto"/>
          <w:sz w:val="24"/>
          <w:szCs w:val="24"/>
          <w:highlight w:val="none"/>
        </w:rPr>
        <w:t>生态修复效果与减灾功能评估</w:t>
      </w:r>
      <w:r>
        <w:rPr>
          <w:rFonts w:hint="eastAsia"/>
          <w:bCs/>
          <w:color w:val="auto"/>
          <w:sz w:val="24"/>
          <w:szCs w:val="24"/>
          <w:highlight w:val="none"/>
        </w:rPr>
        <w:t>服务。（服务内容包括但不限于资料收集和整理、项目过程实施、成果编制及提交审核、修改及复核、资料归档、过程技术咨询及根据招标人对项目的要求所进行的其他工作。所编制的成果报告须遵照</w:t>
      </w:r>
      <w:r>
        <w:rPr>
          <w:bCs/>
          <w:color w:val="auto"/>
          <w:sz w:val="24"/>
          <w:szCs w:val="24"/>
          <w:highlight w:val="none"/>
        </w:rPr>
        <w:t>法规及规范要求</w:t>
      </w:r>
      <w:r>
        <w:rPr>
          <w:rFonts w:hint="eastAsia"/>
          <w:bCs/>
          <w:color w:val="auto"/>
          <w:sz w:val="24"/>
          <w:szCs w:val="24"/>
          <w:highlight w:val="none"/>
        </w:rPr>
        <w:t>）。</w:t>
      </w:r>
    </w:p>
    <w:p>
      <w:pPr>
        <w:spacing w:line="360" w:lineRule="auto"/>
        <w:ind w:firstLine="480" w:firstLineChars="200"/>
        <w:rPr>
          <w:color w:val="auto"/>
          <w:sz w:val="24"/>
          <w:szCs w:val="24"/>
          <w:highlight w:val="none"/>
        </w:rPr>
      </w:pPr>
      <w:r>
        <w:rPr>
          <w:color w:val="auto"/>
          <w:sz w:val="24"/>
          <w:highlight w:val="none"/>
        </w:rPr>
        <w:t>2.2本招标项目的</w:t>
      </w:r>
      <w:r>
        <w:rPr>
          <w:rFonts w:hint="eastAsia"/>
          <w:color w:val="auto"/>
          <w:sz w:val="24"/>
          <w:szCs w:val="24"/>
          <w:highlight w:val="none"/>
        </w:rPr>
        <w:t>服务期限：详见投标人须知前附表。</w:t>
      </w:r>
    </w:p>
    <w:p>
      <w:pPr>
        <w:pStyle w:val="6"/>
        <w:ind w:left="1008" w:hanging="1008"/>
        <w:rPr>
          <w:rFonts w:ascii="Times New Roman" w:hAnsi="Times New Roman"/>
          <w:bCs/>
          <w:color w:val="auto"/>
          <w:highlight w:val="none"/>
        </w:rPr>
      </w:pPr>
      <w:r>
        <w:rPr>
          <w:rFonts w:ascii="Times New Roman" w:hAnsi="Times New Roman"/>
          <w:bCs/>
          <w:color w:val="auto"/>
          <w:highlight w:val="none"/>
        </w:rPr>
        <w:t>3、资金来源</w:t>
      </w:r>
    </w:p>
    <w:p>
      <w:pPr>
        <w:spacing w:line="360" w:lineRule="auto"/>
        <w:ind w:firstLine="480"/>
        <w:rPr>
          <w:color w:val="auto"/>
          <w:sz w:val="24"/>
          <w:highlight w:val="none"/>
        </w:rPr>
      </w:pPr>
      <w:r>
        <w:rPr>
          <w:color w:val="auto"/>
          <w:sz w:val="24"/>
          <w:highlight w:val="none"/>
        </w:rPr>
        <w:t>3.1本招标项目资金来源详见本须知前附表第1项，其全部资金用于本项目</w:t>
      </w:r>
      <w:r>
        <w:rPr>
          <w:rFonts w:hint="eastAsia"/>
          <w:color w:val="auto"/>
          <w:sz w:val="24"/>
          <w:highlight w:val="none"/>
        </w:rPr>
        <w:t>服务合同项下的合格支付。</w:t>
      </w:r>
    </w:p>
    <w:p>
      <w:pPr>
        <w:pStyle w:val="6"/>
        <w:ind w:left="1008" w:hanging="1008"/>
        <w:rPr>
          <w:rFonts w:ascii="Times New Roman" w:hAnsi="Times New Roman"/>
          <w:bCs/>
          <w:color w:val="auto"/>
          <w:highlight w:val="none"/>
        </w:rPr>
      </w:pPr>
      <w:r>
        <w:rPr>
          <w:rFonts w:ascii="Times New Roman" w:hAnsi="Times New Roman"/>
          <w:bCs/>
          <w:color w:val="auto"/>
          <w:highlight w:val="none"/>
        </w:rPr>
        <w:t>4、投标人资质要求</w:t>
      </w:r>
    </w:p>
    <w:p>
      <w:pPr>
        <w:pStyle w:val="34"/>
        <w:numPr>
          <w:ilvl w:val="0"/>
          <w:numId w:val="8"/>
        </w:numPr>
        <w:tabs>
          <w:tab w:val="left" w:pos="150"/>
          <w:tab w:val="left" w:pos="993"/>
        </w:tabs>
        <w:autoSpaceDE w:val="0"/>
        <w:autoSpaceDN w:val="0"/>
        <w:adjustRightInd w:val="0"/>
        <w:snapToGrid w:val="0"/>
        <w:spacing w:line="360" w:lineRule="auto"/>
        <w:ind w:left="2" w:firstLine="360"/>
        <w:rPr>
          <w:bCs w:val="0"/>
          <w:color w:val="auto"/>
          <w:sz w:val="24"/>
          <w:highlight w:val="none"/>
        </w:rPr>
      </w:pPr>
      <w:r>
        <w:rPr>
          <w:rFonts w:hint="eastAsia"/>
          <w:bCs w:val="0"/>
          <w:color w:val="auto"/>
          <w:sz w:val="24"/>
          <w:highlight w:val="none"/>
        </w:rPr>
        <w:t>详见</w:t>
      </w:r>
      <w:r>
        <w:rPr>
          <w:rFonts w:hint="eastAsia"/>
          <w:color w:val="auto"/>
          <w:sz w:val="24"/>
          <w:highlight w:val="none"/>
        </w:rPr>
        <w:t>本须知前附表第</w:t>
      </w:r>
      <w:r>
        <w:rPr>
          <w:color w:val="auto"/>
          <w:sz w:val="24"/>
          <w:highlight w:val="none"/>
        </w:rPr>
        <w:t>11</w:t>
      </w:r>
      <w:r>
        <w:rPr>
          <w:rFonts w:hint="eastAsia"/>
          <w:color w:val="auto"/>
          <w:sz w:val="24"/>
          <w:highlight w:val="none"/>
        </w:rPr>
        <w:t>项。</w:t>
      </w:r>
    </w:p>
    <w:p>
      <w:pPr>
        <w:pStyle w:val="34"/>
        <w:numPr>
          <w:ilvl w:val="1"/>
          <w:numId w:val="0"/>
        </w:numPr>
        <w:tabs>
          <w:tab w:val="left" w:pos="150"/>
          <w:tab w:val="left" w:pos="709"/>
          <w:tab w:val="left" w:pos="993"/>
        </w:tabs>
        <w:autoSpaceDE w:val="0"/>
        <w:autoSpaceDN w:val="0"/>
        <w:adjustRightInd w:val="0"/>
        <w:snapToGrid w:val="0"/>
        <w:spacing w:line="360" w:lineRule="auto"/>
        <w:ind w:left="2" w:hanging="2" w:hangingChars="1"/>
        <w:rPr>
          <w:bCs w:val="0"/>
          <w:color w:val="auto"/>
          <w:highlight w:val="none"/>
        </w:rPr>
      </w:pPr>
      <w:r>
        <w:rPr>
          <w:bCs w:val="0"/>
          <w:color w:val="auto"/>
          <w:sz w:val="24"/>
          <w:highlight w:val="none"/>
        </w:rPr>
        <w:tab/>
      </w:r>
      <w:r>
        <w:rPr>
          <w:bCs w:val="0"/>
          <w:color w:val="auto"/>
          <w:sz w:val="24"/>
          <w:highlight w:val="none"/>
        </w:rPr>
        <w:t xml:space="preserve">    </w:t>
      </w:r>
      <w:r>
        <w:rPr>
          <w:rFonts w:hint="eastAsia"/>
          <w:b/>
          <w:color w:val="auto"/>
          <w:sz w:val="24"/>
          <w:highlight w:val="none"/>
        </w:rPr>
        <w:t>投标人发生合并、分立、破产等重大变化的，应当及时书面告知招标人。投标人不再具备招标文件规定的资格条件或者其投标影响招标公正性的，其投标无效。</w:t>
      </w:r>
    </w:p>
    <w:p>
      <w:pPr>
        <w:pStyle w:val="6"/>
        <w:numPr>
          <w:ilvl w:val="0"/>
          <w:numId w:val="9"/>
        </w:numPr>
        <w:rPr>
          <w:rFonts w:ascii="Times New Roman" w:hAnsi="Times New Roman"/>
          <w:bCs/>
          <w:color w:val="auto"/>
          <w:highlight w:val="none"/>
        </w:rPr>
      </w:pPr>
      <w:r>
        <w:rPr>
          <w:rFonts w:hint="eastAsia" w:ascii="Times New Roman" w:hAnsi="Times New Roman"/>
          <w:bCs/>
          <w:color w:val="auto"/>
          <w:highlight w:val="none"/>
        </w:rPr>
        <w:t>资格审查方式</w:t>
      </w:r>
    </w:p>
    <w:p>
      <w:pPr>
        <w:pStyle w:val="34"/>
        <w:numPr>
          <w:ilvl w:val="1"/>
          <w:numId w:val="0"/>
        </w:numPr>
        <w:tabs>
          <w:tab w:val="left" w:pos="150"/>
          <w:tab w:val="left" w:pos="709"/>
          <w:tab w:val="left" w:pos="993"/>
        </w:tabs>
        <w:autoSpaceDE w:val="0"/>
        <w:autoSpaceDN w:val="0"/>
        <w:adjustRightInd w:val="0"/>
        <w:snapToGrid w:val="0"/>
        <w:spacing w:line="360" w:lineRule="auto"/>
        <w:ind w:left="426"/>
        <w:rPr>
          <w:bCs w:val="0"/>
          <w:color w:val="auto"/>
          <w:highlight w:val="none"/>
        </w:rPr>
      </w:pPr>
      <w:r>
        <w:rPr>
          <w:bCs w:val="0"/>
          <w:color w:val="auto"/>
          <w:sz w:val="24"/>
          <w:highlight w:val="none"/>
        </w:rPr>
        <w:t>5.1</w:t>
      </w:r>
      <w:r>
        <w:rPr>
          <w:rFonts w:hint="eastAsia"/>
          <w:color w:val="auto"/>
          <w:sz w:val="24"/>
          <w:highlight w:val="none"/>
        </w:rPr>
        <w:t>本招标项目资格审查方式详见本须知前附表第</w:t>
      </w:r>
      <w:r>
        <w:rPr>
          <w:color w:val="auto"/>
          <w:sz w:val="24"/>
          <w:highlight w:val="none"/>
        </w:rPr>
        <w:t>11项。</w:t>
      </w:r>
    </w:p>
    <w:p>
      <w:pPr>
        <w:pStyle w:val="6"/>
        <w:ind w:left="1008" w:hanging="1008"/>
        <w:rPr>
          <w:rFonts w:ascii="Times New Roman" w:hAnsi="Times New Roman"/>
          <w:bCs/>
          <w:color w:val="auto"/>
          <w:highlight w:val="none"/>
        </w:rPr>
      </w:pPr>
      <w:r>
        <w:rPr>
          <w:rFonts w:ascii="Times New Roman" w:hAnsi="Times New Roman"/>
          <w:bCs/>
          <w:color w:val="auto"/>
          <w:highlight w:val="none"/>
        </w:rPr>
        <w:t>6、踏勘现场</w:t>
      </w:r>
    </w:p>
    <w:p>
      <w:pPr>
        <w:pStyle w:val="20"/>
        <w:ind w:firstLine="0"/>
        <w:rPr>
          <w:rFonts w:ascii="Times New Roman" w:hAnsi="Times New Roman"/>
          <w:color w:val="auto"/>
          <w:highlight w:val="none"/>
        </w:rPr>
      </w:pPr>
      <w:r>
        <w:rPr>
          <w:rFonts w:ascii="Times New Roman" w:hAnsi="Times New Roman"/>
          <w:color w:val="auto"/>
          <w:highlight w:val="none"/>
        </w:rPr>
        <w:t xml:space="preserve">    6.1 招标人不统一组织踏勘，投标人自行踏勘。投标人承担踏勘现场所发生的自身费用。</w:t>
      </w:r>
    </w:p>
    <w:p>
      <w:pPr>
        <w:spacing w:line="360" w:lineRule="auto"/>
        <w:ind w:firstLine="532"/>
        <w:rPr>
          <w:color w:val="auto"/>
          <w:sz w:val="24"/>
          <w:highlight w:val="none"/>
        </w:rPr>
      </w:pPr>
      <w:r>
        <w:rPr>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pPr>
        <w:pStyle w:val="20"/>
        <w:ind w:firstLine="532"/>
        <w:rPr>
          <w:rFonts w:ascii="Times New Roman" w:hAnsi="Times New Roman"/>
          <w:color w:val="auto"/>
          <w:highlight w:val="none"/>
        </w:rPr>
      </w:pPr>
      <w:r>
        <w:rPr>
          <w:rFonts w:ascii="Times New Roman" w:hAnsi="Times New Roman"/>
          <w:color w:val="auto"/>
          <w:highlight w:val="none"/>
        </w:rPr>
        <w:t xml:space="preserve">6.3 </w:t>
      </w:r>
      <w:r>
        <w:rPr>
          <w:rFonts w:hint="eastAsia" w:ascii="Times New Roman" w:hAnsi="Times New Roman"/>
          <w:color w:val="auto"/>
          <w:highlight w:val="none"/>
        </w:rPr>
        <w:t>招标人向投标人提供的有关现场的数据和资料，是招标人现有的能被投标人利用的资料，招标人对投标人做出的任何推论、理解和结论均不负责任。</w:t>
      </w:r>
    </w:p>
    <w:p>
      <w:pPr>
        <w:pStyle w:val="20"/>
        <w:ind w:firstLine="532"/>
        <w:rPr>
          <w:rFonts w:ascii="Times New Roman" w:hAnsi="Times New Roman"/>
          <w:color w:val="auto"/>
          <w:highlight w:val="none"/>
        </w:rPr>
      </w:pPr>
      <w:r>
        <w:rPr>
          <w:rFonts w:ascii="Times New Roman" w:hAnsi="Times New Roman"/>
          <w:color w:val="auto"/>
          <w:highlight w:val="none"/>
        </w:rPr>
        <w:t xml:space="preserve">6.4 </w:t>
      </w:r>
      <w:r>
        <w:rPr>
          <w:rFonts w:hint="eastAsia" w:ascii="Times New Roman" w:hAnsi="Times New Roman"/>
          <w:color w:val="auto"/>
          <w:highlight w:val="none"/>
        </w:rPr>
        <w:t>经招标人允许，投标人可为踏勘目的进入招标人的项目现场，但投标人不得因此使招标人承担有关的责任和蒙受损失。投标人应承担踏勘现场的责任和风险。</w:t>
      </w:r>
    </w:p>
    <w:p>
      <w:pPr>
        <w:pStyle w:val="6"/>
        <w:ind w:left="1008" w:hanging="1008"/>
        <w:rPr>
          <w:rFonts w:ascii="Times New Roman" w:hAnsi="Times New Roman"/>
          <w:bCs/>
          <w:color w:val="auto"/>
          <w:highlight w:val="none"/>
        </w:rPr>
      </w:pPr>
      <w:r>
        <w:rPr>
          <w:rFonts w:ascii="Times New Roman" w:hAnsi="Times New Roman"/>
          <w:bCs/>
          <w:color w:val="auto"/>
          <w:highlight w:val="none"/>
        </w:rPr>
        <w:t>7、投标费用</w:t>
      </w:r>
    </w:p>
    <w:p>
      <w:pPr>
        <w:pStyle w:val="20"/>
        <w:ind w:firstLine="532"/>
        <w:rPr>
          <w:rFonts w:ascii="Times New Roman" w:hAnsi="Times New Roman"/>
          <w:color w:val="auto"/>
          <w:highlight w:val="none"/>
        </w:rPr>
      </w:pPr>
      <w:r>
        <w:rPr>
          <w:rFonts w:ascii="Times New Roman" w:hAnsi="Times New Roman"/>
          <w:color w:val="auto"/>
          <w:highlight w:val="none"/>
        </w:rPr>
        <w:t>7.1招标人不承担投标人编制投标文件与递交投标文件所涉及的费用和应由投标人承担其参加本招标活动自身所发生的费用，论投标的结果如何，招标人均无义务和责任承担上述费用。</w:t>
      </w:r>
    </w:p>
    <w:p>
      <w:pPr>
        <w:pStyle w:val="20"/>
        <w:ind w:firstLine="532"/>
        <w:rPr>
          <w:rFonts w:ascii="Times New Roman" w:hAnsi="Times New Roman"/>
          <w:b/>
          <w:color w:val="auto"/>
          <w:highlight w:val="none"/>
        </w:rPr>
      </w:pPr>
      <w:r>
        <w:rPr>
          <w:rFonts w:ascii="Times New Roman" w:hAnsi="Times New Roman"/>
          <w:color w:val="auto"/>
          <w:highlight w:val="none"/>
        </w:rPr>
        <w:t>7.2</w:t>
      </w:r>
      <w:r>
        <w:rPr>
          <w:rFonts w:hint="eastAsia" w:ascii="Times New Roman" w:hAnsi="Times New Roman"/>
          <w:bCs/>
          <w:color w:val="auto"/>
          <w:highlight w:val="none"/>
        </w:rPr>
        <w:t>招标代理服务费：向中标人收取招标代理服务费。</w:t>
      </w:r>
    </w:p>
    <w:p>
      <w:pPr>
        <w:pStyle w:val="5"/>
        <w:tabs>
          <w:tab w:val="center" w:pos="4677"/>
          <w:tab w:val="left" w:pos="6240"/>
        </w:tabs>
        <w:rPr>
          <w:rFonts w:ascii="Times New Roman" w:hAnsi="Times New Roman" w:eastAsia="宋体"/>
          <w:b/>
          <w:color w:val="auto"/>
          <w:highlight w:val="none"/>
        </w:rPr>
      </w:pPr>
      <w:r>
        <w:rPr>
          <w:rFonts w:hint="eastAsia" w:ascii="Times New Roman" w:hAnsi="Times New Roman" w:eastAsia="宋体"/>
          <w:b/>
          <w:color w:val="auto"/>
          <w:highlight w:val="none"/>
        </w:rPr>
        <w:t>（二）</w:t>
      </w:r>
      <w:r>
        <w:rPr>
          <w:rFonts w:ascii="Times New Roman" w:hAnsi="Times New Roman" w:eastAsia="宋体"/>
          <w:b/>
          <w:color w:val="auto"/>
          <w:highlight w:val="none"/>
        </w:rPr>
        <w:t xml:space="preserve"> </w:t>
      </w:r>
      <w:r>
        <w:rPr>
          <w:rFonts w:hint="eastAsia" w:ascii="Times New Roman" w:hAnsi="Times New Roman" w:eastAsia="宋体"/>
          <w:b/>
          <w:color w:val="auto"/>
          <w:highlight w:val="none"/>
        </w:rPr>
        <w:t>招标文件</w:t>
      </w:r>
    </w:p>
    <w:p>
      <w:pPr>
        <w:pStyle w:val="6"/>
        <w:ind w:left="1008" w:hanging="1008"/>
        <w:rPr>
          <w:rFonts w:ascii="Times New Roman" w:hAnsi="Times New Roman"/>
          <w:bCs/>
          <w:color w:val="auto"/>
          <w:highlight w:val="none"/>
        </w:rPr>
      </w:pPr>
      <w:r>
        <w:rPr>
          <w:rFonts w:ascii="Times New Roman" w:hAnsi="Times New Roman"/>
          <w:bCs/>
          <w:color w:val="auto"/>
          <w:highlight w:val="none"/>
        </w:rPr>
        <w:t>8、招标文件的组成</w:t>
      </w:r>
    </w:p>
    <w:p>
      <w:pPr>
        <w:spacing w:line="360" w:lineRule="auto"/>
        <w:ind w:firstLine="480" w:firstLineChars="200"/>
        <w:rPr>
          <w:color w:val="auto"/>
          <w:sz w:val="24"/>
          <w:szCs w:val="24"/>
          <w:highlight w:val="none"/>
        </w:rPr>
      </w:pPr>
      <w:r>
        <w:rPr>
          <w:color w:val="auto"/>
          <w:sz w:val="24"/>
          <w:highlight w:val="none"/>
        </w:rPr>
        <w:t>8.1招标文件包括本招标文件目录和附件所示的全部内容。</w:t>
      </w:r>
    </w:p>
    <w:p>
      <w:pPr>
        <w:spacing w:line="360" w:lineRule="auto"/>
        <w:ind w:firstLine="480" w:firstLineChars="200"/>
        <w:rPr>
          <w:color w:val="auto"/>
          <w:sz w:val="24"/>
          <w:highlight w:val="none"/>
        </w:rPr>
      </w:pPr>
      <w:r>
        <w:rPr>
          <w:color w:val="auto"/>
          <w:sz w:val="24"/>
          <w:highlight w:val="none"/>
        </w:rPr>
        <w:t xml:space="preserve">8.2 </w:t>
      </w:r>
      <w:r>
        <w:rPr>
          <w:rFonts w:hint="eastAsia"/>
          <w:color w:val="auto"/>
          <w:sz w:val="24"/>
          <w:highlight w:val="none"/>
        </w:rPr>
        <w:t>除</w:t>
      </w:r>
      <w:r>
        <w:rPr>
          <w:color w:val="auto"/>
          <w:sz w:val="24"/>
          <w:highlight w:val="none"/>
        </w:rPr>
        <w:t>8.1内容外，招标人在提交投标文件截止时间15日前，以书面形式发出的对招标文件的澄清或修改、补充内容，均为招标文件的组成部分，对招标人和投标人起约束作用。</w:t>
      </w:r>
    </w:p>
    <w:p>
      <w:pPr>
        <w:spacing w:line="360" w:lineRule="auto"/>
        <w:ind w:firstLine="480" w:firstLineChars="200"/>
        <w:rPr>
          <w:color w:val="auto"/>
          <w:sz w:val="24"/>
          <w:highlight w:val="none"/>
        </w:rPr>
      </w:pPr>
      <w:r>
        <w:rPr>
          <w:color w:val="auto"/>
          <w:sz w:val="24"/>
          <w:highlight w:val="none"/>
        </w:rPr>
        <w:t xml:space="preserve">8.3 </w:t>
      </w:r>
      <w:r>
        <w:rPr>
          <w:rFonts w:hint="eastAsia"/>
          <w:color w:val="auto"/>
          <w:sz w:val="24"/>
          <w:highlight w:val="none"/>
        </w:rPr>
        <w:t>投标人获取招标文件后，应仔细检查招标文件的所有内容，如有残缺等问题应在提交投标文件截止时间</w:t>
      </w:r>
      <w:r>
        <w:rPr>
          <w:color w:val="auto"/>
          <w:sz w:val="24"/>
          <w:highlight w:val="none"/>
        </w:rPr>
        <w:t>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ind w:left="1008" w:hanging="1008"/>
        <w:rPr>
          <w:rFonts w:ascii="Times New Roman" w:hAnsi="Times New Roman"/>
          <w:bCs/>
          <w:color w:val="auto"/>
          <w:highlight w:val="none"/>
        </w:rPr>
      </w:pPr>
      <w:r>
        <w:rPr>
          <w:rFonts w:ascii="Times New Roman" w:hAnsi="Times New Roman"/>
          <w:bCs/>
          <w:color w:val="auto"/>
          <w:highlight w:val="none"/>
        </w:rPr>
        <w:t>9、投标人对招标文件提出异议及要求澄清的截止时间</w:t>
      </w:r>
    </w:p>
    <w:p>
      <w:pPr>
        <w:spacing w:line="360" w:lineRule="auto"/>
        <w:ind w:firstLine="480" w:firstLineChars="200"/>
        <w:rPr>
          <w:color w:val="auto"/>
          <w:sz w:val="24"/>
          <w:highlight w:val="none"/>
        </w:rPr>
      </w:pPr>
      <w:r>
        <w:rPr>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pPr>
        <w:spacing w:line="360" w:lineRule="auto"/>
        <w:ind w:firstLine="480" w:firstLineChars="200"/>
        <w:rPr>
          <w:color w:val="auto"/>
          <w:sz w:val="24"/>
          <w:highlight w:val="none"/>
        </w:rPr>
      </w:pPr>
      <w:r>
        <w:rPr>
          <w:color w:val="auto"/>
          <w:sz w:val="24"/>
          <w:highlight w:val="none"/>
        </w:rPr>
        <w:t>9.2投标人要求澄清招标文件的截止时间为投标截止时间15日前。</w:t>
      </w:r>
    </w:p>
    <w:p>
      <w:pPr>
        <w:pStyle w:val="6"/>
        <w:ind w:left="1008" w:hanging="1008"/>
        <w:rPr>
          <w:rFonts w:ascii="Times New Roman" w:hAnsi="Times New Roman"/>
          <w:bCs/>
          <w:color w:val="auto"/>
          <w:highlight w:val="none"/>
        </w:rPr>
      </w:pPr>
      <w:r>
        <w:rPr>
          <w:rFonts w:ascii="Times New Roman" w:hAnsi="Times New Roman"/>
          <w:bCs/>
          <w:color w:val="auto"/>
          <w:highlight w:val="none"/>
        </w:rPr>
        <w:t>10、招标文件的修改</w:t>
      </w:r>
    </w:p>
    <w:p>
      <w:pPr>
        <w:spacing w:line="360" w:lineRule="auto"/>
        <w:ind w:firstLine="532"/>
        <w:rPr>
          <w:color w:val="auto"/>
          <w:sz w:val="24"/>
          <w:highlight w:val="none"/>
        </w:rPr>
      </w:pPr>
      <w:r>
        <w:rPr>
          <w:color w:val="auto"/>
          <w:sz w:val="24"/>
          <w:highlight w:val="none"/>
        </w:rPr>
        <w:t xml:space="preserve">10.1 </w:t>
      </w:r>
      <w:r>
        <w:rPr>
          <w:rFonts w:hint="eastAsia"/>
          <w:color w:val="auto"/>
          <w:sz w:val="24"/>
          <w:highlight w:val="none"/>
        </w:rPr>
        <w:t>在投标截止时间前，招标人无论出于自己的考虑，还是出于对投标人提问的澄清，均可对招标文件用补充文件的方式进行修改。</w:t>
      </w:r>
    </w:p>
    <w:p>
      <w:pPr>
        <w:spacing w:line="360" w:lineRule="auto"/>
        <w:ind w:firstLine="532"/>
        <w:rPr>
          <w:b/>
          <w:color w:val="auto"/>
          <w:sz w:val="24"/>
          <w:highlight w:val="none"/>
        </w:rPr>
      </w:pPr>
      <w:r>
        <w:rPr>
          <w:color w:val="auto"/>
          <w:sz w:val="24"/>
          <w:highlight w:val="none"/>
        </w:rPr>
        <w:t xml:space="preserve">10.2 </w:t>
      </w:r>
      <w:r>
        <w:rPr>
          <w:rFonts w:hint="eastAsia"/>
          <w:color w:val="auto"/>
          <w:sz w:val="24"/>
          <w:highlight w:val="none"/>
        </w:rPr>
        <w:t>对招标文件的修改，将以书面的形式通知每一投标人。补充文件将作为招标文件的组成部分，对所有投标人均有约束力。</w:t>
      </w:r>
    </w:p>
    <w:p>
      <w:pPr>
        <w:spacing w:line="360" w:lineRule="auto"/>
        <w:ind w:firstLine="532"/>
        <w:rPr>
          <w:color w:val="auto"/>
          <w:sz w:val="24"/>
          <w:highlight w:val="none"/>
        </w:rPr>
      </w:pPr>
      <w:r>
        <w:rPr>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pPr>
        <w:spacing w:line="360" w:lineRule="auto"/>
        <w:ind w:firstLine="532"/>
        <w:rPr>
          <w:color w:val="auto"/>
          <w:sz w:val="24"/>
          <w:highlight w:val="none"/>
        </w:rPr>
      </w:pPr>
      <w:r>
        <w:rPr>
          <w:color w:val="auto"/>
          <w:sz w:val="24"/>
          <w:highlight w:val="none"/>
        </w:rPr>
        <w:t>10.4</w:t>
      </w:r>
      <w:r>
        <w:rPr>
          <w:rFonts w:hint="eastAsia"/>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hint="eastAsia"/>
          <w:color w:val="auto"/>
          <w:sz w:val="24"/>
          <w:highlight w:val="none"/>
        </w:rPr>
        <w:t>。</w:t>
      </w:r>
    </w:p>
    <w:p>
      <w:pPr>
        <w:pStyle w:val="5"/>
        <w:tabs>
          <w:tab w:val="center" w:pos="4677"/>
          <w:tab w:val="left" w:pos="6240"/>
        </w:tabs>
        <w:rPr>
          <w:rFonts w:ascii="Times New Roman" w:hAnsi="Times New Roman" w:eastAsia="宋体"/>
          <w:b/>
          <w:color w:val="auto"/>
          <w:highlight w:val="none"/>
        </w:rPr>
      </w:pPr>
      <w:r>
        <w:rPr>
          <w:rFonts w:hint="eastAsia" w:ascii="Times New Roman" w:hAnsi="Times New Roman" w:eastAsia="宋体"/>
          <w:b/>
          <w:color w:val="auto"/>
          <w:highlight w:val="none"/>
        </w:rPr>
        <w:t>（三）投标文件的编制</w:t>
      </w:r>
    </w:p>
    <w:p>
      <w:pPr>
        <w:pStyle w:val="6"/>
        <w:ind w:left="1008" w:hanging="1008"/>
        <w:rPr>
          <w:rFonts w:ascii="Times New Roman" w:hAnsi="Times New Roman"/>
          <w:color w:val="auto"/>
          <w:highlight w:val="none"/>
        </w:rPr>
      </w:pPr>
      <w:r>
        <w:rPr>
          <w:rFonts w:ascii="Times New Roman" w:hAnsi="Times New Roman"/>
          <w:color w:val="auto"/>
          <w:highlight w:val="none"/>
        </w:rPr>
        <w:t>11、编制要求</w:t>
      </w:r>
    </w:p>
    <w:p>
      <w:pPr>
        <w:spacing w:line="360" w:lineRule="auto"/>
        <w:ind w:firstLine="532"/>
        <w:rPr>
          <w:color w:val="auto"/>
          <w:sz w:val="24"/>
          <w:highlight w:val="none"/>
        </w:rPr>
      </w:pPr>
      <w:r>
        <w:rPr>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pPr>
        <w:spacing w:line="360" w:lineRule="auto"/>
        <w:ind w:firstLine="532"/>
        <w:rPr>
          <w:color w:val="auto"/>
          <w:sz w:val="24"/>
          <w:highlight w:val="none"/>
        </w:rPr>
      </w:pPr>
      <w:r>
        <w:rPr>
          <w:color w:val="auto"/>
          <w:sz w:val="24"/>
          <w:highlight w:val="none"/>
        </w:rPr>
        <w:t>11.2投标的语言：投标人提交的投标文件以及投标人与招标代理机构就有关投标的所有来往函电均应以中文书写。</w:t>
      </w:r>
    </w:p>
    <w:p>
      <w:pPr>
        <w:spacing w:line="360" w:lineRule="auto"/>
        <w:ind w:firstLine="532"/>
        <w:rPr>
          <w:color w:val="auto"/>
          <w:sz w:val="24"/>
          <w:highlight w:val="none"/>
        </w:rPr>
      </w:pPr>
      <w:r>
        <w:rPr>
          <w:color w:val="auto"/>
          <w:sz w:val="24"/>
          <w:highlight w:val="none"/>
        </w:rPr>
        <w:t>11.3除项目规范另有规定外，投标文件使用的度量衡单位，均采用中华人民共和国法定计量单位。</w:t>
      </w:r>
    </w:p>
    <w:p>
      <w:pPr>
        <w:pStyle w:val="6"/>
        <w:ind w:left="1008" w:hanging="1008"/>
        <w:rPr>
          <w:rFonts w:ascii="Times New Roman" w:hAnsi="Times New Roman"/>
          <w:color w:val="auto"/>
          <w:highlight w:val="none"/>
        </w:rPr>
      </w:pPr>
      <w:r>
        <w:rPr>
          <w:rFonts w:ascii="Times New Roman" w:hAnsi="Times New Roman"/>
          <w:color w:val="auto"/>
          <w:highlight w:val="none"/>
        </w:rPr>
        <w:t>12、投标文件的组成</w:t>
      </w:r>
    </w:p>
    <w:p>
      <w:pPr>
        <w:spacing w:line="360" w:lineRule="auto"/>
        <w:ind w:firstLine="532"/>
        <w:rPr>
          <w:color w:val="auto"/>
          <w:sz w:val="24"/>
          <w:highlight w:val="none"/>
        </w:rPr>
      </w:pPr>
      <w:r>
        <w:rPr>
          <w:rFonts w:hint="eastAsia"/>
          <w:color w:val="auto"/>
          <w:sz w:val="24"/>
          <w:highlight w:val="none"/>
        </w:rPr>
        <w:t>投标文件应按第六章“附件（投标文件格式）”进行编制，如有必要，可以增加附页，作为投标文件的组成部分。</w:t>
      </w:r>
    </w:p>
    <w:p>
      <w:pPr>
        <w:pStyle w:val="6"/>
        <w:ind w:left="1008" w:hanging="1008"/>
        <w:rPr>
          <w:rFonts w:ascii="Times New Roman" w:hAnsi="Times New Roman"/>
          <w:color w:val="auto"/>
          <w:highlight w:val="none"/>
        </w:rPr>
      </w:pPr>
      <w:r>
        <w:rPr>
          <w:rFonts w:ascii="Times New Roman" w:hAnsi="Times New Roman"/>
          <w:color w:val="auto"/>
          <w:highlight w:val="none"/>
        </w:rPr>
        <w:t xml:space="preserve">13、投标文件内容及格式    </w:t>
      </w:r>
    </w:p>
    <w:p>
      <w:pPr>
        <w:spacing w:line="360" w:lineRule="auto"/>
        <w:ind w:firstLine="532"/>
        <w:rPr>
          <w:color w:val="auto"/>
          <w:sz w:val="24"/>
          <w:highlight w:val="none"/>
        </w:rPr>
      </w:pPr>
      <w:r>
        <w:rPr>
          <w:color w:val="auto"/>
          <w:sz w:val="24"/>
          <w:highlight w:val="none"/>
        </w:rPr>
        <w:t>13.1投标人应按招标文件规定的全部内容（但不限于）与要求编制投标文件，投标人提交的投标文件应当使用招标文件所提供的投标文件全部格式（表格可以按同样格式扩展）。</w:t>
      </w:r>
    </w:p>
    <w:p>
      <w:pPr>
        <w:pStyle w:val="6"/>
        <w:ind w:left="1008" w:hanging="1008"/>
        <w:rPr>
          <w:rFonts w:ascii="Times New Roman" w:hAnsi="Times New Roman"/>
          <w:color w:val="auto"/>
          <w:highlight w:val="none"/>
        </w:rPr>
      </w:pPr>
      <w:r>
        <w:rPr>
          <w:rFonts w:ascii="Times New Roman" w:hAnsi="Times New Roman"/>
          <w:color w:val="auto"/>
          <w:highlight w:val="none"/>
        </w:rPr>
        <w:t>14、投标报价</w:t>
      </w:r>
    </w:p>
    <w:p>
      <w:pPr>
        <w:spacing w:line="360" w:lineRule="auto"/>
        <w:ind w:firstLine="525" w:firstLineChars="250"/>
        <w:rPr>
          <w:color w:val="auto"/>
          <w:sz w:val="24"/>
          <w:highlight w:val="none"/>
        </w:rPr>
      </w:pPr>
      <w:r>
        <w:rPr>
          <w:color w:val="auto"/>
          <w:highlight w:val="none"/>
        </w:rPr>
        <w:t xml:space="preserve"> </w:t>
      </w:r>
      <w:r>
        <w:rPr>
          <w:color w:val="auto"/>
          <w:sz w:val="24"/>
          <w:highlight w:val="none"/>
        </w:rPr>
        <w:t>14.1投标报价方式：投标人根据市场价报</w:t>
      </w:r>
      <w:r>
        <w:rPr>
          <w:rFonts w:hint="eastAsia"/>
          <w:color w:val="auto"/>
          <w:sz w:val="24"/>
          <w:highlight w:val="none"/>
        </w:rPr>
        <w:t>固定总价，市场价包括人工费、管理费、利润等所有应计费用及政策性文件规定及合同包含的所有风险、责任等各项应有费用及税金（须开具增值税专用发票）。</w:t>
      </w:r>
    </w:p>
    <w:p>
      <w:pPr>
        <w:spacing w:line="360" w:lineRule="auto"/>
        <w:ind w:firstLine="600" w:firstLineChars="250"/>
        <w:rPr>
          <w:color w:val="auto"/>
          <w:sz w:val="24"/>
          <w:highlight w:val="none"/>
        </w:rPr>
      </w:pPr>
      <w:r>
        <w:rPr>
          <w:color w:val="auto"/>
          <w:sz w:val="24"/>
          <w:highlight w:val="none"/>
        </w:rPr>
        <w:t>14.2请各投标人在投标报价时必须自行考虑各种因素，认真分析、测算，作出合理报价参加投标。涉及到招标人新增或变更的内容，以双方协商确定的价格为依据据实结算。</w:t>
      </w:r>
    </w:p>
    <w:p>
      <w:pPr>
        <w:spacing w:line="360" w:lineRule="auto"/>
        <w:ind w:firstLine="600" w:firstLineChars="250"/>
        <w:rPr>
          <w:color w:val="auto"/>
          <w:sz w:val="24"/>
          <w:highlight w:val="none"/>
        </w:rPr>
      </w:pPr>
      <w:r>
        <w:rPr>
          <w:color w:val="auto"/>
          <w:sz w:val="24"/>
          <w:highlight w:val="none"/>
        </w:rPr>
        <w:t>14.3</w:t>
      </w:r>
      <w:r>
        <w:rPr>
          <w:rFonts w:hint="eastAsia"/>
          <w:b/>
          <w:color w:val="auto"/>
          <w:sz w:val="24"/>
          <w:highlight w:val="none"/>
        </w:rPr>
        <w:t>最终结算时：投标人根据招标人提供的资料自行填报固定总价，其价格应包含完成所需的一切费用。按可调整价格报价的投标文件将被视为不响应招标文件。</w:t>
      </w:r>
    </w:p>
    <w:p>
      <w:pPr>
        <w:pStyle w:val="6"/>
        <w:ind w:left="1008" w:hanging="1008"/>
        <w:rPr>
          <w:rFonts w:ascii="Times New Roman" w:hAnsi="Times New Roman"/>
          <w:color w:val="auto"/>
          <w:highlight w:val="none"/>
        </w:rPr>
      </w:pPr>
      <w:r>
        <w:rPr>
          <w:rFonts w:ascii="Times New Roman" w:hAnsi="Times New Roman"/>
          <w:color w:val="auto"/>
          <w:highlight w:val="none"/>
        </w:rPr>
        <w:t>15、投标货币</w:t>
      </w:r>
    </w:p>
    <w:p>
      <w:pPr>
        <w:spacing w:line="360" w:lineRule="auto"/>
        <w:ind w:firstLine="500"/>
        <w:rPr>
          <w:color w:val="auto"/>
          <w:sz w:val="24"/>
          <w:highlight w:val="none"/>
        </w:rPr>
      </w:pPr>
      <w:r>
        <w:rPr>
          <w:color w:val="auto"/>
          <w:sz w:val="24"/>
          <w:highlight w:val="none"/>
        </w:rPr>
        <w:t>15.1投标人提供的服务一律用人民币结算及报价。</w:t>
      </w:r>
    </w:p>
    <w:p>
      <w:pPr>
        <w:pStyle w:val="6"/>
        <w:ind w:left="1008" w:hanging="1008"/>
        <w:rPr>
          <w:rFonts w:ascii="Times New Roman" w:hAnsi="Times New Roman"/>
          <w:color w:val="auto"/>
          <w:highlight w:val="none"/>
        </w:rPr>
      </w:pPr>
      <w:r>
        <w:rPr>
          <w:rFonts w:ascii="Times New Roman" w:hAnsi="Times New Roman"/>
          <w:color w:val="auto"/>
          <w:highlight w:val="none"/>
        </w:rPr>
        <w:t>16、证明投标人合格和资格的文件</w:t>
      </w:r>
    </w:p>
    <w:p>
      <w:pPr>
        <w:spacing w:line="360" w:lineRule="auto"/>
        <w:ind w:firstLine="500"/>
        <w:rPr>
          <w:color w:val="auto"/>
          <w:sz w:val="24"/>
          <w:highlight w:val="none"/>
        </w:rPr>
      </w:pPr>
      <w:r>
        <w:rPr>
          <w:color w:val="auto"/>
          <w:sz w:val="24"/>
          <w:highlight w:val="none"/>
        </w:rPr>
        <w:t>16.1投标人应提交证明其有资格参加投标的文件，</w:t>
      </w:r>
      <w:r>
        <w:rPr>
          <w:rFonts w:hint="eastAsia"/>
          <w:color w:val="auto"/>
          <w:sz w:val="24"/>
          <w:highlight w:val="none"/>
        </w:rPr>
        <w:t>详见“第七章</w:t>
      </w:r>
      <w:r>
        <w:rPr>
          <w:color w:val="auto"/>
          <w:sz w:val="24"/>
          <w:highlight w:val="none"/>
        </w:rPr>
        <w:t xml:space="preserve"> </w:t>
      </w:r>
      <w:r>
        <w:rPr>
          <w:rFonts w:hint="eastAsia"/>
          <w:color w:val="auto"/>
          <w:sz w:val="24"/>
          <w:highlight w:val="none"/>
        </w:rPr>
        <w:t>评标办法”。</w:t>
      </w:r>
    </w:p>
    <w:p>
      <w:pPr>
        <w:spacing w:line="360" w:lineRule="auto"/>
        <w:ind w:firstLine="500"/>
        <w:rPr>
          <w:color w:val="auto"/>
          <w:sz w:val="24"/>
          <w:highlight w:val="none"/>
        </w:rPr>
      </w:pPr>
      <w:r>
        <w:rPr>
          <w:color w:val="auto"/>
          <w:sz w:val="24"/>
          <w:highlight w:val="none"/>
        </w:rPr>
        <w:t>16.2投标人在投标时应符合本须知第5.1条的规定。</w:t>
      </w:r>
    </w:p>
    <w:p>
      <w:pPr>
        <w:pStyle w:val="6"/>
        <w:ind w:left="1008" w:hanging="1008"/>
        <w:rPr>
          <w:rFonts w:ascii="Times New Roman" w:hAnsi="Times New Roman"/>
          <w:color w:val="auto"/>
          <w:highlight w:val="none"/>
        </w:rPr>
      </w:pPr>
      <w:r>
        <w:rPr>
          <w:rFonts w:ascii="Times New Roman" w:hAnsi="Times New Roman"/>
          <w:color w:val="auto"/>
          <w:highlight w:val="none"/>
        </w:rPr>
        <w:t>17、证明</w:t>
      </w:r>
      <w:r>
        <w:rPr>
          <w:rFonts w:hint="eastAsia" w:ascii="Times New Roman" w:hAnsi="Times New Roman"/>
          <w:color w:val="auto"/>
          <w:highlight w:val="none"/>
        </w:rPr>
        <w:t>服务的合格性和符合招标文件规定的文件</w:t>
      </w:r>
    </w:p>
    <w:p>
      <w:pPr>
        <w:spacing w:line="360" w:lineRule="auto"/>
        <w:ind w:firstLine="500"/>
        <w:rPr>
          <w:color w:val="auto"/>
          <w:sz w:val="24"/>
          <w:highlight w:val="none"/>
        </w:rPr>
      </w:pPr>
      <w:r>
        <w:rPr>
          <w:color w:val="auto"/>
          <w:sz w:val="24"/>
          <w:highlight w:val="none"/>
        </w:rPr>
        <w:t>17.1</w:t>
      </w:r>
      <w:r>
        <w:rPr>
          <w:rFonts w:hint="eastAsia"/>
          <w:color w:val="auto"/>
          <w:sz w:val="24"/>
          <w:highlight w:val="none"/>
        </w:rPr>
        <w:t>详见“第七章</w:t>
      </w:r>
      <w:r>
        <w:rPr>
          <w:color w:val="auto"/>
          <w:sz w:val="24"/>
          <w:highlight w:val="none"/>
        </w:rPr>
        <w:t xml:space="preserve"> </w:t>
      </w:r>
      <w:r>
        <w:rPr>
          <w:rFonts w:hint="eastAsia"/>
          <w:color w:val="auto"/>
          <w:sz w:val="24"/>
          <w:highlight w:val="none"/>
        </w:rPr>
        <w:t>评标办法”。</w:t>
      </w:r>
    </w:p>
    <w:p>
      <w:pPr>
        <w:pStyle w:val="6"/>
        <w:ind w:left="1008" w:hanging="1008"/>
        <w:rPr>
          <w:rFonts w:ascii="Times New Roman" w:hAnsi="Times New Roman"/>
          <w:color w:val="auto"/>
          <w:highlight w:val="none"/>
        </w:rPr>
      </w:pPr>
      <w:r>
        <w:rPr>
          <w:rFonts w:ascii="Times New Roman" w:hAnsi="Times New Roman"/>
          <w:color w:val="auto"/>
          <w:highlight w:val="none"/>
        </w:rPr>
        <w:t>18、投标保证金</w:t>
      </w:r>
    </w:p>
    <w:p>
      <w:pPr>
        <w:spacing w:line="360" w:lineRule="auto"/>
        <w:ind w:firstLine="500"/>
        <w:rPr>
          <w:color w:val="auto"/>
          <w:sz w:val="24"/>
          <w:highlight w:val="none"/>
        </w:rPr>
      </w:pPr>
      <w:r>
        <w:rPr>
          <w:color w:val="auto"/>
          <w:sz w:val="24"/>
          <w:highlight w:val="none"/>
        </w:rPr>
        <w:t>18.1投标人应按投标须知前附表第16项规定提交投标保证</w:t>
      </w:r>
      <w:r>
        <w:rPr>
          <w:color w:val="auto"/>
          <w:sz w:val="24"/>
          <w:highlight w:val="none"/>
        </w:rPr>
        <w:tab/>
      </w:r>
      <w:r>
        <w:rPr>
          <w:rFonts w:hint="eastAsia"/>
          <w:color w:val="auto"/>
          <w:sz w:val="24"/>
          <w:highlight w:val="none"/>
        </w:rPr>
        <w:t>金。</w:t>
      </w:r>
    </w:p>
    <w:p>
      <w:pPr>
        <w:spacing w:line="360" w:lineRule="auto"/>
        <w:ind w:firstLine="500"/>
        <w:rPr>
          <w:color w:val="auto"/>
          <w:sz w:val="24"/>
          <w:highlight w:val="none"/>
        </w:rPr>
      </w:pPr>
      <w:r>
        <w:rPr>
          <w:color w:val="auto"/>
          <w:sz w:val="24"/>
          <w:highlight w:val="none"/>
        </w:rPr>
        <w:t>18.2招标人与中标人签订合同后五日内,向未中标的投标人一次性退还投标保证金及银行同期利息。</w:t>
      </w:r>
    </w:p>
    <w:p>
      <w:pPr>
        <w:spacing w:line="360" w:lineRule="auto"/>
        <w:ind w:firstLine="500"/>
        <w:rPr>
          <w:color w:val="auto"/>
          <w:sz w:val="24"/>
          <w:highlight w:val="none"/>
        </w:rPr>
      </w:pPr>
      <w:r>
        <w:rPr>
          <w:color w:val="auto"/>
          <w:sz w:val="24"/>
          <w:highlight w:val="none"/>
        </w:rPr>
        <w:t>18.3银行同期存款利息：</w:t>
      </w:r>
    </w:p>
    <w:p>
      <w:pPr>
        <w:spacing w:line="360" w:lineRule="auto"/>
        <w:ind w:firstLine="500"/>
        <w:rPr>
          <w:color w:val="auto"/>
          <w:sz w:val="24"/>
          <w:highlight w:val="none"/>
        </w:rPr>
      </w:pPr>
      <w:r>
        <w:rPr>
          <w:color w:val="auto"/>
          <w:sz w:val="24"/>
          <w:highlight w:val="none"/>
        </w:rPr>
        <w:t>18.3.1投标保证金计息利率依照中国人民银行公布的同期活期存款利率；</w:t>
      </w:r>
    </w:p>
    <w:p>
      <w:pPr>
        <w:spacing w:line="360" w:lineRule="auto"/>
        <w:ind w:firstLine="500"/>
        <w:rPr>
          <w:color w:val="auto"/>
          <w:sz w:val="24"/>
          <w:highlight w:val="none"/>
        </w:rPr>
      </w:pPr>
      <w:r>
        <w:rPr>
          <w:color w:val="auto"/>
          <w:sz w:val="24"/>
          <w:highlight w:val="none"/>
        </w:rPr>
        <w:t>18.3.2银行同期存款利息的计算公式为：金额x年利率/360 x计息天数；</w:t>
      </w:r>
    </w:p>
    <w:p>
      <w:pPr>
        <w:spacing w:line="360" w:lineRule="auto"/>
        <w:ind w:firstLine="500"/>
        <w:rPr>
          <w:color w:val="auto"/>
          <w:sz w:val="24"/>
          <w:highlight w:val="none"/>
        </w:rPr>
      </w:pPr>
      <w:r>
        <w:rPr>
          <w:color w:val="auto"/>
          <w:sz w:val="24"/>
          <w:highlight w:val="none"/>
        </w:rPr>
        <w:t>18.3.3起息日为该项目的投标截止日，结息日为辽宁国信建设工程管理有限公司中标通知书发出当日；</w:t>
      </w:r>
    </w:p>
    <w:p>
      <w:pPr>
        <w:spacing w:line="360" w:lineRule="auto"/>
        <w:ind w:firstLine="500"/>
        <w:rPr>
          <w:color w:val="auto"/>
          <w:sz w:val="24"/>
          <w:highlight w:val="none"/>
        </w:rPr>
      </w:pPr>
      <w:r>
        <w:rPr>
          <w:color w:val="auto"/>
          <w:sz w:val="24"/>
          <w:highlight w:val="none"/>
        </w:rPr>
        <w:t>18.3.4招标代理公司将按有关规定，按时退还投标保证金本金。在退还投标保证金利息前，招标代理公司将向投标人提供相应的计息清单，要求投标人据此提供保证金利息发票。招标代理公司收到保证金利息发票方可退还保证金利息；</w:t>
      </w:r>
    </w:p>
    <w:p>
      <w:pPr>
        <w:spacing w:line="360" w:lineRule="auto"/>
        <w:ind w:firstLine="500"/>
        <w:rPr>
          <w:color w:val="auto"/>
          <w:sz w:val="24"/>
          <w:highlight w:val="none"/>
        </w:rPr>
      </w:pPr>
      <w:r>
        <w:rPr>
          <w:color w:val="auto"/>
          <w:sz w:val="24"/>
          <w:highlight w:val="none"/>
        </w:rPr>
        <w:t>18.3.5以银行转账支票或银行电汇方式提交的投标保证金，其利息按照专用账户开户银行退款当日挂牌对公活期存款利率计算，在退还投标保证金的同时将利息划拨至投标保证金的原拨付账户；</w:t>
      </w:r>
    </w:p>
    <w:p>
      <w:pPr>
        <w:spacing w:line="360" w:lineRule="auto"/>
        <w:ind w:firstLine="500"/>
        <w:rPr>
          <w:color w:val="auto"/>
          <w:sz w:val="24"/>
          <w:highlight w:val="none"/>
        </w:rPr>
      </w:pPr>
      <w:r>
        <w:rPr>
          <w:color w:val="auto"/>
          <w:sz w:val="24"/>
          <w:highlight w:val="none"/>
        </w:rPr>
        <w:t>18.3.6以保函或其他担保形式提交的投标保证金无利息。</w:t>
      </w:r>
    </w:p>
    <w:p>
      <w:pPr>
        <w:spacing w:line="360" w:lineRule="auto"/>
        <w:ind w:firstLine="500"/>
        <w:rPr>
          <w:color w:val="auto"/>
          <w:sz w:val="24"/>
          <w:highlight w:val="none"/>
        </w:rPr>
      </w:pPr>
      <w:r>
        <w:rPr>
          <w:color w:val="auto"/>
          <w:sz w:val="24"/>
          <w:highlight w:val="none"/>
        </w:rPr>
        <w:t>18.4中标人的投标担保，在中标人按本须知第36条规定签订合同后5日内予以退还。</w:t>
      </w:r>
    </w:p>
    <w:p>
      <w:pPr>
        <w:spacing w:line="360" w:lineRule="auto"/>
        <w:ind w:firstLine="500"/>
        <w:rPr>
          <w:color w:val="auto"/>
          <w:sz w:val="24"/>
          <w:highlight w:val="none"/>
        </w:rPr>
      </w:pPr>
      <w:r>
        <w:rPr>
          <w:color w:val="auto"/>
          <w:sz w:val="24"/>
          <w:highlight w:val="none"/>
        </w:rPr>
        <w:t>18.5如投标人发生下列情况之一时，投标担保将不予退还：</w:t>
      </w:r>
    </w:p>
    <w:p>
      <w:pPr>
        <w:spacing w:line="360" w:lineRule="auto"/>
        <w:ind w:firstLine="500"/>
        <w:rPr>
          <w:color w:val="auto"/>
          <w:sz w:val="24"/>
          <w:highlight w:val="none"/>
        </w:rPr>
      </w:pPr>
      <w:r>
        <w:rPr>
          <w:color w:val="auto"/>
          <w:sz w:val="24"/>
          <w:highlight w:val="none"/>
        </w:rPr>
        <w:t>18.5.1投标人在投标截止日后撤回投标书的；</w:t>
      </w:r>
    </w:p>
    <w:p>
      <w:pPr>
        <w:spacing w:line="360" w:lineRule="auto"/>
        <w:ind w:firstLine="500"/>
        <w:rPr>
          <w:color w:val="auto"/>
          <w:sz w:val="24"/>
          <w:highlight w:val="none"/>
        </w:rPr>
      </w:pPr>
      <w:r>
        <w:rPr>
          <w:color w:val="auto"/>
          <w:sz w:val="24"/>
          <w:highlight w:val="none"/>
        </w:rPr>
        <w:t>18.5.2中标人未能在规定期限内签订合同协议；</w:t>
      </w:r>
    </w:p>
    <w:p>
      <w:pPr>
        <w:spacing w:line="360" w:lineRule="auto"/>
        <w:ind w:firstLine="500"/>
        <w:rPr>
          <w:color w:val="auto"/>
          <w:sz w:val="24"/>
          <w:highlight w:val="none"/>
        </w:rPr>
      </w:pPr>
      <w:r>
        <w:rPr>
          <w:color w:val="auto"/>
          <w:sz w:val="24"/>
          <w:highlight w:val="none"/>
        </w:rPr>
        <w:t>18.5.3投标人在整个投标活动中有严重违反国家法律、法规并经查实。</w:t>
      </w:r>
    </w:p>
    <w:p>
      <w:pPr>
        <w:spacing w:line="360" w:lineRule="auto"/>
        <w:ind w:firstLine="500"/>
        <w:rPr>
          <w:color w:val="auto"/>
          <w:sz w:val="24"/>
          <w:highlight w:val="none"/>
        </w:rPr>
      </w:pPr>
      <w:r>
        <w:rPr>
          <w:rFonts w:hint="eastAsia"/>
          <w:color w:val="auto"/>
          <w:sz w:val="24"/>
          <w:highlight w:val="none"/>
        </w:rPr>
        <w:t>注：此账户仅为递交投标保证金的账户，汇款时请备注项目编号及款项。</w:t>
      </w:r>
    </w:p>
    <w:p>
      <w:pPr>
        <w:spacing w:line="360" w:lineRule="auto"/>
        <w:ind w:firstLine="500"/>
        <w:rPr>
          <w:color w:val="auto"/>
          <w:sz w:val="24"/>
          <w:highlight w:val="none"/>
        </w:rPr>
      </w:pPr>
      <w:r>
        <w:rPr>
          <w:rFonts w:hint="eastAsia"/>
          <w:color w:val="auto"/>
          <w:sz w:val="24"/>
          <w:highlight w:val="none"/>
        </w:rPr>
        <w:t>投标保证金账户信息：</w:t>
      </w:r>
      <w:r>
        <w:rPr>
          <w:color w:val="auto"/>
          <w:sz w:val="24"/>
          <w:highlight w:val="none"/>
        </w:rPr>
        <w:t xml:space="preserve"> </w:t>
      </w:r>
    </w:p>
    <w:p>
      <w:pPr>
        <w:spacing w:line="360" w:lineRule="auto"/>
        <w:ind w:firstLine="500"/>
        <w:rPr>
          <w:color w:val="auto"/>
          <w:sz w:val="24"/>
          <w:highlight w:val="none"/>
        </w:rPr>
      </w:pPr>
      <w:r>
        <w:rPr>
          <w:rFonts w:hint="eastAsia"/>
          <w:color w:val="auto"/>
          <w:sz w:val="24"/>
          <w:highlight w:val="none"/>
        </w:rPr>
        <w:t>开户银行：招商银行营口分行营业部</w:t>
      </w:r>
      <w:r>
        <w:rPr>
          <w:color w:val="auto"/>
          <w:sz w:val="24"/>
          <w:highlight w:val="none"/>
        </w:rPr>
        <w:t xml:space="preserve"> </w:t>
      </w:r>
    </w:p>
    <w:p>
      <w:pPr>
        <w:spacing w:line="360" w:lineRule="auto"/>
        <w:ind w:firstLine="500"/>
        <w:rPr>
          <w:color w:val="auto"/>
          <w:sz w:val="24"/>
          <w:highlight w:val="none"/>
        </w:rPr>
      </w:pPr>
      <w:r>
        <w:rPr>
          <w:rFonts w:hint="eastAsia"/>
          <w:color w:val="auto"/>
          <w:sz w:val="24"/>
          <w:highlight w:val="none"/>
        </w:rPr>
        <w:t>账号：</w:t>
      </w:r>
      <w:r>
        <w:rPr>
          <w:color w:val="auto"/>
          <w:sz w:val="24"/>
          <w:szCs w:val="24"/>
          <w:highlight w:val="none"/>
        </w:rPr>
        <w:t>417900156710302</w:t>
      </w:r>
    </w:p>
    <w:p>
      <w:pPr>
        <w:spacing w:line="360" w:lineRule="auto"/>
        <w:ind w:firstLine="500"/>
        <w:rPr>
          <w:color w:val="auto"/>
          <w:sz w:val="24"/>
          <w:highlight w:val="none"/>
        </w:rPr>
      </w:pPr>
      <w:r>
        <w:rPr>
          <w:rFonts w:hint="eastAsia"/>
          <w:color w:val="auto"/>
          <w:sz w:val="24"/>
          <w:highlight w:val="none"/>
        </w:rPr>
        <w:t>收款人：辽宁国信建设工程管理有限公司</w:t>
      </w:r>
    </w:p>
    <w:p>
      <w:pPr>
        <w:pStyle w:val="6"/>
        <w:ind w:firstLine="482" w:firstLineChars="200"/>
        <w:rPr>
          <w:rFonts w:ascii="Times New Roman" w:hAnsi="Times New Roman"/>
          <w:b w:val="0"/>
          <w:bCs/>
          <w:color w:val="auto"/>
          <w:highlight w:val="none"/>
        </w:rPr>
      </w:pPr>
      <w:r>
        <w:rPr>
          <w:rFonts w:hint="eastAsia" w:ascii="Times New Roman" w:hAnsi="Times New Roman"/>
          <w:color w:val="auto"/>
          <w:highlight w:val="none"/>
        </w:rPr>
        <w:t>投标保证金退还：投标人需将代理公司开具的保证金收据（收据背面注明公司名称、原汇款账户开户行账号信息）送达至代理公司。经由代理公司财务部门审定合格后方可退款。清退保证金时间：每周周一、周三申请清退投标保证金。预计每周周二、周五投标保证金返还至投标单位银行账户中（特殊情况除外）。</w:t>
      </w:r>
    </w:p>
    <w:p>
      <w:pPr>
        <w:pStyle w:val="6"/>
        <w:ind w:left="1008" w:hanging="1008"/>
        <w:rPr>
          <w:rFonts w:ascii="Times New Roman" w:hAnsi="Times New Roman"/>
          <w:color w:val="auto"/>
          <w:highlight w:val="none"/>
        </w:rPr>
      </w:pPr>
      <w:r>
        <w:rPr>
          <w:rFonts w:ascii="Times New Roman" w:hAnsi="Times New Roman"/>
          <w:color w:val="auto"/>
          <w:highlight w:val="none"/>
        </w:rPr>
        <w:t>19、投标有效期</w:t>
      </w:r>
    </w:p>
    <w:p>
      <w:pPr>
        <w:spacing w:line="360" w:lineRule="auto"/>
        <w:ind w:firstLine="500"/>
        <w:rPr>
          <w:color w:val="auto"/>
          <w:sz w:val="24"/>
          <w:highlight w:val="none"/>
        </w:rPr>
      </w:pPr>
      <w:r>
        <w:rPr>
          <w:color w:val="auto"/>
          <w:sz w:val="24"/>
          <w:highlight w:val="none"/>
        </w:rPr>
        <w:t>19.1投标应自本须知第25.1条规定的开标日起，并在“投标人须知前附表”中所述期限内保持有效。投标有效期不足的投标将被视为非响应性投标而被否绝。</w:t>
      </w:r>
    </w:p>
    <w:p>
      <w:pPr>
        <w:spacing w:line="360" w:lineRule="auto"/>
        <w:ind w:firstLine="500"/>
        <w:rPr>
          <w:color w:val="auto"/>
          <w:sz w:val="24"/>
          <w:highlight w:val="none"/>
        </w:rPr>
      </w:pPr>
      <w:r>
        <w:rPr>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pPr>
        <w:pStyle w:val="6"/>
        <w:ind w:left="1008" w:hanging="1008"/>
        <w:rPr>
          <w:rFonts w:ascii="Times New Roman" w:hAnsi="Times New Roman"/>
          <w:color w:val="auto"/>
          <w:highlight w:val="none"/>
        </w:rPr>
      </w:pPr>
      <w:r>
        <w:rPr>
          <w:rFonts w:ascii="Times New Roman" w:hAnsi="Times New Roman"/>
          <w:color w:val="auto"/>
          <w:highlight w:val="none"/>
        </w:rPr>
        <w:t>20、投标文件的份数和签署</w:t>
      </w:r>
    </w:p>
    <w:p>
      <w:pPr>
        <w:spacing w:line="360" w:lineRule="auto"/>
        <w:ind w:firstLine="500"/>
        <w:rPr>
          <w:color w:val="auto"/>
          <w:sz w:val="24"/>
          <w:highlight w:val="none"/>
        </w:rPr>
      </w:pPr>
      <w:r>
        <w:rPr>
          <w:color w:val="auto"/>
          <w:sz w:val="24"/>
          <w:highlight w:val="none"/>
        </w:rPr>
        <w:t xml:space="preserve">20.1 </w:t>
      </w:r>
      <w:r>
        <w:rPr>
          <w:rFonts w:hint="eastAsia"/>
          <w:color w:val="auto"/>
          <w:sz w:val="24"/>
          <w:highlight w:val="none"/>
        </w:rPr>
        <w:t>投标人应按本须知前附表第</w:t>
      </w:r>
      <w:r>
        <w:rPr>
          <w:color w:val="auto"/>
          <w:sz w:val="24"/>
          <w:highlight w:val="none"/>
        </w:rPr>
        <w:t>19项规定的份数提交投标文件。</w:t>
      </w:r>
    </w:p>
    <w:p>
      <w:pPr>
        <w:spacing w:line="360" w:lineRule="auto"/>
        <w:ind w:firstLine="500"/>
        <w:rPr>
          <w:color w:val="auto"/>
          <w:sz w:val="24"/>
          <w:highlight w:val="none"/>
        </w:rPr>
      </w:pPr>
      <w:r>
        <w:rPr>
          <w:color w:val="auto"/>
          <w:sz w:val="24"/>
          <w:highlight w:val="none"/>
        </w:rPr>
        <w:t xml:space="preserve">20.2 </w:t>
      </w:r>
      <w:r>
        <w:rPr>
          <w:rFonts w:hint="eastAsia"/>
          <w:color w:val="auto"/>
          <w:sz w:val="24"/>
          <w:szCs w:val="24"/>
          <w:highlight w:val="none"/>
        </w:rPr>
        <w:t>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spacing w:line="360" w:lineRule="auto"/>
        <w:ind w:firstLine="500"/>
        <w:rPr>
          <w:color w:val="auto"/>
          <w:sz w:val="24"/>
          <w:highlight w:val="none"/>
        </w:rPr>
      </w:pPr>
      <w:r>
        <w:rPr>
          <w:color w:val="auto"/>
          <w:sz w:val="24"/>
          <w:highlight w:val="none"/>
        </w:rPr>
        <w:t>20.3 除投标人对错误处须修改外，全套投标文件应无涂改或行间插字和增删。如有修改，修改处应由投标人加盖投标人的印章或由投标文件签字人签字或盖章。</w:t>
      </w:r>
    </w:p>
    <w:p>
      <w:pPr>
        <w:spacing w:line="360" w:lineRule="auto"/>
        <w:ind w:firstLine="480" w:firstLineChars="200"/>
        <w:rPr>
          <w:color w:val="auto"/>
          <w:sz w:val="24"/>
          <w:szCs w:val="28"/>
          <w:highlight w:val="none"/>
        </w:rPr>
      </w:pPr>
      <w:r>
        <w:rPr>
          <w:color w:val="auto"/>
          <w:sz w:val="24"/>
          <w:highlight w:val="none"/>
        </w:rPr>
        <w:t>20</w:t>
      </w:r>
      <w:r>
        <w:rPr>
          <w:color w:val="auto"/>
          <w:sz w:val="24"/>
          <w:szCs w:val="28"/>
          <w:highlight w:val="none"/>
        </w:rPr>
        <w:t>.4 投标文件应按</w:t>
      </w:r>
      <w:r>
        <w:rPr>
          <w:rFonts w:hint="eastAsia"/>
          <w:color w:val="auto"/>
          <w:sz w:val="24"/>
          <w:szCs w:val="28"/>
          <w:highlight w:val="none"/>
        </w:rPr>
        <w:t>招标文件及</w:t>
      </w:r>
      <w:r>
        <w:rPr>
          <w:rFonts w:eastAsia="sans-serif"/>
          <w:color w:val="auto"/>
          <w:sz w:val="24"/>
          <w:szCs w:val="24"/>
          <w:highlight w:val="none"/>
          <w:shd w:val="clear" w:color="auto" w:fill="FFFFFF"/>
        </w:rPr>
        <w:t>电子招标投标交易平台</w:t>
      </w:r>
      <w:r>
        <w:rPr>
          <w:rFonts w:hint="eastAsia"/>
          <w:color w:val="auto"/>
          <w:sz w:val="24"/>
          <w:szCs w:val="28"/>
          <w:highlight w:val="none"/>
        </w:rPr>
        <w:t>系统要求进行编制，投标文件的内容应按评标办法所列内容顺序编写，以便评审。</w:t>
      </w:r>
    </w:p>
    <w:p>
      <w:pPr>
        <w:spacing w:line="360" w:lineRule="auto"/>
        <w:ind w:firstLine="480" w:firstLineChars="200"/>
        <w:rPr>
          <w:color w:val="auto"/>
          <w:sz w:val="24"/>
          <w:szCs w:val="28"/>
          <w:highlight w:val="none"/>
        </w:rPr>
      </w:pPr>
    </w:p>
    <w:p>
      <w:pPr>
        <w:pStyle w:val="5"/>
        <w:tabs>
          <w:tab w:val="center" w:pos="4677"/>
          <w:tab w:val="left" w:pos="6240"/>
        </w:tabs>
        <w:rPr>
          <w:rFonts w:ascii="Times New Roman" w:hAnsi="Times New Roman" w:eastAsia="宋体"/>
          <w:b/>
          <w:color w:val="auto"/>
          <w:highlight w:val="none"/>
        </w:rPr>
      </w:pPr>
      <w:r>
        <w:rPr>
          <w:rFonts w:hint="eastAsia" w:ascii="Times New Roman" w:hAnsi="Times New Roman" w:eastAsia="宋体"/>
          <w:b/>
          <w:color w:val="auto"/>
          <w:highlight w:val="none"/>
        </w:rPr>
        <w:t>（四）投标文件的提交</w:t>
      </w:r>
    </w:p>
    <w:p>
      <w:pPr>
        <w:pStyle w:val="6"/>
        <w:ind w:left="1008" w:hanging="1008"/>
        <w:rPr>
          <w:rFonts w:ascii="Times New Roman" w:hAnsi="Times New Roman"/>
          <w:color w:val="auto"/>
          <w:highlight w:val="none"/>
        </w:rPr>
      </w:pPr>
      <w:r>
        <w:rPr>
          <w:rFonts w:ascii="Times New Roman" w:hAnsi="Times New Roman"/>
          <w:color w:val="auto"/>
          <w:highlight w:val="none"/>
        </w:rPr>
        <w:t>21、投标文件的</w:t>
      </w:r>
      <w:r>
        <w:rPr>
          <w:rFonts w:hint="eastAsia" w:ascii="Times New Roman" w:hAnsi="Times New Roman"/>
          <w:color w:val="auto"/>
          <w:highlight w:val="none"/>
        </w:rPr>
        <w:t>提交、密封与标记</w:t>
      </w:r>
    </w:p>
    <w:p>
      <w:pPr>
        <w:spacing w:line="360" w:lineRule="auto"/>
        <w:ind w:firstLine="630"/>
        <w:rPr>
          <w:b/>
          <w:color w:val="auto"/>
          <w:sz w:val="24"/>
          <w:szCs w:val="28"/>
          <w:highlight w:val="none"/>
        </w:rPr>
      </w:pPr>
      <w:r>
        <w:rPr>
          <w:color w:val="auto"/>
          <w:sz w:val="24"/>
          <w:szCs w:val="28"/>
          <w:highlight w:val="none"/>
        </w:rPr>
        <w:t xml:space="preserve">21.1 </w:t>
      </w:r>
      <w:r>
        <w:rPr>
          <w:rFonts w:eastAsia="sans-serif"/>
          <w:color w:val="auto"/>
          <w:sz w:val="24"/>
          <w:szCs w:val="24"/>
          <w:highlight w:val="none"/>
          <w:shd w:val="clear" w:color="auto" w:fill="FFFFFF"/>
        </w:rPr>
        <w:t>投标人应当按照招标文件和电子招标投标交易平台的要求加密投标文件</w:t>
      </w:r>
      <w:r>
        <w:rPr>
          <w:rFonts w:hint="eastAsia"/>
          <w:color w:val="auto"/>
          <w:sz w:val="24"/>
          <w:szCs w:val="24"/>
          <w:highlight w:val="none"/>
          <w:shd w:val="clear" w:color="auto" w:fill="FFFFFF"/>
        </w:rPr>
        <w:t>。</w:t>
      </w:r>
    </w:p>
    <w:p>
      <w:pPr>
        <w:spacing w:line="360" w:lineRule="auto"/>
        <w:ind w:firstLine="630"/>
        <w:rPr>
          <w:color w:val="auto"/>
          <w:sz w:val="24"/>
          <w:szCs w:val="28"/>
          <w:highlight w:val="none"/>
        </w:rPr>
      </w:pPr>
      <w:r>
        <w:rPr>
          <w:color w:val="auto"/>
          <w:sz w:val="24"/>
          <w:szCs w:val="28"/>
          <w:highlight w:val="none"/>
        </w:rPr>
        <w:t>21.2 投标文件在投标人须知前附表第20项所述截止时间之前递交至投标须知前附表第20项所述地点。</w:t>
      </w:r>
    </w:p>
    <w:p>
      <w:pPr>
        <w:pStyle w:val="6"/>
        <w:ind w:left="1008" w:hanging="1008"/>
        <w:rPr>
          <w:rFonts w:ascii="Times New Roman" w:hAnsi="Times New Roman"/>
          <w:color w:val="auto"/>
          <w:highlight w:val="none"/>
        </w:rPr>
      </w:pPr>
      <w:r>
        <w:rPr>
          <w:rFonts w:ascii="Times New Roman" w:hAnsi="Times New Roman"/>
          <w:color w:val="auto"/>
          <w:highlight w:val="none"/>
        </w:rPr>
        <w:t>22、投标文件提交的截止时间</w:t>
      </w:r>
    </w:p>
    <w:p>
      <w:pPr>
        <w:spacing w:line="360" w:lineRule="auto"/>
        <w:ind w:firstLine="500"/>
        <w:rPr>
          <w:b/>
          <w:color w:val="auto"/>
          <w:sz w:val="24"/>
          <w:highlight w:val="none"/>
        </w:rPr>
      </w:pPr>
      <w:r>
        <w:rPr>
          <w:color w:val="auto"/>
          <w:sz w:val="24"/>
          <w:highlight w:val="none"/>
        </w:rPr>
        <w:t xml:space="preserve">22.1 </w:t>
      </w:r>
      <w:r>
        <w:rPr>
          <w:rFonts w:hint="eastAsia"/>
          <w:color w:val="auto"/>
          <w:sz w:val="24"/>
          <w:highlight w:val="none"/>
        </w:rPr>
        <w:t>投标文件的截止时间见本项目须知前附表第</w:t>
      </w:r>
      <w:r>
        <w:rPr>
          <w:color w:val="auto"/>
          <w:sz w:val="24"/>
          <w:highlight w:val="none"/>
        </w:rPr>
        <w:t>20项规定。</w:t>
      </w:r>
    </w:p>
    <w:p>
      <w:pPr>
        <w:spacing w:line="360" w:lineRule="auto"/>
        <w:ind w:firstLine="500"/>
        <w:rPr>
          <w:color w:val="auto"/>
          <w:sz w:val="24"/>
          <w:highlight w:val="none"/>
        </w:rPr>
      </w:pPr>
      <w:r>
        <w:rPr>
          <w:color w:val="auto"/>
          <w:sz w:val="24"/>
          <w:highlight w:val="none"/>
        </w:rPr>
        <w:t xml:space="preserve">22.2 </w:t>
      </w:r>
      <w:r>
        <w:rPr>
          <w:rFonts w:hint="eastAsia"/>
          <w:color w:val="auto"/>
          <w:sz w:val="24"/>
          <w:highlight w:val="none"/>
        </w:rPr>
        <w:t>招标人可按本须知第</w:t>
      </w:r>
      <w:r>
        <w:rPr>
          <w:color w:val="auto"/>
          <w:sz w:val="24"/>
          <w:highlight w:val="none"/>
        </w:rPr>
        <w:t>10条规定以修改补充通知的方式，酌情延长提交投标文件的截止时间。在此情况下，投标人的所有权利和义务以及投标人受制约的截止时间，均以延长后新的投标截止时间为准。</w:t>
      </w:r>
    </w:p>
    <w:p>
      <w:pPr>
        <w:pStyle w:val="6"/>
        <w:ind w:left="1008" w:hanging="1008"/>
        <w:rPr>
          <w:rFonts w:ascii="Times New Roman" w:hAnsi="Times New Roman"/>
          <w:color w:val="auto"/>
          <w:highlight w:val="none"/>
        </w:rPr>
      </w:pPr>
      <w:r>
        <w:rPr>
          <w:rFonts w:ascii="Times New Roman" w:hAnsi="Times New Roman"/>
          <w:color w:val="auto"/>
          <w:highlight w:val="none"/>
        </w:rPr>
        <w:t>23、迟交的投标文件</w:t>
      </w:r>
    </w:p>
    <w:p>
      <w:pPr>
        <w:spacing w:line="360" w:lineRule="auto"/>
        <w:ind w:firstLine="500"/>
        <w:rPr>
          <w:color w:val="auto"/>
          <w:sz w:val="24"/>
          <w:highlight w:val="none"/>
        </w:rPr>
      </w:pPr>
      <w:r>
        <w:rPr>
          <w:color w:val="auto"/>
          <w:sz w:val="24"/>
          <w:highlight w:val="none"/>
        </w:rPr>
        <w:t xml:space="preserve">23.1 </w:t>
      </w:r>
      <w:r>
        <w:rPr>
          <w:rFonts w:hint="eastAsia"/>
          <w:color w:val="auto"/>
          <w:sz w:val="24"/>
          <w:highlight w:val="none"/>
        </w:rPr>
        <w:t>招标人在本须知前附表第</w:t>
      </w:r>
      <w:r>
        <w:rPr>
          <w:color w:val="auto"/>
          <w:sz w:val="24"/>
          <w:highlight w:val="none"/>
        </w:rPr>
        <w:t>20项规定的投标截止时间以后收到的投标文件，将被拒</w:t>
      </w:r>
      <w:r>
        <w:rPr>
          <w:rFonts w:hint="eastAsia"/>
          <w:color w:val="auto"/>
          <w:sz w:val="24"/>
          <w:highlight w:val="none"/>
        </w:rPr>
        <w:t>收。</w:t>
      </w:r>
    </w:p>
    <w:p>
      <w:pPr>
        <w:pStyle w:val="6"/>
        <w:ind w:left="1008" w:hanging="1008"/>
        <w:rPr>
          <w:rFonts w:ascii="Times New Roman" w:hAnsi="Times New Roman"/>
          <w:color w:val="auto"/>
          <w:highlight w:val="none"/>
        </w:rPr>
      </w:pPr>
      <w:r>
        <w:rPr>
          <w:rFonts w:ascii="Times New Roman" w:hAnsi="Times New Roman"/>
          <w:color w:val="auto"/>
          <w:highlight w:val="none"/>
        </w:rPr>
        <w:t>24、投标文件的补充、修改与撤回</w:t>
      </w:r>
    </w:p>
    <w:p>
      <w:pPr>
        <w:spacing w:line="360" w:lineRule="auto"/>
        <w:ind w:firstLine="500"/>
        <w:rPr>
          <w:color w:val="auto"/>
          <w:sz w:val="24"/>
          <w:highlight w:val="none"/>
        </w:rPr>
      </w:pPr>
      <w:r>
        <w:rPr>
          <w:color w:val="auto"/>
          <w:sz w:val="24"/>
          <w:highlight w:val="none"/>
        </w:rPr>
        <w:t xml:space="preserve">24.1 </w:t>
      </w:r>
      <w:r>
        <w:rPr>
          <w:rFonts w:hint="eastAsia"/>
          <w:color w:val="auto"/>
          <w:sz w:val="24"/>
          <w:highlight w:val="none"/>
        </w:rPr>
        <w:t>投标人在提交投标文件以后，在规定的投标截止时间之前，可以补充修改或撤回已提交的投标文件。补充、修改的内容为投标文件的组成部分。</w:t>
      </w:r>
    </w:p>
    <w:p>
      <w:pPr>
        <w:spacing w:line="360" w:lineRule="auto"/>
        <w:ind w:firstLine="500"/>
        <w:rPr>
          <w:color w:val="auto"/>
          <w:sz w:val="24"/>
          <w:highlight w:val="none"/>
        </w:rPr>
      </w:pPr>
      <w:r>
        <w:rPr>
          <w:color w:val="auto"/>
          <w:sz w:val="24"/>
          <w:highlight w:val="none"/>
        </w:rPr>
        <w:t>24.2 在投标截止时间之后，投标人不得补充、修改投标文件。</w:t>
      </w:r>
    </w:p>
    <w:p>
      <w:pPr>
        <w:spacing w:line="360" w:lineRule="auto"/>
        <w:ind w:firstLine="500"/>
        <w:rPr>
          <w:color w:val="auto"/>
          <w:sz w:val="24"/>
          <w:highlight w:val="none"/>
        </w:rPr>
      </w:pPr>
      <w:r>
        <w:rPr>
          <w:color w:val="auto"/>
          <w:sz w:val="24"/>
          <w:highlight w:val="none"/>
        </w:rPr>
        <w:t>24.3 在投标截止时间至投标有效期满之前，投标人不得撤回其投标文件。</w:t>
      </w:r>
    </w:p>
    <w:p>
      <w:pPr>
        <w:pStyle w:val="5"/>
        <w:tabs>
          <w:tab w:val="center" w:pos="4677"/>
          <w:tab w:val="left" w:pos="6240"/>
        </w:tabs>
        <w:rPr>
          <w:rFonts w:ascii="Times New Roman" w:hAnsi="Times New Roman" w:eastAsia="宋体"/>
          <w:b/>
          <w:color w:val="auto"/>
          <w:highlight w:val="none"/>
        </w:rPr>
      </w:pPr>
      <w:r>
        <w:rPr>
          <w:rFonts w:hint="eastAsia" w:ascii="Times New Roman" w:hAnsi="Times New Roman" w:eastAsia="宋体"/>
          <w:b/>
          <w:color w:val="auto"/>
          <w:highlight w:val="none"/>
        </w:rPr>
        <w:t>（五）开</w:t>
      </w:r>
      <w:r>
        <w:rPr>
          <w:rFonts w:ascii="Times New Roman" w:hAnsi="Times New Roman" w:eastAsia="宋体"/>
          <w:b/>
          <w:color w:val="auto"/>
          <w:highlight w:val="none"/>
        </w:rPr>
        <w:t xml:space="preserve">    </w:t>
      </w:r>
      <w:r>
        <w:rPr>
          <w:rFonts w:hint="eastAsia" w:ascii="Times New Roman" w:hAnsi="Times New Roman" w:eastAsia="宋体"/>
          <w:b/>
          <w:color w:val="auto"/>
          <w:highlight w:val="none"/>
        </w:rPr>
        <w:t>标</w:t>
      </w:r>
    </w:p>
    <w:p>
      <w:pPr>
        <w:pStyle w:val="6"/>
        <w:ind w:left="1008" w:hanging="1008"/>
        <w:rPr>
          <w:rFonts w:ascii="Times New Roman" w:hAnsi="Times New Roman"/>
          <w:color w:val="auto"/>
          <w:highlight w:val="none"/>
        </w:rPr>
      </w:pPr>
      <w:r>
        <w:rPr>
          <w:rFonts w:ascii="Times New Roman" w:hAnsi="Times New Roman"/>
          <w:color w:val="auto"/>
          <w:highlight w:val="none"/>
        </w:rPr>
        <w:t>25、开标</w:t>
      </w:r>
    </w:p>
    <w:p>
      <w:pPr>
        <w:spacing w:line="360" w:lineRule="auto"/>
        <w:ind w:firstLine="500"/>
        <w:rPr>
          <w:color w:val="auto"/>
          <w:sz w:val="24"/>
          <w:highlight w:val="none"/>
        </w:rPr>
      </w:pPr>
      <w:r>
        <w:rPr>
          <w:color w:val="auto"/>
          <w:sz w:val="24"/>
          <w:highlight w:val="none"/>
        </w:rPr>
        <w:t>25.1招标代理机构在本须知前附表第19</w:t>
      </w:r>
      <w:r>
        <w:rPr>
          <w:rFonts w:hint="eastAsia"/>
          <w:color w:val="auto"/>
          <w:sz w:val="24"/>
          <w:highlight w:val="none"/>
        </w:rPr>
        <w:t>项规定的日期、时间和地点组织公开开标。开标时邀请所有投标人代表参加。参加开标的代表应在电子开标系统中签名报到以证明其出席。开标会由招标代理机构主持。</w:t>
      </w:r>
    </w:p>
    <w:p>
      <w:pPr>
        <w:spacing w:line="360" w:lineRule="auto"/>
        <w:ind w:firstLine="500"/>
        <w:rPr>
          <w:color w:val="auto"/>
          <w:sz w:val="24"/>
          <w:highlight w:val="none"/>
        </w:rPr>
      </w:pPr>
      <w:r>
        <w:rPr>
          <w:color w:val="auto"/>
          <w:sz w:val="24"/>
          <w:highlight w:val="none"/>
        </w:rPr>
        <w:t>25.2开标时，除了按照本须知第23条的规定原封退回迟到的投标之外，招标代理机构将当众宣读所有合格提交投标文件的投标人名称、以及招标人认为合适的其他内容。</w:t>
      </w:r>
    </w:p>
    <w:p>
      <w:pPr>
        <w:tabs>
          <w:tab w:val="left" w:pos="0"/>
        </w:tabs>
        <w:spacing w:line="360" w:lineRule="auto"/>
        <w:ind w:left="-2" w:right="40" w:rightChars="19" w:firstLine="480" w:firstLineChars="200"/>
        <w:rPr>
          <w:color w:val="auto"/>
          <w:sz w:val="24"/>
          <w:highlight w:val="none"/>
        </w:rPr>
      </w:pPr>
      <w:r>
        <w:rPr>
          <w:color w:val="auto"/>
          <w:sz w:val="24"/>
          <w:highlight w:val="none"/>
        </w:rPr>
        <w:t>25.3在开标时没有读出的有关声明，在评标时将不予考虑。</w:t>
      </w:r>
    </w:p>
    <w:p>
      <w:pPr>
        <w:tabs>
          <w:tab w:val="left" w:pos="0"/>
        </w:tabs>
        <w:spacing w:line="360" w:lineRule="auto"/>
        <w:ind w:left="-2" w:right="40" w:rightChars="19" w:firstLine="480" w:firstLineChars="200"/>
        <w:rPr>
          <w:color w:val="auto"/>
          <w:sz w:val="24"/>
          <w:highlight w:val="none"/>
        </w:rPr>
      </w:pPr>
      <w:r>
        <w:rPr>
          <w:color w:val="auto"/>
          <w:sz w:val="24"/>
          <w:highlight w:val="none"/>
        </w:rPr>
        <w:t>25.4招标代理机构将做开标记录，存档备查。</w:t>
      </w:r>
    </w:p>
    <w:p>
      <w:pPr>
        <w:spacing w:line="360" w:lineRule="auto"/>
        <w:ind w:firstLine="500"/>
        <w:rPr>
          <w:color w:val="auto"/>
          <w:sz w:val="24"/>
          <w:highlight w:val="none"/>
        </w:rPr>
      </w:pPr>
      <w:r>
        <w:rPr>
          <w:color w:val="auto"/>
          <w:sz w:val="24"/>
          <w:highlight w:val="none"/>
        </w:rPr>
        <w:t>25.5开标程序：</w:t>
      </w:r>
    </w:p>
    <w:p>
      <w:pPr>
        <w:pStyle w:val="14"/>
        <w:numPr>
          <w:ilvl w:val="0"/>
          <w:numId w:val="10"/>
        </w:numPr>
        <w:spacing w:line="360" w:lineRule="auto"/>
        <w:ind w:firstLine="480" w:firstLineChars="200"/>
        <w:rPr>
          <w:color w:val="auto"/>
          <w:sz w:val="24"/>
          <w:highlight w:val="none"/>
        </w:rPr>
      </w:pPr>
      <w:r>
        <w:rPr>
          <w:rFonts w:hint="eastAsia"/>
          <w:color w:val="auto"/>
          <w:sz w:val="24"/>
          <w:highlight w:val="none"/>
        </w:rPr>
        <w:t>宣布开标纪律；</w:t>
      </w:r>
    </w:p>
    <w:p>
      <w:pPr>
        <w:pStyle w:val="14"/>
        <w:numPr>
          <w:ilvl w:val="0"/>
          <w:numId w:val="10"/>
        </w:numPr>
        <w:spacing w:line="360" w:lineRule="auto"/>
        <w:ind w:firstLine="480" w:firstLineChars="200"/>
        <w:rPr>
          <w:color w:val="auto"/>
          <w:sz w:val="24"/>
          <w:highlight w:val="none"/>
        </w:rPr>
      </w:pPr>
      <w:r>
        <w:rPr>
          <w:rFonts w:hint="eastAsia"/>
          <w:color w:val="auto"/>
          <w:sz w:val="24"/>
          <w:highlight w:val="none"/>
        </w:rPr>
        <w:t>公布在投标截止时间前递交投标文件的投标人名称；</w:t>
      </w:r>
    </w:p>
    <w:p>
      <w:pPr>
        <w:pStyle w:val="14"/>
        <w:numPr>
          <w:ilvl w:val="0"/>
          <w:numId w:val="10"/>
        </w:numPr>
        <w:spacing w:line="360" w:lineRule="auto"/>
        <w:ind w:firstLine="480" w:firstLineChars="200"/>
        <w:rPr>
          <w:color w:val="auto"/>
          <w:sz w:val="24"/>
          <w:highlight w:val="none"/>
        </w:rPr>
      </w:pPr>
      <w:r>
        <w:rPr>
          <w:rFonts w:hint="eastAsia"/>
          <w:color w:val="auto"/>
          <w:sz w:val="24"/>
          <w:highlight w:val="none"/>
        </w:rPr>
        <w:t>宣布开标人、唱标人、记录人、监标人等有关人员姓名；</w:t>
      </w:r>
    </w:p>
    <w:p>
      <w:pPr>
        <w:pStyle w:val="14"/>
        <w:numPr>
          <w:ilvl w:val="0"/>
          <w:numId w:val="10"/>
        </w:numPr>
        <w:spacing w:line="360" w:lineRule="auto"/>
        <w:ind w:firstLine="480" w:firstLineChars="200"/>
        <w:rPr>
          <w:color w:val="auto"/>
          <w:sz w:val="24"/>
          <w:highlight w:val="none"/>
        </w:rPr>
      </w:pPr>
      <w:r>
        <w:rPr>
          <w:rFonts w:hint="eastAsia"/>
          <w:color w:val="auto"/>
          <w:sz w:val="24"/>
          <w:highlight w:val="none"/>
        </w:rPr>
        <w:t>投标人通过电子招标投标交易平台对已递交的电子投标文件进行解密，公布招标项目名称、投标人名称、投标保证金的递交情况、投标报价、服务期限及其他内容，并记录在案；</w:t>
      </w:r>
    </w:p>
    <w:p>
      <w:pPr>
        <w:pStyle w:val="14"/>
        <w:numPr>
          <w:ilvl w:val="0"/>
          <w:numId w:val="10"/>
        </w:num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A）投标人代表、招标人代表、监标人、记录人等有关人员在开标记录上签字确认；（B）投标人代表、招标人代表、监标人、记录人等有关人员使用本人的电子印章在开标记录上签字确认；</w:t>
      </w:r>
    </w:p>
    <w:p>
      <w:pPr>
        <w:pStyle w:val="14"/>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6）开标结束。</w:t>
      </w:r>
    </w:p>
    <w:p>
      <w:pPr>
        <w:spacing w:line="360" w:lineRule="auto"/>
        <w:ind w:firstLine="500"/>
        <w:rPr>
          <w:color w:val="auto"/>
          <w:sz w:val="24"/>
          <w:highlight w:val="none"/>
        </w:rPr>
      </w:pPr>
      <w:r>
        <w:rPr>
          <w:color w:val="auto"/>
          <w:sz w:val="24"/>
          <w:highlight w:val="none"/>
        </w:rPr>
        <w:t>25.5.1</w:t>
      </w:r>
      <w:r>
        <w:rPr>
          <w:rFonts w:hint="eastAsia"/>
          <w:color w:val="auto"/>
          <w:sz w:val="24"/>
          <w:highlight w:val="none"/>
        </w:rPr>
        <w:t>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负责人或授权委托人应在开标记录上签字确认。</w:t>
      </w:r>
    </w:p>
    <w:p>
      <w:pPr>
        <w:spacing w:line="360" w:lineRule="auto"/>
        <w:ind w:firstLine="500"/>
        <w:rPr>
          <w:color w:val="auto"/>
          <w:sz w:val="24"/>
          <w:highlight w:val="none"/>
        </w:rPr>
      </w:pPr>
      <w:r>
        <w:rPr>
          <w:color w:val="auto"/>
          <w:sz w:val="24"/>
          <w:highlight w:val="none"/>
        </w:rPr>
        <w:t xml:space="preserve">25.6 </w:t>
      </w:r>
      <w:r>
        <w:rPr>
          <w:rFonts w:hint="eastAsia"/>
          <w:color w:val="auto"/>
          <w:sz w:val="24"/>
          <w:highlight w:val="none"/>
        </w:rPr>
        <w:t>招标人在招标文件要求提交投标文件的截止时间前收到的投标文件，开标时都应当众予以拆封、宣读。</w:t>
      </w:r>
    </w:p>
    <w:p>
      <w:pPr>
        <w:spacing w:line="360" w:lineRule="auto"/>
        <w:ind w:firstLine="500"/>
        <w:rPr>
          <w:color w:val="auto"/>
          <w:sz w:val="24"/>
          <w:highlight w:val="none"/>
        </w:rPr>
      </w:pPr>
      <w:r>
        <w:rPr>
          <w:color w:val="auto"/>
          <w:sz w:val="24"/>
          <w:highlight w:val="none"/>
        </w:rPr>
        <w:t xml:space="preserve">25.7 </w:t>
      </w:r>
      <w:r>
        <w:rPr>
          <w:rFonts w:hint="eastAsia"/>
          <w:color w:val="auto"/>
          <w:sz w:val="24"/>
          <w:highlight w:val="none"/>
        </w:rPr>
        <w:t>招标代理机构工作人员对开标过程进行记录，并经纪检监察人员签字确认后存档备查。</w:t>
      </w:r>
    </w:p>
    <w:p>
      <w:pPr>
        <w:pStyle w:val="6"/>
        <w:ind w:left="1008" w:hanging="1008"/>
        <w:rPr>
          <w:rFonts w:ascii="Times New Roman" w:hAnsi="Times New Roman"/>
          <w:color w:val="auto"/>
          <w:highlight w:val="none"/>
        </w:rPr>
      </w:pPr>
      <w:r>
        <w:rPr>
          <w:rFonts w:ascii="Times New Roman" w:hAnsi="Times New Roman"/>
          <w:color w:val="auto"/>
          <w:highlight w:val="none"/>
        </w:rPr>
        <w:t>26、投标文件的有效性</w:t>
      </w:r>
    </w:p>
    <w:p>
      <w:pPr>
        <w:spacing w:line="360" w:lineRule="auto"/>
        <w:ind w:firstLine="500"/>
        <w:rPr>
          <w:color w:val="auto"/>
          <w:sz w:val="24"/>
          <w:highlight w:val="none"/>
        </w:rPr>
      </w:pPr>
      <w:r>
        <w:rPr>
          <w:color w:val="auto"/>
          <w:sz w:val="24"/>
          <w:highlight w:val="none"/>
        </w:rPr>
        <w:t xml:space="preserve">26.1 </w:t>
      </w:r>
      <w:r>
        <w:rPr>
          <w:rFonts w:hint="eastAsia"/>
          <w:color w:val="auto"/>
          <w:sz w:val="24"/>
          <w:highlight w:val="none"/>
        </w:rPr>
        <w:t>开标时，投标文件有下列情形之一的，招标人不予受理：</w:t>
      </w:r>
    </w:p>
    <w:p>
      <w:pPr>
        <w:spacing w:line="360" w:lineRule="auto"/>
        <w:ind w:firstLine="500"/>
        <w:rPr>
          <w:color w:val="auto"/>
          <w:sz w:val="24"/>
          <w:highlight w:val="none"/>
        </w:rPr>
      </w:pPr>
      <w:r>
        <w:rPr>
          <w:color w:val="auto"/>
          <w:sz w:val="24"/>
          <w:highlight w:val="none"/>
        </w:rPr>
        <w:t xml:space="preserve">    26.1.1逾期送达或未送达指定地点的；</w:t>
      </w:r>
    </w:p>
    <w:p>
      <w:pPr>
        <w:spacing w:line="360" w:lineRule="auto"/>
        <w:ind w:firstLine="500"/>
        <w:rPr>
          <w:color w:val="auto"/>
          <w:sz w:val="24"/>
          <w:highlight w:val="none"/>
        </w:rPr>
      </w:pPr>
      <w:r>
        <w:rPr>
          <w:color w:val="auto"/>
          <w:sz w:val="24"/>
          <w:highlight w:val="none"/>
        </w:rPr>
        <w:t xml:space="preserve">    26.1.2投标文件</w:t>
      </w:r>
      <w:r>
        <w:rPr>
          <w:rFonts w:hint="eastAsia"/>
          <w:color w:val="auto"/>
          <w:sz w:val="24"/>
          <w:highlight w:val="none"/>
        </w:rPr>
        <w:t>在规定时间内未解密或解密失败的；</w:t>
      </w:r>
    </w:p>
    <w:p>
      <w:pPr>
        <w:spacing w:line="360" w:lineRule="auto"/>
        <w:ind w:firstLine="500"/>
        <w:rPr>
          <w:color w:val="auto"/>
          <w:sz w:val="24"/>
          <w:highlight w:val="none"/>
        </w:rPr>
      </w:pPr>
      <w:r>
        <w:rPr>
          <w:color w:val="auto"/>
          <w:sz w:val="24"/>
          <w:highlight w:val="none"/>
        </w:rPr>
        <w:t>26.2开标结束后，所有开启并唱标完毕的投标文件将送达评标委员会进行评审、比较。</w:t>
      </w:r>
    </w:p>
    <w:p>
      <w:pPr>
        <w:pStyle w:val="5"/>
        <w:tabs>
          <w:tab w:val="center" w:pos="4677"/>
          <w:tab w:val="left" w:pos="6240"/>
        </w:tabs>
        <w:rPr>
          <w:rFonts w:ascii="Times New Roman" w:hAnsi="Times New Roman" w:eastAsia="宋体"/>
          <w:b/>
          <w:color w:val="auto"/>
          <w:highlight w:val="none"/>
        </w:rPr>
      </w:pPr>
      <w:r>
        <w:rPr>
          <w:rFonts w:hint="eastAsia" w:ascii="Times New Roman" w:hAnsi="Times New Roman" w:eastAsia="宋体"/>
          <w:b/>
          <w:color w:val="auto"/>
          <w:highlight w:val="none"/>
        </w:rPr>
        <w:t>（六）评</w:t>
      </w:r>
      <w:r>
        <w:rPr>
          <w:rFonts w:ascii="Times New Roman" w:hAnsi="Times New Roman" w:eastAsia="宋体"/>
          <w:b/>
          <w:color w:val="auto"/>
          <w:highlight w:val="none"/>
        </w:rPr>
        <w:t xml:space="preserve">   </w:t>
      </w:r>
      <w:r>
        <w:rPr>
          <w:rFonts w:hint="eastAsia" w:ascii="Times New Roman" w:hAnsi="Times New Roman" w:eastAsia="宋体"/>
          <w:b/>
          <w:color w:val="auto"/>
          <w:highlight w:val="none"/>
        </w:rPr>
        <w:t>标</w:t>
      </w:r>
    </w:p>
    <w:p>
      <w:pPr>
        <w:pStyle w:val="6"/>
        <w:ind w:left="1008" w:hanging="1008"/>
        <w:rPr>
          <w:rFonts w:ascii="Times New Roman" w:hAnsi="Times New Roman"/>
          <w:color w:val="auto"/>
          <w:highlight w:val="none"/>
        </w:rPr>
      </w:pPr>
      <w:r>
        <w:rPr>
          <w:rFonts w:ascii="Times New Roman" w:hAnsi="Times New Roman"/>
          <w:color w:val="auto"/>
          <w:highlight w:val="none"/>
        </w:rPr>
        <w:t>27、评标委员会与评标</w:t>
      </w:r>
    </w:p>
    <w:p>
      <w:pPr>
        <w:spacing w:line="360" w:lineRule="auto"/>
        <w:ind w:firstLine="500"/>
        <w:rPr>
          <w:color w:val="auto"/>
          <w:sz w:val="24"/>
          <w:highlight w:val="none"/>
        </w:rPr>
      </w:pPr>
      <w:r>
        <w:rPr>
          <w:color w:val="auto"/>
          <w:sz w:val="24"/>
          <w:highlight w:val="none"/>
        </w:rPr>
        <w:t>27.1评标委员会由招标人依法组建，负责评标活动。</w:t>
      </w:r>
    </w:p>
    <w:p>
      <w:pPr>
        <w:spacing w:line="360" w:lineRule="auto"/>
        <w:ind w:firstLine="500"/>
        <w:rPr>
          <w:color w:val="auto"/>
          <w:sz w:val="24"/>
          <w:highlight w:val="none"/>
        </w:rPr>
      </w:pPr>
      <w:r>
        <w:rPr>
          <w:color w:val="auto"/>
          <w:sz w:val="24"/>
          <w:highlight w:val="none"/>
        </w:rPr>
        <w:t>27.2开标结束后，开始评标，评标采用保密方式进行。</w:t>
      </w:r>
    </w:p>
    <w:p>
      <w:pPr>
        <w:pStyle w:val="6"/>
        <w:ind w:left="1008" w:hanging="1008"/>
        <w:rPr>
          <w:rFonts w:ascii="Times New Roman" w:hAnsi="Times New Roman"/>
          <w:color w:val="auto"/>
          <w:highlight w:val="none"/>
        </w:rPr>
      </w:pPr>
      <w:r>
        <w:rPr>
          <w:rFonts w:ascii="Times New Roman" w:hAnsi="Times New Roman"/>
          <w:color w:val="auto"/>
          <w:highlight w:val="none"/>
        </w:rPr>
        <w:t>28、评标过程的保密</w:t>
      </w:r>
    </w:p>
    <w:p>
      <w:pPr>
        <w:spacing w:line="360" w:lineRule="auto"/>
        <w:ind w:firstLine="500"/>
        <w:rPr>
          <w:color w:val="auto"/>
          <w:sz w:val="24"/>
          <w:highlight w:val="none"/>
        </w:rPr>
      </w:pPr>
      <w:r>
        <w:rPr>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pPr>
        <w:spacing w:line="360" w:lineRule="auto"/>
        <w:ind w:firstLine="500"/>
        <w:rPr>
          <w:color w:val="auto"/>
          <w:sz w:val="24"/>
          <w:highlight w:val="none"/>
        </w:rPr>
      </w:pPr>
      <w:r>
        <w:rPr>
          <w:color w:val="auto"/>
          <w:sz w:val="24"/>
          <w:highlight w:val="none"/>
        </w:rPr>
        <w:t xml:space="preserve">28.2 </w:t>
      </w:r>
      <w:r>
        <w:rPr>
          <w:rFonts w:hint="eastAsia"/>
          <w:color w:val="auto"/>
          <w:sz w:val="24"/>
          <w:highlight w:val="none"/>
        </w:rPr>
        <w:t>在投标文件的评审和比较、中标单位入选以及授予合同的过程中，投标人向招标人和评标委员会施加影响的任何行为，都将会导致其投标被拒绝。</w:t>
      </w:r>
    </w:p>
    <w:p>
      <w:pPr>
        <w:spacing w:line="360" w:lineRule="auto"/>
        <w:ind w:firstLine="500"/>
        <w:rPr>
          <w:color w:val="auto"/>
          <w:sz w:val="24"/>
          <w:highlight w:val="none"/>
        </w:rPr>
      </w:pPr>
      <w:r>
        <w:rPr>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pPr>
        <w:pStyle w:val="6"/>
        <w:ind w:firstLine="0"/>
        <w:rPr>
          <w:rFonts w:ascii="Times New Roman" w:hAnsi="Times New Roman"/>
          <w:color w:val="auto"/>
          <w:highlight w:val="none"/>
        </w:rPr>
      </w:pPr>
      <w:r>
        <w:rPr>
          <w:rFonts w:ascii="Times New Roman" w:hAnsi="Times New Roman"/>
          <w:color w:val="auto"/>
          <w:highlight w:val="none"/>
        </w:rPr>
        <w:t>29、投标文件的澄清</w:t>
      </w:r>
    </w:p>
    <w:p>
      <w:pPr>
        <w:spacing w:line="360" w:lineRule="auto"/>
        <w:ind w:firstLine="500"/>
        <w:rPr>
          <w:color w:val="auto"/>
          <w:sz w:val="24"/>
          <w:highlight w:val="none"/>
        </w:rPr>
      </w:pPr>
      <w:r>
        <w:rPr>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pPr>
        <w:pStyle w:val="6"/>
        <w:ind w:firstLine="0"/>
        <w:rPr>
          <w:rFonts w:ascii="Times New Roman" w:hAnsi="Times New Roman"/>
          <w:color w:val="auto"/>
          <w:highlight w:val="none"/>
        </w:rPr>
      </w:pPr>
      <w:r>
        <w:rPr>
          <w:rFonts w:ascii="Times New Roman" w:hAnsi="Times New Roman"/>
          <w:color w:val="auto"/>
          <w:highlight w:val="none"/>
        </w:rPr>
        <w:t>30、投标文件的评审</w:t>
      </w:r>
    </w:p>
    <w:p>
      <w:pPr>
        <w:spacing w:line="360" w:lineRule="auto"/>
        <w:ind w:firstLine="500"/>
        <w:rPr>
          <w:color w:val="auto"/>
          <w:sz w:val="24"/>
          <w:highlight w:val="none"/>
        </w:rPr>
      </w:pPr>
      <w:r>
        <w:rPr>
          <w:color w:val="auto"/>
          <w:sz w:val="24"/>
          <w:highlight w:val="none"/>
        </w:rPr>
        <w:t xml:space="preserve">30.1投标文件的评审分资格审查、初步评审和详细评审三步（详见《第七章 </w:t>
      </w:r>
      <w:r>
        <w:rPr>
          <w:rFonts w:hint="eastAsia"/>
          <w:color w:val="auto"/>
          <w:sz w:val="24"/>
          <w:highlight w:val="none"/>
        </w:rPr>
        <w:t>评标办法》）。</w:t>
      </w:r>
    </w:p>
    <w:p>
      <w:pPr>
        <w:pStyle w:val="6"/>
        <w:ind w:firstLine="0"/>
        <w:rPr>
          <w:rFonts w:ascii="Times New Roman" w:hAnsi="Times New Roman"/>
          <w:color w:val="auto"/>
          <w:highlight w:val="none"/>
        </w:rPr>
      </w:pPr>
      <w:r>
        <w:rPr>
          <w:rFonts w:ascii="Times New Roman" w:hAnsi="Times New Roman"/>
          <w:color w:val="auto"/>
          <w:highlight w:val="none"/>
        </w:rPr>
        <w:t>31、投标文件的评审、比较和否决</w:t>
      </w:r>
    </w:p>
    <w:p>
      <w:pPr>
        <w:spacing w:line="360" w:lineRule="auto"/>
        <w:ind w:firstLine="500"/>
        <w:rPr>
          <w:color w:val="auto"/>
          <w:sz w:val="24"/>
          <w:szCs w:val="28"/>
          <w:highlight w:val="none"/>
        </w:rPr>
      </w:pPr>
      <w:r>
        <w:rPr>
          <w:color w:val="auto"/>
          <w:sz w:val="24"/>
          <w:szCs w:val="28"/>
          <w:highlight w:val="none"/>
        </w:rPr>
        <w:t>31.1评标委员会将按照本须知第26条规定，仅对在实质上响应招标文件要求的投标文件进行评估和比较。</w:t>
      </w:r>
    </w:p>
    <w:p>
      <w:pPr>
        <w:spacing w:line="360" w:lineRule="auto"/>
        <w:ind w:firstLine="500"/>
        <w:rPr>
          <w:color w:val="auto"/>
          <w:sz w:val="24"/>
          <w:szCs w:val="28"/>
          <w:highlight w:val="none"/>
        </w:rPr>
      </w:pPr>
      <w:r>
        <w:rPr>
          <w:color w:val="auto"/>
          <w:sz w:val="24"/>
          <w:szCs w:val="28"/>
          <w:highlight w:val="none"/>
        </w:rPr>
        <w:t xml:space="preserve">31.2 </w:t>
      </w:r>
      <w:r>
        <w:rPr>
          <w:rFonts w:hint="eastAsia"/>
          <w:color w:val="auto"/>
          <w:sz w:val="24"/>
          <w:szCs w:val="28"/>
          <w:highlight w:val="none"/>
        </w:rPr>
        <w:t>在评审过程中</w:t>
      </w:r>
      <w:r>
        <w:rPr>
          <w:color w:val="auto"/>
          <w:sz w:val="24"/>
          <w:szCs w:val="28"/>
          <w:highlight w:val="none"/>
        </w:rPr>
        <w:t>,评标委员会可以书面形式要求投标人就投标文件中含义不明确的内容进行书面说明并提供相关材料。</w:t>
      </w:r>
    </w:p>
    <w:p>
      <w:pPr>
        <w:spacing w:line="360" w:lineRule="auto"/>
        <w:ind w:firstLine="500"/>
        <w:rPr>
          <w:color w:val="auto"/>
          <w:sz w:val="24"/>
          <w:szCs w:val="28"/>
          <w:highlight w:val="none"/>
        </w:rPr>
      </w:pPr>
      <w:r>
        <w:rPr>
          <w:color w:val="auto"/>
          <w:sz w:val="24"/>
          <w:szCs w:val="28"/>
          <w:highlight w:val="none"/>
        </w:rPr>
        <w:t>31.3评标委员会依据本须知前附表第22项规定的评标标准和方法，对投标文件进行评审和比较，向招标人提出书面评标报告，中标单位须符合本须知第4款之规定。</w:t>
      </w:r>
    </w:p>
    <w:p>
      <w:pPr>
        <w:spacing w:line="360" w:lineRule="auto"/>
        <w:ind w:firstLine="500"/>
        <w:rPr>
          <w:color w:val="auto"/>
          <w:sz w:val="24"/>
          <w:szCs w:val="28"/>
          <w:highlight w:val="none"/>
        </w:rPr>
      </w:pPr>
      <w:r>
        <w:rPr>
          <w:color w:val="auto"/>
          <w:sz w:val="24"/>
          <w:szCs w:val="28"/>
          <w:highlight w:val="none"/>
        </w:rPr>
        <w:t xml:space="preserve">31.4 </w:t>
      </w:r>
      <w:r>
        <w:rPr>
          <w:rFonts w:hint="eastAsia"/>
          <w:color w:val="auto"/>
          <w:sz w:val="24"/>
          <w:szCs w:val="28"/>
          <w:highlight w:val="none"/>
        </w:rPr>
        <w:t>评标方法和标准</w:t>
      </w:r>
    </w:p>
    <w:p>
      <w:pPr>
        <w:spacing w:line="360" w:lineRule="auto"/>
        <w:ind w:firstLine="500"/>
        <w:rPr>
          <w:b/>
          <w:color w:val="auto"/>
          <w:sz w:val="24"/>
          <w:szCs w:val="28"/>
          <w:highlight w:val="none"/>
        </w:rPr>
      </w:pPr>
      <w:r>
        <w:rPr>
          <w:rFonts w:hint="eastAsia"/>
          <w:b/>
          <w:color w:val="auto"/>
          <w:sz w:val="24"/>
          <w:szCs w:val="28"/>
          <w:highlight w:val="none"/>
        </w:rPr>
        <w:t>详见本</w:t>
      </w:r>
      <w:r>
        <w:rPr>
          <w:rFonts w:hint="eastAsia"/>
          <w:b/>
          <w:color w:val="auto"/>
          <w:sz w:val="24"/>
          <w:highlight w:val="none"/>
        </w:rPr>
        <w:t>招标文件《第七章</w:t>
      </w:r>
      <w:r>
        <w:rPr>
          <w:b/>
          <w:color w:val="auto"/>
          <w:sz w:val="24"/>
          <w:highlight w:val="none"/>
        </w:rPr>
        <w:t xml:space="preserve"> </w:t>
      </w:r>
      <w:r>
        <w:rPr>
          <w:rFonts w:hint="eastAsia"/>
          <w:b/>
          <w:color w:val="auto"/>
          <w:sz w:val="24"/>
          <w:highlight w:val="none"/>
        </w:rPr>
        <w:t>评标办法》</w:t>
      </w:r>
    </w:p>
    <w:p>
      <w:pPr>
        <w:spacing w:line="360" w:lineRule="auto"/>
        <w:ind w:firstLine="523" w:firstLineChars="218"/>
        <w:rPr>
          <w:color w:val="auto"/>
          <w:sz w:val="24"/>
          <w:szCs w:val="28"/>
          <w:highlight w:val="none"/>
        </w:rPr>
      </w:pPr>
      <w:r>
        <w:rPr>
          <w:color w:val="auto"/>
          <w:sz w:val="24"/>
          <w:szCs w:val="28"/>
          <w:highlight w:val="none"/>
        </w:rPr>
        <w:t>31.5评分要求和统计分数原则</w:t>
      </w:r>
    </w:p>
    <w:p>
      <w:pPr>
        <w:spacing w:line="360" w:lineRule="auto"/>
        <w:ind w:firstLine="523" w:firstLineChars="218"/>
        <w:rPr>
          <w:color w:val="auto"/>
          <w:sz w:val="24"/>
          <w:szCs w:val="28"/>
          <w:highlight w:val="none"/>
        </w:rPr>
      </w:pPr>
      <w:r>
        <w:rPr>
          <w:color w:val="auto"/>
          <w:sz w:val="24"/>
          <w:szCs w:val="28"/>
          <w:highlight w:val="none"/>
        </w:rPr>
        <w:t>31.5.1评标委员会评委应首先对各投标人投标书进行评审，并按招标文件规定分值评分，</w:t>
      </w:r>
      <w:r>
        <w:rPr>
          <w:rFonts w:hint="eastAsia"/>
          <w:color w:val="auto"/>
          <w:spacing w:val="4"/>
          <w:sz w:val="24"/>
          <w:highlight w:val="none"/>
        </w:rPr>
        <w:t>中间用插入法确定分数</w:t>
      </w:r>
      <w:r>
        <w:rPr>
          <w:rFonts w:hint="eastAsia"/>
          <w:color w:val="auto"/>
          <w:sz w:val="24"/>
          <w:szCs w:val="28"/>
          <w:highlight w:val="none"/>
        </w:rPr>
        <w:t>。</w:t>
      </w:r>
    </w:p>
    <w:p>
      <w:pPr>
        <w:spacing w:line="360" w:lineRule="auto"/>
        <w:ind w:firstLine="523" w:firstLineChars="218"/>
        <w:rPr>
          <w:color w:val="auto"/>
          <w:sz w:val="24"/>
          <w:szCs w:val="28"/>
          <w:highlight w:val="none"/>
        </w:rPr>
      </w:pPr>
      <w:r>
        <w:rPr>
          <w:color w:val="auto"/>
          <w:sz w:val="24"/>
          <w:szCs w:val="28"/>
          <w:highlight w:val="none"/>
        </w:rPr>
        <w:t xml:space="preserve">31.5.2 </w:t>
      </w:r>
      <w:r>
        <w:rPr>
          <w:rFonts w:hint="eastAsia"/>
          <w:color w:val="auto"/>
          <w:sz w:val="24"/>
          <w:szCs w:val="28"/>
          <w:highlight w:val="none"/>
        </w:rPr>
        <w:t>技术部分、商务部分评分中，各评委应自主评分并签字确认。</w:t>
      </w:r>
    </w:p>
    <w:p>
      <w:pPr>
        <w:spacing w:line="360" w:lineRule="auto"/>
        <w:ind w:firstLine="523" w:firstLineChars="218"/>
        <w:rPr>
          <w:color w:val="auto"/>
          <w:sz w:val="24"/>
          <w:szCs w:val="28"/>
          <w:highlight w:val="none"/>
        </w:rPr>
      </w:pPr>
      <w:r>
        <w:rPr>
          <w:color w:val="auto"/>
          <w:sz w:val="24"/>
          <w:szCs w:val="28"/>
          <w:highlight w:val="none"/>
        </w:rPr>
        <w:t xml:space="preserve">31.5.3 </w:t>
      </w:r>
      <w:r>
        <w:rPr>
          <w:rFonts w:hint="eastAsia"/>
          <w:color w:val="auto"/>
          <w:sz w:val="24"/>
          <w:szCs w:val="28"/>
          <w:highlight w:val="none"/>
        </w:rPr>
        <w:t>统计分数原则：评分后计算平均分值为投标人技术部分的得分（保留小数点后两位）。</w:t>
      </w:r>
    </w:p>
    <w:p>
      <w:pPr>
        <w:spacing w:line="360" w:lineRule="auto"/>
        <w:ind w:firstLine="525" w:firstLineChars="218"/>
        <w:rPr>
          <w:b/>
          <w:color w:val="auto"/>
          <w:sz w:val="24"/>
          <w:szCs w:val="28"/>
          <w:highlight w:val="none"/>
        </w:rPr>
      </w:pPr>
      <w:r>
        <w:rPr>
          <w:b/>
          <w:color w:val="auto"/>
          <w:sz w:val="24"/>
          <w:szCs w:val="28"/>
          <w:highlight w:val="none"/>
        </w:rPr>
        <w:t>31.6招标人在评标委员会推荐的中标候选人中，确定排名第一的为中标人。</w:t>
      </w:r>
    </w:p>
    <w:p>
      <w:pPr>
        <w:spacing w:line="360" w:lineRule="auto"/>
        <w:ind w:firstLine="523" w:firstLineChars="218"/>
        <w:rPr>
          <w:color w:val="auto"/>
          <w:sz w:val="24"/>
          <w:szCs w:val="28"/>
          <w:highlight w:val="none"/>
        </w:rPr>
      </w:pPr>
      <w:r>
        <w:rPr>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523" w:firstLineChars="218"/>
        <w:rPr>
          <w:color w:val="auto"/>
          <w:sz w:val="24"/>
          <w:szCs w:val="28"/>
          <w:highlight w:val="none"/>
        </w:rPr>
      </w:pPr>
      <w:r>
        <w:rPr>
          <w:color w:val="auto"/>
          <w:sz w:val="24"/>
          <w:szCs w:val="28"/>
          <w:highlight w:val="none"/>
        </w:rPr>
        <w:t>31.8招标人不向未中标的投标人解释未中标原因。</w:t>
      </w:r>
    </w:p>
    <w:p>
      <w:pPr>
        <w:spacing w:line="360" w:lineRule="auto"/>
        <w:ind w:firstLine="523" w:firstLineChars="218"/>
        <w:rPr>
          <w:color w:val="auto"/>
          <w:sz w:val="24"/>
          <w:szCs w:val="28"/>
          <w:highlight w:val="none"/>
        </w:rPr>
      </w:pPr>
      <w:r>
        <w:rPr>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pPr>
        <w:pStyle w:val="5"/>
        <w:tabs>
          <w:tab w:val="center" w:pos="4677"/>
          <w:tab w:val="left" w:pos="6240"/>
        </w:tabs>
        <w:rPr>
          <w:rFonts w:ascii="Times New Roman" w:hAnsi="Times New Roman" w:eastAsia="宋体"/>
          <w:b/>
          <w:color w:val="auto"/>
          <w:highlight w:val="none"/>
        </w:rPr>
      </w:pPr>
      <w:r>
        <w:rPr>
          <w:rFonts w:hint="eastAsia" w:ascii="Times New Roman" w:hAnsi="Times New Roman" w:eastAsia="宋体"/>
          <w:b/>
          <w:color w:val="auto"/>
          <w:highlight w:val="none"/>
        </w:rPr>
        <w:t>（七）合同的授予</w:t>
      </w:r>
    </w:p>
    <w:p>
      <w:pPr>
        <w:pStyle w:val="6"/>
        <w:ind w:firstLine="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、合同授予标准</w:t>
      </w:r>
    </w:p>
    <w:p>
      <w:pPr>
        <w:spacing w:line="360" w:lineRule="auto"/>
        <w:ind w:firstLine="500"/>
        <w:rPr>
          <w:color w:val="auto"/>
          <w:sz w:val="24"/>
          <w:highlight w:val="none"/>
        </w:rPr>
      </w:pPr>
      <w:r>
        <w:rPr>
          <w:color w:val="auto"/>
          <w:sz w:val="24"/>
          <w:highlight w:val="none"/>
        </w:rPr>
        <w:t>32.1本招标项目的</w:t>
      </w:r>
      <w:r>
        <w:rPr>
          <w:rFonts w:hint="eastAsia"/>
          <w:color w:val="auto"/>
          <w:sz w:val="24"/>
          <w:highlight w:val="none"/>
        </w:rPr>
        <w:t>服务合同将授予按本须知第</w:t>
      </w:r>
      <w:r>
        <w:rPr>
          <w:color w:val="auto"/>
          <w:sz w:val="24"/>
          <w:highlight w:val="none"/>
        </w:rPr>
        <w:t>31.6</w:t>
      </w:r>
      <w:r>
        <w:rPr>
          <w:rFonts w:hint="eastAsia"/>
          <w:color w:val="auto"/>
          <w:sz w:val="24"/>
          <w:highlight w:val="none"/>
        </w:rPr>
        <w:t>款所确定的中标人，招标人与中标人签订服务合同。</w:t>
      </w:r>
    </w:p>
    <w:p>
      <w:pPr>
        <w:spacing w:line="360" w:lineRule="auto"/>
        <w:ind w:firstLine="500"/>
        <w:rPr>
          <w:color w:val="auto"/>
          <w:sz w:val="24"/>
          <w:highlight w:val="none"/>
        </w:rPr>
      </w:pPr>
      <w:r>
        <w:rPr>
          <w:color w:val="auto"/>
          <w:sz w:val="24"/>
          <w:highlight w:val="none"/>
        </w:rPr>
        <w:t>32.2非招标人原因中标人在中标通知书发出后30日内不与招标人签订</w:t>
      </w:r>
      <w:r>
        <w:rPr>
          <w:rFonts w:hint="eastAsia"/>
          <w:color w:val="auto"/>
          <w:sz w:val="24"/>
          <w:highlight w:val="none"/>
        </w:rPr>
        <w:t>服务合同的，招标人将有充分理由取消中标资格，招标人有权按照评标推荐意见选择下一名中标候选人作为中标人或者重新招标。</w:t>
      </w:r>
    </w:p>
    <w:p>
      <w:pPr>
        <w:spacing w:line="360" w:lineRule="auto"/>
        <w:ind w:firstLine="500"/>
        <w:rPr>
          <w:color w:val="auto"/>
          <w:sz w:val="24"/>
          <w:highlight w:val="none"/>
        </w:rPr>
      </w:pPr>
      <w:r>
        <w:rPr>
          <w:color w:val="auto"/>
          <w:sz w:val="24"/>
          <w:highlight w:val="none"/>
        </w:rPr>
        <w:t>32.3在招标人与中标人签订下一次合同之前，由中标人按招标人的相关规定对成交人上一次合同执行情况进行评定，评定结果合格的续签下一次合同，评定结果不合格的取消中标人下一次合同执行权利。</w:t>
      </w:r>
    </w:p>
    <w:p>
      <w:pPr>
        <w:pStyle w:val="6"/>
        <w:ind w:firstLine="0"/>
        <w:rPr>
          <w:rFonts w:ascii="Times New Roman" w:hAnsi="Times New Roman"/>
          <w:color w:val="auto"/>
          <w:highlight w:val="none"/>
        </w:rPr>
      </w:pPr>
      <w:r>
        <w:rPr>
          <w:rFonts w:ascii="Times New Roman" w:hAnsi="Times New Roman"/>
          <w:color w:val="auto"/>
          <w:highlight w:val="none"/>
        </w:rPr>
        <w:t>33</w:t>
      </w:r>
      <w:r>
        <w:rPr>
          <w:rFonts w:hint="eastAsia" w:ascii="Times New Roman" w:hAnsi="Times New Roman"/>
          <w:color w:val="auto"/>
          <w:highlight w:val="none"/>
        </w:rPr>
        <w:t>、招标人拒绝投标的权力</w:t>
      </w:r>
    </w:p>
    <w:p>
      <w:pPr>
        <w:spacing w:line="360" w:lineRule="auto"/>
        <w:ind w:firstLine="500"/>
        <w:rPr>
          <w:color w:val="auto"/>
          <w:sz w:val="24"/>
          <w:highlight w:val="none"/>
        </w:rPr>
      </w:pPr>
      <w:r>
        <w:rPr>
          <w:color w:val="auto"/>
          <w:sz w:val="24"/>
          <w:highlight w:val="none"/>
        </w:rPr>
        <w:t>33.1</w:t>
      </w:r>
      <w:r>
        <w:rPr>
          <w:rFonts w:hint="eastAsia"/>
          <w:color w:val="auto"/>
          <w:spacing w:val="6"/>
          <w:kern w:val="0"/>
          <w:sz w:val="24"/>
          <w:highlight w:val="none"/>
        </w:rPr>
        <w:t>招标人在发出中标通知书前，有权依据评标委员会的评标报告拒绝不合格的投标。</w:t>
      </w:r>
    </w:p>
    <w:p>
      <w:pPr>
        <w:pStyle w:val="6"/>
        <w:ind w:firstLine="0"/>
        <w:rPr>
          <w:rFonts w:ascii="Times New Roman" w:hAnsi="Times New Roman"/>
          <w:color w:val="auto"/>
          <w:highlight w:val="none"/>
        </w:rPr>
      </w:pPr>
      <w:r>
        <w:rPr>
          <w:rFonts w:ascii="Times New Roman" w:hAnsi="Times New Roman"/>
          <w:color w:val="auto"/>
          <w:highlight w:val="none"/>
        </w:rPr>
        <w:t>34</w:t>
      </w:r>
      <w:r>
        <w:rPr>
          <w:rFonts w:hint="eastAsia" w:ascii="Times New Roman" w:hAnsi="Times New Roman"/>
          <w:color w:val="auto"/>
          <w:highlight w:val="none"/>
        </w:rPr>
        <w:t>、中标通知书</w:t>
      </w:r>
    </w:p>
    <w:p>
      <w:pPr>
        <w:spacing w:line="360" w:lineRule="auto"/>
        <w:ind w:firstLine="500"/>
        <w:rPr>
          <w:color w:val="auto"/>
          <w:sz w:val="24"/>
          <w:highlight w:val="none"/>
        </w:rPr>
      </w:pPr>
      <w:r>
        <w:rPr>
          <w:color w:val="auto"/>
          <w:sz w:val="24"/>
          <w:highlight w:val="none"/>
        </w:rPr>
        <w:t>34.1中标单位确定后招标人向中标单位发出中标通知书，并将中标结果告知所有未中标的投标人。</w:t>
      </w:r>
    </w:p>
    <w:p>
      <w:pPr>
        <w:spacing w:line="360" w:lineRule="auto"/>
        <w:ind w:firstLine="500"/>
        <w:rPr>
          <w:color w:val="auto"/>
          <w:sz w:val="24"/>
          <w:highlight w:val="none"/>
        </w:rPr>
      </w:pPr>
      <w:r>
        <w:rPr>
          <w:color w:val="auto"/>
          <w:sz w:val="24"/>
          <w:highlight w:val="none"/>
        </w:rPr>
        <w:t>34.2中标通知书是合同的一个组成部分。</w:t>
      </w:r>
    </w:p>
    <w:p>
      <w:pPr>
        <w:pStyle w:val="6"/>
        <w:ind w:firstLine="0"/>
        <w:rPr>
          <w:rFonts w:ascii="Times New Roman" w:hAnsi="Times New Roman"/>
          <w:color w:val="auto"/>
          <w:highlight w:val="none"/>
        </w:rPr>
      </w:pPr>
      <w:r>
        <w:rPr>
          <w:rFonts w:ascii="Times New Roman" w:hAnsi="Times New Roman"/>
          <w:color w:val="auto"/>
          <w:highlight w:val="none"/>
        </w:rPr>
        <w:t>35</w:t>
      </w:r>
      <w:r>
        <w:rPr>
          <w:rFonts w:hint="eastAsia" w:ascii="Times New Roman" w:hAnsi="Times New Roman"/>
          <w:color w:val="auto"/>
          <w:highlight w:val="none"/>
        </w:rPr>
        <w:t>、合同协议书的签订</w:t>
      </w:r>
    </w:p>
    <w:p>
      <w:pPr>
        <w:spacing w:line="360" w:lineRule="auto"/>
        <w:ind w:firstLine="500"/>
        <w:rPr>
          <w:b/>
          <w:color w:val="auto"/>
          <w:sz w:val="24"/>
          <w:highlight w:val="none"/>
        </w:rPr>
      </w:pPr>
      <w:r>
        <w:rPr>
          <w:b/>
          <w:color w:val="auto"/>
          <w:sz w:val="24"/>
          <w:highlight w:val="none"/>
        </w:rPr>
        <w:t xml:space="preserve">35.1 </w:t>
      </w:r>
      <w:r>
        <w:rPr>
          <w:rFonts w:hint="eastAsia"/>
          <w:b/>
          <w:color w:val="auto"/>
          <w:sz w:val="24"/>
          <w:highlight w:val="none"/>
        </w:rPr>
        <w:t>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pPr>
        <w:spacing w:line="360" w:lineRule="auto"/>
        <w:ind w:firstLine="500"/>
        <w:rPr>
          <w:color w:val="auto"/>
          <w:sz w:val="24"/>
          <w:highlight w:val="none"/>
        </w:rPr>
      </w:pPr>
      <w:r>
        <w:rPr>
          <w:color w:val="auto"/>
          <w:sz w:val="24"/>
          <w:highlight w:val="none"/>
        </w:rPr>
        <w:t>35.2招标人与中标人将于中标通知书发出之日起30日内，按照招标文件和中标人的投标文件订立书面</w:t>
      </w:r>
      <w:r>
        <w:rPr>
          <w:rFonts w:hint="eastAsia"/>
          <w:color w:val="auto"/>
          <w:sz w:val="24"/>
          <w:highlight w:val="none"/>
        </w:rPr>
        <w:t>服务合同，招标人和中标人不得再行订立背离合同实质性内容的其他协议。</w:t>
      </w:r>
    </w:p>
    <w:p>
      <w:pPr>
        <w:spacing w:line="360" w:lineRule="auto"/>
        <w:ind w:firstLine="500"/>
        <w:rPr>
          <w:color w:val="auto"/>
          <w:sz w:val="24"/>
          <w:highlight w:val="none"/>
        </w:rPr>
      </w:pPr>
      <w:r>
        <w:rPr>
          <w:color w:val="auto"/>
          <w:sz w:val="24"/>
          <w:highlight w:val="none"/>
        </w:rPr>
        <w:t>35.3招标人如不按本投标须知第35.1款的规定与中标人订立合同，或者招标人、中标人订立背离合同实质性内容的协议，应改正并按规定处予罚款。</w:t>
      </w:r>
    </w:p>
    <w:p>
      <w:pPr>
        <w:spacing w:line="360" w:lineRule="auto"/>
        <w:ind w:firstLine="500"/>
        <w:rPr>
          <w:color w:val="auto"/>
          <w:sz w:val="24"/>
          <w:highlight w:val="none"/>
        </w:rPr>
      </w:pPr>
      <w:r>
        <w:rPr>
          <w:color w:val="auto"/>
          <w:sz w:val="24"/>
          <w:highlight w:val="none"/>
        </w:rPr>
        <w:t>35.4在确定中标人之前，招标人应遵守《中华人民共和国招标投标法》和其它有关规定，不得无故调整招标文件规定的有关条款，不得与投标人就投标价格、投标承诺、投标方案等实质性内容进行谈判。</w:t>
      </w:r>
    </w:p>
    <w:p>
      <w:pPr>
        <w:spacing w:line="360" w:lineRule="auto"/>
        <w:ind w:firstLine="500"/>
        <w:rPr>
          <w:color w:val="auto"/>
          <w:sz w:val="24"/>
          <w:highlight w:val="none"/>
        </w:rPr>
      </w:pPr>
      <w:r>
        <w:rPr>
          <w:color w:val="auto"/>
          <w:sz w:val="24"/>
          <w:highlight w:val="none"/>
        </w:rPr>
        <w:t>35.5招标人、中标人双方在签定</w:t>
      </w:r>
      <w:r>
        <w:rPr>
          <w:rFonts w:hint="eastAsia"/>
          <w:color w:val="auto"/>
          <w:sz w:val="24"/>
          <w:highlight w:val="none"/>
        </w:rPr>
        <w:t>服务合同时，不得随意变更招标文件和投标书的实质性条款。</w:t>
      </w:r>
    </w:p>
    <w:p>
      <w:pPr>
        <w:spacing w:line="360" w:lineRule="auto"/>
        <w:ind w:firstLine="500"/>
        <w:rPr>
          <w:color w:val="auto"/>
          <w:sz w:val="24"/>
          <w:highlight w:val="none"/>
        </w:rPr>
      </w:pPr>
      <w:r>
        <w:rPr>
          <w:color w:val="auto"/>
          <w:sz w:val="24"/>
          <w:highlight w:val="none"/>
        </w:rPr>
        <w:t>35.6投标人的投标报价应本着科学、合理的原则进行。投标人一旦中标，若因报价过低致使合同无法签订和履行的，或在合同签订、履行中无故要求变更投标承诺和变更投标报价（含单价、合价和总价）的，按下列规定执行：</w:t>
      </w:r>
    </w:p>
    <w:p>
      <w:pPr>
        <w:spacing w:line="360" w:lineRule="auto"/>
        <w:ind w:firstLine="500"/>
        <w:rPr>
          <w:color w:val="auto"/>
          <w:sz w:val="24"/>
          <w:highlight w:val="none"/>
        </w:rPr>
      </w:pPr>
      <w:r>
        <w:rPr>
          <w:color w:val="auto"/>
          <w:sz w:val="24"/>
          <w:highlight w:val="none"/>
        </w:rPr>
        <w:t>35.6.1不与招标人签订</w:t>
      </w:r>
      <w:r>
        <w:rPr>
          <w:rFonts w:hint="eastAsia"/>
          <w:color w:val="auto"/>
          <w:sz w:val="24"/>
          <w:highlight w:val="none"/>
        </w:rPr>
        <w:t>服务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pPr>
        <w:spacing w:line="360" w:lineRule="auto"/>
        <w:ind w:firstLine="500"/>
        <w:rPr>
          <w:color w:val="auto"/>
          <w:sz w:val="24"/>
          <w:highlight w:val="none"/>
        </w:rPr>
      </w:pPr>
      <w:r>
        <w:rPr>
          <w:color w:val="auto"/>
          <w:sz w:val="24"/>
          <w:highlight w:val="none"/>
        </w:rPr>
        <w:t>35.6.2不全面履行合同的，应承担由此造成招标人的实际损失。此外，招标人可将有关情况报行政主管部门，由行政主管部门依据有关法律、法规给予相应处罚，并作不良市场行为记录；</w:t>
      </w:r>
    </w:p>
    <w:p>
      <w:pPr>
        <w:spacing w:line="360" w:lineRule="auto"/>
        <w:ind w:firstLine="500"/>
        <w:rPr>
          <w:color w:val="auto"/>
          <w:sz w:val="24"/>
          <w:highlight w:val="none"/>
        </w:rPr>
      </w:pPr>
      <w:r>
        <w:rPr>
          <w:color w:val="auto"/>
          <w:sz w:val="24"/>
          <w:highlight w:val="none"/>
        </w:rPr>
        <w:t>35.6.3在合同履行中，中标人无故要求变更投标承诺和变更投标报价（含单价、合价和总价）的，招标人不得给予调整，可视情况终止合同，由此造成招标人的实际损失由中标人承担赔偿责任。</w:t>
      </w:r>
    </w:p>
    <w:p>
      <w:pPr>
        <w:spacing w:line="360" w:lineRule="auto"/>
        <w:ind w:firstLine="500"/>
        <w:rPr>
          <w:color w:val="auto"/>
          <w:sz w:val="24"/>
          <w:highlight w:val="none"/>
        </w:rPr>
      </w:pPr>
      <w:r>
        <w:rPr>
          <w:color w:val="auto"/>
          <w:sz w:val="24"/>
          <w:highlight w:val="none"/>
        </w:rPr>
        <w:t>35.7中标人应当按照合同约定履行义务，完成中标项目</w:t>
      </w:r>
      <w:r>
        <w:rPr>
          <w:rFonts w:hint="eastAsia"/>
          <w:color w:val="auto"/>
          <w:sz w:val="24"/>
          <w:highlight w:val="none"/>
        </w:rPr>
        <w:t>服务，不得将中标项目转让（转包）给他人。</w:t>
      </w:r>
    </w:p>
    <w:p>
      <w:pPr>
        <w:pStyle w:val="6"/>
        <w:ind w:firstLine="0"/>
        <w:rPr>
          <w:rFonts w:ascii="Times New Roman" w:hAnsi="Times New Roman"/>
          <w:color w:val="auto"/>
          <w:highlight w:val="none"/>
        </w:rPr>
      </w:pPr>
      <w:r>
        <w:rPr>
          <w:rFonts w:ascii="Times New Roman" w:hAnsi="Times New Roman"/>
          <w:color w:val="auto"/>
          <w:highlight w:val="none"/>
        </w:rPr>
        <w:t>36</w:t>
      </w:r>
      <w:r>
        <w:rPr>
          <w:rFonts w:hint="eastAsia" w:ascii="Times New Roman" w:hAnsi="Times New Roman"/>
          <w:color w:val="auto"/>
          <w:highlight w:val="none"/>
        </w:rPr>
        <w:t>、履约担保</w:t>
      </w:r>
    </w:p>
    <w:p>
      <w:pPr>
        <w:spacing w:line="360" w:lineRule="auto"/>
        <w:ind w:firstLine="500"/>
        <w:rPr>
          <w:color w:val="auto"/>
          <w:sz w:val="24"/>
          <w:highlight w:val="none"/>
        </w:rPr>
      </w:pPr>
      <w:r>
        <w:rPr>
          <w:rFonts w:hint="eastAsia"/>
          <w:color w:val="auto"/>
          <w:sz w:val="24"/>
          <w:szCs w:val="28"/>
          <w:highlight w:val="none"/>
        </w:rPr>
        <w:t>无。</w:t>
      </w:r>
    </w:p>
    <w:p>
      <w:pPr>
        <w:pStyle w:val="6"/>
        <w:ind w:firstLine="0"/>
        <w:rPr>
          <w:rFonts w:ascii="Times New Roman" w:hAnsi="Times New Roman"/>
          <w:color w:val="auto"/>
          <w:highlight w:val="none"/>
        </w:rPr>
      </w:pPr>
      <w:r>
        <w:rPr>
          <w:rFonts w:ascii="Times New Roman" w:hAnsi="Times New Roman"/>
          <w:color w:val="auto"/>
          <w:highlight w:val="none"/>
        </w:rPr>
        <w:t>37</w:t>
      </w:r>
      <w:r>
        <w:rPr>
          <w:rFonts w:hint="eastAsia" w:ascii="Times New Roman" w:hAnsi="Times New Roman"/>
          <w:color w:val="auto"/>
          <w:highlight w:val="none"/>
        </w:rPr>
        <w:t>、知识产权</w:t>
      </w:r>
    </w:p>
    <w:p>
      <w:pPr>
        <w:pStyle w:val="6"/>
        <w:ind w:left="8" w:firstLine="412"/>
        <w:rPr>
          <w:rFonts w:ascii="Times New Roman" w:hAnsi="Times New Roman"/>
          <w:b w:val="0"/>
          <w:color w:val="auto"/>
          <w:kern w:val="2"/>
          <w:highlight w:val="none"/>
        </w:rPr>
      </w:pPr>
      <w:r>
        <w:rPr>
          <w:rFonts w:hint="eastAsia" w:ascii="Times New Roman" w:hAnsi="Times New Roman"/>
          <w:b w:val="0"/>
          <w:color w:val="auto"/>
          <w:kern w:val="2"/>
          <w:highlight w:val="none"/>
        </w:rPr>
        <w:t>中标人应保证招标人在使用该服务或其任何一部分时不受第三方提出的侵犯专利权、商标权、著作权或其它知识产权的起诉。如果任何第三方提出侵权指控，中标人须与第三方交涉并承担可能发生的一切法律责任和费用。</w:t>
      </w:r>
    </w:p>
    <w:p>
      <w:pPr>
        <w:spacing w:line="360" w:lineRule="auto"/>
        <w:rPr>
          <w:b/>
          <w:color w:val="auto"/>
          <w:kern w:val="0"/>
          <w:sz w:val="24"/>
          <w:highlight w:val="none"/>
        </w:rPr>
      </w:pPr>
      <w:r>
        <w:rPr>
          <w:b/>
          <w:color w:val="auto"/>
          <w:kern w:val="0"/>
          <w:sz w:val="24"/>
          <w:highlight w:val="none"/>
        </w:rPr>
        <w:t>38、异议</w:t>
      </w:r>
    </w:p>
    <w:p>
      <w:pPr>
        <w:spacing w:line="360" w:lineRule="auto"/>
        <w:ind w:firstLine="360" w:firstLineChars="150"/>
        <w:rPr>
          <w:color w:val="auto"/>
          <w:sz w:val="24"/>
          <w:highlight w:val="none"/>
        </w:rPr>
      </w:pPr>
      <w:r>
        <w:rPr>
          <w:color w:val="auto"/>
          <w:sz w:val="24"/>
          <w:highlight w:val="none"/>
        </w:rPr>
        <w:t>38.1</w:t>
      </w:r>
      <w:r>
        <w:rPr>
          <w:rFonts w:hint="eastAsia"/>
          <w:color w:val="auto"/>
          <w:sz w:val="24"/>
          <w:highlight w:val="none"/>
        </w:rPr>
        <w:t>潜在投标人或者其他利害关系人对招标文件有异议的，应当在投标截止时间</w:t>
      </w:r>
      <w:r>
        <w:rPr>
          <w:color w:val="auto"/>
          <w:sz w:val="24"/>
          <w:highlight w:val="none"/>
        </w:rPr>
        <w:t>10日前提出。招标人应当自收到异议之日起3日内做出答复；做出答复前，应当暂停招标投标活动。</w:t>
      </w:r>
    </w:p>
    <w:p>
      <w:pPr>
        <w:spacing w:line="360" w:lineRule="auto"/>
        <w:ind w:firstLine="360" w:firstLineChars="150"/>
        <w:rPr>
          <w:color w:val="auto"/>
          <w:sz w:val="24"/>
          <w:highlight w:val="none"/>
        </w:rPr>
      </w:pPr>
      <w:r>
        <w:rPr>
          <w:color w:val="auto"/>
          <w:sz w:val="24"/>
          <w:highlight w:val="none"/>
        </w:rPr>
        <w:t>38.2</w:t>
      </w:r>
      <w:r>
        <w:rPr>
          <w:rFonts w:hint="eastAsia"/>
          <w:color w:val="auto"/>
          <w:sz w:val="24"/>
          <w:highlight w:val="none"/>
        </w:rPr>
        <w:t>投标人对开标有异议的，应当在开标现场提出，招标人应当当场做出答复，并制作记录。</w:t>
      </w:r>
    </w:p>
    <w:p>
      <w:pPr>
        <w:spacing w:line="360" w:lineRule="auto"/>
        <w:ind w:firstLine="360" w:firstLineChars="150"/>
        <w:rPr>
          <w:color w:val="auto"/>
          <w:sz w:val="24"/>
          <w:highlight w:val="none"/>
        </w:rPr>
      </w:pPr>
      <w:r>
        <w:rPr>
          <w:color w:val="auto"/>
          <w:sz w:val="24"/>
          <w:highlight w:val="none"/>
        </w:rPr>
        <w:t>38.3</w:t>
      </w:r>
      <w:r>
        <w:rPr>
          <w:rFonts w:hint="eastAsia"/>
          <w:color w:val="auto"/>
          <w:sz w:val="24"/>
          <w:highlight w:val="none"/>
        </w:rPr>
        <w:t>投标人或者其他利害关系人对依法必须招标项目的评标结果有异议的，应当在中标候选人公示期间提出。招标人应当自收到异议之日起</w:t>
      </w:r>
      <w:r>
        <w:rPr>
          <w:color w:val="auto"/>
          <w:sz w:val="24"/>
          <w:highlight w:val="none"/>
        </w:rPr>
        <w:t>3日内做出答复；做出答复前，应当暂停招标投标活动。</w:t>
      </w:r>
    </w:p>
    <w:p>
      <w:pPr>
        <w:spacing w:line="360" w:lineRule="auto"/>
        <w:ind w:firstLine="360" w:firstLineChars="150"/>
        <w:rPr>
          <w:color w:val="auto"/>
          <w:sz w:val="24"/>
          <w:highlight w:val="none"/>
        </w:rPr>
      </w:pPr>
      <w:r>
        <w:rPr>
          <w:color w:val="auto"/>
          <w:sz w:val="24"/>
          <w:highlight w:val="none"/>
        </w:rPr>
        <w:t>38.4</w:t>
      </w:r>
      <w:r>
        <w:rPr>
          <w:rFonts w:hint="eastAsia"/>
          <w:color w:val="auto"/>
          <w:sz w:val="24"/>
          <w:highlight w:val="none"/>
        </w:rPr>
        <w:t>提交异议函的方式：加盖单位公章的书面异议函，写明联系人、联系电话、通讯地址等信息，并附相关证明材料和依据，否则不予接收。</w:t>
      </w:r>
    </w:p>
    <w:p>
      <w:pPr>
        <w:spacing w:line="360" w:lineRule="auto"/>
        <w:rPr>
          <w:color w:val="auto"/>
          <w:sz w:val="28"/>
          <w:szCs w:val="28"/>
          <w:highlight w:val="none"/>
        </w:rPr>
        <w:sectPr>
          <w:headerReference r:id="rId8" w:type="default"/>
          <w:pgSz w:w="11906" w:h="16838"/>
          <w:pgMar w:top="1134" w:right="1134" w:bottom="1134" w:left="1134" w:header="454" w:footer="454" w:gutter="0"/>
          <w:cols w:space="720" w:num="1"/>
          <w:docGrid w:linePitch="312" w:charSpace="0"/>
        </w:sect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pStyle w:val="2"/>
        <w:numPr>
          <w:ilvl w:val="0"/>
          <w:numId w:val="2"/>
        </w:numPr>
        <w:spacing w:line="360" w:lineRule="auto"/>
        <w:jc w:val="center"/>
        <w:rPr>
          <w:color w:val="auto"/>
          <w:w w:val="90"/>
          <w:highlight w:val="none"/>
        </w:rPr>
      </w:pPr>
      <w:bookmarkStart w:id="22" w:name="_Toc343510554"/>
      <w:bookmarkEnd w:id="22"/>
      <w:bookmarkStart w:id="23" w:name="_Toc344394140"/>
      <w:bookmarkEnd w:id="23"/>
      <w:bookmarkStart w:id="24" w:name="_Toc349568453"/>
      <w:bookmarkEnd w:id="24"/>
      <w:bookmarkStart w:id="25" w:name="_Toc350515649"/>
      <w:bookmarkEnd w:id="25"/>
      <w:bookmarkStart w:id="26" w:name="_Toc17991"/>
      <w:bookmarkEnd w:id="26"/>
      <w:bookmarkStart w:id="27" w:name="_Toc10022"/>
      <w:bookmarkEnd w:id="27"/>
      <w:bookmarkStart w:id="28" w:name="_Toc349568712"/>
      <w:bookmarkEnd w:id="28"/>
      <w:r>
        <w:rPr>
          <w:color w:val="auto"/>
          <w:w w:val="90"/>
          <w:highlight w:val="none"/>
        </w:rPr>
        <w:t xml:space="preserve">  合同主要条款</w:t>
      </w:r>
    </w:p>
    <w:p>
      <w:pPr>
        <w:pStyle w:val="2"/>
        <w:spacing w:line="360" w:lineRule="auto"/>
        <w:jc w:val="center"/>
        <w:rPr>
          <w:color w:val="auto"/>
          <w:w w:val="90"/>
          <w:sz w:val="28"/>
          <w:szCs w:val="28"/>
          <w:highlight w:val="none"/>
        </w:rPr>
      </w:pPr>
      <w:bookmarkStart w:id="29" w:name="_Toc23351"/>
      <w:bookmarkEnd w:id="29"/>
      <w:bookmarkStart w:id="30" w:name="_Toc12009"/>
      <w:bookmarkEnd w:id="30"/>
      <w:bookmarkStart w:id="31" w:name="_Toc19053"/>
      <w:bookmarkEnd w:id="31"/>
      <w:bookmarkStart w:id="32" w:name="_Toc20137"/>
      <w:bookmarkEnd w:id="32"/>
      <w:bookmarkStart w:id="33" w:name="_Toc14503"/>
      <w:bookmarkEnd w:id="33"/>
      <w:bookmarkStart w:id="34" w:name="_Toc13064"/>
      <w:bookmarkEnd w:id="34"/>
      <w:r>
        <w:rPr>
          <w:rFonts w:hint="eastAsia"/>
          <w:color w:val="auto"/>
          <w:w w:val="90"/>
          <w:sz w:val="28"/>
          <w:szCs w:val="28"/>
          <w:highlight w:val="none"/>
        </w:rPr>
        <w:t>（以实际签订为准）</w:t>
      </w:r>
    </w:p>
    <w:p>
      <w:pPr>
        <w:spacing w:line="360" w:lineRule="auto"/>
        <w:rPr>
          <w:color w:val="auto"/>
          <w:highlight w:val="none"/>
        </w:rPr>
      </w:pPr>
    </w:p>
    <w:p>
      <w:pPr>
        <w:rPr>
          <w:b/>
          <w:color w:val="auto"/>
          <w:sz w:val="30"/>
          <w:szCs w:val="30"/>
          <w:highlight w:val="none"/>
          <w:u w:val="single"/>
        </w:rPr>
      </w:pPr>
      <w:r>
        <w:rPr>
          <w:color w:val="auto"/>
          <w:highlight w:val="none"/>
        </w:rPr>
        <w:br w:type="page"/>
      </w:r>
      <w:r>
        <w:rPr>
          <w:rFonts w:hint="eastAsia"/>
          <w:b/>
          <w:color w:val="auto"/>
          <w:sz w:val="30"/>
          <w:szCs w:val="30"/>
          <w:highlight w:val="none"/>
        </w:rPr>
        <w:t>合同编号：</w:t>
      </w:r>
    </w:p>
    <w:p>
      <w:pPr>
        <w:spacing w:line="160" w:lineRule="atLeast"/>
        <w:rPr>
          <w:b/>
          <w:color w:val="auto"/>
          <w:sz w:val="72"/>
          <w:szCs w:val="72"/>
          <w:highlight w:val="none"/>
        </w:rPr>
      </w:pPr>
    </w:p>
    <w:p>
      <w:pPr>
        <w:spacing w:line="160" w:lineRule="atLeast"/>
        <w:jc w:val="center"/>
        <w:rPr>
          <w:b/>
          <w:color w:val="auto"/>
          <w:sz w:val="52"/>
          <w:szCs w:val="52"/>
          <w:highlight w:val="none"/>
        </w:rPr>
      </w:pPr>
    </w:p>
    <w:p>
      <w:pPr>
        <w:spacing w:line="160" w:lineRule="atLeast"/>
        <w:jc w:val="center"/>
        <w:rPr>
          <w:b/>
          <w:color w:val="auto"/>
          <w:sz w:val="52"/>
          <w:szCs w:val="52"/>
          <w:highlight w:val="none"/>
        </w:rPr>
      </w:pPr>
    </w:p>
    <w:p>
      <w:pPr>
        <w:spacing w:line="160" w:lineRule="atLeast"/>
        <w:jc w:val="center"/>
        <w:rPr>
          <w:b/>
          <w:color w:val="auto"/>
          <w:sz w:val="110"/>
          <w:szCs w:val="110"/>
          <w:highlight w:val="none"/>
        </w:rPr>
      </w:pPr>
      <w:r>
        <w:rPr>
          <w:rFonts w:hint="eastAsia"/>
          <w:b/>
          <w:color w:val="auto"/>
          <w:sz w:val="110"/>
          <w:szCs w:val="110"/>
          <w:highlight w:val="none"/>
        </w:rPr>
        <w:t>合</w:t>
      </w:r>
      <w:r>
        <w:rPr>
          <w:b/>
          <w:color w:val="auto"/>
          <w:sz w:val="110"/>
          <w:szCs w:val="110"/>
          <w:highlight w:val="none"/>
        </w:rPr>
        <w:t xml:space="preserve">  </w:t>
      </w:r>
      <w:r>
        <w:rPr>
          <w:rFonts w:hint="eastAsia"/>
          <w:b/>
          <w:color w:val="auto"/>
          <w:sz w:val="110"/>
          <w:szCs w:val="110"/>
          <w:highlight w:val="none"/>
        </w:rPr>
        <w:t>同</w:t>
      </w:r>
      <w:r>
        <w:rPr>
          <w:b/>
          <w:color w:val="auto"/>
          <w:sz w:val="110"/>
          <w:szCs w:val="110"/>
          <w:highlight w:val="none"/>
        </w:rPr>
        <w:t xml:space="preserve">  </w:t>
      </w:r>
      <w:r>
        <w:rPr>
          <w:rFonts w:hint="eastAsia"/>
          <w:b/>
          <w:color w:val="auto"/>
          <w:sz w:val="110"/>
          <w:szCs w:val="110"/>
          <w:highlight w:val="none"/>
        </w:rPr>
        <w:t>书</w:t>
      </w:r>
    </w:p>
    <w:p>
      <w:pPr>
        <w:spacing w:line="160" w:lineRule="atLeast"/>
        <w:jc w:val="center"/>
        <w:rPr>
          <w:b/>
          <w:color w:val="auto"/>
          <w:highlight w:val="none"/>
        </w:rPr>
      </w:pPr>
    </w:p>
    <w:p>
      <w:pPr>
        <w:spacing w:line="160" w:lineRule="atLeast"/>
        <w:jc w:val="center"/>
        <w:rPr>
          <w:b/>
          <w:color w:val="auto"/>
          <w:highlight w:val="none"/>
        </w:rPr>
      </w:pPr>
    </w:p>
    <w:p>
      <w:pPr>
        <w:spacing w:line="160" w:lineRule="atLeast"/>
        <w:jc w:val="center"/>
        <w:rPr>
          <w:b/>
          <w:color w:val="auto"/>
          <w:highlight w:val="none"/>
        </w:rPr>
      </w:pPr>
    </w:p>
    <w:p>
      <w:pPr>
        <w:spacing w:line="160" w:lineRule="atLeast"/>
        <w:jc w:val="center"/>
        <w:rPr>
          <w:b/>
          <w:color w:val="auto"/>
          <w:highlight w:val="none"/>
        </w:rPr>
      </w:pPr>
    </w:p>
    <w:p>
      <w:pPr>
        <w:spacing w:line="160" w:lineRule="atLeast"/>
        <w:ind w:firstLine="1044" w:firstLineChars="495"/>
        <w:rPr>
          <w:b/>
          <w:color w:val="auto"/>
          <w:highlight w:val="none"/>
        </w:rPr>
      </w:pPr>
    </w:p>
    <w:p>
      <w:pPr>
        <w:spacing w:line="160" w:lineRule="atLeast"/>
        <w:rPr>
          <w:b/>
          <w:color w:val="auto"/>
          <w:highlight w:val="none"/>
        </w:rPr>
      </w:pPr>
    </w:p>
    <w:p>
      <w:pPr>
        <w:tabs>
          <w:tab w:val="left" w:pos="1260"/>
          <w:tab w:val="left" w:pos="1620"/>
          <w:tab w:val="left" w:pos="6840"/>
          <w:tab w:val="left" w:pos="7020"/>
          <w:tab w:val="left" w:pos="7200"/>
        </w:tabs>
        <w:spacing w:line="160" w:lineRule="atLeast"/>
        <w:ind w:firstLine="1084" w:firstLineChars="300"/>
        <w:rPr>
          <w:b/>
          <w:color w:val="auto"/>
          <w:sz w:val="36"/>
          <w:szCs w:val="36"/>
          <w:highlight w:val="none"/>
        </w:rPr>
      </w:pPr>
      <w:r>
        <w:rPr>
          <w:rFonts w:hint="eastAsia"/>
          <w:b/>
          <w:color w:val="auto"/>
          <w:sz w:val="36"/>
          <w:szCs w:val="36"/>
          <w:highlight w:val="none"/>
        </w:rPr>
        <w:t>甲方：</w:t>
      </w:r>
      <w:r>
        <w:rPr>
          <w:b/>
          <w:color w:val="auto"/>
          <w:sz w:val="36"/>
          <w:szCs w:val="36"/>
          <w:highlight w:val="none"/>
        </w:rPr>
        <w:t xml:space="preserve"> </w:t>
      </w:r>
    </w:p>
    <w:p>
      <w:pPr>
        <w:tabs>
          <w:tab w:val="left" w:pos="1260"/>
          <w:tab w:val="left" w:pos="1620"/>
          <w:tab w:val="left" w:pos="6840"/>
          <w:tab w:val="left" w:pos="7020"/>
          <w:tab w:val="left" w:pos="7200"/>
        </w:tabs>
        <w:spacing w:line="160" w:lineRule="atLeast"/>
        <w:ind w:firstLine="1084" w:firstLineChars="300"/>
        <w:rPr>
          <w:b/>
          <w:color w:val="auto"/>
          <w:sz w:val="36"/>
          <w:szCs w:val="36"/>
          <w:highlight w:val="none"/>
        </w:rPr>
      </w:pPr>
      <w:r>
        <w:rPr>
          <w:rFonts w:hint="eastAsia"/>
          <w:b/>
          <w:color w:val="auto"/>
          <w:sz w:val="36"/>
          <w:szCs w:val="36"/>
          <w:highlight w:val="none"/>
        </w:rPr>
        <w:t>乙方：</w:t>
      </w:r>
      <w:r>
        <w:rPr>
          <w:b/>
          <w:color w:val="auto"/>
          <w:sz w:val="36"/>
          <w:szCs w:val="36"/>
          <w:highlight w:val="none"/>
        </w:rPr>
        <w:t xml:space="preserve"> </w:t>
      </w:r>
    </w:p>
    <w:p>
      <w:pPr>
        <w:spacing w:line="560" w:lineRule="exact"/>
        <w:ind w:right="640"/>
        <w:jc w:val="center"/>
        <w:rPr>
          <w:b/>
          <w:color w:val="auto"/>
          <w:sz w:val="36"/>
          <w:szCs w:val="36"/>
          <w:highlight w:val="none"/>
        </w:rPr>
      </w:pPr>
    </w:p>
    <w:p>
      <w:pPr>
        <w:spacing w:line="560" w:lineRule="exact"/>
        <w:ind w:right="640"/>
        <w:jc w:val="center"/>
        <w:rPr>
          <w:b/>
          <w:color w:val="auto"/>
          <w:sz w:val="36"/>
          <w:szCs w:val="36"/>
          <w:highlight w:val="none"/>
        </w:rPr>
      </w:pPr>
    </w:p>
    <w:p>
      <w:pPr>
        <w:spacing w:line="360" w:lineRule="auto"/>
        <w:ind w:firstLine="480" w:firstLineChars="200"/>
        <w:rPr>
          <w:color w:val="auto"/>
          <w:sz w:val="24"/>
          <w:highlight w:val="none"/>
        </w:rPr>
      </w:pPr>
      <w:r>
        <w:rPr>
          <w:color w:val="auto"/>
          <w:kern w:val="0"/>
          <w:sz w:val="24"/>
          <w:highlight w:val="none"/>
        </w:rPr>
        <w:br w:type="page"/>
      </w:r>
      <w:r>
        <w:rPr>
          <w:rFonts w:hint="eastAsia"/>
          <w:color w:val="auto"/>
          <w:sz w:val="24"/>
          <w:highlight w:val="none"/>
        </w:rPr>
        <w:t>甲乙双方根据《中华人民共和国民法典》和有关法律法规，遵循平等、自愿、公平和诚实信用原则，同意按照下面的条款和条件订立本合同，共同信守。</w:t>
      </w:r>
    </w:p>
    <w:p>
      <w:pPr>
        <w:spacing w:line="360" w:lineRule="auto"/>
        <w:ind w:firstLine="480" w:firstLineChars="200"/>
        <w:rPr>
          <w:color w:val="auto"/>
          <w:sz w:val="24"/>
          <w:highlight w:val="none"/>
        </w:rPr>
      </w:pPr>
      <w:r>
        <w:rPr>
          <w:rFonts w:hint="eastAsia"/>
          <w:color w:val="auto"/>
          <w:sz w:val="24"/>
          <w:highlight w:val="none"/>
        </w:rPr>
        <w:t>一</w:t>
      </w:r>
      <w:r>
        <w:rPr>
          <w:color w:val="auto"/>
          <w:sz w:val="24"/>
          <w:highlight w:val="none"/>
        </w:rPr>
        <w:t>.</w:t>
      </w:r>
      <w:r>
        <w:rPr>
          <w:rFonts w:hint="eastAsia"/>
          <w:b/>
          <w:color w:val="auto"/>
          <w:sz w:val="24"/>
          <w:highlight w:val="none"/>
        </w:rPr>
        <w:t>合同标的</w:t>
      </w:r>
    </w:p>
    <w:p>
      <w:pPr>
        <w:spacing w:line="360" w:lineRule="auto"/>
        <w:ind w:firstLine="470" w:firstLineChars="196"/>
        <w:rPr>
          <w:b/>
          <w:color w:val="auto"/>
          <w:sz w:val="24"/>
          <w:highlight w:val="none"/>
        </w:rPr>
      </w:pPr>
      <w:r>
        <w:rPr>
          <w:rFonts w:hint="eastAsia"/>
          <w:color w:val="auto"/>
          <w:sz w:val="24"/>
          <w:highlight w:val="none"/>
        </w:rPr>
        <w:t>甲方委托乙方按照本合同约定，为甲方提供</w:t>
      </w:r>
      <w:r>
        <w:rPr>
          <w:color w:val="auto"/>
          <w:highlight w:val="none"/>
          <w:u w:val="single"/>
        </w:rPr>
        <w:t xml:space="preserve">                </w:t>
      </w:r>
      <w:r>
        <w:rPr>
          <w:rFonts w:hint="eastAsia"/>
          <w:color w:val="auto"/>
          <w:sz w:val="24"/>
          <w:highlight w:val="none"/>
        </w:rPr>
        <w:t>服务。</w:t>
      </w:r>
    </w:p>
    <w:p>
      <w:pPr>
        <w:spacing w:line="360" w:lineRule="auto"/>
        <w:ind w:firstLine="482" w:firstLineChars="200"/>
        <w:rPr>
          <w:b/>
          <w:color w:val="auto"/>
          <w:sz w:val="24"/>
          <w:highlight w:val="none"/>
        </w:rPr>
      </w:pPr>
      <w:r>
        <w:rPr>
          <w:rFonts w:hint="eastAsia"/>
          <w:b/>
          <w:color w:val="auto"/>
          <w:sz w:val="24"/>
          <w:highlight w:val="none"/>
        </w:rPr>
        <w:t>二</w:t>
      </w:r>
      <w:r>
        <w:rPr>
          <w:b/>
          <w:color w:val="auto"/>
          <w:sz w:val="24"/>
          <w:highlight w:val="none"/>
        </w:rPr>
        <w:t>.合同金额</w:t>
      </w:r>
    </w:p>
    <w:p>
      <w:pPr>
        <w:spacing w:line="360" w:lineRule="auto"/>
        <w:ind w:firstLine="480" w:firstLineChars="200"/>
        <w:rPr>
          <w:color w:val="auto"/>
          <w:sz w:val="24"/>
          <w:highlight w:val="none"/>
        </w:rPr>
      </w:pPr>
      <w:r>
        <w:rPr>
          <w:rFonts w:hint="eastAsia"/>
          <w:color w:val="auto"/>
          <w:sz w:val="24"/>
          <w:highlight w:val="none"/>
        </w:rPr>
        <w:t>合同的总金额为人民币（大写）：</w:t>
      </w:r>
      <w:r>
        <w:rPr>
          <w:color w:val="auto"/>
          <w:sz w:val="24"/>
          <w:highlight w:val="none"/>
          <w:u w:val="single"/>
        </w:rPr>
        <w:t xml:space="preserve">       </w:t>
      </w:r>
      <w:r>
        <w:rPr>
          <w:rFonts w:hint="eastAsia"/>
          <w:color w:val="auto"/>
          <w:sz w:val="24"/>
          <w:highlight w:val="none"/>
        </w:rPr>
        <w:t>元，小写</w:t>
      </w:r>
      <w:r>
        <w:rPr>
          <w:color w:val="auto"/>
          <w:sz w:val="24"/>
          <w:highlight w:val="none"/>
        </w:rPr>
        <w:t xml:space="preserve">: </w:t>
      </w:r>
      <w:r>
        <w:rPr>
          <w:color w:val="auto"/>
          <w:sz w:val="24"/>
          <w:highlight w:val="none"/>
          <w:u w:val="single"/>
        </w:rPr>
        <w:t xml:space="preserve">        </w:t>
      </w:r>
      <w:r>
        <w:rPr>
          <w:rFonts w:hint="eastAsia"/>
          <w:color w:val="auto"/>
          <w:sz w:val="24"/>
          <w:highlight w:val="none"/>
        </w:rPr>
        <w:t>元。</w:t>
      </w:r>
    </w:p>
    <w:p>
      <w:pPr>
        <w:spacing w:line="360" w:lineRule="auto"/>
        <w:ind w:firstLine="482" w:firstLineChars="200"/>
        <w:rPr>
          <w:b/>
          <w:color w:val="auto"/>
          <w:sz w:val="24"/>
          <w:highlight w:val="none"/>
        </w:rPr>
      </w:pPr>
      <w:r>
        <w:rPr>
          <w:rFonts w:hint="eastAsia"/>
          <w:b/>
          <w:color w:val="auto"/>
          <w:sz w:val="24"/>
          <w:highlight w:val="none"/>
        </w:rPr>
        <w:t>三</w:t>
      </w:r>
      <w:r>
        <w:rPr>
          <w:b/>
          <w:color w:val="auto"/>
          <w:sz w:val="24"/>
          <w:highlight w:val="none"/>
        </w:rPr>
        <w:t>.付款条件</w:t>
      </w:r>
    </w:p>
    <w:p>
      <w:pPr>
        <w:spacing w:line="360" w:lineRule="auto"/>
        <w:ind w:firstLine="480" w:firstLineChars="200"/>
        <w:rPr>
          <w:rFonts w:hint="eastAsia"/>
          <w:color w:val="auto"/>
          <w:sz w:val="24"/>
          <w:highlight w:val="none"/>
        </w:rPr>
      </w:pPr>
      <w:r>
        <w:rPr>
          <w:rFonts w:hint="eastAsia"/>
          <w:color w:val="auto"/>
          <w:sz w:val="24"/>
          <w:highlight w:val="none"/>
        </w:rPr>
        <w:t>付款方式：分四次支付。第一次付款：提交效果评估方案后20日内，支付至合同价款的30%；第二次付款：市级验收时提交成果报告并通过专家评审后，支付至合同价款的75%；第三次付款：项目省级验收后，支付至合同价款的90%；第四次付款：验收通过后2年内提交综合成效评估报告，支付至合同价款的100%。四次付款均应提供有效发票。</w:t>
      </w:r>
    </w:p>
    <w:p>
      <w:pPr>
        <w:spacing w:line="360" w:lineRule="auto"/>
        <w:ind w:firstLine="482" w:firstLineChars="200"/>
        <w:rPr>
          <w:b/>
          <w:color w:val="auto"/>
          <w:sz w:val="24"/>
          <w:highlight w:val="none"/>
        </w:rPr>
      </w:pPr>
      <w:r>
        <w:rPr>
          <w:rFonts w:hint="eastAsia"/>
          <w:b/>
          <w:color w:val="auto"/>
          <w:sz w:val="24"/>
          <w:highlight w:val="none"/>
        </w:rPr>
        <w:t>四</w:t>
      </w:r>
      <w:r>
        <w:rPr>
          <w:b/>
          <w:color w:val="auto"/>
          <w:sz w:val="24"/>
          <w:highlight w:val="none"/>
        </w:rPr>
        <w:t>.</w:t>
      </w:r>
      <w:r>
        <w:rPr>
          <w:rFonts w:hint="eastAsia"/>
          <w:b/>
          <w:color w:val="auto"/>
          <w:sz w:val="24"/>
          <w:highlight w:val="none"/>
        </w:rPr>
        <w:t>服务期限</w:t>
      </w:r>
    </w:p>
    <w:p>
      <w:pPr>
        <w:spacing w:line="360" w:lineRule="auto"/>
        <w:ind w:firstLine="480" w:firstLineChars="200"/>
        <w:rPr>
          <w:color w:val="auto"/>
          <w:sz w:val="24"/>
          <w:highlight w:val="none"/>
          <w:u w:val="single"/>
        </w:rPr>
      </w:pPr>
      <w:r>
        <w:rPr>
          <w:rFonts w:hint="eastAsia"/>
          <w:color w:val="auto"/>
          <w:sz w:val="24"/>
          <w:highlight w:val="none"/>
        </w:rPr>
        <w:t>服务期限：</w:t>
      </w:r>
      <w:r>
        <w:rPr>
          <w:color w:val="auto"/>
          <w:sz w:val="24"/>
          <w:highlight w:val="none"/>
          <w:u w:val="single"/>
        </w:rPr>
        <w:t xml:space="preserve">                  </w:t>
      </w:r>
      <w:r>
        <w:rPr>
          <w:rFonts w:hint="eastAsia"/>
          <w:color w:val="auto"/>
          <w:sz w:val="24"/>
          <w:highlight w:val="none"/>
        </w:rPr>
        <w:t>，共计</w:t>
      </w:r>
      <w:r>
        <w:rPr>
          <w:color w:val="auto"/>
          <w:sz w:val="24"/>
          <w:highlight w:val="none"/>
          <w:u w:val="single"/>
        </w:rPr>
        <w:t xml:space="preserve">     </w:t>
      </w:r>
      <w:r>
        <w:rPr>
          <w:rFonts w:hint="eastAsia"/>
          <w:color w:val="auto"/>
          <w:sz w:val="24"/>
          <w:highlight w:val="none"/>
        </w:rPr>
        <w:t>日历天。</w:t>
      </w:r>
    </w:p>
    <w:p>
      <w:pPr>
        <w:spacing w:line="360" w:lineRule="auto"/>
        <w:ind w:firstLine="482" w:firstLineChars="200"/>
        <w:rPr>
          <w:b/>
          <w:color w:val="auto"/>
          <w:sz w:val="24"/>
          <w:highlight w:val="none"/>
        </w:rPr>
      </w:pPr>
      <w:r>
        <w:rPr>
          <w:rFonts w:hint="eastAsia"/>
          <w:b/>
          <w:color w:val="auto"/>
          <w:sz w:val="24"/>
          <w:highlight w:val="none"/>
        </w:rPr>
        <w:t>五</w:t>
      </w:r>
      <w:r>
        <w:rPr>
          <w:b/>
          <w:color w:val="auto"/>
          <w:sz w:val="24"/>
          <w:highlight w:val="none"/>
        </w:rPr>
        <w:t>.双方权利和义务</w:t>
      </w:r>
    </w:p>
    <w:p>
      <w:pPr>
        <w:pStyle w:val="23"/>
        <w:shd w:val="clear" w:color="auto" w:fill="FFFFFF"/>
        <w:spacing w:line="450" w:lineRule="atLeast"/>
        <w:ind w:right="300" w:firstLine="480" w:firstLineChars="200"/>
        <w:rPr>
          <w:color w:val="auto"/>
          <w:szCs w:val="32"/>
          <w:highlight w:val="none"/>
        </w:rPr>
      </w:pPr>
      <w:r>
        <w:rPr>
          <w:color w:val="auto"/>
          <w:szCs w:val="32"/>
          <w:highlight w:val="none"/>
        </w:rPr>
        <w:t>(一)甲方的权利和义务</w:t>
      </w:r>
    </w:p>
    <w:p>
      <w:pPr>
        <w:pStyle w:val="23"/>
        <w:shd w:val="clear" w:color="auto" w:fill="FFFFFF"/>
        <w:spacing w:line="450" w:lineRule="atLeast"/>
        <w:ind w:right="300" w:firstLine="480" w:firstLineChars="200"/>
        <w:rPr>
          <w:color w:val="auto"/>
          <w:szCs w:val="32"/>
          <w:highlight w:val="none"/>
        </w:rPr>
      </w:pPr>
      <w:r>
        <w:rPr>
          <w:color w:val="auto"/>
          <w:szCs w:val="32"/>
          <w:highlight w:val="none"/>
        </w:rPr>
        <w:t>1.甲方有权向乙方询问工作进展情况及相关的内容，有权阐述对具体问题的</w:t>
      </w:r>
      <w:r>
        <w:rPr>
          <w:color w:val="auto"/>
          <w:highlight w:val="none"/>
        </w:rPr>
        <w:fldChar w:fldCharType="begin"/>
      </w:r>
      <w:r>
        <w:rPr>
          <w:color w:val="auto"/>
          <w:highlight w:val="none"/>
        </w:rPr>
        <w:instrText xml:space="preserve"> HYPERLINK "http://www.xuexila.com/fanwen/yijian/" \t "_blank" </w:instrText>
      </w:r>
      <w:r>
        <w:rPr>
          <w:color w:val="auto"/>
          <w:highlight w:val="none"/>
        </w:rPr>
        <w:fldChar w:fldCharType="separate"/>
      </w:r>
      <w:r>
        <w:rPr>
          <w:rFonts w:hint="eastAsia"/>
          <w:color w:val="auto"/>
          <w:szCs w:val="32"/>
          <w:highlight w:val="none"/>
        </w:rPr>
        <w:t>意见</w:t>
      </w:r>
      <w:r>
        <w:rPr>
          <w:rFonts w:hint="eastAsia"/>
          <w:color w:val="auto"/>
          <w:szCs w:val="32"/>
          <w:highlight w:val="none"/>
        </w:rPr>
        <w:fldChar w:fldCharType="end"/>
      </w:r>
      <w:r>
        <w:rPr>
          <w:rFonts w:hint="eastAsia"/>
          <w:color w:val="auto"/>
          <w:szCs w:val="32"/>
          <w:highlight w:val="none"/>
        </w:rPr>
        <w:t>和建议。</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2.若乙方专业人员不按服务合同履行其职责，有权要求更换乙方专业人员，直至终止合同。</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3.配合乙方工作，向乙方提供相关资料，并保证所提供资料真实、准确、完整、有效。</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4.甲方应配合乙方现场访谈、勘察等事宜，并提供相关工作便利。</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5.甲方应承担保密义务，未经乙方许可，甲方不得向第三方提供(包括但不限于披露、转载等)乙方提交给甲方的任何材料、文件、和乙方网站所提供的资料，及其上述材料、文件、资料所包含的任何信息。</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 xml:space="preserve">6.依据本合同规定，向乙方支付服务费用 </w:t>
      </w:r>
      <w:r>
        <w:rPr>
          <w:rFonts w:hint="eastAsia"/>
          <w:color w:val="auto"/>
          <w:szCs w:val="32"/>
          <w:highlight w:val="none"/>
        </w:rPr>
        <w:t>。</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(二)乙方的权利和义务</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1.根据甲方服务需要，乙方有权了解相关情况。</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2.乙方在提供服务过程中有权要求甲方提供所需的资料。</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3.乙方在提供服务过程中有到现场访谈、勘察的权利。</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4.乙方在提供服务过程中有权对第三人提出的与本服务相关的问题进行核对和查问。</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5.乙方在我国现行法律、政策允许的范围内，遵循诚实、勤勉、尽职的原则，按合同约定为甲方提供服务。</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6.服务形式根据甲方需要而定，乙方可以为甲方提供书面的服务方案、建议、报告、信息服务等，也可以为甲方提供现场服务等形式的服务。</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7.乙方应承担保密义务，未经甲方许可，乙方不得向第三方提供(披露)甲方提交乙方使用的、乙方通过其他渠道无法获得且尚未进入公共信息领域的材料与文件。</w:t>
      </w:r>
    </w:p>
    <w:p>
      <w:pPr>
        <w:pStyle w:val="23"/>
        <w:shd w:val="clear" w:color="auto" w:fill="FFFFFF"/>
        <w:spacing w:line="450" w:lineRule="atLeast"/>
        <w:ind w:right="300"/>
        <w:rPr>
          <w:color w:val="auto"/>
          <w:szCs w:val="32"/>
          <w:highlight w:val="none"/>
        </w:rPr>
      </w:pPr>
      <w:r>
        <w:rPr>
          <w:rFonts w:hint="eastAsia"/>
          <w:color w:val="auto"/>
          <w:szCs w:val="32"/>
          <w:highlight w:val="none"/>
        </w:rPr>
        <w:t>　　</w:t>
      </w:r>
      <w:r>
        <w:rPr>
          <w:color w:val="auto"/>
          <w:szCs w:val="32"/>
          <w:highlight w:val="none"/>
        </w:rPr>
        <w:t>8.依据本合同约定，向甲方收取服务费用。</w:t>
      </w:r>
    </w:p>
    <w:p>
      <w:pPr>
        <w:spacing w:line="360" w:lineRule="auto"/>
        <w:ind w:firstLine="482" w:firstLineChars="200"/>
        <w:rPr>
          <w:b/>
          <w:color w:val="auto"/>
          <w:sz w:val="24"/>
          <w:highlight w:val="none"/>
        </w:rPr>
      </w:pPr>
      <w:r>
        <w:rPr>
          <w:rFonts w:hint="eastAsia"/>
          <w:b/>
          <w:color w:val="auto"/>
          <w:sz w:val="24"/>
          <w:highlight w:val="none"/>
        </w:rPr>
        <w:t>六</w:t>
      </w:r>
      <w:r>
        <w:rPr>
          <w:b/>
          <w:color w:val="auto"/>
          <w:sz w:val="24"/>
          <w:highlight w:val="none"/>
        </w:rPr>
        <w:t xml:space="preserve">. </w:t>
      </w:r>
      <w:r>
        <w:rPr>
          <w:rFonts w:hint="eastAsia"/>
          <w:b/>
          <w:color w:val="auto"/>
          <w:sz w:val="24"/>
          <w:highlight w:val="none"/>
        </w:rPr>
        <w:t>违约责任</w:t>
      </w:r>
    </w:p>
    <w:p>
      <w:pPr>
        <w:spacing w:line="360" w:lineRule="auto"/>
        <w:ind w:firstLine="480" w:firstLineChars="200"/>
        <w:rPr>
          <w:color w:val="auto"/>
          <w:sz w:val="24"/>
          <w:highlight w:val="none"/>
        </w:rPr>
      </w:pPr>
      <w:r>
        <w:rPr>
          <w:rFonts w:hint="eastAsia"/>
          <w:color w:val="auto"/>
          <w:sz w:val="24"/>
          <w:highlight w:val="none"/>
        </w:rPr>
        <w:t>（一）如果乙方未按照合同规定的要求提供服务或乙方在收到甲方对服务存在问题的通知后</w:t>
      </w:r>
      <w:r>
        <w:rPr>
          <w:color w:val="auto"/>
          <w:sz w:val="24"/>
          <w:highlight w:val="none"/>
        </w:rPr>
        <w:t>10日内或在乙方在签署整改意见书后10日内，没有整改或整改仍不符合甲方要求，甲方有权向乙方发出违约通知书，乙方应按照甲方选择的下列一种或多种方式承担赔偿责任：</w:t>
      </w:r>
    </w:p>
    <w:p>
      <w:pPr>
        <w:spacing w:line="360" w:lineRule="auto"/>
        <w:ind w:firstLine="480" w:firstLineChars="200"/>
        <w:rPr>
          <w:color w:val="auto"/>
          <w:sz w:val="24"/>
          <w:highlight w:val="none"/>
        </w:rPr>
      </w:pPr>
      <w:r>
        <w:rPr>
          <w:color w:val="auto"/>
          <w:sz w:val="24"/>
          <w:highlight w:val="none"/>
        </w:rPr>
        <w:t>1.在服务期限内因乙方管理或其它自身问题造成的服务期限内影响甲方正常工作，乙方承担由此给甲方造成的一切损失。</w:t>
      </w:r>
    </w:p>
    <w:p>
      <w:pPr>
        <w:spacing w:line="360" w:lineRule="auto"/>
        <w:ind w:firstLine="480" w:firstLineChars="200"/>
        <w:rPr>
          <w:color w:val="auto"/>
          <w:sz w:val="24"/>
          <w:highlight w:val="none"/>
        </w:rPr>
      </w:pPr>
      <w:r>
        <w:rPr>
          <w:color w:val="auto"/>
          <w:sz w:val="24"/>
          <w:highlight w:val="none"/>
        </w:rPr>
        <w:t>2.在甲方规定的服务期限内，按照合同约定的范围、内容、要求，乙方应承担由此发生的一切费用和风险。</w:t>
      </w:r>
    </w:p>
    <w:p>
      <w:pPr>
        <w:spacing w:line="360" w:lineRule="auto"/>
        <w:ind w:firstLine="480" w:firstLineChars="200"/>
        <w:rPr>
          <w:color w:val="auto"/>
          <w:sz w:val="24"/>
          <w:highlight w:val="none"/>
        </w:rPr>
      </w:pPr>
      <w:r>
        <w:rPr>
          <w:color w:val="auto"/>
          <w:sz w:val="24"/>
          <w:highlight w:val="none"/>
        </w:rPr>
        <w:t>3.根据甲方所遭受的损失，经双方商定降低标的的价格或赔偿甲方所遭受的损失。</w:t>
      </w:r>
    </w:p>
    <w:p>
      <w:pPr>
        <w:spacing w:line="360" w:lineRule="auto"/>
        <w:ind w:firstLine="480" w:firstLineChars="200"/>
        <w:rPr>
          <w:color w:val="auto"/>
          <w:sz w:val="24"/>
          <w:highlight w:val="none"/>
        </w:rPr>
      </w:pPr>
      <w:r>
        <w:rPr>
          <w:color w:val="auto"/>
          <w:sz w:val="24"/>
          <w:highlight w:val="none"/>
        </w:rPr>
        <w:t>4.因乙方原因不能提供约定服务的，甲方有权要求乙方在一定期限内解决，逾期未解决的且严重违约的，甲方有权提前解除合同。造成甲方经济损失的，乙方应给予经济赔偿。</w:t>
      </w:r>
    </w:p>
    <w:p>
      <w:pPr>
        <w:spacing w:line="360" w:lineRule="auto"/>
        <w:ind w:firstLine="480" w:firstLineChars="200"/>
        <w:rPr>
          <w:color w:val="auto"/>
          <w:sz w:val="24"/>
          <w:highlight w:val="none"/>
        </w:rPr>
      </w:pPr>
      <w:r>
        <w:rPr>
          <w:color w:val="auto"/>
          <w:sz w:val="24"/>
          <w:highlight w:val="none"/>
        </w:rPr>
        <w:t>5.乙方在服务期限内，由于管理、人为等因素造成的损失，经甲方认定后对乙方追究其责任，造成经济损失的，乙方应承担全部由此发生的一切费用及后果。</w:t>
      </w:r>
    </w:p>
    <w:p>
      <w:pPr>
        <w:spacing w:line="360" w:lineRule="auto"/>
        <w:ind w:firstLine="480" w:firstLineChars="200"/>
        <w:rPr>
          <w:color w:val="auto"/>
          <w:sz w:val="24"/>
          <w:highlight w:val="none"/>
        </w:rPr>
      </w:pPr>
      <w:r>
        <w:rPr>
          <w:color w:val="auto"/>
          <w:sz w:val="24"/>
          <w:highlight w:val="none"/>
        </w:rPr>
        <w:t>6.甲方有权部分或全部解除合同并要求乙方赔偿由此造成的损失。此时甲方可采取必要的补救措施，相关费用由乙方承担。</w:t>
      </w:r>
    </w:p>
    <w:p>
      <w:pPr>
        <w:spacing w:line="360" w:lineRule="auto"/>
        <w:ind w:firstLine="480" w:firstLineChars="200"/>
        <w:rPr>
          <w:color w:val="auto"/>
          <w:sz w:val="24"/>
          <w:highlight w:val="none"/>
        </w:rPr>
      </w:pPr>
      <w:r>
        <w:rPr>
          <w:rFonts w:hint="eastAsia"/>
          <w:color w:val="auto"/>
          <w:sz w:val="24"/>
          <w:highlight w:val="none"/>
        </w:rPr>
        <w:t>（二）如果乙方在收到甲方的违约通知书后</w:t>
      </w:r>
      <w:r>
        <w:rPr>
          <w:color w:val="auto"/>
          <w:sz w:val="24"/>
          <w:highlight w:val="none"/>
        </w:rPr>
        <w:t>10日内未作答复也没有按照甲方选择的方式承担违约责任，则甲方有权从尚未支付的合同价款中扣回索赔金额。如果这些金额不足以补偿，甲方有权向乙方提出不足部分的赔偿要求。</w:t>
      </w:r>
    </w:p>
    <w:p>
      <w:pPr>
        <w:spacing w:line="360" w:lineRule="auto"/>
        <w:ind w:firstLine="480" w:firstLineChars="200"/>
        <w:rPr>
          <w:color w:val="auto"/>
          <w:sz w:val="24"/>
          <w:highlight w:val="none"/>
        </w:rPr>
      </w:pPr>
      <w:r>
        <w:rPr>
          <w:rFonts w:hint="eastAsia"/>
          <w:color w:val="auto"/>
          <w:sz w:val="24"/>
          <w:highlight w:val="none"/>
        </w:rPr>
        <w:t>（三）服务延误的违约责任</w:t>
      </w:r>
    </w:p>
    <w:p>
      <w:pPr>
        <w:spacing w:line="360" w:lineRule="auto"/>
        <w:ind w:firstLine="480" w:firstLineChars="200"/>
        <w:rPr>
          <w:color w:val="auto"/>
          <w:sz w:val="24"/>
          <w:highlight w:val="none"/>
        </w:rPr>
      </w:pPr>
      <w:r>
        <w:rPr>
          <w:color w:val="auto"/>
          <w:sz w:val="24"/>
          <w:highlight w:val="none"/>
        </w:rPr>
        <w:t>1.乙方未按合同规定的服务期限向甲方提供服务时，则每逾期一日，乙方应按逾期交付标的价款总值的2%计算，向甲方支付逾期提供服务的违约金，但不超过合同总金额的10%。乙方支付逾期提供服务的违约金并不免除乙方违约的责任。</w:t>
      </w:r>
    </w:p>
    <w:p>
      <w:pPr>
        <w:spacing w:line="360" w:lineRule="auto"/>
        <w:ind w:firstLine="480" w:firstLineChars="200"/>
        <w:rPr>
          <w:color w:val="auto"/>
          <w:sz w:val="24"/>
          <w:highlight w:val="none"/>
        </w:rPr>
      </w:pPr>
      <w:r>
        <w:rPr>
          <w:color w:val="auto"/>
          <w:sz w:val="24"/>
          <w:highlight w:val="none"/>
        </w:rPr>
        <w:t>2.如乙方在合同规定的服务期限后10天内仍未能提供服务，则视为乙方不能提供服务，甲方有权解除合同，乙方除退还已收取的服务费用，还应向甲方偿付全部服务款10%的违约金。</w:t>
      </w:r>
    </w:p>
    <w:p>
      <w:pPr>
        <w:spacing w:line="360" w:lineRule="auto"/>
        <w:ind w:firstLine="480" w:firstLineChars="200"/>
        <w:rPr>
          <w:color w:val="auto"/>
          <w:sz w:val="24"/>
          <w:highlight w:val="none"/>
        </w:rPr>
      </w:pPr>
      <w:r>
        <w:rPr>
          <w:rFonts w:hint="eastAsia"/>
          <w:color w:val="auto"/>
          <w:sz w:val="24"/>
          <w:highlight w:val="none"/>
        </w:rPr>
        <w:t>（四）以上各项交付的违约金并不影响违约方履行合同的其他义务。</w:t>
      </w:r>
    </w:p>
    <w:p>
      <w:pPr>
        <w:spacing w:line="360" w:lineRule="auto"/>
        <w:ind w:firstLine="480" w:firstLineChars="200"/>
        <w:rPr>
          <w:color w:val="auto"/>
          <w:sz w:val="24"/>
          <w:highlight w:val="none"/>
        </w:rPr>
      </w:pPr>
      <w:r>
        <w:rPr>
          <w:rFonts w:hint="eastAsia"/>
          <w:color w:val="auto"/>
          <w:sz w:val="24"/>
          <w:highlight w:val="none"/>
        </w:rPr>
        <w:t>（五）因本合同产生的争议，双方应协商解决，如协商不成，应提交甲方所在地有管辖权的人民法院诉讼解决。</w:t>
      </w:r>
    </w:p>
    <w:p>
      <w:pPr>
        <w:widowControl/>
        <w:shd w:val="clear" w:color="auto" w:fill="FFFFFF"/>
        <w:tabs>
          <w:tab w:val="left" w:pos="420"/>
        </w:tabs>
        <w:spacing w:line="360" w:lineRule="auto"/>
        <w:ind w:firstLine="482" w:firstLineChars="200"/>
        <w:jc w:val="left"/>
        <w:outlineLvl w:val="0"/>
        <w:rPr>
          <w:b/>
          <w:color w:val="auto"/>
          <w:sz w:val="24"/>
          <w:highlight w:val="none"/>
        </w:rPr>
      </w:pPr>
      <w:bookmarkStart w:id="35" w:name="_Toc26018"/>
      <w:bookmarkEnd w:id="35"/>
      <w:bookmarkStart w:id="36" w:name="_Toc10926"/>
      <w:bookmarkEnd w:id="36"/>
      <w:bookmarkStart w:id="37" w:name="_Toc6970"/>
      <w:bookmarkEnd w:id="37"/>
      <w:bookmarkStart w:id="38" w:name="_Toc11512"/>
      <w:bookmarkEnd w:id="38"/>
      <w:bookmarkStart w:id="39" w:name="_Toc2434"/>
      <w:bookmarkEnd w:id="39"/>
      <w:bookmarkStart w:id="40" w:name="_Toc31673"/>
      <w:bookmarkEnd w:id="40"/>
      <w:r>
        <w:rPr>
          <w:rFonts w:hint="eastAsia"/>
          <w:b/>
          <w:color w:val="auto"/>
          <w:sz w:val="24"/>
          <w:highlight w:val="none"/>
        </w:rPr>
        <w:t>七、合同生效</w:t>
      </w:r>
    </w:p>
    <w:p>
      <w:pPr>
        <w:spacing w:line="360" w:lineRule="auto"/>
        <w:ind w:firstLine="480" w:firstLineChars="200"/>
        <w:rPr>
          <w:color w:val="auto"/>
          <w:sz w:val="24"/>
          <w:highlight w:val="none"/>
        </w:rPr>
      </w:pPr>
      <w:r>
        <w:rPr>
          <w:rFonts w:hint="eastAsia"/>
          <w:color w:val="auto"/>
          <w:sz w:val="24"/>
          <w:highlight w:val="none"/>
        </w:rPr>
        <w:t>本合同经双方法人代表或授权代表签字盖章后生效。</w:t>
      </w:r>
    </w:p>
    <w:p>
      <w:pPr>
        <w:spacing w:line="360" w:lineRule="auto"/>
        <w:ind w:firstLine="480" w:firstLineChars="200"/>
        <w:rPr>
          <w:color w:val="auto"/>
          <w:sz w:val="24"/>
          <w:highlight w:val="none"/>
        </w:rPr>
      </w:pPr>
      <w:r>
        <w:rPr>
          <w:rFonts w:hint="eastAsia"/>
          <w:color w:val="auto"/>
          <w:sz w:val="24"/>
          <w:highlight w:val="none"/>
        </w:rPr>
        <w:t>本合同一式四份，甲乙双方各二份。</w:t>
      </w:r>
    </w:p>
    <w:p>
      <w:pPr>
        <w:spacing w:line="360" w:lineRule="auto"/>
        <w:jc w:val="left"/>
        <w:rPr>
          <w:color w:val="auto"/>
          <w:sz w:val="24"/>
          <w:highlight w:val="none"/>
        </w:rPr>
      </w:pPr>
    </w:p>
    <w:p>
      <w:pPr>
        <w:spacing w:line="360" w:lineRule="auto"/>
        <w:jc w:val="left"/>
        <w:rPr>
          <w:color w:val="auto"/>
          <w:sz w:val="24"/>
          <w:highlight w:val="none"/>
        </w:rPr>
      </w:pPr>
      <w:r>
        <w:rPr>
          <w:rFonts w:hint="eastAsia"/>
          <w:color w:val="auto"/>
          <w:sz w:val="24"/>
          <w:highlight w:val="none"/>
        </w:rPr>
        <w:t>甲方（公章）</w:t>
      </w:r>
      <w:r>
        <w:rPr>
          <w:color w:val="auto"/>
          <w:sz w:val="24"/>
          <w:highlight w:val="none"/>
        </w:rPr>
        <w:t xml:space="preserve">:                           </w:t>
      </w:r>
      <w:r>
        <w:rPr>
          <w:rFonts w:hint="eastAsia"/>
          <w:color w:val="auto"/>
          <w:sz w:val="24"/>
          <w:highlight w:val="none"/>
        </w:rPr>
        <w:t>乙方</w:t>
      </w:r>
      <w:r>
        <w:rPr>
          <w:color w:val="auto"/>
          <w:sz w:val="24"/>
          <w:highlight w:val="none"/>
        </w:rPr>
        <w:t>(公章):</w:t>
      </w:r>
    </w:p>
    <w:p>
      <w:pPr>
        <w:spacing w:line="360" w:lineRule="auto"/>
        <w:jc w:val="left"/>
        <w:rPr>
          <w:color w:val="auto"/>
          <w:sz w:val="24"/>
          <w:highlight w:val="none"/>
        </w:rPr>
      </w:pPr>
      <w:r>
        <w:rPr>
          <w:rFonts w:hint="eastAsia"/>
          <w:color w:val="auto"/>
          <w:sz w:val="24"/>
          <w:highlight w:val="none"/>
        </w:rPr>
        <w:t>法定代表人</w:t>
      </w:r>
      <w:r>
        <w:rPr>
          <w:color w:val="auto"/>
          <w:sz w:val="24"/>
          <w:highlight w:val="none"/>
        </w:rPr>
        <w:t xml:space="preserve">(签字)：                      法定代表人(签字)：       </w:t>
      </w:r>
    </w:p>
    <w:p>
      <w:pPr>
        <w:spacing w:line="360" w:lineRule="auto"/>
        <w:jc w:val="left"/>
        <w:rPr>
          <w:color w:val="auto"/>
          <w:sz w:val="24"/>
          <w:highlight w:val="none"/>
        </w:rPr>
      </w:pPr>
      <w:r>
        <w:rPr>
          <w:rFonts w:hint="eastAsia"/>
          <w:color w:val="auto"/>
          <w:sz w:val="24"/>
          <w:highlight w:val="none"/>
        </w:rPr>
        <w:t>委托代理人</w:t>
      </w:r>
      <w:r>
        <w:rPr>
          <w:color w:val="auto"/>
          <w:sz w:val="24"/>
          <w:highlight w:val="none"/>
        </w:rPr>
        <w:t xml:space="preserve">(签字):                       </w:t>
      </w:r>
      <w:r>
        <w:rPr>
          <w:rFonts w:hint="eastAsia"/>
          <w:color w:val="auto"/>
          <w:sz w:val="24"/>
          <w:highlight w:val="none"/>
        </w:rPr>
        <w:t>委托代理人</w:t>
      </w:r>
      <w:r>
        <w:rPr>
          <w:color w:val="auto"/>
          <w:sz w:val="24"/>
          <w:highlight w:val="none"/>
        </w:rPr>
        <w:t>(签字):</w:t>
      </w:r>
    </w:p>
    <w:p>
      <w:pPr>
        <w:spacing w:line="360" w:lineRule="auto"/>
        <w:jc w:val="left"/>
        <w:rPr>
          <w:color w:val="auto"/>
          <w:sz w:val="24"/>
          <w:highlight w:val="none"/>
        </w:rPr>
      </w:pPr>
      <w:r>
        <w:rPr>
          <w:rFonts w:hint="eastAsia"/>
          <w:color w:val="auto"/>
          <w:sz w:val="24"/>
          <w:highlight w:val="none"/>
        </w:rPr>
        <w:t>联系电话：</w:t>
      </w:r>
      <w:r>
        <w:rPr>
          <w:color w:val="auto"/>
          <w:sz w:val="24"/>
          <w:highlight w:val="none"/>
        </w:rPr>
        <w:t xml:space="preserve">                              </w:t>
      </w:r>
      <w:r>
        <w:rPr>
          <w:rFonts w:hint="eastAsia"/>
          <w:color w:val="auto"/>
          <w:sz w:val="24"/>
          <w:highlight w:val="none"/>
        </w:rPr>
        <w:t>联系电话：</w:t>
      </w:r>
    </w:p>
    <w:p>
      <w:pPr>
        <w:spacing w:line="360" w:lineRule="auto"/>
        <w:jc w:val="left"/>
        <w:rPr>
          <w:color w:val="auto"/>
          <w:sz w:val="24"/>
          <w:highlight w:val="none"/>
        </w:rPr>
      </w:pPr>
      <w:r>
        <w:rPr>
          <w:rFonts w:hint="eastAsia"/>
          <w:color w:val="auto"/>
          <w:sz w:val="24"/>
          <w:highlight w:val="none"/>
        </w:rPr>
        <w:t>日期：</w:t>
      </w: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r>
        <w:rPr>
          <w:color w:val="auto"/>
          <w:sz w:val="24"/>
          <w:highlight w:val="none"/>
        </w:rPr>
        <w:t xml:space="preserve">                     </w:t>
      </w:r>
      <w:r>
        <w:rPr>
          <w:rFonts w:hint="eastAsia"/>
          <w:color w:val="auto"/>
          <w:sz w:val="24"/>
          <w:highlight w:val="none"/>
        </w:rPr>
        <w:t>开户行：</w:t>
      </w:r>
    </w:p>
    <w:p>
      <w:pPr>
        <w:spacing w:line="360" w:lineRule="auto"/>
        <w:jc w:val="left"/>
        <w:rPr>
          <w:color w:val="auto"/>
          <w:sz w:val="24"/>
          <w:highlight w:val="none"/>
        </w:rPr>
      </w:pPr>
      <w:r>
        <w:rPr>
          <w:color w:val="auto"/>
          <w:sz w:val="24"/>
          <w:highlight w:val="none"/>
        </w:rPr>
        <w:t xml:space="preserve">                                        账号：</w:t>
      </w:r>
    </w:p>
    <w:p>
      <w:pPr>
        <w:spacing w:line="360" w:lineRule="auto"/>
        <w:ind w:firstLine="480" w:firstLineChars="200"/>
        <w:jc w:val="left"/>
        <w:rPr>
          <w:color w:val="auto"/>
          <w:szCs w:val="21"/>
          <w:highlight w:val="none"/>
        </w:rPr>
      </w:pPr>
      <w:r>
        <w:rPr>
          <w:rFonts w:hint="eastAsia"/>
          <w:color w:val="auto"/>
          <w:sz w:val="24"/>
          <w:highlight w:val="none"/>
        </w:rPr>
        <w:t>日期：</w:t>
      </w: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pStyle w:val="3"/>
        <w:rPr>
          <w:rFonts w:ascii="Times New Roman" w:hAnsi="Times New Roman" w:eastAsia="宋体"/>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ind w:right="-1233" w:rightChars="-587"/>
        <w:rPr>
          <w:color w:val="auto"/>
          <w:sz w:val="20"/>
          <w:highlight w:val="none"/>
        </w:rPr>
        <w:sectPr>
          <w:headerReference r:id="rId10" w:type="first"/>
          <w:headerReference r:id="rId9" w:type="default"/>
          <w:footerReference r:id="rId11" w:type="default"/>
          <w:pgSz w:w="11906" w:h="16838"/>
          <w:pgMar w:top="1134" w:right="1091" w:bottom="1134" w:left="1418" w:header="454" w:footer="454" w:gutter="0"/>
          <w:cols w:space="720" w:num="1"/>
          <w:titlePg/>
          <w:docGrid w:linePitch="312" w:charSpace="0"/>
        </w:sectPr>
      </w:pPr>
      <w:r>
        <w:rPr>
          <w:color w:val="auto"/>
          <w:highlight w:val="none"/>
        </w:rPr>
        <w:br w:type="page"/>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color w:val="auto"/>
          <w:w w:val="90"/>
          <w:highlight w:val="none"/>
        </w:rPr>
      </w:pPr>
      <w:bookmarkStart w:id="41" w:name="_Toc22813"/>
      <w:bookmarkEnd w:id="41"/>
      <w:bookmarkStart w:id="42" w:name="_Toc350515653"/>
      <w:bookmarkEnd w:id="42"/>
      <w:bookmarkStart w:id="43" w:name="_Toc1908"/>
      <w:bookmarkEnd w:id="43"/>
      <w:r>
        <w:rPr>
          <w:color w:val="auto"/>
          <w:w w:val="90"/>
          <w:highlight w:val="none"/>
        </w:rPr>
        <w:tab/>
      </w:r>
      <w:r>
        <w:rPr>
          <w:color w:val="auto"/>
          <w:w w:val="90"/>
          <w:highlight w:val="none"/>
        </w:rPr>
        <w:t xml:space="preserve"> </w:t>
      </w:r>
      <w:r>
        <w:rPr>
          <w:rFonts w:hint="eastAsia"/>
          <w:color w:val="auto"/>
          <w:w w:val="90"/>
          <w:highlight w:val="none"/>
        </w:rPr>
        <w:t>项目情况及服务需求</w:t>
      </w:r>
    </w:p>
    <w:p>
      <w:pPr>
        <w:adjustRightInd w:val="0"/>
        <w:snapToGrid w:val="0"/>
        <w:spacing w:line="360" w:lineRule="auto"/>
        <w:jc w:val="center"/>
        <w:rPr>
          <w:color w:val="auto"/>
          <w:sz w:val="28"/>
          <w:szCs w:val="28"/>
          <w:highlight w:val="none"/>
        </w:rPr>
      </w:pPr>
      <w:r>
        <w:rPr>
          <w:b/>
          <w:color w:val="auto"/>
          <w:kern w:val="0"/>
          <w:highlight w:val="none"/>
        </w:rPr>
        <w:br w:type="page"/>
      </w:r>
      <w:r>
        <w:rPr>
          <w:rFonts w:hint="eastAsia"/>
          <w:color w:val="auto"/>
          <w:sz w:val="28"/>
          <w:szCs w:val="28"/>
          <w:highlight w:val="none"/>
        </w:rPr>
        <w:t>辽宁省营口市海洋生态保护修复工程</w:t>
      </w:r>
    </w:p>
    <w:p>
      <w:pPr>
        <w:adjustRightInd w:val="0"/>
        <w:snapToGrid w:val="0"/>
        <w:spacing w:line="360" w:lineRule="auto"/>
        <w:jc w:val="center"/>
        <w:rPr>
          <w:color w:val="auto"/>
          <w:sz w:val="28"/>
          <w:szCs w:val="28"/>
          <w:highlight w:val="none"/>
        </w:rPr>
      </w:pPr>
      <w:r>
        <w:rPr>
          <w:rFonts w:hint="eastAsia"/>
          <w:color w:val="auto"/>
          <w:sz w:val="28"/>
          <w:szCs w:val="28"/>
          <w:highlight w:val="none"/>
        </w:rPr>
        <w:t>项目基本情况</w:t>
      </w:r>
    </w:p>
    <w:p>
      <w:pPr>
        <w:adjustRightInd w:val="0"/>
        <w:snapToGrid w:val="0"/>
        <w:spacing w:line="360" w:lineRule="auto"/>
        <w:ind w:firstLine="560" w:firstLineChars="200"/>
        <w:jc w:val="left"/>
        <w:rPr>
          <w:color w:val="auto"/>
          <w:sz w:val="28"/>
          <w:szCs w:val="28"/>
          <w:highlight w:val="none"/>
        </w:rPr>
      </w:pPr>
      <w:r>
        <w:rPr>
          <w:rFonts w:hint="eastAsia"/>
          <w:color w:val="auto"/>
          <w:sz w:val="28"/>
          <w:szCs w:val="28"/>
          <w:highlight w:val="none"/>
        </w:rPr>
        <w:t>项目名称：辽宁省营口市海洋生态保护修复工程项目</w:t>
      </w:r>
    </w:p>
    <w:p>
      <w:pPr>
        <w:adjustRightInd w:val="0"/>
        <w:snapToGrid w:val="0"/>
        <w:spacing w:line="360" w:lineRule="auto"/>
        <w:ind w:firstLine="560" w:firstLineChars="200"/>
        <w:rPr>
          <w:color w:val="auto"/>
          <w:sz w:val="28"/>
          <w:szCs w:val="28"/>
          <w:highlight w:val="none"/>
        </w:rPr>
      </w:pPr>
      <w:r>
        <w:rPr>
          <w:rFonts w:hint="eastAsia"/>
          <w:color w:val="auto"/>
          <w:sz w:val="28"/>
          <w:szCs w:val="28"/>
          <w:highlight w:val="none"/>
        </w:rPr>
        <w:t>建设单位：营口市自然资源局</w:t>
      </w:r>
    </w:p>
    <w:p>
      <w:pPr>
        <w:adjustRightInd w:val="0"/>
        <w:snapToGrid w:val="0"/>
        <w:spacing w:line="360" w:lineRule="auto"/>
        <w:ind w:firstLine="560" w:firstLineChars="200"/>
        <w:rPr>
          <w:color w:val="auto"/>
          <w:sz w:val="28"/>
          <w:szCs w:val="28"/>
          <w:highlight w:val="none"/>
        </w:rPr>
      </w:pPr>
      <w:r>
        <w:rPr>
          <w:rFonts w:hint="eastAsia"/>
          <w:color w:val="auto"/>
          <w:sz w:val="28"/>
          <w:szCs w:val="28"/>
          <w:highlight w:val="none"/>
        </w:rPr>
        <w:t>建设地点：辽宁省营口市</w:t>
      </w:r>
    </w:p>
    <w:p>
      <w:pPr>
        <w:adjustRightInd w:val="0"/>
        <w:snapToGrid w:val="0"/>
        <w:spacing w:line="360" w:lineRule="auto"/>
        <w:ind w:firstLine="560" w:firstLineChars="200"/>
        <w:rPr>
          <w:color w:val="auto"/>
          <w:sz w:val="28"/>
          <w:szCs w:val="28"/>
          <w:highlight w:val="none"/>
        </w:rPr>
      </w:pPr>
      <w:r>
        <w:rPr>
          <w:rFonts w:hint="eastAsia"/>
          <w:color w:val="auto"/>
          <w:sz w:val="28"/>
          <w:szCs w:val="28"/>
          <w:highlight w:val="none"/>
        </w:rPr>
        <w:t>建设范围：北起大辽河口湿地，南至熊岳河口。围绕“一带、一滩、一湾”总体布局，拟开展大辽河口滨海湿地带保护修复、团山国家级自然保护地生态修复、月亮湾综合治理，实施滨海湿地保护修复、生态护岸建设、沙滩侵蚀修复、水动力环境改善、浒苔防治等保护修复措施。</w:t>
      </w:r>
    </w:p>
    <w:p>
      <w:pPr>
        <w:adjustRightInd w:val="0"/>
        <w:snapToGrid w:val="0"/>
        <w:spacing w:line="360" w:lineRule="auto"/>
        <w:ind w:firstLine="560" w:firstLineChars="200"/>
        <w:rPr>
          <w:color w:val="auto"/>
          <w:sz w:val="28"/>
          <w:szCs w:val="28"/>
          <w:highlight w:val="none"/>
        </w:rPr>
      </w:pPr>
      <w:r>
        <w:rPr>
          <w:rFonts w:hint="eastAsia"/>
          <w:color w:val="auto"/>
          <w:sz w:val="28"/>
          <w:szCs w:val="28"/>
          <w:highlight w:val="none"/>
        </w:rPr>
        <w:t>建设内容：“一带”为大辽河口滨海湿地带保护修复，以大辽河口盐沼湿地为主要保护修复对象，开展盐沼保育修复、生态护岸建设、水动力条件改善等措施，保护候鸟迁飞生态廊道重要节点，构建基于自然解决方案（</w:t>
      </w:r>
      <w:r>
        <w:rPr>
          <w:color w:val="auto"/>
          <w:sz w:val="28"/>
          <w:szCs w:val="28"/>
          <w:highlight w:val="none"/>
        </w:rPr>
        <w:t xml:space="preserve">NbS）的海岸带防灾减灾能力，巩固提升盐沼生态系统碳汇功能；“一滩”为团山国家级海洋自然保护地修复，通过沙滩修复、沙生植被种植、生态缓冲带建设，修复保护地受侵蚀自然岸线，提升团山国家级自然保护地整体生态功能；“一湾”为月亮湾综合治理，通过实施浒苔防治、熊岳河河口水动力改善、熊岳河滨海湿地修复等措施恢复海湾生态健康和陆海生态廊道。 </w:t>
      </w:r>
    </w:p>
    <w:p>
      <w:pPr>
        <w:adjustRightInd w:val="0"/>
        <w:snapToGrid w:val="0"/>
        <w:spacing w:line="360" w:lineRule="auto"/>
        <w:ind w:firstLine="560" w:firstLineChars="200"/>
        <w:jc w:val="left"/>
        <w:rPr>
          <w:color w:val="auto"/>
          <w:sz w:val="28"/>
          <w:szCs w:val="28"/>
          <w:highlight w:val="none"/>
        </w:rPr>
      </w:pPr>
      <w:r>
        <w:rPr>
          <w:rFonts w:hint="eastAsia"/>
          <w:color w:val="auto"/>
          <w:sz w:val="28"/>
          <w:szCs w:val="28"/>
          <w:highlight w:val="none"/>
        </w:rPr>
        <w:t>工程规模：本项目拟完成修复总面积</w:t>
      </w:r>
      <w:r>
        <w:rPr>
          <w:color w:val="auto"/>
          <w:sz w:val="28"/>
          <w:szCs w:val="28"/>
          <w:highlight w:val="none"/>
        </w:rPr>
        <w:t xml:space="preserve"> 1630.34ha,整治修复岸线长度 2951.90m，其中修复砂质岸线 1287m、生态护岸 1664.90m；整治修复滨海湿地面积1555.22ha，其中保育和种植盐沼植被面积269.69ha、浒苔防治面积1006.83ha。</w:t>
      </w:r>
    </w:p>
    <w:p>
      <w:pPr>
        <w:pStyle w:val="33"/>
        <w:widowControl/>
        <w:adjustRightInd w:val="0"/>
        <w:snapToGrid w:val="0"/>
        <w:spacing w:line="360" w:lineRule="auto"/>
        <w:ind w:firstLine="560"/>
        <w:jc w:val="left"/>
        <w:rPr>
          <w:color w:val="auto"/>
          <w:sz w:val="28"/>
          <w:szCs w:val="28"/>
          <w:highlight w:val="none"/>
        </w:rPr>
      </w:pPr>
      <w:r>
        <w:rPr>
          <w:rFonts w:hint="eastAsia"/>
          <w:color w:val="auto"/>
          <w:sz w:val="28"/>
          <w:szCs w:val="28"/>
          <w:highlight w:val="none"/>
        </w:rPr>
        <w:t>招标范围：本项目拟完成修复总面积</w:t>
      </w:r>
      <w:r>
        <w:rPr>
          <w:color w:val="auto"/>
          <w:sz w:val="28"/>
          <w:szCs w:val="28"/>
          <w:highlight w:val="none"/>
        </w:rPr>
        <w:t xml:space="preserve"> 1630.34ha,整治修复岸线长度 2951.90m，其中修复砂质岸线 1287m、生态护岸 1664.90m；整治修复滨海湿地面积1555.22ha，其中保育和种植盐沼植被面积269.69ha、浒苔防治面积1006.83ha。针对上述内容拟委托1家服务机构提供</w:t>
      </w:r>
      <w:r>
        <w:rPr>
          <w:rFonts w:hint="eastAsia"/>
          <w:color w:val="auto"/>
          <w:sz w:val="28"/>
          <w:szCs w:val="28"/>
          <w:highlight w:val="none"/>
        </w:rPr>
        <w:t>生态修复效果与减灾功能评估</w:t>
      </w:r>
      <w:r>
        <w:rPr>
          <w:color w:val="auto"/>
          <w:sz w:val="28"/>
          <w:szCs w:val="28"/>
          <w:highlight w:val="none"/>
        </w:rPr>
        <w:t>服务。（服务内容包括但不限于资料收集和整理、项目过程实施、成果编制及提交审核、修改及复核、资料归档、过程技术咨询及根据招标人对项目的要求所进行的其他工作。所编制的成果报告须遵照法规及规范要求）。</w:t>
      </w:r>
    </w:p>
    <w:p>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评估要求</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lang w:eastAsia="zh-CN"/>
        </w:rPr>
        <w:t>（</w:t>
      </w:r>
      <w:r>
        <w:rPr>
          <w:rFonts w:hint="eastAsia"/>
          <w:color w:val="auto"/>
          <w:sz w:val="28"/>
          <w:szCs w:val="28"/>
          <w:highlight w:val="none"/>
        </w:rPr>
        <w:t>1）评估</w:t>
      </w:r>
      <w:r>
        <w:rPr>
          <w:rFonts w:hint="eastAsia"/>
          <w:color w:val="auto"/>
          <w:sz w:val="28"/>
          <w:szCs w:val="28"/>
          <w:highlight w:val="none"/>
          <w:lang w:val="en-US" w:eastAsia="zh-CN"/>
        </w:rPr>
        <w:t>工作</w:t>
      </w:r>
      <w:r>
        <w:rPr>
          <w:rFonts w:hint="eastAsia"/>
          <w:color w:val="auto"/>
          <w:sz w:val="28"/>
          <w:szCs w:val="28"/>
          <w:highlight w:val="none"/>
        </w:rPr>
        <w:t>方案编制</w:t>
      </w:r>
    </w:p>
    <w:p>
      <w:pPr>
        <w:spacing w:line="360" w:lineRule="auto"/>
        <w:ind w:firstLine="560" w:firstLineChars="200"/>
        <w:rPr>
          <w:color w:val="auto"/>
          <w:sz w:val="28"/>
          <w:szCs w:val="28"/>
          <w:highlight w:val="none"/>
        </w:rPr>
      </w:pPr>
      <w:r>
        <w:rPr>
          <w:rFonts w:hint="eastAsia"/>
          <w:color w:val="auto"/>
          <w:sz w:val="28"/>
          <w:szCs w:val="28"/>
          <w:highlight w:val="none"/>
        </w:rPr>
        <w:t>根据《海洋生态保护修复项目监管工作指南（试行）》（自然资办发〔2023〕24</w:t>
      </w:r>
      <w:r>
        <w:rPr>
          <w:color w:val="auto"/>
          <w:sz w:val="28"/>
          <w:szCs w:val="28"/>
          <w:highlight w:val="none"/>
        </w:rPr>
        <w:t xml:space="preserve"> </w:t>
      </w:r>
      <w:r>
        <w:rPr>
          <w:rFonts w:hint="eastAsia"/>
          <w:color w:val="auto"/>
          <w:sz w:val="28"/>
          <w:szCs w:val="28"/>
          <w:highlight w:val="none"/>
        </w:rPr>
        <w:t>号）《海洋生态修复技术指南（试行）》（自然资办函〔2021〕1214号）等文件要求，在项目实施前，按照海洋生态修复相关技术标准规范，围绕项目绩效目标和实施方案等具体要求编制效果评估</w:t>
      </w:r>
      <w:r>
        <w:rPr>
          <w:rFonts w:hint="eastAsia"/>
          <w:color w:val="auto"/>
          <w:sz w:val="28"/>
          <w:szCs w:val="28"/>
          <w:highlight w:val="none"/>
          <w:lang w:val="en-US" w:eastAsia="zh-CN"/>
        </w:rPr>
        <w:t>工作</w:t>
      </w:r>
      <w:r>
        <w:rPr>
          <w:rFonts w:hint="eastAsia"/>
          <w:color w:val="auto"/>
          <w:sz w:val="28"/>
          <w:szCs w:val="28"/>
          <w:highlight w:val="none"/>
        </w:rPr>
        <w:t>方案，确定效果评估指标和内容。</w:t>
      </w:r>
    </w:p>
    <w:p>
      <w:pPr>
        <w:spacing w:line="360" w:lineRule="auto"/>
        <w:ind w:firstLine="560" w:firstLineChars="200"/>
        <w:rPr>
          <w:rFonts w:hint="default" w:eastAsia="宋体"/>
          <w:color w:val="auto"/>
          <w:sz w:val="28"/>
          <w:szCs w:val="28"/>
          <w:highlight w:val="none"/>
          <w:lang w:val="en-US" w:eastAsia="zh-CN"/>
        </w:rPr>
      </w:pPr>
      <w:r>
        <w:rPr>
          <w:rFonts w:hint="eastAsia"/>
          <w:color w:val="auto"/>
          <w:sz w:val="28"/>
          <w:szCs w:val="28"/>
          <w:highlight w:val="none"/>
          <w:lang w:eastAsia="zh-CN"/>
        </w:rPr>
        <w:t>（</w:t>
      </w:r>
      <w:r>
        <w:rPr>
          <w:color w:val="auto"/>
          <w:sz w:val="28"/>
          <w:szCs w:val="28"/>
          <w:highlight w:val="none"/>
        </w:rPr>
        <w:t>2</w:t>
      </w:r>
      <w:r>
        <w:rPr>
          <w:rFonts w:hint="eastAsia"/>
          <w:color w:val="auto"/>
          <w:sz w:val="28"/>
          <w:szCs w:val="28"/>
          <w:highlight w:val="none"/>
        </w:rPr>
        <w:t>）资料收集</w:t>
      </w:r>
      <w:r>
        <w:rPr>
          <w:rFonts w:hint="eastAsia"/>
          <w:color w:val="auto"/>
          <w:sz w:val="28"/>
          <w:szCs w:val="28"/>
          <w:highlight w:val="none"/>
          <w:lang w:val="en-US" w:eastAsia="zh-CN"/>
        </w:rPr>
        <w:t>和补充调查</w:t>
      </w:r>
    </w:p>
    <w:p>
      <w:pPr>
        <w:spacing w:line="360" w:lineRule="auto"/>
        <w:ind w:firstLine="560" w:firstLineChars="200"/>
        <w:rPr>
          <w:color w:val="auto"/>
          <w:sz w:val="28"/>
          <w:szCs w:val="28"/>
          <w:highlight w:val="none"/>
        </w:rPr>
      </w:pPr>
      <w:r>
        <w:rPr>
          <w:rFonts w:hint="eastAsia"/>
          <w:color w:val="auto"/>
          <w:sz w:val="28"/>
          <w:szCs w:val="28"/>
          <w:highlight w:val="none"/>
        </w:rPr>
        <w:t>收集项目修复前、</w:t>
      </w:r>
      <w:r>
        <w:rPr>
          <w:rFonts w:hint="eastAsia"/>
          <w:color w:val="auto"/>
          <w:sz w:val="28"/>
          <w:szCs w:val="28"/>
          <w:highlight w:val="none"/>
          <w:lang w:val="en-US" w:eastAsia="zh-CN"/>
        </w:rPr>
        <w:t>实施中、实施</w:t>
      </w:r>
      <w:r>
        <w:rPr>
          <w:rFonts w:hint="eastAsia"/>
          <w:color w:val="auto"/>
          <w:sz w:val="28"/>
          <w:szCs w:val="28"/>
          <w:highlight w:val="none"/>
        </w:rPr>
        <w:t>后生态监测成果及</w:t>
      </w:r>
      <w:r>
        <w:rPr>
          <w:rFonts w:hint="eastAsia"/>
          <w:color w:val="auto"/>
          <w:sz w:val="28"/>
          <w:szCs w:val="28"/>
          <w:highlight w:val="none"/>
          <w:lang w:val="en-US" w:eastAsia="zh-CN"/>
        </w:rPr>
        <w:t>其他</w:t>
      </w:r>
      <w:r>
        <w:rPr>
          <w:rFonts w:hint="eastAsia"/>
          <w:color w:val="auto"/>
          <w:sz w:val="28"/>
          <w:szCs w:val="28"/>
          <w:highlight w:val="none"/>
        </w:rPr>
        <w:t>调查</w:t>
      </w:r>
      <w:r>
        <w:rPr>
          <w:rFonts w:hint="eastAsia"/>
          <w:color w:val="auto"/>
          <w:sz w:val="28"/>
          <w:szCs w:val="28"/>
          <w:highlight w:val="none"/>
          <w:lang w:val="en-US" w:eastAsia="zh-CN"/>
        </w:rPr>
        <w:t>资料</w:t>
      </w:r>
      <w:r>
        <w:rPr>
          <w:rFonts w:hint="eastAsia"/>
          <w:color w:val="auto"/>
          <w:sz w:val="28"/>
          <w:szCs w:val="28"/>
          <w:highlight w:val="none"/>
        </w:rPr>
        <w:t>，</w:t>
      </w:r>
      <w:r>
        <w:rPr>
          <w:rFonts w:hint="eastAsia"/>
          <w:color w:val="auto"/>
          <w:sz w:val="28"/>
          <w:szCs w:val="28"/>
          <w:highlight w:val="none"/>
          <w:lang w:val="en-US" w:eastAsia="zh-CN"/>
        </w:rPr>
        <w:t>开展补充调查。</w:t>
      </w:r>
      <w:r>
        <w:rPr>
          <w:rFonts w:hint="eastAsia"/>
          <w:color w:val="auto"/>
          <w:sz w:val="28"/>
          <w:szCs w:val="28"/>
          <w:highlight w:val="none"/>
        </w:rPr>
        <w:t>根据效果评估有关要求，与跟踪监测单位做好衔接，</w:t>
      </w:r>
      <w:r>
        <w:rPr>
          <w:rFonts w:hint="eastAsia"/>
          <w:color w:val="auto"/>
          <w:sz w:val="28"/>
          <w:szCs w:val="28"/>
          <w:highlight w:val="none"/>
          <w:lang w:val="en-US" w:eastAsia="zh-CN"/>
        </w:rPr>
        <w:t>开展专题评估，</w:t>
      </w:r>
      <w:r>
        <w:rPr>
          <w:rFonts w:hint="eastAsia"/>
          <w:color w:val="auto"/>
          <w:sz w:val="28"/>
          <w:szCs w:val="28"/>
          <w:highlight w:val="none"/>
        </w:rPr>
        <w:t>在项目完工后验收前开展</w:t>
      </w:r>
      <w:r>
        <w:rPr>
          <w:rFonts w:hint="eastAsia"/>
          <w:color w:val="auto"/>
          <w:sz w:val="28"/>
          <w:szCs w:val="28"/>
          <w:highlight w:val="none"/>
          <w:lang w:val="en-US" w:eastAsia="zh-CN"/>
        </w:rPr>
        <w:t>综合成效</w:t>
      </w:r>
      <w:r>
        <w:rPr>
          <w:rFonts w:hint="eastAsia"/>
          <w:color w:val="auto"/>
          <w:sz w:val="28"/>
          <w:szCs w:val="28"/>
          <w:highlight w:val="none"/>
        </w:rPr>
        <w:t>评估并编制</w:t>
      </w:r>
      <w:r>
        <w:rPr>
          <w:rFonts w:hint="eastAsia"/>
          <w:color w:val="auto"/>
          <w:sz w:val="28"/>
          <w:szCs w:val="28"/>
          <w:highlight w:val="none"/>
          <w:lang w:val="en-US" w:eastAsia="zh-CN"/>
        </w:rPr>
        <w:t>成效</w:t>
      </w:r>
      <w:r>
        <w:rPr>
          <w:rFonts w:hint="eastAsia"/>
          <w:color w:val="auto"/>
          <w:sz w:val="28"/>
          <w:szCs w:val="28"/>
          <w:highlight w:val="none"/>
        </w:rPr>
        <w:t>评估报告，在项目验收</w:t>
      </w:r>
      <w:r>
        <w:rPr>
          <w:rFonts w:hint="eastAsia"/>
          <w:color w:val="auto"/>
          <w:sz w:val="28"/>
          <w:szCs w:val="28"/>
          <w:highlight w:val="none"/>
          <w:lang w:val="en-US" w:eastAsia="zh-CN"/>
        </w:rPr>
        <w:t>后2年内</w:t>
      </w:r>
      <w:r>
        <w:rPr>
          <w:rFonts w:hint="eastAsia"/>
          <w:color w:val="auto"/>
          <w:sz w:val="28"/>
          <w:szCs w:val="28"/>
          <w:highlight w:val="none"/>
        </w:rPr>
        <w:t>开展</w:t>
      </w:r>
      <w:r>
        <w:rPr>
          <w:rFonts w:hint="eastAsia"/>
          <w:color w:val="auto"/>
          <w:sz w:val="28"/>
          <w:szCs w:val="28"/>
          <w:highlight w:val="none"/>
          <w:lang w:val="en-US" w:eastAsia="zh-CN"/>
        </w:rPr>
        <w:t>综合成效评估</w:t>
      </w:r>
      <w:r>
        <w:rPr>
          <w:rFonts w:hint="eastAsia"/>
          <w:color w:val="auto"/>
          <w:sz w:val="28"/>
          <w:szCs w:val="28"/>
          <w:highlight w:val="none"/>
          <w:lang w:eastAsia="zh-CN"/>
        </w:rPr>
        <w:t>，</w:t>
      </w:r>
      <w:r>
        <w:rPr>
          <w:rFonts w:hint="eastAsia"/>
          <w:color w:val="auto"/>
          <w:sz w:val="28"/>
          <w:szCs w:val="28"/>
          <w:highlight w:val="none"/>
        </w:rPr>
        <w:t>保障生态修复项目系统功能和性能实现。</w:t>
      </w:r>
    </w:p>
    <w:p>
      <w:pPr>
        <w:spacing w:line="360" w:lineRule="auto"/>
        <w:ind w:firstLine="560" w:firstLineChars="200"/>
        <w:rPr>
          <w:color w:val="auto"/>
          <w:sz w:val="28"/>
          <w:szCs w:val="28"/>
          <w:highlight w:val="none"/>
        </w:rPr>
      </w:pPr>
      <w:r>
        <w:rPr>
          <w:rFonts w:hint="eastAsia"/>
          <w:color w:val="auto"/>
          <w:sz w:val="28"/>
          <w:szCs w:val="28"/>
          <w:highlight w:val="none"/>
          <w:lang w:eastAsia="zh-CN"/>
        </w:rPr>
        <w:t>（</w:t>
      </w:r>
      <w:r>
        <w:rPr>
          <w:color w:val="auto"/>
          <w:sz w:val="28"/>
          <w:szCs w:val="28"/>
          <w:highlight w:val="none"/>
        </w:rPr>
        <w:t>3</w:t>
      </w:r>
      <w:r>
        <w:rPr>
          <w:rFonts w:hint="eastAsia"/>
          <w:color w:val="auto"/>
          <w:sz w:val="28"/>
          <w:szCs w:val="28"/>
          <w:highlight w:val="none"/>
        </w:rPr>
        <w:t>）构建评估内容和方法</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根据项目实际情况，本项目效果评估分为</w:t>
      </w:r>
      <w:r>
        <w:rPr>
          <w:rFonts w:hint="eastAsia"/>
          <w:color w:val="auto"/>
          <w:sz w:val="28"/>
          <w:szCs w:val="28"/>
          <w:highlight w:val="none"/>
          <w:lang w:val="en-US" w:eastAsia="zh-CN"/>
        </w:rPr>
        <w:t>专项评估、</w:t>
      </w:r>
      <w:r>
        <w:rPr>
          <w:rFonts w:hint="eastAsia"/>
          <w:color w:val="auto"/>
          <w:sz w:val="28"/>
          <w:szCs w:val="28"/>
          <w:highlight w:val="none"/>
        </w:rPr>
        <w:t>绩效指标完成情况评估及</w:t>
      </w:r>
      <w:r>
        <w:rPr>
          <w:rFonts w:hint="eastAsia"/>
          <w:color w:val="auto"/>
          <w:sz w:val="28"/>
          <w:szCs w:val="28"/>
          <w:highlight w:val="none"/>
          <w:lang w:val="en-US" w:eastAsia="zh-CN"/>
        </w:rPr>
        <w:t>综合成效</w:t>
      </w:r>
      <w:r>
        <w:rPr>
          <w:rFonts w:hint="eastAsia"/>
          <w:color w:val="auto"/>
          <w:sz w:val="28"/>
          <w:szCs w:val="28"/>
          <w:highlight w:val="none"/>
        </w:rPr>
        <w:t>评估，绩效指标完成情况评估指根据项目批复的绩效指标，对比各指标实际完成情况开展评估；生态修复</w:t>
      </w:r>
      <w:r>
        <w:rPr>
          <w:rFonts w:hint="eastAsia"/>
          <w:color w:val="auto"/>
          <w:sz w:val="28"/>
          <w:szCs w:val="28"/>
          <w:highlight w:val="none"/>
          <w:lang w:val="en-US" w:eastAsia="zh-CN"/>
        </w:rPr>
        <w:t>成效</w:t>
      </w:r>
      <w:r>
        <w:rPr>
          <w:rFonts w:hint="eastAsia"/>
          <w:color w:val="auto"/>
          <w:sz w:val="28"/>
          <w:szCs w:val="28"/>
          <w:highlight w:val="none"/>
        </w:rPr>
        <w:t>评估通过构建评价指标体系，收集工程实施前</w:t>
      </w:r>
      <w:r>
        <w:rPr>
          <w:rFonts w:hint="eastAsia"/>
          <w:color w:val="auto"/>
          <w:sz w:val="28"/>
          <w:szCs w:val="28"/>
          <w:highlight w:val="none"/>
          <w:lang w:eastAsia="zh-CN"/>
        </w:rPr>
        <w:t>、</w:t>
      </w:r>
      <w:r>
        <w:rPr>
          <w:rFonts w:hint="eastAsia"/>
          <w:color w:val="auto"/>
          <w:sz w:val="28"/>
          <w:szCs w:val="28"/>
          <w:highlight w:val="none"/>
          <w:lang w:val="en-US" w:eastAsia="zh-CN"/>
        </w:rPr>
        <w:t>中、</w:t>
      </w:r>
      <w:r>
        <w:rPr>
          <w:rFonts w:hint="eastAsia"/>
          <w:color w:val="auto"/>
          <w:sz w:val="28"/>
          <w:szCs w:val="28"/>
          <w:highlight w:val="none"/>
        </w:rPr>
        <w:t>后的具体监测指标参数，运用定性与定量相结合的方法，评估工程实施的</w:t>
      </w:r>
      <w:r>
        <w:rPr>
          <w:rFonts w:hint="eastAsia"/>
          <w:color w:val="auto"/>
          <w:sz w:val="28"/>
          <w:szCs w:val="28"/>
          <w:highlight w:val="none"/>
          <w:lang w:val="en-US" w:eastAsia="zh-CN"/>
        </w:rPr>
        <w:t>社会、经济、</w:t>
      </w:r>
      <w:r>
        <w:rPr>
          <w:rFonts w:hint="eastAsia"/>
          <w:color w:val="auto"/>
          <w:sz w:val="28"/>
          <w:szCs w:val="28"/>
          <w:highlight w:val="none"/>
        </w:rPr>
        <w:t>生态效益。</w:t>
      </w:r>
    </w:p>
    <w:p>
      <w:pPr>
        <w:spacing w:line="360" w:lineRule="auto"/>
        <w:ind w:firstLine="560" w:firstLineChars="200"/>
        <w:rPr>
          <w:rFonts w:hint="default" w:eastAsia="宋体"/>
          <w:color w:val="auto"/>
          <w:sz w:val="28"/>
          <w:szCs w:val="28"/>
          <w:highlight w:val="none"/>
          <w:lang w:val="en-US" w:eastAsia="zh-CN"/>
        </w:rPr>
      </w:pPr>
      <w:r>
        <w:rPr>
          <w:rFonts w:hint="eastAsia"/>
          <w:color w:val="auto"/>
          <w:sz w:val="28"/>
          <w:szCs w:val="28"/>
          <w:highlight w:val="none"/>
          <w:lang w:val="en-US" w:eastAsia="zh-CN"/>
        </w:rPr>
        <w:t>建立适用于辽宁省涉及的海洋修复生态系统类型的评价方法及指标体系。</w:t>
      </w:r>
    </w:p>
    <w:p>
      <w:pPr>
        <w:spacing w:line="360" w:lineRule="auto"/>
        <w:ind w:firstLine="560" w:firstLineChars="200"/>
        <w:rPr>
          <w:color w:val="auto"/>
          <w:sz w:val="28"/>
          <w:szCs w:val="28"/>
          <w:highlight w:val="none"/>
        </w:rPr>
      </w:pPr>
      <w:r>
        <w:rPr>
          <w:rFonts w:hint="eastAsia"/>
          <w:color w:val="auto"/>
          <w:sz w:val="28"/>
          <w:szCs w:val="28"/>
          <w:highlight w:val="none"/>
          <w:lang w:eastAsia="zh-CN"/>
        </w:rPr>
        <w:t>（</w:t>
      </w:r>
      <w:r>
        <w:rPr>
          <w:color w:val="auto"/>
          <w:sz w:val="28"/>
          <w:szCs w:val="28"/>
          <w:highlight w:val="none"/>
        </w:rPr>
        <w:t>4</w:t>
      </w:r>
      <w:r>
        <w:rPr>
          <w:rFonts w:hint="eastAsia"/>
          <w:color w:val="auto"/>
          <w:sz w:val="28"/>
          <w:szCs w:val="28"/>
          <w:highlight w:val="none"/>
        </w:rPr>
        <w:t>）</w:t>
      </w:r>
      <w:r>
        <w:rPr>
          <w:rFonts w:hint="eastAsia"/>
          <w:color w:val="auto"/>
          <w:sz w:val="28"/>
          <w:szCs w:val="28"/>
          <w:highlight w:val="none"/>
          <w:lang w:val="en-US" w:eastAsia="zh-CN"/>
        </w:rPr>
        <w:t>成效</w:t>
      </w:r>
      <w:r>
        <w:rPr>
          <w:rFonts w:hint="eastAsia"/>
          <w:color w:val="auto"/>
          <w:sz w:val="28"/>
          <w:szCs w:val="28"/>
          <w:highlight w:val="none"/>
        </w:rPr>
        <w:t>评估</w:t>
      </w:r>
    </w:p>
    <w:p>
      <w:pPr>
        <w:pStyle w:val="33"/>
        <w:widowControl/>
        <w:adjustRightInd w:val="0"/>
        <w:snapToGrid w:val="0"/>
        <w:spacing w:line="360" w:lineRule="auto"/>
        <w:ind w:firstLine="560"/>
        <w:jc w:val="left"/>
        <w:rPr>
          <w:rFonts w:hint="eastAsia" w:eastAsia="宋体"/>
          <w:color w:val="auto"/>
          <w:sz w:val="28"/>
          <w:szCs w:val="28"/>
          <w:highlight w:val="none"/>
          <w:lang w:eastAsia="zh-CN"/>
        </w:rPr>
      </w:pPr>
      <w:r>
        <w:rPr>
          <w:rFonts w:hint="eastAsia"/>
          <w:color w:val="auto"/>
          <w:sz w:val="28"/>
          <w:szCs w:val="28"/>
          <w:highlight w:val="none"/>
        </w:rPr>
        <w:t>项目实施前</w:t>
      </w:r>
      <w:r>
        <w:rPr>
          <w:rFonts w:hint="eastAsia"/>
          <w:color w:val="auto"/>
          <w:sz w:val="28"/>
          <w:szCs w:val="28"/>
          <w:highlight w:val="none"/>
          <w:lang w:eastAsia="zh-CN"/>
        </w:rPr>
        <w:t>、</w:t>
      </w:r>
      <w:r>
        <w:rPr>
          <w:rFonts w:hint="eastAsia"/>
          <w:color w:val="auto"/>
          <w:sz w:val="28"/>
          <w:szCs w:val="28"/>
          <w:highlight w:val="none"/>
          <w:lang w:val="en-US" w:eastAsia="zh-CN"/>
        </w:rPr>
        <w:t>中、</w:t>
      </w:r>
      <w:r>
        <w:rPr>
          <w:rFonts w:hint="eastAsia"/>
          <w:color w:val="auto"/>
          <w:sz w:val="28"/>
          <w:szCs w:val="28"/>
          <w:highlight w:val="none"/>
        </w:rPr>
        <w:t>后生态环境改善状况，通过评估近岸环境质量、</w:t>
      </w:r>
      <w:r>
        <w:rPr>
          <w:rFonts w:hint="eastAsia"/>
          <w:color w:val="auto"/>
          <w:sz w:val="28"/>
          <w:szCs w:val="28"/>
          <w:highlight w:val="none"/>
          <w:lang w:val="en-US" w:eastAsia="zh-CN"/>
        </w:rPr>
        <w:t>生态系统碳汇</w:t>
      </w:r>
      <w:r>
        <w:rPr>
          <w:rFonts w:hint="eastAsia"/>
          <w:color w:val="auto"/>
          <w:sz w:val="28"/>
          <w:szCs w:val="28"/>
          <w:highlight w:val="none"/>
        </w:rPr>
        <w:t>、生物多样性</w:t>
      </w:r>
      <w:r>
        <w:rPr>
          <w:rFonts w:hint="eastAsia"/>
          <w:color w:val="auto"/>
          <w:sz w:val="28"/>
          <w:szCs w:val="28"/>
          <w:highlight w:val="none"/>
          <w:lang w:val="en-US" w:eastAsia="zh-CN"/>
        </w:rPr>
        <w:t>、</w:t>
      </w:r>
      <w:r>
        <w:rPr>
          <w:rFonts w:hint="eastAsia"/>
          <w:color w:val="auto"/>
          <w:sz w:val="28"/>
          <w:szCs w:val="28"/>
          <w:highlight w:val="none"/>
        </w:rPr>
        <w:t>生物栖息地状况、生态空间规模、岸滩稳定性、岸滩植被覆盖率等关键指标，对项目砂质岸线生态修复、滨海湿地生态修复、盐沼植被修复、海湾生态系统修复等区域生态环境方面的监测结果</w:t>
      </w:r>
      <w:r>
        <w:rPr>
          <w:rFonts w:hint="eastAsia"/>
          <w:color w:val="auto"/>
          <w:sz w:val="28"/>
          <w:szCs w:val="28"/>
          <w:highlight w:val="none"/>
          <w:lang w:eastAsia="zh-CN"/>
        </w:rPr>
        <w:t>，</w:t>
      </w:r>
      <w:r>
        <w:rPr>
          <w:rFonts w:hint="eastAsia"/>
          <w:color w:val="auto"/>
          <w:sz w:val="28"/>
          <w:szCs w:val="28"/>
          <w:highlight w:val="none"/>
          <w:lang w:val="en-US" w:eastAsia="zh-CN"/>
        </w:rPr>
        <w:t>评估修复项目生态效益。</w:t>
      </w:r>
    </w:p>
    <w:p>
      <w:pPr>
        <w:pStyle w:val="33"/>
        <w:widowControl/>
        <w:adjustRightInd w:val="0"/>
        <w:snapToGrid w:val="0"/>
        <w:spacing w:line="360" w:lineRule="auto"/>
        <w:ind w:firstLine="560"/>
        <w:jc w:val="left"/>
        <w:rPr>
          <w:rFonts w:hint="eastAsia"/>
          <w:color w:val="auto"/>
          <w:sz w:val="28"/>
          <w:szCs w:val="28"/>
          <w:highlight w:val="none"/>
        </w:rPr>
      </w:pPr>
      <w:r>
        <w:rPr>
          <w:rFonts w:hint="eastAsia"/>
          <w:color w:val="auto"/>
          <w:sz w:val="28"/>
          <w:szCs w:val="28"/>
          <w:highlight w:val="none"/>
          <w:lang w:val="en-US" w:eastAsia="zh-CN"/>
        </w:rPr>
        <w:t>通过</w:t>
      </w:r>
      <w:r>
        <w:rPr>
          <w:rFonts w:hint="eastAsia"/>
          <w:color w:val="auto"/>
          <w:sz w:val="28"/>
          <w:szCs w:val="28"/>
          <w:highlight w:val="none"/>
        </w:rPr>
        <w:t>实施前</w:t>
      </w:r>
      <w:r>
        <w:rPr>
          <w:rFonts w:hint="eastAsia"/>
          <w:color w:val="auto"/>
          <w:sz w:val="28"/>
          <w:szCs w:val="28"/>
          <w:highlight w:val="none"/>
          <w:lang w:eastAsia="zh-CN"/>
        </w:rPr>
        <w:t>、</w:t>
      </w:r>
      <w:r>
        <w:rPr>
          <w:rFonts w:hint="eastAsia"/>
          <w:color w:val="auto"/>
          <w:sz w:val="28"/>
          <w:szCs w:val="28"/>
          <w:highlight w:val="none"/>
          <w:lang w:val="en-US" w:eastAsia="zh-CN"/>
        </w:rPr>
        <w:t>中、后对比修复区经济效益带动情况，评估项目经济效益；通过问卷调查、公众参与、社会调查等方式收集修复区域社会状况，评估项目效益指标。根据项目总体绩效指标完成情况，结合项目实施的生态效益、经济效益、社会效益，综合评估项目修复效果</w:t>
      </w:r>
      <w:r>
        <w:rPr>
          <w:rFonts w:hint="eastAsia"/>
          <w:color w:val="auto"/>
          <w:sz w:val="28"/>
          <w:szCs w:val="28"/>
          <w:highlight w:val="none"/>
        </w:rPr>
        <w:t>。</w:t>
      </w:r>
    </w:p>
    <w:p>
      <w:pPr>
        <w:pStyle w:val="33"/>
        <w:widowControl/>
        <w:numPr>
          <w:ilvl w:val="0"/>
          <w:numId w:val="6"/>
        </w:numPr>
        <w:adjustRightInd w:val="0"/>
        <w:snapToGrid w:val="0"/>
        <w:spacing w:line="360" w:lineRule="auto"/>
        <w:ind w:firstLine="0" w:firstLineChars="0"/>
        <w:jc w:val="left"/>
        <w:rPr>
          <w:rFonts w:hint="eastAsia"/>
          <w:color w:val="auto"/>
          <w:sz w:val="28"/>
          <w:szCs w:val="22"/>
          <w:highlight w:val="none"/>
          <w:lang w:val="en-US" w:eastAsia="zh-CN"/>
        </w:rPr>
      </w:pPr>
      <w:r>
        <w:rPr>
          <w:rFonts w:hint="eastAsia"/>
          <w:color w:val="auto"/>
          <w:sz w:val="28"/>
          <w:szCs w:val="22"/>
          <w:highlight w:val="none"/>
          <w:lang w:val="en-US" w:eastAsia="zh-CN"/>
        </w:rPr>
        <w:t>评估主要内容</w:t>
      </w:r>
    </w:p>
    <w:p>
      <w:pPr>
        <w:pStyle w:val="33"/>
        <w:keepNext w:val="0"/>
        <w:keepLines w:val="0"/>
        <w:widowControl/>
        <w:numPr>
          <w:ilvl w:val="0"/>
          <w:numId w:val="0"/>
        </w:numPr>
        <w:suppressLineNumbers w:val="0"/>
        <w:adjustRightInd w:val="0"/>
        <w:snapToGrid w:val="0"/>
        <w:spacing w:line="360" w:lineRule="auto"/>
        <w:ind w:leftChars="200"/>
        <w:jc w:val="both"/>
        <w:rPr>
          <w:rFonts w:hint="default" w:ascii="Times New Roman" w:hAnsi="Times New Roman" w:eastAsia="宋体" w:cs="Times New Roman"/>
          <w:color w:val="auto"/>
          <w:kern w:val="2"/>
          <w:sz w:val="28"/>
          <w:szCs w:val="22"/>
          <w:highlight w:val="none"/>
          <w:lang w:val="en-US" w:eastAsia="zh-CN" w:bidi="ar"/>
        </w:rPr>
      </w:pPr>
      <w:r>
        <w:rPr>
          <w:rFonts w:hint="eastAsia"/>
          <w:color w:val="auto"/>
          <w:sz w:val="28"/>
          <w:szCs w:val="22"/>
          <w:highlight w:val="none"/>
          <w:lang w:val="en-US" w:eastAsia="zh-CN"/>
        </w:rPr>
        <w:t>2.1营口海岸带</w:t>
      </w:r>
      <w:r>
        <w:rPr>
          <w:rFonts w:hint="default" w:ascii="Times New Roman" w:hAnsi="Times New Roman" w:eastAsia="宋体" w:cs="Times New Roman"/>
          <w:color w:val="auto"/>
          <w:kern w:val="2"/>
          <w:sz w:val="28"/>
          <w:szCs w:val="22"/>
          <w:highlight w:val="none"/>
          <w:lang w:val="en-US" w:eastAsia="zh-CN" w:bidi="ar"/>
        </w:rPr>
        <w:t>遥感影像解译监测</w:t>
      </w:r>
      <w:r>
        <w:rPr>
          <w:rFonts w:hint="eastAsia" w:cs="Times New Roman"/>
          <w:color w:val="auto"/>
          <w:kern w:val="2"/>
          <w:sz w:val="28"/>
          <w:szCs w:val="22"/>
          <w:highlight w:val="none"/>
          <w:lang w:val="en-US" w:eastAsia="zh-CN" w:bidi="ar"/>
        </w:rPr>
        <w:t>评估</w:t>
      </w:r>
    </w:p>
    <w:p>
      <w:pPr>
        <w:pStyle w:val="33"/>
        <w:widowControl/>
        <w:adjustRightInd w:val="0"/>
        <w:snapToGrid w:val="0"/>
        <w:spacing w:line="360" w:lineRule="auto"/>
        <w:ind w:firstLine="560"/>
        <w:jc w:val="left"/>
        <w:rPr>
          <w:rFonts w:hint="default" w:ascii="Times New Roman" w:hAnsi="Times New Roman" w:eastAsia="宋体" w:cs="Times New Roman"/>
          <w:color w:val="auto"/>
          <w:kern w:val="2"/>
          <w:sz w:val="28"/>
          <w:szCs w:val="28"/>
          <w:highlight w:val="none"/>
          <w:lang w:val="en-US" w:eastAsia="zh-CN" w:bidi="ar"/>
        </w:rPr>
      </w:pPr>
      <w:r>
        <w:rPr>
          <w:rFonts w:hint="eastAsia" w:ascii="Times New Roman" w:hAnsi="Times New Roman" w:eastAsia="宋体" w:cs="Times New Roman"/>
          <w:color w:val="auto"/>
          <w:kern w:val="2"/>
          <w:sz w:val="28"/>
          <w:szCs w:val="28"/>
          <w:highlight w:val="none"/>
          <w:lang w:val="en-US" w:eastAsia="zh-CN" w:bidi="ar"/>
        </w:rPr>
        <w:t>遥</w:t>
      </w:r>
      <w:r>
        <w:rPr>
          <w:rFonts w:hint="default" w:ascii="Times New Roman" w:hAnsi="Times New Roman" w:eastAsia="宋体" w:cs="Times New Roman"/>
          <w:color w:val="auto"/>
          <w:kern w:val="2"/>
          <w:sz w:val="28"/>
          <w:szCs w:val="28"/>
          <w:highlight w:val="none"/>
          <w:lang w:val="en-US" w:eastAsia="zh-CN" w:bidi="ar"/>
        </w:rPr>
        <w:t>感解译监测采用遥感影像和无人机倾斜摄影测量影像解译的方式对整个修复区进行监测，主要</w:t>
      </w:r>
      <w:r>
        <w:rPr>
          <w:rFonts w:hint="eastAsia" w:ascii="Times New Roman" w:hAnsi="Times New Roman" w:eastAsia="宋体" w:cs="Times New Roman"/>
          <w:color w:val="auto"/>
          <w:kern w:val="2"/>
          <w:sz w:val="28"/>
          <w:szCs w:val="28"/>
          <w:highlight w:val="none"/>
          <w:lang w:val="en-US" w:eastAsia="zh-CN" w:bidi="ar"/>
        </w:rPr>
        <w:t>应用多时相、多波段、多源遥感数据对生态系统</w:t>
      </w:r>
      <w:r>
        <w:rPr>
          <w:rFonts w:hint="default" w:ascii="Times New Roman" w:hAnsi="Times New Roman" w:eastAsia="宋体" w:cs="Times New Roman"/>
          <w:color w:val="auto"/>
          <w:kern w:val="2"/>
          <w:sz w:val="28"/>
          <w:szCs w:val="28"/>
          <w:highlight w:val="none"/>
          <w:lang w:val="en-US" w:eastAsia="zh-CN" w:bidi="ar"/>
        </w:rPr>
        <w:t>格局、生态系统质量、生态服务功能等多指标时空变化进行动态监测与量测。</w:t>
      </w:r>
    </w:p>
    <w:p>
      <w:pPr>
        <w:pStyle w:val="33"/>
        <w:widowControl/>
        <w:adjustRightInd w:val="0"/>
        <w:snapToGrid w:val="0"/>
        <w:spacing w:line="360" w:lineRule="auto"/>
        <w:ind w:firstLine="560"/>
        <w:jc w:val="left"/>
        <w:rPr>
          <w:rFonts w:hint="default" w:ascii="Times New Roman" w:hAnsi="Times New Roman" w:eastAsia="宋体" w:cs="Times New Roman"/>
          <w:color w:val="auto"/>
          <w:kern w:val="2"/>
          <w:sz w:val="28"/>
          <w:szCs w:val="28"/>
          <w:highlight w:val="none"/>
          <w:lang w:val="en-US" w:eastAsia="zh-CN" w:bidi="ar"/>
        </w:rPr>
      </w:pPr>
      <w:r>
        <w:rPr>
          <w:rFonts w:hint="default" w:ascii="Times New Roman" w:hAnsi="Times New Roman" w:eastAsia="宋体" w:cs="Times New Roman"/>
          <w:color w:val="auto"/>
          <w:kern w:val="2"/>
          <w:sz w:val="28"/>
          <w:szCs w:val="28"/>
          <w:highlight w:val="none"/>
          <w:lang w:val="en-US" w:eastAsia="zh-CN" w:bidi="ar"/>
        </w:rPr>
        <w:t>基期</w:t>
      </w:r>
      <w:r>
        <w:rPr>
          <w:rFonts w:hint="eastAsia" w:ascii="Times New Roman" w:hAnsi="Times New Roman" w:eastAsia="宋体" w:cs="Times New Roman"/>
          <w:color w:val="auto"/>
          <w:kern w:val="2"/>
          <w:sz w:val="28"/>
          <w:szCs w:val="28"/>
          <w:highlight w:val="none"/>
          <w:lang w:val="en-US" w:eastAsia="zh-CN" w:bidi="ar"/>
        </w:rPr>
        <w:t>生态本底状况</w:t>
      </w:r>
      <w:r>
        <w:rPr>
          <w:rFonts w:hint="default" w:ascii="Times New Roman" w:hAnsi="Times New Roman" w:eastAsia="宋体" w:cs="Times New Roman"/>
          <w:color w:val="auto"/>
          <w:kern w:val="2"/>
          <w:sz w:val="28"/>
          <w:szCs w:val="28"/>
          <w:highlight w:val="none"/>
          <w:lang w:val="en-US" w:eastAsia="zh-CN" w:bidi="ar"/>
        </w:rPr>
        <w:t>监测。</w:t>
      </w:r>
      <w:r>
        <w:rPr>
          <w:rFonts w:hint="eastAsia" w:cs="Times New Roman"/>
          <w:color w:val="auto"/>
          <w:kern w:val="2"/>
          <w:sz w:val="28"/>
          <w:szCs w:val="28"/>
          <w:highlight w:val="none"/>
          <w:lang w:val="en-US" w:eastAsia="zh-CN" w:bidi="ar"/>
        </w:rPr>
        <w:t>收集</w:t>
      </w:r>
      <w:r>
        <w:rPr>
          <w:rFonts w:hint="default" w:ascii="Times New Roman" w:hAnsi="Times New Roman" w:eastAsia="宋体" w:cs="Times New Roman"/>
          <w:color w:val="auto"/>
          <w:kern w:val="2"/>
          <w:sz w:val="28"/>
          <w:szCs w:val="28"/>
          <w:highlight w:val="none"/>
          <w:lang w:val="en-US" w:eastAsia="zh-CN" w:bidi="ar"/>
        </w:rPr>
        <w:t>项目实施前</w:t>
      </w:r>
      <w:r>
        <w:rPr>
          <w:rFonts w:hint="eastAsia" w:cs="Times New Roman"/>
          <w:color w:val="auto"/>
          <w:kern w:val="2"/>
          <w:sz w:val="28"/>
          <w:szCs w:val="28"/>
          <w:highlight w:val="none"/>
          <w:lang w:val="en-US" w:eastAsia="zh-CN" w:bidi="ar"/>
        </w:rPr>
        <w:t>5</w:t>
      </w:r>
      <w:r>
        <w:rPr>
          <w:rFonts w:hint="default" w:ascii="Times New Roman" w:hAnsi="Times New Roman" w:eastAsia="宋体" w:cs="Times New Roman"/>
          <w:color w:val="auto"/>
          <w:kern w:val="2"/>
          <w:sz w:val="28"/>
          <w:szCs w:val="28"/>
          <w:highlight w:val="none"/>
          <w:lang w:val="en-US" w:eastAsia="zh-CN" w:bidi="ar"/>
        </w:rPr>
        <w:t>年</w:t>
      </w:r>
      <w:r>
        <w:rPr>
          <w:rFonts w:hint="eastAsia" w:cs="Times New Roman"/>
          <w:color w:val="auto"/>
          <w:kern w:val="2"/>
          <w:sz w:val="28"/>
          <w:szCs w:val="28"/>
          <w:highlight w:val="none"/>
          <w:lang w:val="en-US" w:eastAsia="zh-CN" w:bidi="ar"/>
        </w:rPr>
        <w:t>遥感影像</w:t>
      </w:r>
      <w:r>
        <w:rPr>
          <w:rFonts w:hint="default" w:ascii="Times New Roman" w:hAnsi="Times New Roman" w:eastAsia="宋体" w:cs="Times New Roman"/>
          <w:color w:val="auto"/>
          <w:kern w:val="2"/>
          <w:sz w:val="28"/>
          <w:szCs w:val="28"/>
          <w:highlight w:val="none"/>
          <w:lang w:val="en-US" w:eastAsia="zh-CN" w:bidi="ar"/>
        </w:rPr>
        <w:t>对</w:t>
      </w:r>
      <w:r>
        <w:rPr>
          <w:rFonts w:hint="eastAsia" w:cs="Times New Roman"/>
          <w:color w:val="auto"/>
          <w:kern w:val="2"/>
          <w:sz w:val="28"/>
          <w:szCs w:val="28"/>
          <w:highlight w:val="none"/>
          <w:lang w:val="en-US" w:eastAsia="zh-CN" w:bidi="ar"/>
        </w:rPr>
        <w:t>营口海岸带</w:t>
      </w:r>
      <w:r>
        <w:rPr>
          <w:rFonts w:hint="default" w:ascii="Times New Roman" w:hAnsi="Times New Roman" w:eastAsia="宋体" w:cs="Times New Roman"/>
          <w:color w:val="auto"/>
          <w:kern w:val="2"/>
          <w:sz w:val="28"/>
          <w:szCs w:val="28"/>
          <w:highlight w:val="none"/>
          <w:lang w:val="en-US" w:eastAsia="zh-CN" w:bidi="ar"/>
        </w:rPr>
        <w:t>生态本底状况进行遥感监测，得出</w:t>
      </w:r>
      <w:r>
        <w:rPr>
          <w:rFonts w:hint="eastAsia" w:cs="Times New Roman"/>
          <w:color w:val="auto"/>
          <w:kern w:val="2"/>
          <w:sz w:val="28"/>
          <w:szCs w:val="28"/>
          <w:highlight w:val="none"/>
          <w:lang w:val="en-US" w:eastAsia="zh-CN" w:bidi="ar"/>
        </w:rPr>
        <w:t>营口海岸带生态</w:t>
      </w:r>
      <w:r>
        <w:rPr>
          <w:rFonts w:hint="default" w:ascii="Times New Roman" w:hAnsi="Times New Roman" w:eastAsia="宋体" w:cs="Times New Roman"/>
          <w:color w:val="auto"/>
          <w:kern w:val="2"/>
          <w:sz w:val="28"/>
          <w:szCs w:val="28"/>
          <w:highlight w:val="none"/>
          <w:lang w:val="en-US" w:eastAsia="zh-CN" w:bidi="ar"/>
        </w:rPr>
        <w:t>本底状况。</w:t>
      </w:r>
    </w:p>
    <w:p>
      <w:pPr>
        <w:pStyle w:val="33"/>
        <w:widowControl/>
        <w:adjustRightInd w:val="0"/>
        <w:snapToGrid w:val="0"/>
        <w:spacing w:line="360" w:lineRule="auto"/>
        <w:ind w:firstLine="560"/>
        <w:jc w:val="left"/>
        <w:rPr>
          <w:rFonts w:hint="eastAsia" w:ascii="Times New Roman" w:hAnsi="Times New Roman" w:eastAsia="宋体" w:cs="Times New Roman"/>
          <w:color w:val="auto"/>
          <w:kern w:val="2"/>
          <w:sz w:val="28"/>
          <w:szCs w:val="28"/>
          <w:highlight w:val="none"/>
          <w:lang w:val="en-US" w:eastAsia="zh-CN" w:bidi="ar"/>
        </w:rPr>
      </w:pPr>
      <w:r>
        <w:rPr>
          <w:rFonts w:hint="default" w:ascii="Times New Roman" w:hAnsi="Times New Roman" w:eastAsia="宋体" w:cs="Times New Roman"/>
          <w:color w:val="auto"/>
          <w:kern w:val="2"/>
          <w:sz w:val="28"/>
          <w:szCs w:val="28"/>
          <w:highlight w:val="none"/>
          <w:lang w:val="en-US" w:eastAsia="zh-CN" w:bidi="ar"/>
        </w:rPr>
        <w:t>年度变化情况监测。通过</w:t>
      </w:r>
      <w:r>
        <w:rPr>
          <w:rFonts w:hint="eastAsia" w:cs="Times New Roman"/>
          <w:color w:val="auto"/>
          <w:kern w:val="2"/>
          <w:sz w:val="28"/>
          <w:szCs w:val="28"/>
          <w:highlight w:val="none"/>
          <w:lang w:val="en-US" w:eastAsia="zh-CN" w:bidi="ar"/>
        </w:rPr>
        <w:t>生态系统类型</w:t>
      </w:r>
      <w:r>
        <w:rPr>
          <w:rFonts w:hint="default" w:ascii="Times New Roman" w:hAnsi="Times New Roman" w:eastAsia="宋体" w:cs="Times New Roman"/>
          <w:color w:val="auto"/>
          <w:kern w:val="2"/>
          <w:sz w:val="28"/>
          <w:szCs w:val="28"/>
          <w:highlight w:val="none"/>
          <w:lang w:val="en-US" w:eastAsia="zh-CN" w:bidi="ar"/>
        </w:rPr>
        <w:t>遥感解译监测，对</w:t>
      </w:r>
      <w:r>
        <w:rPr>
          <w:rFonts w:hint="eastAsia" w:cs="Times New Roman"/>
          <w:color w:val="auto"/>
          <w:kern w:val="2"/>
          <w:sz w:val="28"/>
          <w:szCs w:val="28"/>
          <w:highlight w:val="none"/>
          <w:lang w:val="en-US" w:eastAsia="zh-CN" w:bidi="ar"/>
        </w:rPr>
        <w:t>营口海岸带</w:t>
      </w:r>
      <w:r>
        <w:rPr>
          <w:rFonts w:hint="eastAsia" w:ascii="Times New Roman" w:hAnsi="Times New Roman" w:eastAsia="宋体" w:cs="Times New Roman"/>
          <w:color w:val="auto"/>
          <w:kern w:val="2"/>
          <w:sz w:val="28"/>
          <w:szCs w:val="28"/>
          <w:highlight w:val="none"/>
          <w:lang w:val="en-US" w:eastAsia="zh-CN" w:bidi="ar"/>
        </w:rPr>
        <w:t>生态系统</w:t>
      </w:r>
      <w:r>
        <w:rPr>
          <w:rFonts w:hint="default" w:ascii="Times New Roman" w:hAnsi="Times New Roman" w:eastAsia="宋体" w:cs="Times New Roman"/>
          <w:color w:val="auto"/>
          <w:kern w:val="2"/>
          <w:sz w:val="28"/>
          <w:szCs w:val="28"/>
          <w:highlight w:val="none"/>
          <w:lang w:val="en-US" w:eastAsia="zh-CN" w:bidi="ar"/>
        </w:rPr>
        <w:t>格局、生态系统质量</w:t>
      </w:r>
      <w:r>
        <w:rPr>
          <w:rFonts w:hint="eastAsia" w:cs="Times New Roman"/>
          <w:color w:val="auto"/>
          <w:kern w:val="2"/>
          <w:sz w:val="28"/>
          <w:szCs w:val="28"/>
          <w:highlight w:val="none"/>
          <w:lang w:val="en-US" w:eastAsia="zh-CN" w:bidi="ar"/>
        </w:rPr>
        <w:t>改善情况</w:t>
      </w:r>
      <w:r>
        <w:rPr>
          <w:rFonts w:hint="default" w:ascii="Times New Roman" w:hAnsi="Times New Roman" w:eastAsia="宋体" w:cs="Times New Roman"/>
          <w:color w:val="auto"/>
          <w:kern w:val="2"/>
          <w:sz w:val="28"/>
          <w:szCs w:val="28"/>
          <w:highlight w:val="none"/>
          <w:lang w:val="en-US" w:eastAsia="zh-CN" w:bidi="ar"/>
        </w:rPr>
        <w:t>、生态服务功能</w:t>
      </w:r>
      <w:r>
        <w:rPr>
          <w:rFonts w:hint="eastAsia" w:cs="Times New Roman"/>
          <w:color w:val="auto"/>
          <w:kern w:val="2"/>
          <w:sz w:val="28"/>
          <w:szCs w:val="28"/>
          <w:highlight w:val="none"/>
          <w:lang w:val="en-US" w:eastAsia="zh-CN" w:bidi="ar"/>
        </w:rPr>
        <w:t>提升情况等</w:t>
      </w:r>
      <w:r>
        <w:rPr>
          <w:rFonts w:hint="default" w:ascii="Times New Roman" w:hAnsi="Times New Roman" w:eastAsia="宋体" w:cs="Times New Roman"/>
          <w:color w:val="auto"/>
          <w:kern w:val="2"/>
          <w:sz w:val="28"/>
          <w:szCs w:val="28"/>
          <w:highlight w:val="none"/>
          <w:lang w:val="en-US" w:eastAsia="zh-CN" w:bidi="ar"/>
        </w:rPr>
        <w:t>生态状况年度变化进行监测</w:t>
      </w:r>
      <w:r>
        <w:rPr>
          <w:rFonts w:hint="eastAsia" w:cs="Times New Roman"/>
          <w:color w:val="auto"/>
          <w:kern w:val="2"/>
          <w:sz w:val="28"/>
          <w:szCs w:val="28"/>
          <w:highlight w:val="none"/>
          <w:lang w:val="en-US" w:eastAsia="zh-CN" w:bidi="ar"/>
        </w:rPr>
        <w:t>评估</w:t>
      </w:r>
      <w:r>
        <w:rPr>
          <w:rFonts w:hint="default" w:ascii="Times New Roman" w:hAnsi="Times New Roman" w:eastAsia="宋体" w:cs="Times New Roman"/>
          <w:color w:val="auto"/>
          <w:kern w:val="2"/>
          <w:sz w:val="28"/>
          <w:szCs w:val="28"/>
          <w:highlight w:val="none"/>
          <w:lang w:val="en-US" w:eastAsia="zh-CN" w:bidi="ar"/>
        </w:rPr>
        <w:t>。</w:t>
      </w:r>
    </w:p>
    <w:p>
      <w:pPr>
        <w:pStyle w:val="33"/>
        <w:widowControl/>
        <w:adjustRightInd w:val="0"/>
        <w:snapToGrid w:val="0"/>
        <w:spacing w:line="360" w:lineRule="auto"/>
        <w:ind w:firstLine="560"/>
        <w:jc w:val="left"/>
        <w:rPr>
          <w:rFonts w:hint="eastAsia"/>
          <w:color w:val="auto"/>
          <w:sz w:val="28"/>
          <w:szCs w:val="28"/>
          <w:highlight w:val="none"/>
          <w:lang w:val="en-US" w:eastAsia="zh-CN"/>
        </w:rPr>
      </w:pPr>
      <w:r>
        <w:rPr>
          <w:rFonts w:hint="eastAsia"/>
          <w:color w:val="auto"/>
          <w:sz w:val="28"/>
          <w:szCs w:val="28"/>
          <w:highlight w:val="none"/>
          <w:lang w:val="en-US" w:eastAsia="zh-CN"/>
        </w:rPr>
        <w:t>2.2.长期管护能力建设实施效果评估</w:t>
      </w:r>
    </w:p>
    <w:p>
      <w:pPr>
        <w:pStyle w:val="10"/>
        <w:ind w:firstLine="600" w:firstLineChars="200"/>
        <w:jc w:val="left"/>
        <w:rPr>
          <w:rFonts w:hint="default" w:eastAsia="宋体"/>
          <w:color w:val="auto"/>
          <w:szCs w:val="28"/>
          <w:highlight w:val="none"/>
          <w:lang w:val="en-US" w:eastAsia="zh-CN"/>
        </w:rPr>
      </w:pPr>
      <w:r>
        <w:rPr>
          <w:rFonts w:hint="eastAsia"/>
          <w:color w:val="auto"/>
          <w:szCs w:val="28"/>
          <w:highlight w:val="none"/>
          <w:lang w:val="en-US" w:eastAsia="zh-CN"/>
        </w:rPr>
        <w:t>对</w:t>
      </w:r>
      <w:r>
        <w:rPr>
          <w:color w:val="auto"/>
          <w:szCs w:val="28"/>
          <w:highlight w:val="none"/>
        </w:rPr>
        <w:t>大辽河滨海湿地带保护修复</w:t>
      </w:r>
      <w:r>
        <w:rPr>
          <w:rFonts w:hint="eastAsia"/>
          <w:color w:val="auto"/>
          <w:szCs w:val="28"/>
          <w:highlight w:val="none"/>
        </w:rPr>
        <w:t>在线监视监测</w:t>
      </w:r>
      <w:r>
        <w:rPr>
          <w:rFonts w:hint="eastAsia"/>
          <w:color w:val="auto"/>
          <w:szCs w:val="28"/>
          <w:highlight w:val="none"/>
          <w:lang w:val="en-US" w:eastAsia="zh-CN"/>
        </w:rPr>
        <w:t>系统</w:t>
      </w:r>
      <w:r>
        <w:rPr>
          <w:rFonts w:hint="eastAsia"/>
          <w:color w:val="auto"/>
          <w:szCs w:val="28"/>
          <w:highlight w:val="none"/>
          <w:lang w:eastAsia="zh-CN"/>
        </w:rPr>
        <w:t>、</w:t>
      </w:r>
      <w:r>
        <w:rPr>
          <w:rFonts w:hint="eastAsia"/>
          <w:color w:val="auto"/>
          <w:szCs w:val="28"/>
          <w:highlight w:val="none"/>
        </w:rPr>
        <w:t>团山国家级自然保护地生态修复在线监测</w:t>
      </w:r>
      <w:r>
        <w:rPr>
          <w:rFonts w:hint="eastAsia"/>
          <w:color w:val="auto"/>
          <w:szCs w:val="28"/>
          <w:highlight w:val="none"/>
          <w:lang w:val="en-US" w:eastAsia="zh-CN"/>
        </w:rPr>
        <w:t>系统</w:t>
      </w:r>
      <w:r>
        <w:rPr>
          <w:rFonts w:hint="eastAsia"/>
          <w:color w:val="auto"/>
          <w:szCs w:val="28"/>
          <w:highlight w:val="none"/>
          <w:lang w:eastAsia="zh-CN"/>
        </w:rPr>
        <w:t>、</w:t>
      </w:r>
      <w:r>
        <w:rPr>
          <w:rFonts w:hint="eastAsia"/>
          <w:color w:val="auto"/>
          <w:szCs w:val="28"/>
          <w:highlight w:val="none"/>
        </w:rPr>
        <w:t>月亮湾综合治理在线监测监控</w:t>
      </w:r>
      <w:r>
        <w:rPr>
          <w:rFonts w:hint="eastAsia"/>
          <w:color w:val="auto"/>
          <w:szCs w:val="28"/>
          <w:highlight w:val="none"/>
          <w:lang w:val="en-US" w:eastAsia="zh-CN"/>
        </w:rPr>
        <w:t>系统建设和建成后对修复项目发挥的效果进行评估。</w:t>
      </w:r>
    </w:p>
    <w:p>
      <w:pPr>
        <w:pStyle w:val="33"/>
        <w:widowControl/>
        <w:adjustRightInd w:val="0"/>
        <w:snapToGrid w:val="0"/>
        <w:spacing w:line="360" w:lineRule="auto"/>
        <w:ind w:firstLine="560"/>
        <w:jc w:val="left"/>
        <w:rPr>
          <w:color w:val="auto"/>
          <w:sz w:val="28"/>
          <w:szCs w:val="28"/>
          <w:highlight w:val="none"/>
        </w:rPr>
      </w:pPr>
      <w:r>
        <w:rPr>
          <w:rFonts w:hint="eastAsia"/>
          <w:color w:val="auto"/>
          <w:sz w:val="28"/>
          <w:szCs w:val="28"/>
          <w:highlight w:val="none"/>
          <w:lang w:val="en-US" w:eastAsia="zh-CN"/>
        </w:rPr>
        <w:t>2.3</w:t>
      </w:r>
      <w:r>
        <w:rPr>
          <w:rFonts w:hint="eastAsia"/>
          <w:color w:val="auto"/>
          <w:sz w:val="28"/>
          <w:szCs w:val="28"/>
          <w:highlight w:val="none"/>
        </w:rPr>
        <w:t>绩效指标完成情况评估</w:t>
      </w:r>
    </w:p>
    <w:p>
      <w:pPr>
        <w:pStyle w:val="33"/>
        <w:widowControl/>
        <w:adjustRightInd w:val="0"/>
        <w:snapToGrid w:val="0"/>
        <w:spacing w:line="360" w:lineRule="auto"/>
        <w:ind w:firstLine="560"/>
        <w:jc w:val="left"/>
        <w:rPr>
          <w:rFonts w:hint="eastAsia"/>
          <w:color w:val="auto"/>
          <w:sz w:val="28"/>
          <w:szCs w:val="28"/>
          <w:highlight w:val="none"/>
        </w:rPr>
      </w:pPr>
      <w:r>
        <w:rPr>
          <w:rFonts w:hint="eastAsia"/>
          <w:color w:val="auto"/>
          <w:sz w:val="28"/>
          <w:szCs w:val="28"/>
          <w:highlight w:val="none"/>
        </w:rPr>
        <w:t>按照财政部批复绩效目标，结合生态修复跟踪监测结果，</w:t>
      </w:r>
      <w:r>
        <w:rPr>
          <w:rFonts w:hint="eastAsia"/>
          <w:color w:val="auto"/>
          <w:sz w:val="28"/>
          <w:szCs w:val="28"/>
          <w:highlight w:val="none"/>
          <w:lang w:val="en-US" w:eastAsia="zh-CN"/>
        </w:rPr>
        <w:t>结合补充调查数据，对绩效指标</w:t>
      </w:r>
      <w:r>
        <w:rPr>
          <w:rFonts w:hint="eastAsia"/>
          <w:color w:val="auto"/>
          <w:sz w:val="28"/>
          <w:szCs w:val="28"/>
          <w:highlight w:val="none"/>
        </w:rPr>
        <w:t>完成</w:t>
      </w:r>
      <w:r>
        <w:rPr>
          <w:rFonts w:hint="eastAsia"/>
          <w:color w:val="auto"/>
          <w:sz w:val="28"/>
          <w:szCs w:val="28"/>
          <w:highlight w:val="none"/>
          <w:lang w:val="en-US" w:eastAsia="zh-CN"/>
        </w:rPr>
        <w:t>情况进行</w:t>
      </w:r>
      <w:r>
        <w:rPr>
          <w:rFonts w:hint="eastAsia"/>
          <w:color w:val="auto"/>
          <w:sz w:val="28"/>
          <w:szCs w:val="28"/>
          <w:highlight w:val="none"/>
        </w:rPr>
        <w:t>评估，</w:t>
      </w:r>
      <w:r>
        <w:rPr>
          <w:rFonts w:hint="eastAsia"/>
          <w:color w:val="auto"/>
          <w:sz w:val="28"/>
          <w:szCs w:val="28"/>
          <w:highlight w:val="none"/>
          <w:lang w:val="en-US" w:eastAsia="zh-CN"/>
        </w:rPr>
        <w:t>各项指标完成情况需提供认定依据，辅以照片影像等，涉及面积、长度的指标，需提供范围图和矢量数据，并按照财政部等要求，</w:t>
      </w:r>
      <w:r>
        <w:rPr>
          <w:rFonts w:hint="eastAsia"/>
          <w:color w:val="auto"/>
          <w:sz w:val="28"/>
          <w:szCs w:val="28"/>
          <w:highlight w:val="none"/>
        </w:rPr>
        <w:t>编制</w:t>
      </w:r>
      <w:r>
        <w:rPr>
          <w:rFonts w:hint="eastAsia"/>
          <w:color w:val="auto"/>
          <w:sz w:val="28"/>
          <w:szCs w:val="28"/>
          <w:highlight w:val="none"/>
          <w:lang w:val="en-US" w:eastAsia="zh-CN"/>
        </w:rPr>
        <w:t>年度绩效</w:t>
      </w:r>
      <w:r>
        <w:rPr>
          <w:rFonts w:hint="eastAsia"/>
          <w:color w:val="auto"/>
          <w:sz w:val="28"/>
          <w:szCs w:val="28"/>
          <w:highlight w:val="none"/>
        </w:rPr>
        <w:t>评估报告</w:t>
      </w:r>
      <w:r>
        <w:rPr>
          <w:rFonts w:hint="eastAsia"/>
          <w:color w:val="auto"/>
          <w:sz w:val="28"/>
          <w:szCs w:val="28"/>
          <w:highlight w:val="none"/>
          <w:lang w:val="en-US" w:eastAsia="zh-CN"/>
        </w:rPr>
        <w:t>和总绩效评估报告</w:t>
      </w:r>
      <w:r>
        <w:rPr>
          <w:rFonts w:hint="eastAsia"/>
          <w:color w:val="auto"/>
          <w:sz w:val="28"/>
          <w:szCs w:val="28"/>
          <w:highlight w:val="none"/>
        </w:rPr>
        <w:t>。本项目绩效指标见下表。</w:t>
      </w:r>
    </w:p>
    <w:p>
      <w:pPr>
        <w:widowControl/>
        <w:adjustRightInd w:val="0"/>
        <w:snapToGrid w:val="0"/>
        <w:spacing w:line="360" w:lineRule="auto"/>
        <w:jc w:val="center"/>
        <w:rPr>
          <w:rFonts w:hint="eastAsia"/>
          <w:color w:val="auto"/>
          <w:sz w:val="28"/>
          <w:szCs w:val="28"/>
          <w:highlight w:val="none"/>
        </w:rPr>
      </w:pPr>
      <w:r>
        <w:rPr>
          <w:rFonts w:hint="eastAsia"/>
          <w:b/>
          <w:bCs/>
          <w:color w:val="auto"/>
          <w:sz w:val="24"/>
          <w:szCs w:val="24"/>
          <w:highlight w:val="none"/>
        </w:rPr>
        <w:t>表</w:t>
      </w:r>
      <w:r>
        <w:rPr>
          <w:rFonts w:hint="eastAsia"/>
          <w:b/>
          <w:bCs/>
          <w:color w:val="auto"/>
          <w:sz w:val="24"/>
          <w:szCs w:val="24"/>
          <w:highlight w:val="none"/>
          <w:lang w:val="en-US" w:eastAsia="zh-CN"/>
        </w:rPr>
        <w:t>3-1</w:t>
      </w:r>
      <w:r>
        <w:rPr>
          <w:b/>
          <w:bCs/>
          <w:color w:val="auto"/>
          <w:sz w:val="24"/>
          <w:szCs w:val="24"/>
          <w:highlight w:val="none"/>
        </w:rPr>
        <w:t xml:space="preserve"> </w:t>
      </w:r>
      <w:r>
        <w:rPr>
          <w:rFonts w:hint="eastAsia"/>
          <w:b/>
          <w:bCs/>
          <w:color w:val="auto"/>
          <w:sz w:val="24"/>
          <w:szCs w:val="24"/>
          <w:highlight w:val="none"/>
        </w:rPr>
        <w:t>绩效目标表</w:t>
      </w:r>
    </w:p>
    <w:tbl>
      <w:tblPr>
        <w:tblStyle w:val="26"/>
        <w:tblpPr w:leftFromText="180" w:rightFromText="180" w:vertAnchor="text" w:horzAnchor="page" w:tblpX="1357" w:tblpY="3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1"/>
        <w:gridCol w:w="1237"/>
        <w:gridCol w:w="1370"/>
        <w:gridCol w:w="2534"/>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exact"/>
        </w:trPr>
        <w:tc>
          <w:tcPr>
            <w:tcW w:w="941" w:type="dxa"/>
            <w:vMerge w:val="restart"/>
            <w:vAlign w:val="center"/>
          </w:tcPr>
          <w:p>
            <w:pPr>
              <w:jc w:val="left"/>
              <w:rPr>
                <w:color w:val="auto"/>
                <w:kern w:val="0"/>
                <w:szCs w:val="21"/>
                <w:highlight w:val="none"/>
                <w:lang w:eastAsia="en-US"/>
              </w:rPr>
            </w:pPr>
            <w:r>
              <w:rPr>
                <w:color w:val="auto"/>
                <w:szCs w:val="21"/>
                <w:highlight w:val="none"/>
                <w:lang w:eastAsia="en-US"/>
              </w:rPr>
              <w:t>绩效指标</w:t>
            </w:r>
          </w:p>
        </w:tc>
        <w:tc>
          <w:tcPr>
            <w:tcW w:w="1237" w:type="dxa"/>
            <w:vAlign w:val="center"/>
          </w:tcPr>
          <w:p>
            <w:pPr>
              <w:spacing w:before="5"/>
              <w:ind w:left="127"/>
              <w:rPr>
                <w:color w:val="auto"/>
                <w:szCs w:val="21"/>
                <w:highlight w:val="none"/>
                <w:lang w:eastAsia="en-US"/>
              </w:rPr>
            </w:pPr>
            <w:r>
              <w:rPr>
                <w:color w:val="auto"/>
                <w:szCs w:val="21"/>
                <w:highlight w:val="none"/>
                <w:lang w:eastAsia="en-US"/>
              </w:rPr>
              <w:t>一级指标</w:t>
            </w:r>
          </w:p>
        </w:tc>
        <w:tc>
          <w:tcPr>
            <w:tcW w:w="1370" w:type="dxa"/>
            <w:vAlign w:val="center"/>
          </w:tcPr>
          <w:p>
            <w:pPr>
              <w:spacing w:before="5"/>
              <w:ind w:left="194"/>
              <w:rPr>
                <w:color w:val="auto"/>
                <w:szCs w:val="21"/>
                <w:highlight w:val="none"/>
                <w:lang w:eastAsia="en-US"/>
              </w:rPr>
            </w:pPr>
            <w:r>
              <w:rPr>
                <w:color w:val="auto"/>
                <w:szCs w:val="21"/>
                <w:highlight w:val="none"/>
                <w:lang w:eastAsia="en-US"/>
              </w:rPr>
              <w:t>二级指标</w:t>
            </w:r>
          </w:p>
        </w:tc>
        <w:tc>
          <w:tcPr>
            <w:tcW w:w="2534" w:type="dxa"/>
            <w:vAlign w:val="center"/>
          </w:tcPr>
          <w:p>
            <w:pPr>
              <w:spacing w:before="5"/>
              <w:jc w:val="center"/>
              <w:rPr>
                <w:color w:val="auto"/>
                <w:szCs w:val="21"/>
                <w:highlight w:val="none"/>
                <w:lang w:eastAsia="en-US"/>
              </w:rPr>
            </w:pPr>
            <w:r>
              <w:rPr>
                <w:color w:val="auto"/>
                <w:szCs w:val="21"/>
                <w:highlight w:val="none"/>
                <w:lang w:eastAsia="en-US"/>
              </w:rPr>
              <w:t>三级指标</w:t>
            </w:r>
          </w:p>
        </w:tc>
        <w:tc>
          <w:tcPr>
            <w:tcW w:w="2339" w:type="dxa"/>
            <w:vAlign w:val="center"/>
          </w:tcPr>
          <w:p>
            <w:pPr>
              <w:spacing w:before="5"/>
              <w:ind w:right="2"/>
              <w:jc w:val="center"/>
              <w:rPr>
                <w:color w:val="auto"/>
                <w:szCs w:val="21"/>
                <w:highlight w:val="none"/>
                <w:lang w:eastAsia="en-US"/>
              </w:rPr>
            </w:pPr>
            <w:r>
              <w:rPr>
                <w:color w:val="auto"/>
                <w:szCs w:val="21"/>
                <w:highlight w:val="none"/>
                <w:lang w:eastAsia="en-US"/>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trPr>
        <w:tc>
          <w:tcPr>
            <w:tcW w:w="941" w:type="dxa"/>
            <w:vMerge w:val="continue"/>
            <w:vAlign w:val="center"/>
          </w:tcPr>
          <w:p>
            <w:pPr>
              <w:tabs>
                <w:tab w:val="left" w:pos="423"/>
              </w:tabs>
              <w:jc w:val="left"/>
              <w:rPr>
                <w:color w:val="auto"/>
                <w:szCs w:val="21"/>
                <w:highlight w:val="none"/>
              </w:rPr>
            </w:pPr>
          </w:p>
        </w:tc>
        <w:tc>
          <w:tcPr>
            <w:tcW w:w="1237" w:type="dxa"/>
            <w:vMerge w:val="restart"/>
            <w:vAlign w:val="center"/>
          </w:tcPr>
          <w:p>
            <w:pPr>
              <w:ind w:left="98"/>
              <w:rPr>
                <w:color w:val="auto"/>
                <w:szCs w:val="21"/>
                <w:highlight w:val="none"/>
                <w:lang w:eastAsia="en-US"/>
              </w:rPr>
            </w:pPr>
            <w:r>
              <w:rPr>
                <w:color w:val="auto"/>
                <w:szCs w:val="21"/>
                <w:highlight w:val="none"/>
                <w:lang w:eastAsia="en-US"/>
              </w:rPr>
              <w:t>产出指标</w:t>
            </w:r>
          </w:p>
        </w:tc>
        <w:tc>
          <w:tcPr>
            <w:tcW w:w="1370" w:type="dxa"/>
            <w:vMerge w:val="restart"/>
            <w:vAlign w:val="center"/>
          </w:tcPr>
          <w:p>
            <w:pPr>
              <w:ind w:left="98"/>
              <w:rPr>
                <w:color w:val="auto"/>
                <w:szCs w:val="21"/>
                <w:highlight w:val="none"/>
                <w:lang w:eastAsia="en-US"/>
              </w:rPr>
            </w:pPr>
            <w:r>
              <w:rPr>
                <w:color w:val="auto"/>
                <w:szCs w:val="21"/>
                <w:highlight w:val="none"/>
                <w:lang w:eastAsia="en-US"/>
              </w:rPr>
              <w:t>数量指标</w:t>
            </w:r>
          </w:p>
        </w:tc>
        <w:tc>
          <w:tcPr>
            <w:tcW w:w="2534" w:type="dxa"/>
            <w:vAlign w:val="center"/>
          </w:tcPr>
          <w:p>
            <w:pPr>
              <w:spacing w:line="274" w:lineRule="exact"/>
              <w:ind w:left="98"/>
              <w:jc w:val="left"/>
              <w:rPr>
                <w:color w:val="auto"/>
                <w:szCs w:val="21"/>
                <w:highlight w:val="none"/>
                <w:lang w:eastAsia="en-US"/>
              </w:rPr>
            </w:pPr>
            <w:r>
              <w:rPr>
                <w:b/>
                <w:bCs/>
                <w:color w:val="auto"/>
                <w:szCs w:val="21"/>
                <w:highlight w:val="none"/>
                <w:lang w:eastAsia="en-US"/>
              </w:rPr>
              <w:t>完</w:t>
            </w:r>
            <w:r>
              <w:rPr>
                <w:b/>
                <w:bCs/>
                <w:color w:val="auto"/>
                <w:spacing w:val="-90"/>
                <w:szCs w:val="21"/>
                <w:highlight w:val="none"/>
                <w:lang w:eastAsia="en-US"/>
              </w:rPr>
              <w:t xml:space="preserve"> </w:t>
            </w:r>
            <w:r>
              <w:rPr>
                <w:b/>
                <w:bCs/>
                <w:color w:val="auto"/>
                <w:szCs w:val="21"/>
                <w:highlight w:val="none"/>
                <w:lang w:eastAsia="en-US"/>
              </w:rPr>
              <w:t>成</w:t>
            </w:r>
            <w:r>
              <w:rPr>
                <w:b/>
                <w:bCs/>
                <w:color w:val="auto"/>
                <w:spacing w:val="-90"/>
                <w:szCs w:val="21"/>
                <w:highlight w:val="none"/>
                <w:lang w:eastAsia="en-US"/>
              </w:rPr>
              <w:t xml:space="preserve"> </w:t>
            </w:r>
            <w:r>
              <w:rPr>
                <w:b/>
                <w:bCs/>
                <w:color w:val="auto"/>
                <w:szCs w:val="21"/>
                <w:highlight w:val="none"/>
                <w:lang w:eastAsia="en-US"/>
              </w:rPr>
              <w:t>生</w:t>
            </w:r>
            <w:r>
              <w:rPr>
                <w:b/>
                <w:bCs/>
                <w:color w:val="auto"/>
                <w:spacing w:val="-90"/>
                <w:szCs w:val="21"/>
                <w:highlight w:val="none"/>
                <w:lang w:eastAsia="en-US"/>
              </w:rPr>
              <w:t xml:space="preserve"> </w:t>
            </w:r>
            <w:r>
              <w:rPr>
                <w:b/>
                <w:bCs/>
                <w:color w:val="auto"/>
                <w:szCs w:val="21"/>
                <w:highlight w:val="none"/>
                <w:lang w:eastAsia="en-US"/>
              </w:rPr>
              <w:t>态</w:t>
            </w:r>
            <w:r>
              <w:rPr>
                <w:b/>
                <w:bCs/>
                <w:color w:val="auto"/>
                <w:spacing w:val="-90"/>
                <w:szCs w:val="21"/>
                <w:highlight w:val="none"/>
                <w:lang w:eastAsia="en-US"/>
              </w:rPr>
              <w:t xml:space="preserve"> </w:t>
            </w:r>
            <w:r>
              <w:rPr>
                <w:b/>
                <w:bCs/>
                <w:color w:val="auto"/>
                <w:szCs w:val="21"/>
                <w:highlight w:val="none"/>
                <w:lang w:eastAsia="en-US"/>
              </w:rPr>
              <w:t>修</w:t>
            </w:r>
            <w:r>
              <w:rPr>
                <w:b/>
                <w:bCs/>
                <w:color w:val="auto"/>
                <w:spacing w:val="-90"/>
                <w:szCs w:val="21"/>
                <w:highlight w:val="none"/>
                <w:lang w:eastAsia="en-US"/>
              </w:rPr>
              <w:t xml:space="preserve"> </w:t>
            </w:r>
            <w:r>
              <w:rPr>
                <w:b/>
                <w:bCs/>
                <w:color w:val="auto"/>
                <w:szCs w:val="21"/>
                <w:highlight w:val="none"/>
                <w:lang w:eastAsia="en-US"/>
              </w:rPr>
              <w:t>复</w:t>
            </w:r>
            <w:r>
              <w:rPr>
                <w:b/>
                <w:bCs/>
                <w:color w:val="auto"/>
                <w:spacing w:val="-92"/>
                <w:szCs w:val="21"/>
                <w:highlight w:val="none"/>
                <w:lang w:eastAsia="en-US"/>
              </w:rPr>
              <w:t xml:space="preserve"> </w:t>
            </w:r>
            <w:r>
              <w:rPr>
                <w:b/>
                <w:bCs/>
                <w:color w:val="auto"/>
                <w:szCs w:val="21"/>
                <w:highlight w:val="none"/>
                <w:lang w:eastAsia="en-US"/>
              </w:rPr>
              <w:t>总面积</w:t>
            </w:r>
          </w:p>
        </w:tc>
        <w:tc>
          <w:tcPr>
            <w:tcW w:w="2339" w:type="dxa"/>
            <w:vAlign w:val="center"/>
          </w:tcPr>
          <w:p>
            <w:pPr>
              <w:spacing w:before="172"/>
              <w:ind w:right="1"/>
              <w:jc w:val="center"/>
              <w:rPr>
                <w:color w:val="auto"/>
                <w:szCs w:val="21"/>
                <w:highlight w:val="none"/>
                <w:lang w:eastAsia="en-US"/>
              </w:rPr>
            </w:pPr>
            <w:r>
              <w:rPr>
                <w:color w:val="auto"/>
                <w:szCs w:val="21"/>
                <w:highlight w:val="none"/>
                <w:lang w:eastAsia="en-US"/>
              </w:rPr>
              <w:t>1630.34ha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exact"/>
        </w:trPr>
        <w:tc>
          <w:tcPr>
            <w:tcW w:w="941" w:type="dxa"/>
            <w:vMerge w:val="continue"/>
            <w:vAlign w:val="center"/>
          </w:tcPr>
          <w:p>
            <w:pPr>
              <w:tabs>
                <w:tab w:val="left" w:pos="423"/>
              </w:tabs>
              <w:jc w:val="left"/>
              <w:rPr>
                <w:color w:val="auto"/>
                <w:szCs w:val="21"/>
                <w:highlight w:val="none"/>
              </w:rPr>
            </w:pPr>
          </w:p>
        </w:tc>
        <w:tc>
          <w:tcPr>
            <w:tcW w:w="1237" w:type="dxa"/>
            <w:vMerge w:val="continue"/>
            <w:vAlign w:val="center"/>
          </w:tcPr>
          <w:p>
            <w:pPr>
              <w:spacing w:line="312" w:lineRule="exact"/>
              <w:ind w:left="98" w:right="96"/>
              <w:jc w:val="center"/>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5" w:lineRule="exact"/>
              <w:ind w:left="98"/>
              <w:jc w:val="left"/>
              <w:rPr>
                <w:color w:val="auto"/>
                <w:szCs w:val="21"/>
                <w:highlight w:val="none"/>
                <w:lang w:eastAsia="en-US"/>
              </w:rPr>
            </w:pPr>
            <w:r>
              <w:rPr>
                <w:b/>
                <w:bCs/>
                <w:color w:val="auto"/>
                <w:szCs w:val="21"/>
                <w:highlight w:val="none"/>
                <w:lang w:eastAsia="en-US"/>
              </w:rPr>
              <w:t>岸</w:t>
            </w:r>
            <w:r>
              <w:rPr>
                <w:b/>
                <w:bCs/>
                <w:color w:val="auto"/>
                <w:spacing w:val="-90"/>
                <w:szCs w:val="21"/>
                <w:highlight w:val="none"/>
                <w:lang w:eastAsia="en-US"/>
              </w:rPr>
              <w:t xml:space="preserve"> </w:t>
            </w:r>
            <w:r>
              <w:rPr>
                <w:b/>
                <w:bCs/>
                <w:color w:val="auto"/>
                <w:szCs w:val="21"/>
                <w:highlight w:val="none"/>
                <w:lang w:eastAsia="en-US"/>
              </w:rPr>
              <w:t>线</w:t>
            </w:r>
            <w:r>
              <w:rPr>
                <w:b/>
                <w:bCs/>
                <w:color w:val="auto"/>
                <w:spacing w:val="-90"/>
                <w:szCs w:val="21"/>
                <w:highlight w:val="none"/>
                <w:lang w:eastAsia="en-US"/>
              </w:rPr>
              <w:t xml:space="preserve"> </w:t>
            </w:r>
            <w:r>
              <w:rPr>
                <w:b/>
                <w:bCs/>
                <w:color w:val="auto"/>
                <w:szCs w:val="21"/>
                <w:highlight w:val="none"/>
                <w:lang w:eastAsia="en-US"/>
              </w:rPr>
              <w:t>整</w:t>
            </w:r>
            <w:r>
              <w:rPr>
                <w:b/>
                <w:bCs/>
                <w:color w:val="auto"/>
                <w:spacing w:val="-90"/>
                <w:szCs w:val="21"/>
                <w:highlight w:val="none"/>
                <w:lang w:eastAsia="en-US"/>
              </w:rPr>
              <w:t xml:space="preserve"> </w:t>
            </w:r>
            <w:r>
              <w:rPr>
                <w:b/>
                <w:bCs/>
                <w:color w:val="auto"/>
                <w:szCs w:val="21"/>
                <w:highlight w:val="none"/>
                <w:lang w:eastAsia="en-US"/>
              </w:rPr>
              <w:t>治</w:t>
            </w:r>
            <w:r>
              <w:rPr>
                <w:b/>
                <w:bCs/>
                <w:color w:val="auto"/>
                <w:spacing w:val="-90"/>
                <w:szCs w:val="21"/>
                <w:highlight w:val="none"/>
                <w:lang w:eastAsia="en-US"/>
              </w:rPr>
              <w:t xml:space="preserve"> </w:t>
            </w:r>
            <w:r>
              <w:rPr>
                <w:b/>
                <w:bCs/>
                <w:color w:val="auto"/>
                <w:szCs w:val="21"/>
                <w:highlight w:val="none"/>
                <w:lang w:eastAsia="en-US"/>
              </w:rPr>
              <w:t>修复</w:t>
            </w:r>
            <w:r>
              <w:rPr>
                <w:b/>
                <w:bCs/>
                <w:color w:val="auto"/>
                <w:spacing w:val="-92"/>
                <w:szCs w:val="21"/>
                <w:highlight w:val="none"/>
                <w:lang w:eastAsia="en-US"/>
              </w:rPr>
              <w:t xml:space="preserve"> </w:t>
            </w:r>
            <w:r>
              <w:rPr>
                <w:b/>
                <w:bCs/>
                <w:color w:val="auto"/>
                <w:szCs w:val="21"/>
                <w:highlight w:val="none"/>
                <w:lang w:eastAsia="en-US"/>
              </w:rPr>
              <w:t>长度</w:t>
            </w:r>
          </w:p>
        </w:tc>
        <w:tc>
          <w:tcPr>
            <w:tcW w:w="2339" w:type="dxa"/>
            <w:vAlign w:val="center"/>
          </w:tcPr>
          <w:p>
            <w:pPr>
              <w:spacing w:before="174"/>
              <w:ind w:right="3"/>
              <w:jc w:val="center"/>
              <w:rPr>
                <w:color w:val="auto"/>
                <w:szCs w:val="21"/>
                <w:highlight w:val="none"/>
                <w:lang w:eastAsia="en-US"/>
              </w:rPr>
            </w:pPr>
            <w:r>
              <w:rPr>
                <w:color w:val="auto"/>
                <w:szCs w:val="21"/>
                <w:highlight w:val="none"/>
                <w:lang w:eastAsia="en-US"/>
              </w:rPr>
              <w:t>2951.90m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exact"/>
        </w:trPr>
        <w:tc>
          <w:tcPr>
            <w:tcW w:w="941" w:type="dxa"/>
            <w:vMerge w:val="continue"/>
            <w:vAlign w:val="center"/>
          </w:tcPr>
          <w:p>
            <w:pPr>
              <w:tabs>
                <w:tab w:val="left" w:pos="423"/>
              </w:tabs>
              <w:jc w:val="left"/>
              <w:rPr>
                <w:color w:val="auto"/>
                <w:szCs w:val="21"/>
                <w:highlight w:val="none"/>
              </w:rPr>
            </w:pPr>
          </w:p>
        </w:tc>
        <w:tc>
          <w:tcPr>
            <w:tcW w:w="1237" w:type="dxa"/>
            <w:vMerge w:val="continue"/>
            <w:vAlign w:val="center"/>
          </w:tcPr>
          <w:p>
            <w:pPr>
              <w:spacing w:line="312" w:lineRule="exact"/>
              <w:ind w:left="98" w:right="96"/>
              <w:jc w:val="center"/>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5" w:lineRule="exact"/>
              <w:ind w:left="98"/>
              <w:jc w:val="left"/>
              <w:rPr>
                <w:color w:val="auto"/>
                <w:szCs w:val="21"/>
                <w:highlight w:val="none"/>
              </w:rPr>
            </w:pPr>
            <w:r>
              <w:rPr>
                <w:color w:val="auto"/>
                <w:spacing w:val="28"/>
                <w:szCs w:val="21"/>
                <w:highlight w:val="none"/>
              </w:rPr>
              <w:t>砂质岸线整治修</w:t>
            </w:r>
            <w:r>
              <w:rPr>
                <w:color w:val="auto"/>
                <w:szCs w:val="21"/>
                <w:highlight w:val="none"/>
              </w:rPr>
              <w:t>复长度</w:t>
            </w:r>
          </w:p>
        </w:tc>
        <w:tc>
          <w:tcPr>
            <w:tcW w:w="2339" w:type="dxa"/>
            <w:vAlign w:val="center"/>
          </w:tcPr>
          <w:p>
            <w:pPr>
              <w:spacing w:before="172"/>
              <w:ind w:right="1"/>
              <w:jc w:val="center"/>
              <w:rPr>
                <w:color w:val="auto"/>
                <w:szCs w:val="21"/>
                <w:highlight w:val="none"/>
                <w:lang w:eastAsia="en-US"/>
              </w:rPr>
            </w:pPr>
            <w:r>
              <w:rPr>
                <w:color w:val="auto"/>
                <w:szCs w:val="21"/>
                <w:highlight w:val="none"/>
                <w:lang w:eastAsia="en-US"/>
              </w:rPr>
              <w:t>1287m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exact"/>
        </w:trPr>
        <w:tc>
          <w:tcPr>
            <w:tcW w:w="941" w:type="dxa"/>
            <w:vMerge w:val="continue"/>
            <w:vAlign w:val="center"/>
          </w:tcPr>
          <w:p>
            <w:pPr>
              <w:tabs>
                <w:tab w:val="left" w:pos="423"/>
              </w:tabs>
              <w:jc w:val="left"/>
              <w:rPr>
                <w:color w:val="auto"/>
                <w:szCs w:val="21"/>
                <w:highlight w:val="none"/>
              </w:rPr>
            </w:pPr>
          </w:p>
        </w:tc>
        <w:tc>
          <w:tcPr>
            <w:tcW w:w="1237" w:type="dxa"/>
            <w:vMerge w:val="continue"/>
            <w:vAlign w:val="center"/>
          </w:tcPr>
          <w:p>
            <w:pPr>
              <w:spacing w:line="312" w:lineRule="exact"/>
              <w:ind w:left="98" w:right="96"/>
              <w:jc w:val="center"/>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7" w:lineRule="exact"/>
              <w:ind w:left="98"/>
              <w:jc w:val="left"/>
              <w:rPr>
                <w:color w:val="auto"/>
                <w:szCs w:val="21"/>
                <w:highlight w:val="none"/>
                <w:lang w:eastAsia="en-US"/>
              </w:rPr>
            </w:pPr>
            <w:r>
              <w:rPr>
                <w:color w:val="auto"/>
                <w:szCs w:val="21"/>
                <w:highlight w:val="none"/>
                <w:lang w:eastAsia="en-US"/>
              </w:rPr>
              <w:t>生态护岸长度</w:t>
            </w:r>
          </w:p>
        </w:tc>
        <w:tc>
          <w:tcPr>
            <w:tcW w:w="2339" w:type="dxa"/>
            <w:vAlign w:val="center"/>
          </w:tcPr>
          <w:p>
            <w:pPr>
              <w:spacing w:before="9"/>
              <w:ind w:right="3"/>
              <w:jc w:val="center"/>
              <w:rPr>
                <w:color w:val="auto"/>
                <w:szCs w:val="21"/>
                <w:highlight w:val="none"/>
                <w:lang w:eastAsia="en-US"/>
              </w:rPr>
            </w:pPr>
            <w:r>
              <w:rPr>
                <w:color w:val="auto"/>
                <w:szCs w:val="21"/>
                <w:highlight w:val="none"/>
                <w:lang w:eastAsia="en-US"/>
              </w:rPr>
              <w:t>1664.9m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5" w:lineRule="exact"/>
              <w:ind w:left="98"/>
              <w:jc w:val="left"/>
              <w:rPr>
                <w:color w:val="auto"/>
                <w:szCs w:val="21"/>
                <w:highlight w:val="none"/>
                <w:lang w:eastAsia="en-US"/>
              </w:rPr>
            </w:pPr>
            <w:r>
              <w:rPr>
                <w:color w:val="auto"/>
                <w:spacing w:val="28"/>
                <w:szCs w:val="21"/>
                <w:highlight w:val="none"/>
                <w:lang w:eastAsia="en-US"/>
              </w:rPr>
              <w:t>海岸侵蚀防护长</w:t>
            </w:r>
            <w:r>
              <w:rPr>
                <w:color w:val="auto"/>
                <w:spacing w:val="-87"/>
                <w:szCs w:val="21"/>
                <w:highlight w:val="none"/>
                <w:lang w:eastAsia="en-US"/>
              </w:rPr>
              <w:t xml:space="preserve"> </w:t>
            </w:r>
            <w:r>
              <w:rPr>
                <w:color w:val="auto"/>
                <w:szCs w:val="21"/>
                <w:highlight w:val="none"/>
                <w:lang w:eastAsia="en-US"/>
              </w:rPr>
              <w:t>度</w:t>
            </w:r>
          </w:p>
        </w:tc>
        <w:tc>
          <w:tcPr>
            <w:tcW w:w="2339" w:type="dxa"/>
            <w:vAlign w:val="center"/>
          </w:tcPr>
          <w:p>
            <w:pPr>
              <w:spacing w:before="174"/>
              <w:ind w:right="3"/>
              <w:jc w:val="center"/>
              <w:rPr>
                <w:color w:val="auto"/>
                <w:szCs w:val="21"/>
                <w:highlight w:val="none"/>
                <w:lang w:eastAsia="en-US"/>
              </w:rPr>
            </w:pPr>
            <w:r>
              <w:rPr>
                <w:color w:val="auto"/>
                <w:szCs w:val="21"/>
                <w:highlight w:val="none"/>
                <w:lang w:eastAsia="en-US"/>
              </w:rPr>
              <w:t>2951.9m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4" w:lineRule="exact"/>
              <w:ind w:left="98"/>
              <w:jc w:val="left"/>
              <w:rPr>
                <w:color w:val="auto"/>
                <w:szCs w:val="21"/>
                <w:highlight w:val="none"/>
              </w:rPr>
            </w:pPr>
            <w:r>
              <w:rPr>
                <w:b/>
                <w:bCs/>
                <w:color w:val="auto"/>
                <w:szCs w:val="21"/>
                <w:highlight w:val="none"/>
              </w:rPr>
              <w:t>滨</w:t>
            </w:r>
            <w:r>
              <w:rPr>
                <w:b/>
                <w:bCs/>
                <w:color w:val="auto"/>
                <w:spacing w:val="-90"/>
                <w:szCs w:val="21"/>
                <w:highlight w:val="none"/>
              </w:rPr>
              <w:t xml:space="preserve"> </w:t>
            </w:r>
            <w:r>
              <w:rPr>
                <w:b/>
                <w:bCs/>
                <w:color w:val="auto"/>
                <w:szCs w:val="21"/>
                <w:highlight w:val="none"/>
              </w:rPr>
              <w:t>海</w:t>
            </w:r>
            <w:r>
              <w:rPr>
                <w:b/>
                <w:bCs/>
                <w:color w:val="auto"/>
                <w:spacing w:val="-90"/>
                <w:szCs w:val="21"/>
                <w:highlight w:val="none"/>
              </w:rPr>
              <w:t xml:space="preserve"> </w:t>
            </w:r>
            <w:r>
              <w:rPr>
                <w:b/>
                <w:bCs/>
                <w:color w:val="auto"/>
                <w:szCs w:val="21"/>
                <w:highlight w:val="none"/>
              </w:rPr>
              <w:t>湿</w:t>
            </w:r>
            <w:r>
              <w:rPr>
                <w:b/>
                <w:bCs/>
                <w:color w:val="auto"/>
                <w:spacing w:val="-90"/>
                <w:szCs w:val="21"/>
                <w:highlight w:val="none"/>
              </w:rPr>
              <w:t xml:space="preserve"> </w:t>
            </w:r>
            <w:r>
              <w:rPr>
                <w:b/>
                <w:bCs/>
                <w:color w:val="auto"/>
                <w:szCs w:val="21"/>
                <w:highlight w:val="none"/>
              </w:rPr>
              <w:t>地</w:t>
            </w:r>
            <w:r>
              <w:rPr>
                <w:b/>
                <w:bCs/>
                <w:color w:val="auto"/>
                <w:spacing w:val="-90"/>
                <w:szCs w:val="21"/>
                <w:highlight w:val="none"/>
              </w:rPr>
              <w:t xml:space="preserve"> </w:t>
            </w:r>
            <w:r>
              <w:rPr>
                <w:b/>
                <w:bCs/>
                <w:color w:val="auto"/>
                <w:szCs w:val="21"/>
                <w:highlight w:val="none"/>
              </w:rPr>
              <w:t>整</w:t>
            </w:r>
            <w:r>
              <w:rPr>
                <w:b/>
                <w:bCs/>
                <w:color w:val="auto"/>
                <w:spacing w:val="-90"/>
                <w:szCs w:val="21"/>
                <w:highlight w:val="none"/>
              </w:rPr>
              <w:t xml:space="preserve"> </w:t>
            </w:r>
            <w:r>
              <w:rPr>
                <w:b/>
                <w:bCs/>
                <w:color w:val="auto"/>
                <w:szCs w:val="21"/>
                <w:highlight w:val="none"/>
              </w:rPr>
              <w:t>治</w:t>
            </w:r>
            <w:r>
              <w:rPr>
                <w:b/>
                <w:bCs/>
                <w:color w:val="auto"/>
                <w:spacing w:val="-92"/>
                <w:szCs w:val="21"/>
                <w:highlight w:val="none"/>
              </w:rPr>
              <w:t xml:space="preserve"> </w:t>
            </w:r>
            <w:r>
              <w:rPr>
                <w:b/>
                <w:bCs/>
                <w:color w:val="auto"/>
                <w:szCs w:val="21"/>
                <w:highlight w:val="none"/>
              </w:rPr>
              <w:t>修复面积</w:t>
            </w:r>
          </w:p>
        </w:tc>
        <w:tc>
          <w:tcPr>
            <w:tcW w:w="2339" w:type="dxa"/>
            <w:vAlign w:val="center"/>
          </w:tcPr>
          <w:p>
            <w:pPr>
              <w:spacing w:before="172"/>
              <w:ind w:right="1"/>
              <w:jc w:val="center"/>
              <w:rPr>
                <w:color w:val="auto"/>
                <w:szCs w:val="21"/>
                <w:highlight w:val="none"/>
                <w:lang w:eastAsia="en-US"/>
              </w:rPr>
            </w:pPr>
            <w:r>
              <w:rPr>
                <w:color w:val="auto"/>
                <w:szCs w:val="21"/>
                <w:highlight w:val="none"/>
                <w:lang w:eastAsia="en-US"/>
              </w:rPr>
              <w:t>1555.22ha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84" w:lineRule="exact"/>
              <w:ind w:left="98"/>
              <w:jc w:val="left"/>
              <w:rPr>
                <w:color w:val="auto"/>
                <w:szCs w:val="21"/>
                <w:highlight w:val="none"/>
              </w:rPr>
            </w:pPr>
            <w:r>
              <w:rPr>
                <w:color w:val="auto"/>
                <w:spacing w:val="16"/>
                <w:szCs w:val="21"/>
                <w:highlight w:val="none"/>
              </w:rPr>
              <w:t>保育修复芦苇/碱</w:t>
            </w:r>
            <w:r>
              <w:rPr>
                <w:color w:val="auto"/>
                <w:szCs w:val="21"/>
                <w:highlight w:val="none"/>
              </w:rPr>
              <w:t>蓬面积</w:t>
            </w:r>
          </w:p>
        </w:tc>
        <w:tc>
          <w:tcPr>
            <w:tcW w:w="2339" w:type="dxa"/>
            <w:vAlign w:val="center"/>
          </w:tcPr>
          <w:p>
            <w:pPr>
              <w:spacing w:before="174"/>
              <w:ind w:right="1"/>
              <w:jc w:val="center"/>
              <w:rPr>
                <w:color w:val="auto"/>
                <w:szCs w:val="21"/>
                <w:highlight w:val="none"/>
                <w:lang w:eastAsia="en-US"/>
              </w:rPr>
            </w:pPr>
            <w:r>
              <w:rPr>
                <w:color w:val="auto"/>
                <w:szCs w:val="21"/>
                <w:highlight w:val="none"/>
                <w:lang w:eastAsia="en-US"/>
              </w:rPr>
              <w:t>139.49ha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84" w:lineRule="exact"/>
              <w:ind w:left="98"/>
              <w:jc w:val="left"/>
              <w:rPr>
                <w:color w:val="auto"/>
                <w:szCs w:val="21"/>
                <w:highlight w:val="none"/>
                <w:lang w:eastAsia="en-US"/>
              </w:rPr>
            </w:pPr>
            <w:r>
              <w:rPr>
                <w:color w:val="auto"/>
                <w:spacing w:val="19"/>
                <w:szCs w:val="21"/>
                <w:highlight w:val="none"/>
                <w:lang w:eastAsia="en-US"/>
              </w:rPr>
              <w:t>新种植芦苇/碱蓬</w:t>
            </w:r>
            <w:r>
              <w:rPr>
                <w:color w:val="auto"/>
                <w:szCs w:val="21"/>
                <w:highlight w:val="none"/>
                <w:lang w:eastAsia="en-US"/>
              </w:rPr>
              <w:t>面积</w:t>
            </w:r>
          </w:p>
        </w:tc>
        <w:tc>
          <w:tcPr>
            <w:tcW w:w="2339" w:type="dxa"/>
            <w:vAlign w:val="center"/>
          </w:tcPr>
          <w:p>
            <w:pPr>
              <w:spacing w:before="174"/>
              <w:ind w:right="2"/>
              <w:jc w:val="center"/>
              <w:rPr>
                <w:color w:val="auto"/>
                <w:szCs w:val="21"/>
                <w:highlight w:val="none"/>
                <w:lang w:eastAsia="en-US"/>
              </w:rPr>
            </w:pPr>
            <w:r>
              <w:rPr>
                <w:color w:val="auto"/>
                <w:szCs w:val="21"/>
                <w:highlight w:val="none"/>
                <w:lang w:eastAsia="en-US"/>
              </w:rPr>
              <w:t>129.20ha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5" w:lineRule="exact"/>
              <w:ind w:left="98"/>
              <w:jc w:val="left"/>
              <w:rPr>
                <w:color w:val="auto"/>
                <w:szCs w:val="21"/>
                <w:highlight w:val="none"/>
                <w:lang w:eastAsia="en-US"/>
              </w:rPr>
            </w:pPr>
            <w:r>
              <w:rPr>
                <w:color w:val="auto"/>
                <w:spacing w:val="28"/>
                <w:szCs w:val="21"/>
                <w:highlight w:val="none"/>
                <w:lang w:eastAsia="en-US"/>
              </w:rPr>
              <w:t>底栖生物修复面</w:t>
            </w:r>
            <w:r>
              <w:rPr>
                <w:color w:val="auto"/>
                <w:szCs w:val="21"/>
                <w:highlight w:val="none"/>
                <w:lang w:eastAsia="en-US"/>
              </w:rPr>
              <w:t>积</w:t>
            </w:r>
          </w:p>
        </w:tc>
        <w:tc>
          <w:tcPr>
            <w:tcW w:w="2339" w:type="dxa"/>
            <w:vAlign w:val="center"/>
          </w:tcPr>
          <w:p>
            <w:pPr>
              <w:spacing w:before="172"/>
              <w:ind w:right="1"/>
              <w:jc w:val="center"/>
              <w:rPr>
                <w:color w:val="auto"/>
                <w:szCs w:val="21"/>
                <w:highlight w:val="none"/>
                <w:lang w:eastAsia="en-US"/>
              </w:rPr>
            </w:pPr>
            <w:r>
              <w:rPr>
                <w:color w:val="auto"/>
                <w:szCs w:val="21"/>
                <w:highlight w:val="none"/>
                <w:lang w:eastAsia="en-US"/>
              </w:rPr>
              <w:t>260.91ha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313" w:lineRule="exact"/>
              <w:ind w:left="98"/>
              <w:jc w:val="left"/>
              <w:rPr>
                <w:color w:val="auto"/>
                <w:szCs w:val="21"/>
                <w:highlight w:val="none"/>
                <w:lang w:eastAsia="en-US"/>
              </w:rPr>
            </w:pPr>
            <w:r>
              <w:rPr>
                <w:color w:val="auto"/>
                <w:szCs w:val="21"/>
                <w:highlight w:val="none"/>
                <w:lang w:eastAsia="en-US"/>
              </w:rPr>
              <w:t>浒苔防治面积</w:t>
            </w:r>
          </w:p>
        </w:tc>
        <w:tc>
          <w:tcPr>
            <w:tcW w:w="2339" w:type="dxa"/>
            <w:vAlign w:val="center"/>
          </w:tcPr>
          <w:p>
            <w:pPr>
              <w:spacing w:before="52"/>
              <w:ind w:right="1"/>
              <w:jc w:val="center"/>
              <w:rPr>
                <w:color w:val="auto"/>
                <w:szCs w:val="21"/>
                <w:highlight w:val="none"/>
                <w:lang w:eastAsia="en-US"/>
              </w:rPr>
            </w:pPr>
            <w:r>
              <w:rPr>
                <w:color w:val="auto"/>
                <w:szCs w:val="21"/>
                <w:highlight w:val="none"/>
                <w:lang w:eastAsia="en-US"/>
              </w:rPr>
              <w:t>1006.83ha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6" w:lineRule="exact"/>
              <w:ind w:left="98"/>
              <w:jc w:val="left"/>
              <w:rPr>
                <w:color w:val="auto"/>
                <w:szCs w:val="21"/>
                <w:highlight w:val="none"/>
                <w:lang w:eastAsia="en-US"/>
              </w:rPr>
            </w:pPr>
            <w:r>
              <w:rPr>
                <w:color w:val="auto"/>
                <w:szCs w:val="21"/>
                <w:highlight w:val="none"/>
                <w:lang w:eastAsia="en-US"/>
              </w:rPr>
              <w:t>潮沟疏通面积</w:t>
            </w:r>
          </w:p>
        </w:tc>
        <w:tc>
          <w:tcPr>
            <w:tcW w:w="2339" w:type="dxa"/>
            <w:vAlign w:val="center"/>
          </w:tcPr>
          <w:p>
            <w:pPr>
              <w:spacing w:before="18"/>
              <w:ind w:right="1"/>
              <w:jc w:val="center"/>
              <w:rPr>
                <w:color w:val="auto"/>
                <w:szCs w:val="21"/>
                <w:highlight w:val="none"/>
                <w:lang w:eastAsia="en-US"/>
              </w:rPr>
            </w:pPr>
            <w:r>
              <w:rPr>
                <w:color w:val="auto"/>
                <w:szCs w:val="21"/>
                <w:highlight w:val="none"/>
                <w:lang w:eastAsia="en-US"/>
              </w:rPr>
              <w:t>21.81ha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5" w:lineRule="exact"/>
              <w:ind w:left="98"/>
              <w:jc w:val="left"/>
              <w:rPr>
                <w:color w:val="auto"/>
                <w:szCs w:val="21"/>
                <w:highlight w:val="none"/>
                <w:lang w:eastAsia="en-US"/>
              </w:rPr>
            </w:pPr>
            <w:r>
              <w:rPr>
                <w:color w:val="auto"/>
                <w:spacing w:val="28"/>
                <w:szCs w:val="21"/>
                <w:highlight w:val="none"/>
                <w:lang w:eastAsia="en-US"/>
              </w:rPr>
              <w:t>海岸湿地修复面</w:t>
            </w:r>
            <w:r>
              <w:rPr>
                <w:color w:val="auto"/>
                <w:szCs w:val="21"/>
                <w:highlight w:val="none"/>
                <w:lang w:eastAsia="en-US"/>
              </w:rPr>
              <w:t>积</w:t>
            </w:r>
          </w:p>
        </w:tc>
        <w:tc>
          <w:tcPr>
            <w:tcW w:w="2339" w:type="dxa"/>
            <w:vAlign w:val="center"/>
          </w:tcPr>
          <w:p>
            <w:pPr>
              <w:spacing w:before="172"/>
              <w:ind w:right="1"/>
              <w:jc w:val="center"/>
              <w:rPr>
                <w:color w:val="auto"/>
                <w:szCs w:val="21"/>
                <w:highlight w:val="none"/>
                <w:lang w:eastAsia="en-US"/>
              </w:rPr>
            </w:pPr>
            <w:r>
              <w:rPr>
                <w:color w:val="auto"/>
                <w:szCs w:val="21"/>
                <w:highlight w:val="none"/>
                <w:lang w:eastAsia="en-US"/>
              </w:rPr>
              <w:t>69.87ha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4" w:lineRule="exact"/>
              <w:ind w:left="98"/>
              <w:jc w:val="left"/>
              <w:rPr>
                <w:color w:val="auto"/>
                <w:szCs w:val="21"/>
                <w:highlight w:val="none"/>
              </w:rPr>
            </w:pPr>
            <w:r>
              <w:rPr>
                <w:color w:val="auto"/>
                <w:spacing w:val="28"/>
                <w:szCs w:val="21"/>
                <w:highlight w:val="none"/>
              </w:rPr>
              <w:t>设置海洋生态状况调查监测站点</w:t>
            </w:r>
            <w:r>
              <w:rPr>
                <w:color w:val="auto"/>
                <w:szCs w:val="21"/>
                <w:highlight w:val="none"/>
              </w:rPr>
              <w:t>数量</w:t>
            </w:r>
          </w:p>
        </w:tc>
        <w:tc>
          <w:tcPr>
            <w:tcW w:w="2339" w:type="dxa"/>
            <w:vAlign w:val="center"/>
          </w:tcPr>
          <w:p>
            <w:pPr>
              <w:ind w:right="2"/>
              <w:jc w:val="center"/>
              <w:rPr>
                <w:color w:val="auto"/>
                <w:szCs w:val="21"/>
                <w:highlight w:val="none"/>
                <w:lang w:eastAsia="en-US"/>
              </w:rPr>
            </w:pPr>
            <w:r>
              <w:rPr>
                <w:color w:val="auto"/>
                <w:szCs w:val="21"/>
                <w:highlight w:val="none"/>
                <w:lang w:eastAsia="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5" w:lineRule="exact"/>
              <w:ind w:left="98"/>
              <w:jc w:val="left"/>
              <w:rPr>
                <w:color w:val="auto"/>
                <w:szCs w:val="21"/>
                <w:highlight w:val="none"/>
              </w:rPr>
            </w:pPr>
            <w:r>
              <w:rPr>
                <w:color w:val="auto"/>
                <w:spacing w:val="28"/>
                <w:szCs w:val="21"/>
                <w:highlight w:val="none"/>
              </w:rPr>
              <w:t>完成海洋生态状</w:t>
            </w:r>
            <w:r>
              <w:rPr>
                <w:color w:val="auto"/>
                <w:szCs w:val="21"/>
                <w:highlight w:val="none"/>
              </w:rPr>
              <w:t>况调查</w:t>
            </w:r>
          </w:p>
        </w:tc>
        <w:tc>
          <w:tcPr>
            <w:tcW w:w="2339" w:type="dxa"/>
            <w:vAlign w:val="center"/>
          </w:tcPr>
          <w:p>
            <w:pPr>
              <w:spacing w:before="118"/>
              <w:ind w:right="2"/>
              <w:jc w:val="center"/>
              <w:rPr>
                <w:color w:val="auto"/>
                <w:szCs w:val="21"/>
                <w:highlight w:val="none"/>
                <w:lang w:eastAsia="en-US"/>
              </w:rPr>
            </w:pPr>
            <w:r>
              <w:rPr>
                <w:color w:val="auto"/>
                <w:szCs w:val="21"/>
                <w:highlight w:val="none"/>
                <w:lang w:eastAsia="en-US"/>
              </w:rPr>
              <w:t>≥4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restart"/>
            <w:vAlign w:val="center"/>
          </w:tcPr>
          <w:p>
            <w:pPr>
              <w:ind w:left="98"/>
              <w:jc w:val="left"/>
              <w:rPr>
                <w:color w:val="auto"/>
                <w:szCs w:val="21"/>
                <w:highlight w:val="none"/>
                <w:lang w:eastAsia="en-US"/>
              </w:rPr>
            </w:pPr>
            <w:r>
              <w:rPr>
                <w:color w:val="auto"/>
                <w:szCs w:val="21"/>
                <w:highlight w:val="none"/>
                <w:lang w:eastAsia="en-US"/>
              </w:rPr>
              <w:t>质量指标</w:t>
            </w:r>
          </w:p>
        </w:tc>
        <w:tc>
          <w:tcPr>
            <w:tcW w:w="2534" w:type="dxa"/>
            <w:vAlign w:val="center"/>
          </w:tcPr>
          <w:p>
            <w:pPr>
              <w:spacing w:line="276" w:lineRule="exact"/>
              <w:ind w:left="98"/>
              <w:jc w:val="left"/>
              <w:rPr>
                <w:color w:val="auto"/>
                <w:szCs w:val="21"/>
                <w:highlight w:val="none"/>
                <w:lang w:eastAsia="en-US"/>
              </w:rPr>
            </w:pPr>
            <w:r>
              <w:rPr>
                <w:color w:val="auto"/>
                <w:szCs w:val="21"/>
                <w:highlight w:val="none"/>
                <w:lang w:eastAsia="en-US"/>
              </w:rPr>
              <w:t>工程质量合格率</w:t>
            </w:r>
          </w:p>
        </w:tc>
        <w:tc>
          <w:tcPr>
            <w:tcW w:w="2339" w:type="dxa"/>
            <w:vAlign w:val="center"/>
          </w:tcPr>
          <w:p>
            <w:pPr>
              <w:spacing w:before="16"/>
              <w:ind w:right="2"/>
              <w:jc w:val="center"/>
              <w:rPr>
                <w:color w:val="auto"/>
                <w:szCs w:val="21"/>
                <w:highlight w:val="none"/>
                <w:lang w:eastAsia="en-US"/>
              </w:rPr>
            </w:pPr>
            <w:r>
              <w:rPr>
                <w:color w:val="auto"/>
                <w:szCs w:val="21"/>
                <w:highlight w:val="none"/>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83" w:lineRule="exact"/>
              <w:ind w:left="98"/>
              <w:jc w:val="left"/>
              <w:rPr>
                <w:color w:val="auto"/>
                <w:szCs w:val="21"/>
                <w:highlight w:val="none"/>
                <w:lang w:eastAsia="en-US"/>
              </w:rPr>
            </w:pPr>
            <w:r>
              <w:rPr>
                <w:color w:val="auto"/>
                <w:spacing w:val="19"/>
                <w:szCs w:val="21"/>
                <w:highlight w:val="none"/>
                <w:lang w:eastAsia="en-US"/>
              </w:rPr>
              <w:t>芦苇/碱蓬种植成</w:t>
            </w:r>
            <w:r>
              <w:rPr>
                <w:color w:val="auto"/>
                <w:szCs w:val="21"/>
                <w:highlight w:val="none"/>
                <w:lang w:eastAsia="en-US"/>
              </w:rPr>
              <w:t>活率</w:t>
            </w:r>
          </w:p>
        </w:tc>
        <w:tc>
          <w:tcPr>
            <w:tcW w:w="2339" w:type="dxa"/>
            <w:vAlign w:val="center"/>
          </w:tcPr>
          <w:p>
            <w:pPr>
              <w:spacing w:before="172"/>
              <w:ind w:right="2"/>
              <w:jc w:val="center"/>
              <w:rPr>
                <w:color w:val="auto"/>
                <w:szCs w:val="21"/>
                <w:highlight w:val="none"/>
                <w:lang w:eastAsia="en-US"/>
              </w:rPr>
            </w:pPr>
            <w:r>
              <w:rPr>
                <w:color w:val="auto"/>
                <w:szCs w:val="21"/>
                <w:highlight w:val="none"/>
                <w:lang w:eastAsia="en-US"/>
              </w:rPr>
              <w:t>≥50 %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5" w:lineRule="exact"/>
              <w:ind w:left="98"/>
              <w:jc w:val="left"/>
              <w:rPr>
                <w:color w:val="auto"/>
                <w:szCs w:val="21"/>
                <w:highlight w:val="none"/>
              </w:rPr>
            </w:pPr>
            <w:r>
              <w:rPr>
                <w:color w:val="auto"/>
                <w:spacing w:val="28"/>
                <w:szCs w:val="21"/>
                <w:highlight w:val="none"/>
              </w:rPr>
              <w:t>盐沼生态状况综</w:t>
            </w:r>
            <w:r>
              <w:rPr>
                <w:color w:val="auto"/>
                <w:szCs w:val="21"/>
                <w:highlight w:val="none"/>
              </w:rPr>
              <w:t>合评估等级</w:t>
            </w:r>
          </w:p>
        </w:tc>
        <w:tc>
          <w:tcPr>
            <w:tcW w:w="2339" w:type="dxa"/>
            <w:vAlign w:val="center"/>
          </w:tcPr>
          <w:p>
            <w:pPr>
              <w:spacing w:before="118"/>
              <w:ind w:right="3"/>
              <w:jc w:val="center"/>
              <w:rPr>
                <w:color w:val="auto"/>
                <w:szCs w:val="21"/>
                <w:highlight w:val="none"/>
                <w:lang w:eastAsia="en-US"/>
              </w:rPr>
            </w:pPr>
            <w:r>
              <w:rPr>
                <w:color w:val="auto"/>
                <w:szCs w:val="21"/>
                <w:highlight w:val="none"/>
                <w:lang w:eastAsia="en-US"/>
              </w:rPr>
              <w:t>I</w:t>
            </w:r>
            <w:r>
              <w:rPr>
                <w:color w:val="auto"/>
                <w:spacing w:val="-4"/>
                <w:szCs w:val="21"/>
                <w:highlight w:val="none"/>
                <w:lang w:eastAsia="en-US"/>
              </w:rPr>
              <w:t xml:space="preserve"> </w:t>
            </w:r>
            <w:r>
              <w:rPr>
                <w:color w:val="auto"/>
                <w:szCs w:val="21"/>
                <w:highlight w:val="none"/>
                <w:lang w:eastAsia="en-U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Align w:val="center"/>
          </w:tcPr>
          <w:p>
            <w:pPr>
              <w:spacing w:line="276" w:lineRule="exact"/>
              <w:ind w:left="98"/>
              <w:jc w:val="left"/>
              <w:rPr>
                <w:color w:val="auto"/>
                <w:szCs w:val="21"/>
                <w:highlight w:val="none"/>
                <w:lang w:eastAsia="en-US"/>
              </w:rPr>
            </w:pPr>
            <w:r>
              <w:rPr>
                <w:color w:val="auto"/>
                <w:szCs w:val="21"/>
                <w:highlight w:val="none"/>
                <w:lang w:eastAsia="en-US"/>
              </w:rPr>
              <w:t>时效指标</w:t>
            </w:r>
          </w:p>
        </w:tc>
        <w:tc>
          <w:tcPr>
            <w:tcW w:w="2534" w:type="dxa"/>
            <w:vAlign w:val="center"/>
          </w:tcPr>
          <w:p>
            <w:pPr>
              <w:spacing w:line="276" w:lineRule="exact"/>
              <w:ind w:left="98"/>
              <w:jc w:val="left"/>
              <w:rPr>
                <w:color w:val="auto"/>
                <w:szCs w:val="21"/>
                <w:highlight w:val="none"/>
                <w:lang w:eastAsia="en-US"/>
              </w:rPr>
            </w:pPr>
            <w:r>
              <w:rPr>
                <w:color w:val="auto"/>
                <w:szCs w:val="21"/>
                <w:highlight w:val="none"/>
                <w:lang w:eastAsia="en-US"/>
              </w:rPr>
              <w:t>项目按时完成率</w:t>
            </w:r>
          </w:p>
        </w:tc>
        <w:tc>
          <w:tcPr>
            <w:tcW w:w="2339" w:type="dxa"/>
            <w:vAlign w:val="center"/>
          </w:tcPr>
          <w:p>
            <w:pPr>
              <w:spacing w:before="18"/>
              <w:ind w:right="2"/>
              <w:jc w:val="center"/>
              <w:rPr>
                <w:color w:val="auto"/>
                <w:szCs w:val="21"/>
                <w:highlight w:val="none"/>
                <w:lang w:eastAsia="en-US"/>
              </w:rPr>
            </w:pPr>
            <w:r>
              <w:rPr>
                <w:color w:val="auto"/>
                <w:szCs w:val="21"/>
                <w:highlight w:val="none"/>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restart"/>
            <w:vAlign w:val="center"/>
          </w:tcPr>
          <w:p>
            <w:pPr>
              <w:ind w:left="98"/>
              <w:jc w:val="left"/>
              <w:rPr>
                <w:color w:val="auto"/>
                <w:szCs w:val="21"/>
                <w:highlight w:val="none"/>
                <w:lang w:eastAsia="en-US"/>
              </w:rPr>
            </w:pPr>
            <w:r>
              <w:rPr>
                <w:color w:val="auto"/>
                <w:szCs w:val="21"/>
                <w:highlight w:val="none"/>
                <w:lang w:eastAsia="en-US"/>
              </w:rPr>
              <w:t>成本指标</w:t>
            </w:r>
          </w:p>
        </w:tc>
        <w:tc>
          <w:tcPr>
            <w:tcW w:w="2534" w:type="dxa"/>
            <w:vAlign w:val="center"/>
          </w:tcPr>
          <w:p>
            <w:pPr>
              <w:spacing w:line="275" w:lineRule="exact"/>
              <w:ind w:left="98"/>
              <w:jc w:val="left"/>
              <w:rPr>
                <w:color w:val="auto"/>
                <w:szCs w:val="21"/>
                <w:highlight w:val="none"/>
                <w:lang w:eastAsia="en-US"/>
              </w:rPr>
            </w:pPr>
            <w:r>
              <w:rPr>
                <w:color w:val="auto"/>
                <w:spacing w:val="28"/>
                <w:szCs w:val="21"/>
                <w:highlight w:val="none"/>
                <w:lang w:eastAsia="en-US"/>
              </w:rPr>
              <w:t>生态护岸生态化</w:t>
            </w:r>
            <w:r>
              <w:rPr>
                <w:color w:val="auto"/>
                <w:spacing w:val="-87"/>
                <w:szCs w:val="21"/>
                <w:highlight w:val="none"/>
                <w:lang w:eastAsia="en-US"/>
              </w:rPr>
              <w:t xml:space="preserve"> </w:t>
            </w:r>
            <w:r>
              <w:rPr>
                <w:color w:val="auto"/>
                <w:szCs w:val="21"/>
                <w:highlight w:val="none"/>
                <w:lang w:eastAsia="en-US"/>
              </w:rPr>
              <w:t>改造</w:t>
            </w:r>
          </w:p>
        </w:tc>
        <w:tc>
          <w:tcPr>
            <w:tcW w:w="2339" w:type="dxa"/>
            <w:vAlign w:val="center"/>
          </w:tcPr>
          <w:p>
            <w:pPr>
              <w:spacing w:before="118"/>
              <w:ind w:right="2"/>
              <w:jc w:val="center"/>
              <w:rPr>
                <w:color w:val="auto"/>
                <w:szCs w:val="21"/>
                <w:highlight w:val="none"/>
                <w:lang w:eastAsia="en-US"/>
              </w:rPr>
            </w:pPr>
            <w:r>
              <w:rPr>
                <w:color w:val="auto"/>
                <w:szCs w:val="21"/>
                <w:highlight w:val="none"/>
                <w:lang w:eastAsia="en-US"/>
              </w:rPr>
              <w:t>≤1 万元/m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305" w:lineRule="exact"/>
              <w:ind w:left="98"/>
              <w:jc w:val="left"/>
              <w:rPr>
                <w:color w:val="auto"/>
                <w:szCs w:val="21"/>
                <w:highlight w:val="none"/>
                <w:lang w:eastAsia="en-US"/>
              </w:rPr>
            </w:pPr>
            <w:r>
              <w:rPr>
                <w:color w:val="auto"/>
                <w:szCs w:val="21"/>
                <w:highlight w:val="none"/>
                <w:lang w:eastAsia="en-US"/>
              </w:rPr>
              <w:t>盐沼植被种植</w:t>
            </w:r>
          </w:p>
        </w:tc>
        <w:tc>
          <w:tcPr>
            <w:tcW w:w="2339" w:type="dxa"/>
            <w:vAlign w:val="center"/>
          </w:tcPr>
          <w:p>
            <w:pPr>
              <w:spacing w:line="323" w:lineRule="exact"/>
              <w:ind w:right="2"/>
              <w:jc w:val="center"/>
              <w:rPr>
                <w:color w:val="auto"/>
                <w:szCs w:val="21"/>
                <w:highlight w:val="none"/>
                <w:lang w:eastAsia="en-US"/>
              </w:rPr>
            </w:pPr>
            <w:r>
              <w:rPr>
                <w:color w:val="auto"/>
                <w:szCs w:val="21"/>
                <w:highlight w:val="none"/>
                <w:lang w:eastAsia="en-US"/>
              </w:rPr>
              <w:t>≤60 万元/ha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restart"/>
            <w:vAlign w:val="center"/>
          </w:tcPr>
          <w:p>
            <w:pPr>
              <w:ind w:left="98"/>
              <w:jc w:val="left"/>
              <w:rPr>
                <w:color w:val="auto"/>
                <w:szCs w:val="21"/>
                <w:highlight w:val="none"/>
                <w:lang w:eastAsia="en-US"/>
              </w:rPr>
            </w:pPr>
            <w:r>
              <w:rPr>
                <w:color w:val="auto"/>
                <w:szCs w:val="21"/>
                <w:highlight w:val="none"/>
                <w:lang w:eastAsia="en-US"/>
              </w:rPr>
              <w:t>效益指标</w:t>
            </w:r>
          </w:p>
        </w:tc>
        <w:tc>
          <w:tcPr>
            <w:tcW w:w="1370" w:type="dxa"/>
            <w:vAlign w:val="center"/>
          </w:tcPr>
          <w:p>
            <w:pPr>
              <w:spacing w:line="275" w:lineRule="exact"/>
              <w:ind w:left="98"/>
              <w:jc w:val="left"/>
              <w:rPr>
                <w:color w:val="auto"/>
                <w:szCs w:val="21"/>
                <w:highlight w:val="none"/>
                <w:lang w:eastAsia="en-US"/>
              </w:rPr>
            </w:pPr>
            <w:r>
              <w:rPr>
                <w:color w:val="auto"/>
                <w:spacing w:val="48"/>
                <w:szCs w:val="21"/>
                <w:highlight w:val="none"/>
                <w:lang w:eastAsia="en-US"/>
              </w:rPr>
              <w:t>社会效益</w:t>
            </w:r>
            <w:r>
              <w:rPr>
                <w:color w:val="auto"/>
                <w:szCs w:val="21"/>
                <w:highlight w:val="none"/>
                <w:lang w:eastAsia="en-US"/>
              </w:rPr>
              <w:t>指标</w:t>
            </w:r>
          </w:p>
        </w:tc>
        <w:tc>
          <w:tcPr>
            <w:tcW w:w="2534" w:type="dxa"/>
            <w:vAlign w:val="center"/>
          </w:tcPr>
          <w:p>
            <w:pPr>
              <w:spacing w:line="275" w:lineRule="exact"/>
              <w:ind w:left="98"/>
              <w:jc w:val="left"/>
              <w:rPr>
                <w:color w:val="auto"/>
                <w:szCs w:val="21"/>
                <w:highlight w:val="none"/>
                <w:lang w:eastAsia="en-US"/>
              </w:rPr>
            </w:pPr>
            <w:r>
              <w:rPr>
                <w:color w:val="auto"/>
                <w:spacing w:val="28"/>
                <w:szCs w:val="21"/>
                <w:highlight w:val="none"/>
                <w:lang w:eastAsia="en-US"/>
              </w:rPr>
              <w:t>海洋防灾减灾能</w:t>
            </w:r>
            <w:r>
              <w:rPr>
                <w:color w:val="auto"/>
                <w:szCs w:val="21"/>
                <w:highlight w:val="none"/>
                <w:lang w:eastAsia="en-US"/>
              </w:rPr>
              <w:t>力</w:t>
            </w:r>
          </w:p>
        </w:tc>
        <w:tc>
          <w:tcPr>
            <w:tcW w:w="2339" w:type="dxa"/>
            <w:vAlign w:val="center"/>
          </w:tcPr>
          <w:p>
            <w:pPr>
              <w:spacing w:before="118"/>
              <w:ind w:right="2"/>
              <w:jc w:val="center"/>
              <w:rPr>
                <w:color w:val="auto"/>
                <w:szCs w:val="21"/>
                <w:highlight w:val="none"/>
                <w:lang w:eastAsia="en-US"/>
              </w:rPr>
            </w:pPr>
            <w:r>
              <w:rPr>
                <w:color w:val="auto"/>
                <w:szCs w:val="21"/>
                <w:highlight w:val="none"/>
                <w:lang w:eastAsia="en-US"/>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restart"/>
            <w:vAlign w:val="center"/>
          </w:tcPr>
          <w:p>
            <w:pPr>
              <w:spacing w:before="205" w:line="310" w:lineRule="exact"/>
              <w:ind w:left="98" w:right="31"/>
              <w:jc w:val="left"/>
              <w:rPr>
                <w:color w:val="auto"/>
                <w:szCs w:val="21"/>
                <w:highlight w:val="none"/>
                <w:lang w:eastAsia="en-US"/>
              </w:rPr>
            </w:pPr>
            <w:r>
              <w:rPr>
                <w:color w:val="auto"/>
                <w:spacing w:val="48"/>
                <w:szCs w:val="21"/>
                <w:highlight w:val="none"/>
                <w:lang w:eastAsia="en-US"/>
              </w:rPr>
              <w:t>生态效益</w:t>
            </w:r>
            <w:r>
              <w:rPr>
                <w:color w:val="auto"/>
                <w:szCs w:val="21"/>
                <w:highlight w:val="none"/>
                <w:lang w:eastAsia="en-US"/>
              </w:rPr>
              <w:t>指标</w:t>
            </w:r>
          </w:p>
        </w:tc>
        <w:tc>
          <w:tcPr>
            <w:tcW w:w="2534" w:type="dxa"/>
            <w:vAlign w:val="center"/>
          </w:tcPr>
          <w:p>
            <w:pPr>
              <w:spacing w:line="275" w:lineRule="exact"/>
              <w:ind w:left="98"/>
              <w:jc w:val="left"/>
              <w:rPr>
                <w:color w:val="auto"/>
                <w:szCs w:val="21"/>
                <w:highlight w:val="none"/>
                <w:lang w:eastAsia="en-US"/>
              </w:rPr>
            </w:pPr>
            <w:r>
              <w:rPr>
                <w:color w:val="auto"/>
                <w:spacing w:val="28"/>
                <w:szCs w:val="21"/>
                <w:highlight w:val="none"/>
                <w:lang w:eastAsia="en-US"/>
              </w:rPr>
              <w:t>滨海盐沼修复区</w:t>
            </w:r>
            <w:r>
              <w:rPr>
                <w:color w:val="auto"/>
                <w:szCs w:val="21"/>
                <w:highlight w:val="none"/>
                <w:lang w:eastAsia="en-US"/>
              </w:rPr>
              <w:t>盖度</w:t>
            </w:r>
          </w:p>
        </w:tc>
        <w:tc>
          <w:tcPr>
            <w:tcW w:w="2339" w:type="dxa"/>
            <w:vAlign w:val="center"/>
          </w:tcPr>
          <w:p>
            <w:pPr>
              <w:spacing w:before="172"/>
              <w:ind w:right="2"/>
              <w:jc w:val="center"/>
              <w:rPr>
                <w:color w:val="auto"/>
                <w:szCs w:val="21"/>
                <w:highlight w:val="none"/>
                <w:lang w:eastAsia="en-US"/>
              </w:rPr>
            </w:pPr>
            <w:r>
              <w:rPr>
                <w:color w:val="auto"/>
                <w:szCs w:val="21"/>
                <w:highlight w:val="none"/>
                <w:lang w:eastAsia="en-US"/>
              </w:rPr>
              <w:t>≥80 %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5" w:lineRule="exact"/>
              <w:ind w:left="98"/>
              <w:jc w:val="left"/>
              <w:rPr>
                <w:color w:val="auto"/>
                <w:szCs w:val="21"/>
                <w:highlight w:val="none"/>
              </w:rPr>
            </w:pPr>
            <w:r>
              <w:rPr>
                <w:color w:val="auto"/>
                <w:spacing w:val="28"/>
                <w:szCs w:val="21"/>
                <w:highlight w:val="none"/>
              </w:rPr>
              <w:t>盐沼生态系统面</w:t>
            </w:r>
            <w:r>
              <w:rPr>
                <w:color w:val="auto"/>
                <w:spacing w:val="-87"/>
                <w:szCs w:val="21"/>
                <w:highlight w:val="none"/>
              </w:rPr>
              <w:t xml:space="preserve"> </w:t>
            </w:r>
            <w:r>
              <w:rPr>
                <w:color w:val="auto"/>
                <w:szCs w:val="21"/>
                <w:highlight w:val="none"/>
              </w:rPr>
              <w:t>积增加率</w:t>
            </w:r>
          </w:p>
        </w:tc>
        <w:tc>
          <w:tcPr>
            <w:tcW w:w="2339" w:type="dxa"/>
            <w:vAlign w:val="center"/>
          </w:tcPr>
          <w:p>
            <w:pPr>
              <w:spacing w:before="172"/>
              <w:ind w:right="2"/>
              <w:jc w:val="center"/>
              <w:rPr>
                <w:color w:val="auto"/>
                <w:szCs w:val="21"/>
                <w:highlight w:val="none"/>
                <w:lang w:eastAsia="en-US"/>
              </w:rPr>
            </w:pPr>
            <w:r>
              <w:rPr>
                <w:color w:val="auto"/>
                <w:szCs w:val="21"/>
                <w:highlight w:val="none"/>
                <w:lang w:eastAsia="en-US"/>
              </w:rPr>
              <w:t>≥50 %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6" w:lineRule="exact"/>
              <w:ind w:left="98"/>
              <w:jc w:val="left"/>
              <w:rPr>
                <w:color w:val="auto"/>
                <w:szCs w:val="21"/>
                <w:highlight w:val="none"/>
                <w:lang w:eastAsia="en-US"/>
              </w:rPr>
            </w:pPr>
            <w:r>
              <w:rPr>
                <w:color w:val="auto"/>
                <w:szCs w:val="21"/>
                <w:highlight w:val="none"/>
                <w:lang w:eastAsia="en-US"/>
              </w:rPr>
              <w:t>盐沼碳汇能力</w:t>
            </w:r>
          </w:p>
        </w:tc>
        <w:tc>
          <w:tcPr>
            <w:tcW w:w="2339" w:type="dxa"/>
            <w:vAlign w:val="center"/>
          </w:tcPr>
          <w:p>
            <w:pPr>
              <w:spacing w:line="276" w:lineRule="exact"/>
              <w:ind w:right="2"/>
              <w:jc w:val="center"/>
              <w:rPr>
                <w:color w:val="auto"/>
                <w:szCs w:val="21"/>
                <w:highlight w:val="none"/>
                <w:lang w:eastAsia="en-US"/>
              </w:rPr>
            </w:pPr>
            <w:r>
              <w:rPr>
                <w:color w:val="auto"/>
                <w:szCs w:val="21"/>
                <w:highlight w:val="none"/>
                <w:lang w:eastAsia="en-US"/>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restart"/>
            <w:vAlign w:val="center"/>
          </w:tcPr>
          <w:p>
            <w:pPr>
              <w:spacing w:line="312" w:lineRule="exact"/>
              <w:ind w:left="98" w:right="31"/>
              <w:jc w:val="left"/>
              <w:rPr>
                <w:color w:val="auto"/>
                <w:szCs w:val="21"/>
                <w:highlight w:val="none"/>
                <w:lang w:eastAsia="en-US"/>
              </w:rPr>
            </w:pPr>
            <w:r>
              <w:rPr>
                <w:color w:val="auto"/>
                <w:spacing w:val="48"/>
                <w:szCs w:val="21"/>
                <w:highlight w:val="none"/>
                <w:lang w:eastAsia="en-US"/>
              </w:rPr>
              <w:t>可持续影</w:t>
            </w:r>
            <w:r>
              <w:rPr>
                <w:color w:val="auto"/>
                <w:szCs w:val="21"/>
                <w:highlight w:val="none"/>
                <w:lang w:eastAsia="en-US"/>
              </w:rPr>
              <w:t>响指标</w:t>
            </w:r>
          </w:p>
        </w:tc>
        <w:tc>
          <w:tcPr>
            <w:tcW w:w="2534" w:type="dxa"/>
            <w:vAlign w:val="center"/>
          </w:tcPr>
          <w:p>
            <w:pPr>
              <w:spacing w:line="275" w:lineRule="exact"/>
              <w:ind w:left="98"/>
              <w:jc w:val="left"/>
              <w:rPr>
                <w:color w:val="auto"/>
                <w:szCs w:val="21"/>
                <w:highlight w:val="none"/>
                <w:lang w:eastAsia="en-US"/>
              </w:rPr>
            </w:pPr>
            <w:r>
              <w:rPr>
                <w:color w:val="auto"/>
                <w:spacing w:val="28"/>
                <w:szCs w:val="21"/>
                <w:highlight w:val="none"/>
                <w:lang w:eastAsia="en-US"/>
              </w:rPr>
              <w:t>盐沼生态系统稳</w:t>
            </w:r>
            <w:r>
              <w:rPr>
                <w:color w:val="auto"/>
                <w:spacing w:val="-87"/>
                <w:szCs w:val="21"/>
                <w:highlight w:val="none"/>
                <w:lang w:eastAsia="en-US"/>
              </w:rPr>
              <w:t xml:space="preserve"> </w:t>
            </w:r>
            <w:r>
              <w:rPr>
                <w:color w:val="auto"/>
                <w:szCs w:val="21"/>
                <w:highlight w:val="none"/>
                <w:lang w:eastAsia="en-US"/>
              </w:rPr>
              <w:t>定性</w:t>
            </w:r>
          </w:p>
        </w:tc>
        <w:tc>
          <w:tcPr>
            <w:tcW w:w="2339" w:type="dxa"/>
            <w:vAlign w:val="center"/>
          </w:tcPr>
          <w:p>
            <w:pPr>
              <w:spacing w:before="118"/>
              <w:jc w:val="center"/>
              <w:rPr>
                <w:color w:val="auto"/>
                <w:szCs w:val="21"/>
                <w:highlight w:val="none"/>
                <w:lang w:eastAsia="en-US"/>
              </w:rPr>
            </w:pPr>
            <w:r>
              <w:rPr>
                <w:color w:val="auto"/>
                <w:szCs w:val="21"/>
                <w:highlight w:val="none"/>
                <w:lang w:eastAsia="en-US"/>
              </w:rPr>
              <w:t>≥10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5" w:lineRule="exact"/>
              <w:ind w:left="98"/>
              <w:jc w:val="left"/>
              <w:rPr>
                <w:color w:val="auto"/>
                <w:szCs w:val="21"/>
                <w:highlight w:val="none"/>
              </w:rPr>
            </w:pPr>
            <w:r>
              <w:rPr>
                <w:color w:val="auto"/>
                <w:spacing w:val="28"/>
                <w:szCs w:val="21"/>
                <w:highlight w:val="none"/>
              </w:rPr>
              <w:t>砂质海岸生态系</w:t>
            </w:r>
            <w:r>
              <w:rPr>
                <w:color w:val="auto"/>
                <w:spacing w:val="-87"/>
                <w:szCs w:val="21"/>
                <w:highlight w:val="none"/>
              </w:rPr>
              <w:t xml:space="preserve"> </w:t>
            </w:r>
            <w:r>
              <w:rPr>
                <w:color w:val="auto"/>
                <w:szCs w:val="21"/>
                <w:highlight w:val="none"/>
              </w:rPr>
              <w:t>统稳定性</w:t>
            </w:r>
          </w:p>
        </w:tc>
        <w:tc>
          <w:tcPr>
            <w:tcW w:w="2339" w:type="dxa"/>
            <w:vAlign w:val="center"/>
          </w:tcPr>
          <w:p>
            <w:pPr>
              <w:spacing w:before="118"/>
              <w:jc w:val="center"/>
              <w:rPr>
                <w:color w:val="auto"/>
                <w:szCs w:val="21"/>
                <w:highlight w:val="none"/>
                <w:lang w:eastAsia="en-US"/>
              </w:rPr>
            </w:pPr>
            <w:r>
              <w:rPr>
                <w:color w:val="auto"/>
                <w:szCs w:val="21"/>
                <w:highlight w:val="none"/>
                <w:lang w:eastAsia="en-US"/>
              </w:rPr>
              <w:t>≥8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exact"/>
        </w:trPr>
        <w:tc>
          <w:tcPr>
            <w:tcW w:w="941" w:type="dxa"/>
            <w:vMerge w:val="continue"/>
            <w:vAlign w:val="center"/>
          </w:tcPr>
          <w:p>
            <w:pPr>
              <w:jc w:val="left"/>
              <w:rPr>
                <w:color w:val="auto"/>
                <w:kern w:val="0"/>
                <w:szCs w:val="21"/>
                <w:highlight w:val="none"/>
                <w:lang w:eastAsia="en-US"/>
              </w:rPr>
            </w:pPr>
          </w:p>
        </w:tc>
        <w:tc>
          <w:tcPr>
            <w:tcW w:w="1237" w:type="dxa"/>
            <w:vMerge w:val="continue"/>
            <w:vAlign w:val="center"/>
          </w:tcPr>
          <w:p>
            <w:pPr>
              <w:jc w:val="left"/>
              <w:rPr>
                <w:color w:val="auto"/>
                <w:kern w:val="0"/>
                <w:szCs w:val="21"/>
                <w:highlight w:val="none"/>
                <w:lang w:eastAsia="en-US"/>
              </w:rPr>
            </w:pPr>
          </w:p>
        </w:tc>
        <w:tc>
          <w:tcPr>
            <w:tcW w:w="1370" w:type="dxa"/>
            <w:vMerge w:val="continue"/>
            <w:vAlign w:val="center"/>
          </w:tcPr>
          <w:p>
            <w:pPr>
              <w:jc w:val="left"/>
              <w:rPr>
                <w:color w:val="auto"/>
                <w:kern w:val="0"/>
                <w:szCs w:val="21"/>
                <w:highlight w:val="none"/>
                <w:lang w:eastAsia="en-US"/>
              </w:rPr>
            </w:pPr>
          </w:p>
        </w:tc>
        <w:tc>
          <w:tcPr>
            <w:tcW w:w="2534" w:type="dxa"/>
            <w:vAlign w:val="center"/>
          </w:tcPr>
          <w:p>
            <w:pPr>
              <w:spacing w:line="274" w:lineRule="exact"/>
              <w:ind w:left="98"/>
              <w:jc w:val="left"/>
              <w:rPr>
                <w:color w:val="auto"/>
                <w:szCs w:val="21"/>
                <w:highlight w:val="none"/>
                <w:lang w:eastAsia="en-US"/>
              </w:rPr>
            </w:pPr>
            <w:r>
              <w:rPr>
                <w:color w:val="auto"/>
                <w:spacing w:val="28"/>
                <w:szCs w:val="21"/>
                <w:highlight w:val="none"/>
                <w:lang w:eastAsia="en-US"/>
              </w:rPr>
              <w:t>后期管护持续时</w:t>
            </w:r>
            <w:r>
              <w:rPr>
                <w:color w:val="auto"/>
                <w:szCs w:val="21"/>
                <w:highlight w:val="none"/>
                <w:lang w:eastAsia="en-US"/>
              </w:rPr>
              <w:t>间</w:t>
            </w:r>
          </w:p>
        </w:tc>
        <w:tc>
          <w:tcPr>
            <w:tcW w:w="2339" w:type="dxa"/>
            <w:vAlign w:val="center"/>
          </w:tcPr>
          <w:p>
            <w:pPr>
              <w:spacing w:before="118"/>
              <w:jc w:val="center"/>
              <w:rPr>
                <w:color w:val="auto"/>
                <w:szCs w:val="21"/>
                <w:highlight w:val="none"/>
                <w:lang w:eastAsia="en-US"/>
              </w:rPr>
            </w:pPr>
            <w:r>
              <w:rPr>
                <w:color w:val="auto"/>
                <w:szCs w:val="21"/>
                <w:highlight w:val="none"/>
                <w:lang w:eastAsia="en-US"/>
              </w:rPr>
              <w:t>≥5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exact"/>
        </w:trPr>
        <w:tc>
          <w:tcPr>
            <w:tcW w:w="941" w:type="dxa"/>
            <w:vAlign w:val="center"/>
          </w:tcPr>
          <w:p>
            <w:pPr>
              <w:jc w:val="left"/>
              <w:rPr>
                <w:color w:val="auto"/>
                <w:kern w:val="0"/>
                <w:szCs w:val="21"/>
                <w:highlight w:val="none"/>
                <w:lang w:eastAsia="en-US"/>
              </w:rPr>
            </w:pPr>
          </w:p>
        </w:tc>
        <w:tc>
          <w:tcPr>
            <w:tcW w:w="1237" w:type="dxa"/>
            <w:vAlign w:val="center"/>
          </w:tcPr>
          <w:p>
            <w:pPr>
              <w:spacing w:before="158" w:line="312" w:lineRule="exact"/>
              <w:ind w:left="98" w:right="80"/>
              <w:jc w:val="center"/>
              <w:rPr>
                <w:color w:val="auto"/>
                <w:kern w:val="0"/>
                <w:szCs w:val="21"/>
                <w:highlight w:val="none"/>
                <w:lang w:eastAsia="en-US"/>
              </w:rPr>
            </w:pPr>
            <w:r>
              <w:rPr>
                <w:color w:val="auto"/>
                <w:spacing w:val="19"/>
                <w:szCs w:val="21"/>
                <w:highlight w:val="none"/>
                <w:lang w:eastAsia="en-US"/>
              </w:rPr>
              <w:t>满意度指</w:t>
            </w:r>
            <w:r>
              <w:rPr>
                <w:color w:val="auto"/>
                <w:szCs w:val="21"/>
                <w:highlight w:val="none"/>
                <w:lang w:eastAsia="en-US"/>
              </w:rPr>
              <w:t>标</w:t>
            </w:r>
          </w:p>
        </w:tc>
        <w:tc>
          <w:tcPr>
            <w:tcW w:w="1370" w:type="dxa"/>
            <w:vAlign w:val="center"/>
          </w:tcPr>
          <w:p>
            <w:pPr>
              <w:spacing w:line="276" w:lineRule="exact"/>
              <w:ind w:left="98"/>
              <w:jc w:val="center"/>
              <w:rPr>
                <w:color w:val="auto"/>
                <w:kern w:val="0"/>
                <w:szCs w:val="21"/>
                <w:highlight w:val="none"/>
                <w:lang w:eastAsia="en-US"/>
              </w:rPr>
            </w:pPr>
            <w:r>
              <w:rPr>
                <w:color w:val="auto"/>
                <w:spacing w:val="48"/>
                <w:szCs w:val="21"/>
                <w:highlight w:val="none"/>
                <w:lang w:eastAsia="en-US"/>
              </w:rPr>
              <w:t>服务对象满意度指</w:t>
            </w:r>
            <w:r>
              <w:rPr>
                <w:color w:val="auto"/>
                <w:szCs w:val="21"/>
                <w:highlight w:val="none"/>
                <w:lang w:eastAsia="en-US"/>
              </w:rPr>
              <w:t>标</w:t>
            </w:r>
          </w:p>
        </w:tc>
        <w:tc>
          <w:tcPr>
            <w:tcW w:w="2534" w:type="dxa"/>
            <w:vAlign w:val="center"/>
          </w:tcPr>
          <w:p>
            <w:pPr>
              <w:ind w:left="98"/>
              <w:jc w:val="left"/>
              <w:rPr>
                <w:color w:val="auto"/>
                <w:spacing w:val="28"/>
                <w:szCs w:val="21"/>
                <w:highlight w:val="none"/>
                <w:lang w:eastAsia="en-US"/>
              </w:rPr>
            </w:pPr>
            <w:r>
              <w:rPr>
                <w:color w:val="auto"/>
                <w:szCs w:val="21"/>
                <w:highlight w:val="none"/>
                <w:lang w:eastAsia="en-US"/>
              </w:rPr>
              <w:t>社会公众满意度</w:t>
            </w:r>
          </w:p>
        </w:tc>
        <w:tc>
          <w:tcPr>
            <w:tcW w:w="2339" w:type="dxa"/>
            <w:vAlign w:val="center"/>
          </w:tcPr>
          <w:p>
            <w:pPr>
              <w:ind w:right="1"/>
              <w:jc w:val="center"/>
              <w:rPr>
                <w:color w:val="auto"/>
                <w:szCs w:val="21"/>
                <w:highlight w:val="none"/>
                <w:lang w:eastAsia="en-US"/>
              </w:rPr>
            </w:pPr>
            <w:r>
              <w:rPr>
                <w:color w:val="auto"/>
                <w:szCs w:val="21"/>
                <w:highlight w:val="none"/>
                <w:lang w:eastAsia="en-US"/>
              </w:rPr>
              <w:t>≥90%</w:t>
            </w:r>
          </w:p>
        </w:tc>
      </w:tr>
    </w:tbl>
    <w:p>
      <w:pPr>
        <w:pStyle w:val="33"/>
        <w:widowControl/>
        <w:adjustRightInd w:val="0"/>
        <w:snapToGrid w:val="0"/>
        <w:spacing w:line="360" w:lineRule="auto"/>
        <w:ind w:firstLine="560"/>
        <w:jc w:val="left"/>
        <w:rPr>
          <w:rFonts w:hint="eastAsia"/>
          <w:color w:val="auto"/>
          <w:sz w:val="28"/>
          <w:szCs w:val="28"/>
          <w:highlight w:val="none"/>
        </w:rPr>
      </w:pPr>
    </w:p>
    <w:p>
      <w:pPr>
        <w:pStyle w:val="33"/>
        <w:widowControl/>
        <w:adjustRightInd w:val="0"/>
        <w:snapToGrid w:val="0"/>
        <w:spacing w:line="360" w:lineRule="auto"/>
        <w:ind w:firstLine="0" w:firstLineChars="0"/>
        <w:jc w:val="left"/>
        <w:rPr>
          <w:rFonts w:hint="eastAsia"/>
          <w:color w:val="auto"/>
          <w:sz w:val="28"/>
          <w:szCs w:val="28"/>
          <w:highlight w:val="none"/>
          <w:lang w:val="en-US" w:eastAsia="zh-CN"/>
        </w:rPr>
      </w:pPr>
    </w:p>
    <w:p>
      <w:pPr>
        <w:pStyle w:val="33"/>
        <w:widowControl/>
        <w:adjustRightInd w:val="0"/>
        <w:snapToGrid w:val="0"/>
        <w:spacing w:line="360" w:lineRule="auto"/>
        <w:ind w:firstLine="0" w:firstLineChars="0"/>
        <w:jc w:val="left"/>
        <w:rPr>
          <w:rFonts w:hint="eastAsia"/>
          <w:color w:val="auto"/>
          <w:sz w:val="28"/>
          <w:szCs w:val="28"/>
          <w:highlight w:val="none"/>
          <w:lang w:val="en-US" w:eastAsia="zh-CN"/>
        </w:rPr>
      </w:pPr>
    </w:p>
    <w:p>
      <w:pPr>
        <w:pStyle w:val="33"/>
        <w:widowControl/>
        <w:adjustRightInd w:val="0"/>
        <w:snapToGrid w:val="0"/>
        <w:spacing w:line="360" w:lineRule="auto"/>
        <w:ind w:firstLine="0" w:firstLineChars="0"/>
        <w:jc w:val="left"/>
        <w:rPr>
          <w:rFonts w:hint="eastAsia"/>
          <w:color w:val="auto"/>
          <w:sz w:val="28"/>
          <w:szCs w:val="28"/>
          <w:highlight w:val="none"/>
          <w:lang w:val="en-US" w:eastAsia="zh-CN"/>
        </w:rPr>
      </w:pPr>
    </w:p>
    <w:p>
      <w:pPr>
        <w:pStyle w:val="33"/>
        <w:widowControl/>
        <w:adjustRightInd w:val="0"/>
        <w:snapToGrid w:val="0"/>
        <w:spacing w:line="360" w:lineRule="auto"/>
        <w:ind w:firstLine="0" w:firstLineChars="0"/>
        <w:jc w:val="left"/>
        <w:rPr>
          <w:rFonts w:hint="eastAsia"/>
          <w:color w:val="auto"/>
          <w:sz w:val="28"/>
          <w:szCs w:val="28"/>
          <w:highlight w:val="none"/>
          <w:lang w:val="en-US" w:eastAsia="zh-CN"/>
        </w:rPr>
      </w:pPr>
      <w:r>
        <w:rPr>
          <w:rFonts w:hint="eastAsia"/>
          <w:color w:val="auto"/>
          <w:sz w:val="28"/>
          <w:szCs w:val="28"/>
          <w:highlight w:val="none"/>
          <w:lang w:val="en-US" w:eastAsia="zh-CN"/>
        </w:rPr>
        <w:t>2.4.专项评估与综合成效评估</w:t>
      </w:r>
    </w:p>
    <w:p>
      <w:pPr>
        <w:pStyle w:val="33"/>
        <w:widowControl/>
        <w:adjustRightInd w:val="0"/>
        <w:snapToGrid w:val="0"/>
        <w:spacing w:line="360" w:lineRule="auto"/>
        <w:ind w:firstLine="560"/>
        <w:jc w:val="left"/>
        <w:rPr>
          <w:rFonts w:hint="eastAsia"/>
          <w:color w:val="auto"/>
          <w:sz w:val="28"/>
          <w:szCs w:val="28"/>
          <w:highlight w:val="none"/>
        </w:rPr>
      </w:pPr>
      <w:r>
        <w:rPr>
          <w:rFonts w:hint="eastAsia"/>
          <w:color w:val="auto"/>
          <w:sz w:val="28"/>
          <w:szCs w:val="28"/>
          <w:highlight w:val="none"/>
        </w:rPr>
        <w:t>根据跟踪监测成果以及调查收集掌握的基础数据资料，重点关注项目实施前后生态环境改善状况，通过评估近岸环境质量、</w:t>
      </w:r>
      <w:r>
        <w:rPr>
          <w:rFonts w:hint="eastAsia"/>
          <w:color w:val="auto"/>
          <w:sz w:val="28"/>
          <w:szCs w:val="28"/>
          <w:highlight w:val="none"/>
          <w:lang w:val="en-US" w:eastAsia="zh-CN"/>
        </w:rPr>
        <w:t>生态系统碳汇、</w:t>
      </w:r>
      <w:r>
        <w:rPr>
          <w:rFonts w:hint="eastAsia"/>
          <w:color w:val="auto"/>
          <w:sz w:val="28"/>
          <w:szCs w:val="28"/>
          <w:highlight w:val="none"/>
        </w:rPr>
        <w:t>生物多样性、生物栖息地状况、生态空间规模、岸滩稳定性、岸滩植被覆盖率等关键指标，开展滨海湿地生态效果评估、盐沼减灾效果评估、砂质海岸修复成效评估、海湾综合治理成效评估</w:t>
      </w:r>
      <w:r>
        <w:rPr>
          <w:rFonts w:hint="eastAsia"/>
          <w:color w:val="auto"/>
          <w:sz w:val="28"/>
          <w:szCs w:val="28"/>
          <w:highlight w:val="none"/>
          <w:lang w:eastAsia="zh-CN"/>
        </w:rPr>
        <w:t>、</w:t>
      </w:r>
      <w:r>
        <w:rPr>
          <w:rFonts w:hint="eastAsia"/>
          <w:color w:val="auto"/>
          <w:sz w:val="28"/>
          <w:szCs w:val="28"/>
          <w:highlight w:val="none"/>
          <w:lang w:val="en-US" w:eastAsia="zh-CN"/>
        </w:rPr>
        <w:t>生态系统碳汇评估等专项评估，</w:t>
      </w:r>
      <w:r>
        <w:rPr>
          <w:rFonts w:hint="eastAsia"/>
          <w:color w:val="auto"/>
          <w:sz w:val="28"/>
          <w:szCs w:val="28"/>
          <w:highlight w:val="none"/>
        </w:rPr>
        <w:t>掌握工程实施的生态效益。</w:t>
      </w:r>
    </w:p>
    <w:p>
      <w:pPr>
        <w:pStyle w:val="33"/>
        <w:widowControl/>
        <w:adjustRightInd w:val="0"/>
        <w:snapToGrid w:val="0"/>
        <w:spacing w:line="360" w:lineRule="auto"/>
        <w:ind w:firstLine="560"/>
        <w:jc w:val="left"/>
        <w:rPr>
          <w:color w:val="auto"/>
          <w:sz w:val="28"/>
          <w:szCs w:val="28"/>
          <w:highlight w:val="none"/>
        </w:rPr>
      </w:pPr>
      <w:r>
        <w:rPr>
          <w:rFonts w:hint="eastAsia"/>
          <w:color w:val="auto"/>
          <w:sz w:val="28"/>
          <w:szCs w:val="28"/>
          <w:highlight w:val="none"/>
        </w:rPr>
        <w:t>在项目完工后竣工验收前开展</w:t>
      </w:r>
      <w:r>
        <w:rPr>
          <w:rFonts w:hint="eastAsia"/>
          <w:color w:val="auto"/>
          <w:sz w:val="28"/>
          <w:szCs w:val="28"/>
          <w:highlight w:val="none"/>
          <w:lang w:val="en-US" w:eastAsia="zh-CN"/>
        </w:rPr>
        <w:t>成效</w:t>
      </w:r>
      <w:r>
        <w:rPr>
          <w:rFonts w:hint="eastAsia"/>
          <w:color w:val="auto"/>
          <w:sz w:val="28"/>
          <w:szCs w:val="28"/>
          <w:highlight w:val="none"/>
        </w:rPr>
        <w:t>评估，在项目验收</w:t>
      </w:r>
      <w:r>
        <w:rPr>
          <w:rFonts w:hint="eastAsia"/>
          <w:color w:val="auto"/>
          <w:sz w:val="28"/>
          <w:szCs w:val="28"/>
          <w:highlight w:val="none"/>
          <w:lang w:val="en-US" w:eastAsia="zh-CN"/>
        </w:rPr>
        <w:t>后2年内（时间可根据实际情况）</w:t>
      </w:r>
      <w:r>
        <w:rPr>
          <w:rFonts w:hint="eastAsia"/>
          <w:color w:val="auto"/>
          <w:sz w:val="28"/>
          <w:szCs w:val="28"/>
          <w:highlight w:val="none"/>
        </w:rPr>
        <w:t>开展</w:t>
      </w:r>
      <w:r>
        <w:rPr>
          <w:rFonts w:hint="eastAsia"/>
          <w:color w:val="auto"/>
          <w:sz w:val="28"/>
          <w:szCs w:val="28"/>
          <w:highlight w:val="none"/>
          <w:lang w:val="en-US" w:eastAsia="zh-CN"/>
        </w:rPr>
        <w:t>综合成效评估。</w:t>
      </w:r>
    </w:p>
    <w:p>
      <w:pPr>
        <w:spacing w:before="4"/>
        <w:rPr>
          <w:rFonts w:eastAsia="黑体"/>
          <w:color w:val="auto"/>
          <w:sz w:val="13"/>
          <w:szCs w:val="13"/>
          <w:highlight w:val="none"/>
        </w:rPr>
      </w:pPr>
    </w:p>
    <w:p>
      <w:pPr>
        <w:widowControl/>
        <w:numPr>
          <w:ilvl w:val="0"/>
          <w:numId w:val="11"/>
        </w:numPr>
        <w:adjustRightInd w:val="0"/>
        <w:snapToGrid w:val="0"/>
        <w:spacing w:line="360" w:lineRule="auto"/>
        <w:ind w:firstLine="560"/>
        <w:jc w:val="left"/>
        <w:rPr>
          <w:rFonts w:hint="eastAsia"/>
          <w:color w:val="auto"/>
          <w:sz w:val="28"/>
          <w:szCs w:val="28"/>
          <w:highlight w:val="none"/>
          <w:lang w:val="en-US" w:eastAsia="zh-CN"/>
        </w:rPr>
      </w:pPr>
      <w:r>
        <w:rPr>
          <w:rFonts w:hint="eastAsia"/>
          <w:color w:val="auto"/>
          <w:sz w:val="28"/>
          <w:szCs w:val="28"/>
          <w:highlight w:val="none"/>
          <w:lang w:val="en-US" w:eastAsia="zh-CN"/>
        </w:rPr>
        <w:t>提交成果报告：</w:t>
      </w:r>
    </w:p>
    <w:p>
      <w:pPr>
        <w:widowControl/>
        <w:numPr>
          <w:ilvl w:val="0"/>
          <w:numId w:val="0"/>
        </w:numPr>
        <w:adjustRightInd w:val="0"/>
        <w:snapToGrid w:val="0"/>
        <w:spacing w:line="360" w:lineRule="auto"/>
        <w:ind w:left="560"/>
        <w:jc w:val="left"/>
        <w:rPr>
          <w:rFonts w:hint="eastAsia" w:eastAsia="宋体"/>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1</w:t>
      </w:r>
      <w:r>
        <w:rPr>
          <w:rFonts w:hint="eastAsia"/>
          <w:color w:val="auto"/>
          <w:sz w:val="28"/>
          <w:szCs w:val="28"/>
          <w:highlight w:val="none"/>
          <w:lang w:eastAsia="zh-CN"/>
        </w:rPr>
        <w:t>）</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w:t>
      </w:r>
      <w:r>
        <w:rPr>
          <w:rFonts w:hint="eastAsia" w:ascii="宋体" w:hAnsi="宋体" w:eastAsia="宋体" w:cs="宋体"/>
          <w:color w:val="auto"/>
          <w:sz w:val="28"/>
          <w:szCs w:val="28"/>
          <w:highlight w:val="none"/>
        </w:rPr>
        <w:t>海洋生态保护修复工程项目</w:t>
      </w:r>
      <w:r>
        <w:rPr>
          <w:rFonts w:hint="eastAsia"/>
          <w:color w:val="auto"/>
          <w:sz w:val="28"/>
          <w:szCs w:val="28"/>
          <w:highlight w:val="none"/>
        </w:rPr>
        <w:t>效果评估</w:t>
      </w:r>
      <w:r>
        <w:rPr>
          <w:rFonts w:hint="eastAsia"/>
          <w:color w:val="auto"/>
          <w:sz w:val="28"/>
          <w:szCs w:val="28"/>
          <w:highlight w:val="none"/>
          <w:lang w:val="en-US" w:eastAsia="zh-CN"/>
        </w:rPr>
        <w:t>工作</w:t>
      </w:r>
      <w:r>
        <w:rPr>
          <w:rFonts w:hint="eastAsia"/>
          <w:color w:val="auto"/>
          <w:sz w:val="28"/>
          <w:szCs w:val="28"/>
          <w:highlight w:val="none"/>
        </w:rPr>
        <w:t>方案</w:t>
      </w:r>
      <w:r>
        <w:rPr>
          <w:rFonts w:hint="eastAsia"/>
          <w:color w:val="auto"/>
          <w:sz w:val="28"/>
          <w:szCs w:val="28"/>
          <w:highlight w:val="none"/>
          <w:lang w:eastAsia="zh-CN"/>
        </w:rPr>
        <w:t>；</w:t>
      </w:r>
    </w:p>
    <w:p>
      <w:pPr>
        <w:widowControl/>
        <w:numPr>
          <w:ilvl w:val="0"/>
          <w:numId w:val="0"/>
        </w:numPr>
        <w:adjustRightInd w:val="0"/>
        <w:snapToGrid w:val="0"/>
        <w:spacing w:line="360" w:lineRule="auto"/>
        <w:ind w:left="560"/>
        <w:jc w:val="left"/>
        <w:rPr>
          <w:rFonts w:hint="eastAsia"/>
          <w:color w:val="auto"/>
          <w:sz w:val="28"/>
          <w:szCs w:val="28"/>
          <w:highlight w:val="none"/>
          <w:lang w:val="en-US" w:eastAsia="zh-CN"/>
        </w:rPr>
      </w:pPr>
      <w:r>
        <w:rPr>
          <w:rFonts w:hint="eastAsia"/>
          <w:color w:val="auto"/>
          <w:sz w:val="28"/>
          <w:szCs w:val="28"/>
          <w:highlight w:val="none"/>
          <w:lang w:eastAsia="zh-CN"/>
        </w:rPr>
        <w:t>（</w:t>
      </w:r>
      <w:r>
        <w:rPr>
          <w:rFonts w:hint="eastAsia"/>
          <w:color w:val="auto"/>
          <w:sz w:val="28"/>
          <w:szCs w:val="28"/>
          <w:highlight w:val="none"/>
          <w:lang w:val="en-US" w:eastAsia="zh-CN"/>
        </w:rPr>
        <w:t>2</w:t>
      </w:r>
      <w:r>
        <w:rPr>
          <w:rFonts w:hint="eastAsia"/>
          <w:color w:val="auto"/>
          <w:sz w:val="28"/>
          <w:szCs w:val="28"/>
          <w:highlight w:val="none"/>
          <w:lang w:eastAsia="zh-CN"/>
        </w:rPr>
        <w:t>）</w:t>
      </w:r>
      <w:r>
        <w:rPr>
          <w:rFonts w:hint="eastAsia"/>
          <w:color w:val="auto"/>
          <w:sz w:val="28"/>
          <w:szCs w:val="28"/>
          <w:highlight w:val="none"/>
        </w:rPr>
        <w:t>滨海湿地生态效果评估、盐沼减灾效果评估、砂质海岸修复成效评估、海湾综合治理成效评估</w:t>
      </w:r>
      <w:r>
        <w:rPr>
          <w:rFonts w:hint="eastAsia"/>
          <w:color w:val="auto"/>
          <w:sz w:val="28"/>
          <w:szCs w:val="28"/>
          <w:highlight w:val="none"/>
          <w:lang w:eastAsia="zh-CN"/>
        </w:rPr>
        <w:t>、</w:t>
      </w:r>
      <w:r>
        <w:rPr>
          <w:rFonts w:hint="eastAsia"/>
          <w:color w:val="auto"/>
          <w:sz w:val="28"/>
          <w:szCs w:val="28"/>
          <w:highlight w:val="none"/>
          <w:lang w:val="en-US" w:eastAsia="zh-CN"/>
        </w:rPr>
        <w:t>生态系统碳汇评估等专题报告；</w:t>
      </w:r>
    </w:p>
    <w:p>
      <w:pPr>
        <w:pStyle w:val="33"/>
        <w:keepNext w:val="0"/>
        <w:keepLines w:val="0"/>
        <w:widowControl/>
        <w:numPr>
          <w:ilvl w:val="0"/>
          <w:numId w:val="0"/>
        </w:numPr>
        <w:suppressLineNumbers w:val="0"/>
        <w:adjustRightInd w:val="0"/>
        <w:snapToGrid w:val="0"/>
        <w:spacing w:line="360" w:lineRule="auto"/>
        <w:ind w:leftChars="0" w:firstLine="560"/>
        <w:jc w:val="both"/>
        <w:rPr>
          <w:rFonts w:hint="default" w:ascii="Times New Roman" w:hAnsi="Times New Roman" w:eastAsia="宋体" w:cs="Times New Roman"/>
          <w:color w:val="auto"/>
          <w:kern w:val="2"/>
          <w:sz w:val="28"/>
          <w:szCs w:val="28"/>
          <w:highlight w:val="none"/>
          <w:lang w:val="en-US" w:eastAsia="zh-CN" w:bidi="ar-SA"/>
        </w:rPr>
      </w:pPr>
      <w:r>
        <w:rPr>
          <w:rFonts w:hint="eastAsia"/>
          <w:color w:val="auto"/>
          <w:sz w:val="28"/>
          <w:szCs w:val="28"/>
          <w:highlight w:val="none"/>
          <w:lang w:val="en-US" w:eastAsia="zh-CN"/>
        </w:rPr>
        <w:t>（3）营口市海岸带</w:t>
      </w:r>
      <w:r>
        <w:rPr>
          <w:rFonts w:hint="eastAsia" w:ascii="Times New Roman" w:hAnsi="Times New Roman" w:eastAsia="宋体" w:cs="Times New Roman"/>
          <w:color w:val="auto"/>
          <w:kern w:val="2"/>
          <w:sz w:val="28"/>
          <w:szCs w:val="28"/>
          <w:highlight w:val="none"/>
          <w:lang w:val="en-US" w:eastAsia="zh-CN" w:bidi="ar-SA"/>
        </w:rPr>
        <w:t>遥感影像解译监测</w:t>
      </w:r>
      <w:r>
        <w:rPr>
          <w:rFonts w:hint="eastAsia" w:cs="Times New Roman"/>
          <w:color w:val="auto"/>
          <w:kern w:val="2"/>
          <w:sz w:val="28"/>
          <w:szCs w:val="28"/>
          <w:highlight w:val="none"/>
          <w:lang w:val="en-US" w:eastAsia="zh-CN" w:bidi="ar-SA"/>
        </w:rPr>
        <w:t>评报告；</w:t>
      </w:r>
    </w:p>
    <w:p>
      <w:pPr>
        <w:widowControl/>
        <w:adjustRightInd w:val="0"/>
        <w:snapToGrid w:val="0"/>
        <w:spacing w:line="360" w:lineRule="auto"/>
        <w:ind w:left="560"/>
        <w:jc w:val="left"/>
        <w:rPr>
          <w:rFonts w:hint="eastAsia"/>
          <w:color w:val="auto"/>
          <w:sz w:val="28"/>
          <w:szCs w:val="28"/>
          <w:highlight w:val="none"/>
          <w:lang w:val="en-US" w:eastAsia="zh-CN"/>
        </w:rPr>
      </w:pPr>
      <w:r>
        <w:rPr>
          <w:rFonts w:hint="eastAsia"/>
          <w:color w:val="auto"/>
          <w:sz w:val="28"/>
          <w:szCs w:val="28"/>
          <w:highlight w:val="none"/>
          <w:lang w:val="en-US" w:eastAsia="zh-CN"/>
        </w:rPr>
        <w:t>（4）</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w:t>
      </w:r>
      <w:r>
        <w:rPr>
          <w:rFonts w:hint="eastAsia" w:ascii="宋体" w:hAnsi="宋体" w:eastAsia="宋体" w:cs="宋体"/>
          <w:color w:val="auto"/>
          <w:sz w:val="28"/>
          <w:szCs w:val="28"/>
          <w:highlight w:val="none"/>
        </w:rPr>
        <w:t>海洋生态保护修复工程项目</w:t>
      </w:r>
      <w:r>
        <w:rPr>
          <w:rFonts w:hint="eastAsia"/>
          <w:color w:val="auto"/>
          <w:sz w:val="28"/>
          <w:szCs w:val="28"/>
          <w:highlight w:val="none"/>
          <w:lang w:val="en-US" w:eastAsia="zh-CN"/>
        </w:rPr>
        <w:t>长期管护能力建设实施效果评估报告；</w:t>
      </w:r>
    </w:p>
    <w:p>
      <w:pPr>
        <w:widowControl/>
        <w:numPr>
          <w:ilvl w:val="0"/>
          <w:numId w:val="0"/>
        </w:numPr>
        <w:adjustRightInd w:val="0"/>
        <w:snapToGrid w:val="0"/>
        <w:spacing w:line="360" w:lineRule="auto"/>
        <w:ind w:left="560"/>
        <w:jc w:val="left"/>
        <w:rPr>
          <w:rFonts w:hint="default"/>
          <w:color w:val="auto"/>
          <w:sz w:val="28"/>
          <w:szCs w:val="28"/>
          <w:highlight w:val="none"/>
          <w:lang w:val="en-US" w:eastAsia="zh-CN"/>
        </w:rPr>
      </w:pPr>
      <w:r>
        <w:rPr>
          <w:rFonts w:hint="eastAsia"/>
          <w:color w:val="auto"/>
          <w:sz w:val="28"/>
          <w:szCs w:val="28"/>
          <w:highlight w:val="none"/>
          <w:lang w:eastAsia="zh-CN"/>
        </w:rPr>
        <w:t>（</w:t>
      </w:r>
      <w:r>
        <w:rPr>
          <w:rFonts w:hint="eastAsia"/>
          <w:color w:val="auto"/>
          <w:sz w:val="28"/>
          <w:szCs w:val="28"/>
          <w:highlight w:val="none"/>
          <w:lang w:val="en-US" w:eastAsia="zh-CN"/>
        </w:rPr>
        <w:t>5</w:t>
      </w:r>
      <w:r>
        <w:rPr>
          <w:rFonts w:hint="eastAsia"/>
          <w:color w:val="auto"/>
          <w:sz w:val="28"/>
          <w:szCs w:val="28"/>
          <w:highlight w:val="none"/>
          <w:lang w:eastAsia="zh-CN"/>
        </w:rPr>
        <w:t>）</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w:t>
      </w:r>
      <w:r>
        <w:rPr>
          <w:rFonts w:hint="eastAsia" w:ascii="宋体" w:hAnsi="宋体" w:eastAsia="宋体" w:cs="宋体"/>
          <w:color w:val="auto"/>
          <w:sz w:val="28"/>
          <w:szCs w:val="28"/>
          <w:highlight w:val="none"/>
        </w:rPr>
        <w:t>海洋生态保护修复工程项目</w:t>
      </w:r>
      <w:r>
        <w:rPr>
          <w:rFonts w:hint="eastAsia"/>
          <w:color w:val="auto"/>
          <w:sz w:val="28"/>
          <w:szCs w:val="28"/>
          <w:highlight w:val="none"/>
        </w:rPr>
        <w:t>绩效指标完成情况评估</w:t>
      </w:r>
      <w:r>
        <w:rPr>
          <w:rFonts w:hint="eastAsia"/>
          <w:color w:val="auto"/>
          <w:sz w:val="28"/>
          <w:szCs w:val="28"/>
          <w:highlight w:val="none"/>
          <w:lang w:val="en-US" w:eastAsia="zh-CN"/>
        </w:rPr>
        <w:t>报告（分年度和总体报告）；</w:t>
      </w:r>
    </w:p>
    <w:p>
      <w:pPr>
        <w:widowControl/>
        <w:numPr>
          <w:ilvl w:val="0"/>
          <w:numId w:val="0"/>
        </w:numPr>
        <w:adjustRightInd w:val="0"/>
        <w:snapToGrid w:val="0"/>
        <w:spacing w:line="360" w:lineRule="auto"/>
        <w:ind w:left="560"/>
        <w:jc w:val="left"/>
        <w:rPr>
          <w:rFonts w:hint="default"/>
          <w:color w:val="auto"/>
          <w:sz w:val="28"/>
          <w:szCs w:val="28"/>
          <w:highlight w:val="none"/>
          <w:lang w:val="en-US" w:eastAsia="zh-CN"/>
        </w:rPr>
      </w:pPr>
      <w:r>
        <w:rPr>
          <w:rFonts w:hint="eastAsia"/>
          <w:color w:val="auto"/>
          <w:sz w:val="28"/>
          <w:szCs w:val="28"/>
          <w:highlight w:val="none"/>
          <w:lang w:eastAsia="zh-CN"/>
        </w:rPr>
        <w:t>（</w:t>
      </w:r>
      <w:r>
        <w:rPr>
          <w:rFonts w:hint="eastAsia"/>
          <w:color w:val="auto"/>
          <w:sz w:val="28"/>
          <w:szCs w:val="28"/>
          <w:highlight w:val="none"/>
          <w:lang w:val="en-US" w:eastAsia="zh-CN"/>
        </w:rPr>
        <w:t>6</w:t>
      </w:r>
      <w:r>
        <w:rPr>
          <w:rFonts w:hint="eastAsia"/>
          <w:color w:val="auto"/>
          <w:sz w:val="28"/>
          <w:szCs w:val="28"/>
          <w:highlight w:val="none"/>
          <w:lang w:eastAsia="zh-CN"/>
        </w:rPr>
        <w:t>）</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w:t>
      </w:r>
      <w:r>
        <w:rPr>
          <w:rFonts w:hint="eastAsia" w:ascii="宋体" w:hAnsi="宋体" w:eastAsia="宋体" w:cs="宋体"/>
          <w:color w:val="auto"/>
          <w:sz w:val="28"/>
          <w:szCs w:val="28"/>
          <w:highlight w:val="none"/>
        </w:rPr>
        <w:t>海洋生态保护修复工程项目</w:t>
      </w:r>
      <w:r>
        <w:rPr>
          <w:rFonts w:hint="eastAsia"/>
          <w:color w:val="auto"/>
          <w:sz w:val="28"/>
          <w:szCs w:val="28"/>
          <w:highlight w:val="none"/>
        </w:rPr>
        <w:t>项目完工后验收前</w:t>
      </w:r>
      <w:r>
        <w:rPr>
          <w:rFonts w:hint="eastAsia"/>
          <w:color w:val="auto"/>
          <w:sz w:val="28"/>
          <w:szCs w:val="28"/>
          <w:highlight w:val="none"/>
          <w:lang w:val="en-US" w:eastAsia="zh-CN"/>
        </w:rPr>
        <w:t>综合成效</w:t>
      </w:r>
      <w:r>
        <w:rPr>
          <w:rFonts w:hint="eastAsia"/>
          <w:color w:val="auto"/>
          <w:sz w:val="28"/>
          <w:szCs w:val="28"/>
          <w:highlight w:val="none"/>
        </w:rPr>
        <w:t>评估报告</w:t>
      </w:r>
      <w:r>
        <w:rPr>
          <w:rFonts w:hint="eastAsia"/>
          <w:color w:val="auto"/>
          <w:sz w:val="28"/>
          <w:szCs w:val="28"/>
          <w:highlight w:val="none"/>
          <w:lang w:eastAsia="zh-CN"/>
        </w:rPr>
        <w:t>；</w:t>
      </w:r>
    </w:p>
    <w:p>
      <w:pPr>
        <w:widowControl/>
        <w:numPr>
          <w:ilvl w:val="0"/>
          <w:numId w:val="0"/>
        </w:numPr>
        <w:adjustRightInd w:val="0"/>
        <w:snapToGrid w:val="0"/>
        <w:spacing w:line="360" w:lineRule="auto"/>
        <w:ind w:left="560"/>
        <w:jc w:val="left"/>
        <w:rPr>
          <w:rFonts w:hint="default"/>
          <w:color w:val="auto"/>
          <w:sz w:val="28"/>
          <w:szCs w:val="28"/>
          <w:highlight w:val="none"/>
          <w:lang w:val="en-US" w:eastAsia="zh-CN"/>
        </w:rPr>
      </w:pPr>
      <w:r>
        <w:rPr>
          <w:rFonts w:hint="eastAsia"/>
          <w:color w:val="auto"/>
          <w:sz w:val="28"/>
          <w:szCs w:val="28"/>
          <w:highlight w:val="none"/>
          <w:lang w:eastAsia="zh-CN"/>
        </w:rPr>
        <w:t>（</w:t>
      </w:r>
      <w:r>
        <w:rPr>
          <w:rFonts w:hint="eastAsia"/>
          <w:color w:val="auto"/>
          <w:sz w:val="28"/>
          <w:szCs w:val="28"/>
          <w:highlight w:val="none"/>
          <w:lang w:val="en-US" w:eastAsia="zh-CN"/>
        </w:rPr>
        <w:t>7</w:t>
      </w:r>
      <w:r>
        <w:rPr>
          <w:rFonts w:hint="eastAsia"/>
          <w:color w:val="auto"/>
          <w:sz w:val="28"/>
          <w:szCs w:val="28"/>
          <w:highlight w:val="none"/>
          <w:lang w:eastAsia="zh-CN"/>
        </w:rPr>
        <w:t>）</w:t>
      </w:r>
      <w:r>
        <w:rPr>
          <w:rFonts w:hint="eastAsia" w:ascii="宋体" w:hAnsi="宋体" w:eastAsia="宋体" w:cs="宋体"/>
          <w:color w:val="auto"/>
          <w:spacing w:val="-2"/>
          <w:sz w:val="28"/>
          <w:szCs w:val="28"/>
          <w:highlight w:val="none"/>
        </w:rPr>
        <w:t>辽宁</w:t>
      </w:r>
      <w:r>
        <w:rPr>
          <w:rFonts w:hint="eastAsia" w:ascii="宋体" w:hAnsi="宋体" w:cs="宋体"/>
          <w:color w:val="auto"/>
          <w:spacing w:val="-2"/>
          <w:sz w:val="28"/>
          <w:szCs w:val="28"/>
          <w:highlight w:val="none"/>
          <w:lang w:val="en-US" w:eastAsia="zh-CN"/>
        </w:rPr>
        <w:t>省</w:t>
      </w:r>
      <w:r>
        <w:rPr>
          <w:rFonts w:hint="eastAsia" w:ascii="宋体" w:hAnsi="宋体" w:eastAsia="宋体" w:cs="宋体"/>
          <w:color w:val="auto"/>
          <w:spacing w:val="-2"/>
          <w:sz w:val="28"/>
          <w:szCs w:val="28"/>
          <w:highlight w:val="none"/>
        </w:rPr>
        <w:t>营口市</w:t>
      </w:r>
      <w:r>
        <w:rPr>
          <w:rFonts w:hint="eastAsia" w:ascii="宋体" w:hAnsi="宋体" w:eastAsia="宋体" w:cs="宋体"/>
          <w:color w:val="auto"/>
          <w:sz w:val="28"/>
          <w:szCs w:val="28"/>
          <w:highlight w:val="none"/>
        </w:rPr>
        <w:t>海洋生态保护修复工程项目</w:t>
      </w:r>
      <w:r>
        <w:rPr>
          <w:rFonts w:hint="eastAsia"/>
          <w:color w:val="auto"/>
          <w:sz w:val="28"/>
          <w:szCs w:val="28"/>
          <w:highlight w:val="none"/>
        </w:rPr>
        <w:t>项目验收</w:t>
      </w:r>
      <w:r>
        <w:rPr>
          <w:rFonts w:hint="eastAsia"/>
          <w:color w:val="auto"/>
          <w:sz w:val="28"/>
          <w:szCs w:val="28"/>
          <w:highlight w:val="none"/>
          <w:lang w:val="en-US" w:eastAsia="zh-CN"/>
        </w:rPr>
        <w:t>后2年内综合成效评估报告；</w:t>
      </w:r>
    </w:p>
    <w:p>
      <w:pPr>
        <w:widowControl/>
        <w:numPr>
          <w:ilvl w:val="0"/>
          <w:numId w:val="0"/>
        </w:numPr>
        <w:adjustRightInd w:val="0"/>
        <w:snapToGrid w:val="0"/>
        <w:spacing w:line="360" w:lineRule="auto"/>
        <w:ind w:left="560"/>
        <w:jc w:val="left"/>
        <w:rPr>
          <w:rFonts w:hint="eastAsia"/>
          <w:color w:val="auto"/>
          <w:sz w:val="28"/>
          <w:szCs w:val="28"/>
          <w:highlight w:val="none"/>
          <w:lang w:val="en-US" w:eastAsia="zh-CN"/>
        </w:rPr>
      </w:pPr>
      <w:r>
        <w:rPr>
          <w:rFonts w:hint="eastAsia"/>
          <w:color w:val="auto"/>
          <w:sz w:val="28"/>
          <w:szCs w:val="28"/>
          <w:highlight w:val="none"/>
          <w:lang w:val="en-US" w:eastAsia="zh-CN"/>
        </w:rPr>
        <w:t>（8）评估方法与指标体系；</w:t>
      </w:r>
    </w:p>
    <w:p>
      <w:pPr>
        <w:widowControl/>
        <w:numPr>
          <w:ilvl w:val="0"/>
          <w:numId w:val="0"/>
        </w:numPr>
        <w:adjustRightInd w:val="0"/>
        <w:snapToGrid w:val="0"/>
        <w:spacing w:line="360" w:lineRule="auto"/>
        <w:ind w:left="560"/>
        <w:jc w:val="left"/>
        <w:rPr>
          <w:rFonts w:hint="default"/>
          <w:color w:val="auto"/>
          <w:sz w:val="28"/>
          <w:szCs w:val="28"/>
          <w:highlight w:val="none"/>
          <w:lang w:val="en-US" w:eastAsia="zh-CN"/>
        </w:rPr>
      </w:pPr>
      <w:r>
        <w:rPr>
          <w:rFonts w:hint="eastAsia"/>
          <w:color w:val="auto"/>
          <w:sz w:val="28"/>
          <w:szCs w:val="28"/>
          <w:highlight w:val="none"/>
          <w:lang w:val="en-US" w:eastAsia="zh-CN"/>
        </w:rPr>
        <w:t>（9）照片、影像、矢量数据资料。</w:t>
      </w:r>
    </w:p>
    <w:p>
      <w:pPr>
        <w:pStyle w:val="33"/>
        <w:widowControl/>
        <w:adjustRightInd w:val="0"/>
        <w:snapToGrid w:val="0"/>
        <w:spacing w:line="360" w:lineRule="auto"/>
        <w:ind w:firstLine="640"/>
        <w:jc w:val="left"/>
        <w:rPr>
          <w:color w:val="auto"/>
          <w:sz w:val="28"/>
          <w:szCs w:val="28"/>
          <w:highlight w:val="none"/>
        </w:rPr>
      </w:pPr>
      <w:r>
        <w:rPr>
          <w:rFonts w:hint="eastAsia"/>
          <w:color w:val="auto"/>
          <w:sz w:val="28"/>
          <w:szCs w:val="28"/>
          <w:highlight w:val="none"/>
        </w:rPr>
        <w:t>最高限价：</w:t>
      </w:r>
      <w:r>
        <w:rPr>
          <w:rFonts w:hint="eastAsia"/>
          <w:color w:val="auto"/>
          <w:sz w:val="28"/>
          <w:szCs w:val="28"/>
          <w:highlight w:val="none"/>
          <w:lang w:val="en-US" w:eastAsia="zh-CN"/>
        </w:rPr>
        <w:t>71</w:t>
      </w:r>
      <w:bookmarkStart w:id="254" w:name="_GoBack"/>
      <w:bookmarkEnd w:id="254"/>
      <w:r>
        <w:rPr>
          <w:rFonts w:hint="eastAsia"/>
          <w:color w:val="auto"/>
          <w:sz w:val="28"/>
          <w:szCs w:val="28"/>
          <w:highlight w:val="none"/>
          <w:lang w:val="en-US" w:eastAsia="zh-CN"/>
        </w:rPr>
        <w:t>0</w:t>
      </w:r>
      <w:r>
        <w:rPr>
          <w:rFonts w:hint="eastAsia"/>
          <w:color w:val="auto"/>
          <w:sz w:val="28"/>
          <w:szCs w:val="28"/>
          <w:highlight w:val="none"/>
        </w:rPr>
        <w:t>万元，高于此限价的投标无效。</w:t>
      </w:r>
    </w:p>
    <w:p>
      <w:pPr>
        <w:pStyle w:val="33"/>
        <w:widowControl/>
        <w:adjustRightInd w:val="0"/>
        <w:snapToGrid w:val="0"/>
        <w:spacing w:line="360" w:lineRule="auto"/>
        <w:ind w:firstLine="640"/>
        <w:jc w:val="left"/>
        <w:rPr>
          <w:color w:val="auto"/>
          <w:sz w:val="28"/>
          <w:szCs w:val="28"/>
          <w:highlight w:val="none"/>
        </w:rPr>
      </w:pPr>
      <w:r>
        <w:rPr>
          <w:rFonts w:hint="eastAsia"/>
          <w:color w:val="auto"/>
          <w:sz w:val="28"/>
          <w:szCs w:val="28"/>
          <w:highlight w:val="none"/>
        </w:rPr>
        <w:t>服务期限：</w:t>
      </w:r>
      <w:r>
        <w:rPr>
          <w:color w:val="auto"/>
          <w:sz w:val="28"/>
          <w:szCs w:val="28"/>
          <w:highlight w:val="none"/>
        </w:rPr>
        <w:t>2024年08月01日至202</w:t>
      </w:r>
      <w:r>
        <w:rPr>
          <w:rFonts w:hint="eastAsia"/>
          <w:color w:val="auto"/>
          <w:sz w:val="28"/>
          <w:szCs w:val="28"/>
          <w:highlight w:val="none"/>
          <w:lang w:val="en-US" w:eastAsia="zh-CN"/>
        </w:rPr>
        <w:t>8</w:t>
      </w:r>
      <w:r>
        <w:rPr>
          <w:color w:val="auto"/>
          <w:sz w:val="28"/>
          <w:szCs w:val="28"/>
          <w:highlight w:val="none"/>
        </w:rPr>
        <w:t>年12月31日。（具体时间以合同签订为准）。</w:t>
      </w:r>
    </w:p>
    <w:p>
      <w:pPr>
        <w:pStyle w:val="33"/>
        <w:widowControl/>
        <w:adjustRightInd w:val="0"/>
        <w:snapToGrid w:val="0"/>
        <w:spacing w:line="360" w:lineRule="auto"/>
        <w:ind w:firstLine="640"/>
        <w:jc w:val="left"/>
        <w:rPr>
          <w:color w:val="auto"/>
          <w:sz w:val="28"/>
          <w:szCs w:val="28"/>
          <w:highlight w:val="none"/>
        </w:rPr>
      </w:pPr>
      <w:r>
        <w:rPr>
          <w:rFonts w:hint="eastAsia"/>
          <w:color w:val="auto"/>
          <w:sz w:val="28"/>
          <w:szCs w:val="28"/>
          <w:highlight w:val="none"/>
        </w:rPr>
        <w:t>质量要求：合格</w:t>
      </w:r>
    </w:p>
    <w:p>
      <w:pPr>
        <w:pStyle w:val="33"/>
        <w:widowControl/>
        <w:adjustRightInd w:val="0"/>
        <w:snapToGrid w:val="0"/>
        <w:spacing w:line="360" w:lineRule="auto"/>
        <w:ind w:firstLine="640"/>
        <w:jc w:val="left"/>
        <w:rPr>
          <w:rFonts w:hint="eastAsia"/>
          <w:color w:val="auto"/>
          <w:sz w:val="32"/>
          <w:szCs w:val="32"/>
          <w:highlight w:val="none"/>
        </w:rPr>
      </w:pPr>
      <w:r>
        <w:rPr>
          <w:rFonts w:hint="eastAsia"/>
          <w:color w:val="auto"/>
          <w:sz w:val="28"/>
          <w:szCs w:val="28"/>
          <w:highlight w:val="none"/>
        </w:rPr>
        <w:t>付款方式：分四次支付。第一次付款：提交效果评估方案后20日内，支付至合同价款的30%；第二次付款：市级验收时提交成果报告并通过专家评审后，支付至合同价款的75%；第三次付款：项目省级验收后，支付至合同价款的90%；第四次付款：验收通过后2年内提交综合成效评估报告，支付至合同价款的100%。四次付款均应提供有效发票。</w:t>
      </w:r>
    </w:p>
    <w:p>
      <w:pPr>
        <w:pStyle w:val="33"/>
        <w:widowControl/>
        <w:spacing w:line="360" w:lineRule="auto"/>
        <w:ind w:firstLine="0" w:firstLineChars="0"/>
        <w:jc w:val="left"/>
        <w:rPr>
          <w:color w:val="auto"/>
          <w:sz w:val="24"/>
          <w:szCs w:val="20"/>
          <w:highlight w:val="none"/>
        </w:rPr>
      </w:pPr>
    </w:p>
    <w:p>
      <w:pPr>
        <w:rPr>
          <w:color w:val="auto"/>
          <w:w w:val="90"/>
          <w:highlight w:val="none"/>
        </w:rPr>
      </w:pPr>
      <w:r>
        <w:rPr>
          <w:color w:val="auto"/>
          <w:w w:val="90"/>
          <w:highlight w:val="none"/>
        </w:rPr>
        <w:br w:type="page"/>
      </w:r>
    </w:p>
    <w:p>
      <w:pPr>
        <w:spacing w:line="360" w:lineRule="auto"/>
        <w:rPr>
          <w:rFonts w:hint="eastAsia" w:ascii="宋体" w:hAnsi="宋体" w:eastAsia="宋体" w:cs="宋体"/>
          <w:color w:val="auto"/>
          <w:sz w:val="24"/>
          <w:szCs w:val="24"/>
          <w:highlight w:val="none"/>
        </w:rPr>
      </w:pPr>
      <w:bookmarkStart w:id="44" w:name="_Toc350515663"/>
      <w:bookmarkEnd w:id="44"/>
      <w:bookmarkStart w:id="45" w:name="_Toc343510609"/>
      <w:bookmarkEnd w:id="45"/>
      <w:bookmarkStart w:id="46" w:name="_Toc344394210"/>
      <w:bookmarkEnd w:id="46"/>
      <w:bookmarkStart w:id="47" w:name="_Toc349568733"/>
      <w:bookmarkEnd w:id="47"/>
      <w:bookmarkStart w:id="48" w:name="_Toc28352"/>
      <w:bookmarkEnd w:id="48"/>
      <w:bookmarkStart w:id="49" w:name="_Toc29388"/>
      <w:bookmarkEnd w:id="49"/>
      <w:r>
        <w:rPr>
          <w:color w:val="auto"/>
          <w:w w:val="90"/>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color w:val="auto"/>
          <w:w w:val="90"/>
          <w:highlight w:val="none"/>
        </w:rPr>
      </w:pPr>
      <w:r>
        <w:rPr>
          <w:color w:val="auto"/>
          <w:w w:val="90"/>
          <w:highlight w:val="none"/>
        </w:rPr>
        <w:t>附件（投标文件格式）</w:t>
      </w:r>
    </w:p>
    <w:p>
      <w:pPr>
        <w:spacing w:line="360" w:lineRule="auto"/>
        <w:rPr>
          <w:color w:val="auto"/>
          <w:highlight w:val="none"/>
        </w:rPr>
      </w:pPr>
    </w:p>
    <w:p>
      <w:pPr>
        <w:spacing w:line="360" w:lineRule="auto"/>
        <w:rPr>
          <w:color w:val="auto"/>
          <w:w w:val="90"/>
          <w:highlight w:val="none"/>
        </w:rPr>
      </w:pPr>
      <w:r>
        <w:rPr>
          <w:color w:val="auto"/>
          <w:w w:val="90"/>
          <w:highlight w:val="none"/>
        </w:rPr>
        <w:t xml:space="preserve"> </w:t>
      </w:r>
    </w:p>
    <w:p>
      <w:pPr>
        <w:spacing w:line="360" w:lineRule="auto"/>
        <w:rPr>
          <w:b/>
          <w:color w:val="auto"/>
          <w:sz w:val="30"/>
          <w:szCs w:val="30"/>
          <w:highlight w:val="none"/>
        </w:rPr>
      </w:pPr>
      <w:r>
        <w:rPr>
          <w:color w:val="auto"/>
          <w:highlight w:val="none"/>
        </w:rPr>
        <w:br w:type="page"/>
      </w:r>
      <w:r>
        <w:rPr>
          <w:rFonts w:hint="eastAsia"/>
          <w:b/>
          <w:color w:val="auto"/>
          <w:sz w:val="30"/>
          <w:szCs w:val="30"/>
          <w:highlight w:val="none"/>
        </w:rPr>
        <w:t>封面格式：</w:t>
      </w:r>
    </w:p>
    <w:p>
      <w:pPr>
        <w:tabs>
          <w:tab w:val="left" w:pos="720"/>
          <w:tab w:val="left" w:pos="8295"/>
        </w:tabs>
        <w:spacing w:before="240" w:line="360" w:lineRule="auto"/>
        <w:jc w:val="center"/>
        <w:rPr>
          <w:b/>
          <w:color w:val="auto"/>
          <w:kern w:val="0"/>
          <w:sz w:val="84"/>
          <w:szCs w:val="84"/>
          <w:highlight w:val="none"/>
        </w:rPr>
      </w:pPr>
    </w:p>
    <w:p>
      <w:pPr>
        <w:tabs>
          <w:tab w:val="left" w:pos="720"/>
          <w:tab w:val="left" w:pos="8295"/>
        </w:tabs>
        <w:spacing w:before="240" w:line="360" w:lineRule="auto"/>
        <w:jc w:val="center"/>
        <w:rPr>
          <w:b/>
          <w:color w:val="auto"/>
          <w:kern w:val="0"/>
          <w:sz w:val="84"/>
          <w:szCs w:val="84"/>
          <w:highlight w:val="none"/>
        </w:rPr>
      </w:pPr>
      <w:r>
        <w:rPr>
          <w:rFonts w:hint="eastAsia"/>
          <w:b/>
          <w:color w:val="auto"/>
          <w:kern w:val="0"/>
          <w:sz w:val="84"/>
          <w:szCs w:val="84"/>
          <w:highlight w:val="none"/>
        </w:rPr>
        <w:t>投</w:t>
      </w:r>
      <w:r>
        <w:rPr>
          <w:b/>
          <w:color w:val="auto"/>
          <w:kern w:val="0"/>
          <w:sz w:val="84"/>
          <w:szCs w:val="84"/>
          <w:highlight w:val="none"/>
        </w:rPr>
        <w:t xml:space="preserve"> </w:t>
      </w:r>
      <w:r>
        <w:rPr>
          <w:rFonts w:hint="eastAsia"/>
          <w:b/>
          <w:color w:val="auto"/>
          <w:kern w:val="0"/>
          <w:sz w:val="84"/>
          <w:szCs w:val="84"/>
          <w:highlight w:val="none"/>
        </w:rPr>
        <w:t>标</w:t>
      </w:r>
      <w:r>
        <w:rPr>
          <w:b/>
          <w:color w:val="auto"/>
          <w:kern w:val="0"/>
          <w:sz w:val="84"/>
          <w:szCs w:val="84"/>
          <w:highlight w:val="none"/>
        </w:rPr>
        <w:t xml:space="preserve"> </w:t>
      </w:r>
      <w:r>
        <w:rPr>
          <w:rFonts w:hint="eastAsia"/>
          <w:b/>
          <w:color w:val="auto"/>
          <w:kern w:val="0"/>
          <w:sz w:val="84"/>
          <w:szCs w:val="84"/>
          <w:highlight w:val="none"/>
        </w:rPr>
        <w:t>文</w:t>
      </w:r>
      <w:r>
        <w:rPr>
          <w:b/>
          <w:color w:val="auto"/>
          <w:kern w:val="0"/>
          <w:sz w:val="84"/>
          <w:szCs w:val="84"/>
          <w:highlight w:val="none"/>
        </w:rPr>
        <w:t xml:space="preserve"> </w:t>
      </w:r>
      <w:r>
        <w:rPr>
          <w:rFonts w:hint="eastAsia"/>
          <w:b/>
          <w:color w:val="auto"/>
          <w:kern w:val="0"/>
          <w:sz w:val="84"/>
          <w:szCs w:val="84"/>
          <w:highlight w:val="none"/>
        </w:rPr>
        <w:t>件</w:t>
      </w:r>
    </w:p>
    <w:p>
      <w:pPr>
        <w:spacing w:before="100" w:beforeAutospacing="1" w:after="100" w:afterAutospacing="1" w:line="360" w:lineRule="auto"/>
        <w:jc w:val="center"/>
        <w:rPr>
          <w:b/>
          <w:bCs/>
          <w:color w:val="auto"/>
          <w:sz w:val="32"/>
          <w:szCs w:val="32"/>
          <w:highlight w:val="none"/>
        </w:rPr>
      </w:pPr>
    </w:p>
    <w:p>
      <w:pPr>
        <w:spacing w:line="360" w:lineRule="auto"/>
        <w:ind w:firstLine="1108" w:firstLineChars="345"/>
        <w:rPr>
          <w:b/>
          <w:bCs/>
          <w:color w:val="auto"/>
          <w:sz w:val="32"/>
          <w:szCs w:val="32"/>
          <w:highlight w:val="none"/>
        </w:rPr>
      </w:pPr>
      <w:r>
        <w:rPr>
          <w:rFonts w:hint="eastAsia"/>
          <w:b/>
          <w:bCs/>
          <w:color w:val="auto"/>
          <w:sz w:val="32"/>
          <w:szCs w:val="32"/>
          <w:highlight w:val="none"/>
        </w:rPr>
        <w:t>招标编号：</w:t>
      </w:r>
    </w:p>
    <w:p>
      <w:pPr>
        <w:spacing w:line="360" w:lineRule="auto"/>
        <w:ind w:firstLine="1108" w:firstLineChars="345"/>
        <w:rPr>
          <w:b/>
          <w:bCs/>
          <w:color w:val="auto"/>
          <w:sz w:val="32"/>
          <w:szCs w:val="32"/>
          <w:highlight w:val="none"/>
        </w:rPr>
      </w:pPr>
    </w:p>
    <w:p>
      <w:pPr>
        <w:spacing w:line="360" w:lineRule="auto"/>
        <w:ind w:firstLine="1108" w:firstLineChars="345"/>
        <w:rPr>
          <w:b/>
          <w:color w:val="auto"/>
          <w:kern w:val="0"/>
          <w:sz w:val="32"/>
          <w:szCs w:val="32"/>
          <w:highlight w:val="none"/>
        </w:rPr>
      </w:pPr>
      <w:r>
        <w:rPr>
          <w:rFonts w:hint="eastAsia"/>
          <w:b/>
          <w:color w:val="auto"/>
          <w:kern w:val="0"/>
          <w:sz w:val="32"/>
          <w:szCs w:val="32"/>
          <w:highlight w:val="none"/>
        </w:rPr>
        <w:t>项目名称：</w:t>
      </w:r>
    </w:p>
    <w:p>
      <w:pPr>
        <w:spacing w:line="360" w:lineRule="auto"/>
        <w:ind w:firstLine="1108" w:firstLineChars="345"/>
        <w:rPr>
          <w:b/>
          <w:color w:val="auto"/>
          <w:kern w:val="0"/>
          <w:sz w:val="32"/>
          <w:szCs w:val="32"/>
          <w:highlight w:val="none"/>
        </w:rPr>
      </w:pPr>
    </w:p>
    <w:p>
      <w:pPr>
        <w:spacing w:line="360" w:lineRule="auto"/>
        <w:ind w:firstLine="1108" w:firstLineChars="345"/>
        <w:rPr>
          <w:b/>
          <w:color w:val="auto"/>
          <w:kern w:val="0"/>
          <w:sz w:val="32"/>
          <w:szCs w:val="32"/>
          <w:highlight w:val="none"/>
        </w:rPr>
      </w:pPr>
    </w:p>
    <w:p>
      <w:pPr>
        <w:spacing w:line="360" w:lineRule="auto"/>
        <w:ind w:firstLine="141" w:firstLineChars="44"/>
        <w:rPr>
          <w:b/>
          <w:color w:val="auto"/>
          <w:kern w:val="0"/>
          <w:sz w:val="32"/>
          <w:szCs w:val="32"/>
          <w:highlight w:val="none"/>
          <w:u w:val="single"/>
        </w:rPr>
      </w:pPr>
      <w:r>
        <w:rPr>
          <w:rFonts w:hint="eastAsia"/>
          <w:b/>
          <w:color w:val="auto"/>
          <w:kern w:val="0"/>
          <w:sz w:val="32"/>
          <w:szCs w:val="32"/>
          <w:highlight w:val="none"/>
        </w:rPr>
        <w:t>投标人名称：</w:t>
      </w:r>
      <w:r>
        <w:rPr>
          <w:b/>
          <w:color w:val="auto"/>
          <w:kern w:val="0"/>
          <w:sz w:val="32"/>
          <w:szCs w:val="32"/>
          <w:highlight w:val="none"/>
          <w:u w:val="single"/>
        </w:rPr>
        <w:t xml:space="preserve">                             （盖公章） </w:t>
      </w:r>
    </w:p>
    <w:p>
      <w:pPr>
        <w:spacing w:line="360" w:lineRule="auto"/>
        <w:ind w:firstLine="141" w:firstLineChars="44"/>
        <w:rPr>
          <w:b/>
          <w:color w:val="auto"/>
          <w:kern w:val="0"/>
          <w:sz w:val="32"/>
          <w:szCs w:val="32"/>
          <w:highlight w:val="none"/>
          <w:u w:val="single"/>
        </w:rPr>
      </w:pPr>
      <w:r>
        <w:rPr>
          <w:rFonts w:hint="eastAsia"/>
          <w:b/>
          <w:color w:val="auto"/>
          <w:kern w:val="0"/>
          <w:sz w:val="32"/>
          <w:szCs w:val="32"/>
          <w:highlight w:val="none"/>
        </w:rPr>
        <w:t>法定代表人或负责人或授权委托人：</w:t>
      </w:r>
      <w:r>
        <w:rPr>
          <w:b/>
          <w:color w:val="auto"/>
          <w:kern w:val="0"/>
          <w:sz w:val="32"/>
          <w:szCs w:val="32"/>
          <w:highlight w:val="none"/>
          <w:u w:val="single"/>
        </w:rPr>
        <w:t xml:space="preserve">           （签字或盖章） </w:t>
      </w:r>
    </w:p>
    <w:p>
      <w:pPr>
        <w:spacing w:line="360" w:lineRule="auto"/>
        <w:ind w:firstLine="141" w:firstLineChars="44"/>
        <w:rPr>
          <w:b/>
          <w:color w:val="auto"/>
          <w:kern w:val="0"/>
          <w:sz w:val="32"/>
          <w:szCs w:val="32"/>
          <w:highlight w:val="none"/>
        </w:rPr>
      </w:pPr>
      <w:r>
        <w:rPr>
          <w:rFonts w:hint="eastAsia"/>
          <w:b/>
          <w:color w:val="auto"/>
          <w:kern w:val="0"/>
          <w:sz w:val="32"/>
          <w:szCs w:val="32"/>
          <w:highlight w:val="none"/>
        </w:rPr>
        <w:t>公司地址：</w:t>
      </w:r>
      <w:r>
        <w:rPr>
          <w:b/>
          <w:color w:val="auto"/>
          <w:kern w:val="0"/>
          <w:sz w:val="32"/>
          <w:szCs w:val="32"/>
          <w:highlight w:val="none"/>
          <w:u w:val="single"/>
        </w:rPr>
        <w:t xml:space="preserve">                                        </w:t>
      </w:r>
    </w:p>
    <w:p>
      <w:pPr>
        <w:spacing w:line="360" w:lineRule="auto"/>
        <w:ind w:firstLine="141" w:firstLineChars="44"/>
        <w:rPr>
          <w:b/>
          <w:color w:val="auto"/>
          <w:kern w:val="0"/>
          <w:sz w:val="32"/>
          <w:szCs w:val="32"/>
          <w:highlight w:val="none"/>
          <w:u w:val="single"/>
        </w:rPr>
      </w:pPr>
      <w:r>
        <w:rPr>
          <w:rFonts w:hint="eastAsia"/>
          <w:b/>
          <w:color w:val="auto"/>
          <w:kern w:val="0"/>
          <w:sz w:val="32"/>
          <w:szCs w:val="32"/>
          <w:highlight w:val="none"/>
        </w:rPr>
        <w:t>日</w:t>
      </w:r>
      <w:r>
        <w:rPr>
          <w:b/>
          <w:color w:val="auto"/>
          <w:kern w:val="0"/>
          <w:sz w:val="32"/>
          <w:szCs w:val="32"/>
          <w:highlight w:val="none"/>
        </w:rPr>
        <w:t xml:space="preserve">      </w:t>
      </w:r>
      <w:r>
        <w:rPr>
          <w:rFonts w:hint="eastAsia"/>
          <w:b/>
          <w:color w:val="auto"/>
          <w:kern w:val="0"/>
          <w:sz w:val="32"/>
          <w:szCs w:val="32"/>
          <w:highlight w:val="none"/>
        </w:rPr>
        <w:t>期：</w:t>
      </w:r>
      <w:r>
        <w:rPr>
          <w:b/>
          <w:color w:val="auto"/>
          <w:kern w:val="0"/>
          <w:sz w:val="32"/>
          <w:szCs w:val="32"/>
          <w:highlight w:val="none"/>
          <w:u w:val="single"/>
        </w:rPr>
        <w:t xml:space="preserve">                                      </w:t>
      </w:r>
    </w:p>
    <w:p>
      <w:pPr>
        <w:spacing w:line="360" w:lineRule="auto"/>
        <w:rPr>
          <w:b/>
          <w:color w:val="auto"/>
          <w:spacing w:val="60"/>
          <w:sz w:val="24"/>
          <w:szCs w:val="24"/>
          <w:highlight w:val="none"/>
          <w:u w:val="single"/>
        </w:rPr>
      </w:pPr>
    </w:p>
    <w:p>
      <w:pPr>
        <w:pStyle w:val="4"/>
        <w:spacing w:line="360" w:lineRule="auto"/>
        <w:jc w:val="center"/>
        <w:rPr>
          <w:color w:val="auto"/>
          <w:sz w:val="28"/>
          <w:szCs w:val="28"/>
          <w:highlight w:val="none"/>
        </w:rPr>
      </w:pPr>
      <w:bookmarkStart w:id="50" w:name="_Toc16137"/>
      <w:bookmarkEnd w:id="50"/>
      <w:bookmarkStart w:id="51" w:name="_Toc344394211"/>
      <w:bookmarkEnd w:id="51"/>
      <w:bookmarkStart w:id="52" w:name="_Toc16092"/>
      <w:bookmarkEnd w:id="52"/>
      <w:bookmarkStart w:id="53" w:name="_Toc369353506"/>
      <w:bookmarkEnd w:id="53"/>
      <w:bookmarkStart w:id="54" w:name="_Toc349914539"/>
      <w:bookmarkEnd w:id="54"/>
      <w:bookmarkStart w:id="55" w:name="_Toc350515664"/>
      <w:bookmarkEnd w:id="55"/>
      <w:bookmarkStart w:id="56" w:name="_Toc343510610"/>
      <w:bookmarkEnd w:id="56"/>
      <w:bookmarkStart w:id="57" w:name="_Toc349568734"/>
      <w:bookmarkEnd w:id="57"/>
      <w:bookmarkStart w:id="58" w:name="_Toc8520"/>
      <w:bookmarkEnd w:id="58"/>
      <w:bookmarkStart w:id="59" w:name="_Toc350516678"/>
      <w:bookmarkEnd w:id="59"/>
      <w:bookmarkStart w:id="60" w:name="_Toc344397377"/>
      <w:bookmarkEnd w:id="60"/>
      <w:bookmarkStart w:id="61" w:name="_Toc330342807"/>
      <w:bookmarkEnd w:id="61"/>
      <w:bookmarkStart w:id="62" w:name="_Toc24222"/>
      <w:bookmarkEnd w:id="62"/>
      <w:bookmarkStart w:id="63" w:name="_Toc47262062"/>
      <w:bookmarkStart w:id="64" w:name="_Toc49019229"/>
      <w:bookmarkStart w:id="65" w:name="_Toc48791228"/>
      <w:bookmarkStart w:id="66" w:name="_Toc47261683"/>
      <w:bookmarkStart w:id="67" w:name="_Toc47418724"/>
      <w:bookmarkStart w:id="68" w:name="_Toc198021513"/>
      <w:bookmarkStart w:id="69" w:name="_Toc48995844"/>
      <w:bookmarkStart w:id="70" w:name="_Toc47418248"/>
      <w:bookmarkStart w:id="71" w:name="_Toc47261878"/>
      <w:bookmarkStart w:id="72" w:name="_Toc47418931"/>
      <w:r>
        <w:rPr>
          <w:color w:val="auto"/>
          <w:sz w:val="28"/>
          <w:szCs w:val="28"/>
          <w:highlight w:val="none"/>
        </w:rPr>
        <w:br w:type="page"/>
      </w:r>
      <w:r>
        <w:rPr>
          <w:rFonts w:hint="eastAsia"/>
          <w:color w:val="auto"/>
          <w:highlight w:val="none"/>
        </w:rPr>
        <w:t>第一部分</w:t>
      </w:r>
      <w:r>
        <w:rPr>
          <w:color w:val="auto"/>
          <w:highlight w:val="none"/>
        </w:rPr>
        <w:t xml:space="preserve"> </w:t>
      </w:r>
      <w:r>
        <w:rPr>
          <w:rFonts w:hint="eastAsia"/>
          <w:color w:val="auto"/>
          <w:highlight w:val="none"/>
        </w:rPr>
        <w:t>投标函部分</w:t>
      </w:r>
    </w:p>
    <w:bookmarkEnd w:id="63"/>
    <w:bookmarkEnd w:id="64"/>
    <w:bookmarkEnd w:id="65"/>
    <w:bookmarkEnd w:id="66"/>
    <w:bookmarkEnd w:id="67"/>
    <w:bookmarkEnd w:id="68"/>
    <w:bookmarkEnd w:id="69"/>
    <w:bookmarkEnd w:id="70"/>
    <w:bookmarkEnd w:id="71"/>
    <w:bookmarkEnd w:id="72"/>
    <w:p>
      <w:pPr>
        <w:pStyle w:val="4"/>
        <w:spacing w:line="360" w:lineRule="auto"/>
        <w:rPr>
          <w:color w:val="auto"/>
          <w:sz w:val="28"/>
          <w:szCs w:val="28"/>
          <w:highlight w:val="none"/>
        </w:rPr>
      </w:pPr>
      <w:bookmarkStart w:id="73" w:name="_Toc350516679"/>
      <w:bookmarkEnd w:id="73"/>
      <w:bookmarkStart w:id="74" w:name="_Toc344394212"/>
      <w:bookmarkEnd w:id="74"/>
      <w:bookmarkStart w:id="75" w:name="_Toc344397378"/>
      <w:bookmarkEnd w:id="75"/>
      <w:bookmarkStart w:id="76" w:name="_Toc343510611"/>
      <w:bookmarkEnd w:id="76"/>
      <w:bookmarkStart w:id="77" w:name="_Toc32757"/>
      <w:bookmarkEnd w:id="77"/>
      <w:bookmarkStart w:id="78" w:name="_Toc330342557"/>
      <w:bookmarkEnd w:id="78"/>
      <w:bookmarkStart w:id="79" w:name="_Toc330342808"/>
      <w:bookmarkEnd w:id="79"/>
      <w:bookmarkStart w:id="80" w:name="_Toc25016"/>
      <w:bookmarkEnd w:id="80"/>
      <w:bookmarkStart w:id="81" w:name="_Toc28002"/>
      <w:bookmarkEnd w:id="81"/>
      <w:bookmarkStart w:id="82" w:name="_Toc10045"/>
      <w:bookmarkEnd w:id="82"/>
      <w:bookmarkStart w:id="83" w:name="_Toc350515665"/>
      <w:bookmarkEnd w:id="83"/>
      <w:bookmarkStart w:id="84" w:name="_Toc349568735"/>
      <w:bookmarkEnd w:id="84"/>
      <w:bookmarkStart w:id="85" w:name="_Toc369353507"/>
      <w:bookmarkEnd w:id="85"/>
      <w:bookmarkStart w:id="86" w:name="_Toc349914540"/>
      <w:bookmarkEnd w:id="86"/>
      <w:r>
        <w:rPr>
          <w:color w:val="auto"/>
          <w:sz w:val="28"/>
          <w:szCs w:val="28"/>
          <w:highlight w:val="none"/>
        </w:rPr>
        <w:t>1、投标函(格式)</w:t>
      </w:r>
    </w:p>
    <w:p>
      <w:pPr>
        <w:spacing w:line="360" w:lineRule="auto"/>
        <w:jc w:val="center"/>
        <w:rPr>
          <w:b/>
          <w:color w:val="auto"/>
          <w:sz w:val="32"/>
          <w:highlight w:val="none"/>
        </w:rPr>
      </w:pPr>
      <w:r>
        <w:rPr>
          <w:rFonts w:hint="eastAsia"/>
          <w:b/>
          <w:color w:val="auto"/>
          <w:sz w:val="42"/>
          <w:highlight w:val="none"/>
        </w:rPr>
        <w:t>投</w:t>
      </w:r>
      <w:r>
        <w:rPr>
          <w:b/>
          <w:color w:val="auto"/>
          <w:sz w:val="42"/>
          <w:highlight w:val="none"/>
        </w:rPr>
        <w:t xml:space="preserve">  </w:t>
      </w:r>
      <w:r>
        <w:rPr>
          <w:rFonts w:hint="eastAsia"/>
          <w:b/>
          <w:color w:val="auto"/>
          <w:sz w:val="42"/>
          <w:highlight w:val="none"/>
        </w:rPr>
        <w:t>标</w:t>
      </w:r>
      <w:r>
        <w:rPr>
          <w:b/>
          <w:color w:val="auto"/>
          <w:sz w:val="42"/>
          <w:highlight w:val="none"/>
        </w:rPr>
        <w:t xml:space="preserve">  </w:t>
      </w:r>
      <w:r>
        <w:rPr>
          <w:rFonts w:hint="eastAsia"/>
          <w:b/>
          <w:color w:val="auto"/>
          <w:sz w:val="42"/>
          <w:highlight w:val="none"/>
        </w:rPr>
        <w:t>函</w:t>
      </w:r>
      <w:r>
        <w:rPr>
          <w:b/>
          <w:color w:val="auto"/>
          <w:sz w:val="32"/>
          <w:highlight w:val="none"/>
        </w:rPr>
        <w:t xml:space="preserve"> </w:t>
      </w:r>
    </w:p>
    <w:p>
      <w:pPr>
        <w:spacing w:after="120" w:line="360" w:lineRule="auto"/>
        <w:rPr>
          <w:color w:val="auto"/>
          <w:sz w:val="24"/>
          <w:highlight w:val="none"/>
        </w:rPr>
      </w:pPr>
      <w:r>
        <w:rPr>
          <w:rFonts w:hint="eastAsia"/>
          <w:b/>
          <w:color w:val="auto"/>
          <w:spacing w:val="10"/>
          <w:sz w:val="24"/>
          <w:highlight w:val="none"/>
        </w:rPr>
        <w:t>致</w:t>
      </w:r>
      <w:r>
        <w:rPr>
          <w:b/>
          <w:color w:val="auto"/>
          <w:spacing w:val="10"/>
          <w:sz w:val="24"/>
          <w:highlight w:val="none"/>
        </w:rPr>
        <w:t xml:space="preserve"> </w:t>
      </w:r>
      <w:r>
        <w:rPr>
          <w:rFonts w:hint="eastAsia"/>
          <w:b/>
          <w:color w:val="auto"/>
          <w:spacing w:val="10"/>
          <w:sz w:val="24"/>
          <w:highlight w:val="none"/>
        </w:rPr>
        <w:t>营口市自然资源局</w:t>
      </w:r>
      <w:r>
        <w:rPr>
          <w:b/>
          <w:color w:val="auto"/>
          <w:spacing w:val="10"/>
          <w:sz w:val="24"/>
          <w:highlight w:val="none"/>
        </w:rPr>
        <w:t>:</w:t>
      </w:r>
    </w:p>
    <w:p>
      <w:pPr>
        <w:spacing w:after="120" w:line="360" w:lineRule="auto"/>
        <w:ind w:firstLine="391" w:firstLineChars="150"/>
        <w:rPr>
          <w:b/>
          <w:color w:val="auto"/>
          <w:spacing w:val="10"/>
          <w:sz w:val="24"/>
          <w:highlight w:val="none"/>
        </w:rPr>
      </w:pPr>
      <w:r>
        <w:rPr>
          <w:rFonts w:hint="eastAsia"/>
          <w:b/>
          <w:color w:val="auto"/>
          <w:spacing w:val="10"/>
          <w:sz w:val="24"/>
          <w:highlight w:val="none"/>
        </w:rPr>
        <w:t>辽宁国信建设工程管理有限公司：</w:t>
      </w:r>
    </w:p>
    <w:p>
      <w:pPr>
        <w:tabs>
          <w:tab w:val="left" w:pos="0"/>
          <w:tab w:val="left" w:pos="1155"/>
        </w:tabs>
        <w:snapToGrid w:val="0"/>
        <w:spacing w:line="360" w:lineRule="auto"/>
        <w:ind w:firstLine="523" w:firstLineChars="218"/>
        <w:rPr>
          <w:color w:val="auto"/>
          <w:sz w:val="24"/>
          <w:highlight w:val="none"/>
        </w:rPr>
      </w:pPr>
      <w:r>
        <w:rPr>
          <w:rFonts w:hint="eastAsia"/>
          <w:color w:val="auto"/>
          <w:sz w:val="24"/>
          <w:highlight w:val="none"/>
        </w:rPr>
        <w:t>根据贵公司“</w:t>
      </w:r>
      <w:r>
        <w:rPr>
          <w:rFonts w:hint="eastAsia"/>
          <w:color w:val="auto"/>
          <w:sz w:val="24"/>
          <w:highlight w:val="none"/>
          <w:lang w:eastAsia="zh-CN"/>
        </w:rPr>
        <w:t>辽宁省营口市海洋生态保护修复工程项目生态修复效果与减灾功能评估</w:t>
      </w:r>
      <w:r>
        <w:rPr>
          <w:rFonts w:hint="eastAsia"/>
          <w:color w:val="auto"/>
          <w:sz w:val="24"/>
          <w:highlight w:val="none"/>
        </w:rPr>
        <w:t>”的招标文件，我单位（公司）决定参加本项目的投标，我单位（或公司）同意以下事项：</w:t>
      </w:r>
    </w:p>
    <w:p>
      <w:pPr>
        <w:snapToGrid w:val="0"/>
        <w:spacing w:line="360" w:lineRule="auto"/>
        <w:ind w:left="420"/>
        <w:rPr>
          <w:color w:val="auto"/>
          <w:sz w:val="24"/>
          <w:highlight w:val="none"/>
        </w:rPr>
      </w:pPr>
      <w:r>
        <w:rPr>
          <w:color w:val="auto"/>
          <w:sz w:val="24"/>
          <w:highlight w:val="none"/>
        </w:rPr>
        <w:t>1.我方愿以</w:t>
      </w:r>
      <w:r>
        <w:rPr>
          <w:color w:val="auto"/>
          <w:sz w:val="24"/>
          <w:highlight w:val="none"/>
          <w:u w:val="single"/>
        </w:rPr>
        <w:t xml:space="preserve">           </w:t>
      </w:r>
      <w:r>
        <w:rPr>
          <w:rFonts w:hint="eastAsia"/>
          <w:color w:val="auto"/>
          <w:sz w:val="24"/>
          <w:highlight w:val="none"/>
        </w:rPr>
        <w:t>元承包上述项目的服务工作，并承担任何质量缺陷保障责任：</w:t>
      </w:r>
    </w:p>
    <w:p>
      <w:pPr>
        <w:snapToGrid w:val="0"/>
        <w:spacing w:line="360" w:lineRule="auto"/>
        <w:ind w:left="420"/>
        <w:rPr>
          <w:color w:val="auto"/>
          <w:sz w:val="24"/>
          <w:szCs w:val="24"/>
          <w:highlight w:val="none"/>
        </w:rPr>
      </w:pPr>
      <w:r>
        <w:rPr>
          <w:color w:val="auto"/>
          <w:sz w:val="24"/>
          <w:szCs w:val="24"/>
          <w:highlight w:val="none"/>
        </w:rPr>
        <w:t>2.投标人</w:t>
      </w:r>
      <w:r>
        <w:rPr>
          <w:rFonts w:hint="eastAsia"/>
          <w:color w:val="auto"/>
          <w:sz w:val="24"/>
          <w:highlight w:val="none"/>
        </w:rPr>
        <w:t>遵守招标文件的各项条款及一切有关规定，同时</w:t>
      </w:r>
      <w:r>
        <w:rPr>
          <w:rFonts w:hint="eastAsia"/>
          <w:color w:val="auto"/>
          <w:sz w:val="24"/>
          <w:szCs w:val="24"/>
          <w:highlight w:val="none"/>
        </w:rPr>
        <w:t>将按招标文件的规定履行合同责任和义务。</w:t>
      </w:r>
    </w:p>
    <w:p>
      <w:pPr>
        <w:snapToGrid w:val="0"/>
        <w:spacing w:line="360" w:lineRule="auto"/>
        <w:ind w:left="420"/>
        <w:rPr>
          <w:color w:val="auto"/>
          <w:sz w:val="24"/>
          <w:szCs w:val="24"/>
          <w:highlight w:val="none"/>
        </w:rPr>
      </w:pPr>
      <w:r>
        <w:rPr>
          <w:color w:val="auto"/>
          <w:sz w:val="24"/>
          <w:szCs w:val="24"/>
          <w:highlight w:val="none"/>
        </w:rPr>
        <w:t>3.</w:t>
      </w:r>
      <w:r>
        <w:rPr>
          <w:rFonts w:hint="eastAsia"/>
          <w:color w:val="auto"/>
          <w:sz w:val="24"/>
          <w:szCs w:val="24"/>
          <w:highlight w:val="none"/>
        </w:rPr>
        <w:t>服务期限：</w:t>
      </w:r>
      <w:r>
        <w:rPr>
          <w:color w:val="auto"/>
          <w:sz w:val="24"/>
          <w:szCs w:val="24"/>
          <w:highlight w:val="none"/>
          <w:u w:val="single"/>
        </w:rPr>
        <w:t xml:space="preserve">                                       </w:t>
      </w:r>
      <w:r>
        <w:rPr>
          <w:rFonts w:hint="eastAsia"/>
          <w:color w:val="auto"/>
          <w:sz w:val="24"/>
          <w:szCs w:val="24"/>
          <w:highlight w:val="none"/>
        </w:rPr>
        <w:t>。</w:t>
      </w:r>
    </w:p>
    <w:p>
      <w:pPr>
        <w:snapToGrid w:val="0"/>
        <w:spacing w:line="360" w:lineRule="auto"/>
        <w:ind w:left="420"/>
        <w:rPr>
          <w:color w:val="auto"/>
          <w:sz w:val="24"/>
          <w:szCs w:val="24"/>
          <w:highlight w:val="none"/>
        </w:rPr>
      </w:pPr>
      <w:r>
        <w:rPr>
          <w:color w:val="auto"/>
          <w:sz w:val="24"/>
          <w:szCs w:val="24"/>
          <w:highlight w:val="none"/>
        </w:rPr>
        <w:t>4.</w:t>
      </w:r>
      <w:r>
        <w:rPr>
          <w:rFonts w:hint="eastAsia"/>
          <w:color w:val="auto"/>
          <w:sz w:val="24"/>
          <w:szCs w:val="24"/>
          <w:highlight w:val="none"/>
        </w:rPr>
        <w:t>服务地点：</w:t>
      </w:r>
      <w:r>
        <w:rPr>
          <w:color w:val="auto"/>
          <w:sz w:val="24"/>
          <w:szCs w:val="24"/>
          <w:highlight w:val="none"/>
          <w:u w:val="single"/>
        </w:rPr>
        <w:t xml:space="preserve">                                       </w:t>
      </w:r>
      <w:r>
        <w:rPr>
          <w:rFonts w:hint="eastAsia"/>
          <w:color w:val="auto"/>
          <w:sz w:val="24"/>
          <w:szCs w:val="24"/>
          <w:highlight w:val="none"/>
        </w:rPr>
        <w:t>。</w:t>
      </w:r>
    </w:p>
    <w:p>
      <w:pPr>
        <w:snapToGrid w:val="0"/>
        <w:spacing w:line="360" w:lineRule="auto"/>
        <w:ind w:left="420"/>
        <w:rPr>
          <w:color w:val="auto"/>
          <w:sz w:val="24"/>
          <w:szCs w:val="24"/>
          <w:highlight w:val="none"/>
        </w:rPr>
      </w:pPr>
    </w:p>
    <w:p>
      <w:pPr>
        <w:snapToGrid w:val="0"/>
        <w:spacing w:line="360" w:lineRule="auto"/>
        <w:ind w:left="420"/>
        <w:rPr>
          <w:color w:val="auto"/>
          <w:sz w:val="24"/>
          <w:szCs w:val="24"/>
          <w:highlight w:val="none"/>
        </w:rPr>
      </w:pPr>
    </w:p>
    <w:p>
      <w:pPr>
        <w:snapToGrid w:val="0"/>
        <w:spacing w:line="360" w:lineRule="auto"/>
        <w:ind w:left="420"/>
        <w:rPr>
          <w:color w:val="auto"/>
          <w:highlight w:val="none"/>
        </w:rPr>
      </w:pPr>
      <w:r>
        <w:rPr>
          <w:color w:val="auto"/>
          <w:sz w:val="24"/>
          <w:szCs w:val="24"/>
          <w:highlight w:val="none"/>
        </w:rPr>
        <w:t>5.</w:t>
      </w:r>
      <w:r>
        <w:rPr>
          <w:rFonts w:hint="eastAsia"/>
          <w:color w:val="auto"/>
          <w:sz w:val="24"/>
          <w:szCs w:val="24"/>
          <w:highlight w:val="none"/>
        </w:rPr>
        <w:t>质量要求：</w:t>
      </w:r>
      <w:r>
        <w:rPr>
          <w:color w:val="auto"/>
          <w:sz w:val="24"/>
          <w:szCs w:val="24"/>
          <w:highlight w:val="none"/>
          <w:u w:val="single"/>
        </w:rPr>
        <w:t xml:space="preserve">                                       </w:t>
      </w:r>
      <w:r>
        <w:rPr>
          <w:rFonts w:hint="eastAsia"/>
          <w:color w:val="auto"/>
          <w:sz w:val="24"/>
          <w:szCs w:val="24"/>
          <w:highlight w:val="none"/>
        </w:rPr>
        <w:t>。</w:t>
      </w:r>
    </w:p>
    <w:p>
      <w:pPr>
        <w:snapToGrid w:val="0"/>
        <w:spacing w:line="360" w:lineRule="auto"/>
        <w:ind w:left="420"/>
        <w:rPr>
          <w:color w:val="auto"/>
          <w:sz w:val="24"/>
          <w:szCs w:val="24"/>
          <w:highlight w:val="none"/>
        </w:rPr>
      </w:pPr>
      <w:r>
        <w:rPr>
          <w:color w:val="auto"/>
          <w:sz w:val="24"/>
          <w:highlight w:val="none"/>
        </w:rPr>
        <w:t>6.向贵方提供所有与投标项有关的真实有效的数据、情况和技术资料。</w:t>
      </w:r>
    </w:p>
    <w:p>
      <w:pPr>
        <w:snapToGrid w:val="0"/>
        <w:spacing w:line="360" w:lineRule="auto"/>
        <w:ind w:left="420"/>
        <w:rPr>
          <w:color w:val="auto"/>
          <w:sz w:val="24"/>
          <w:szCs w:val="24"/>
          <w:highlight w:val="none"/>
        </w:rPr>
      </w:pPr>
      <w:r>
        <w:rPr>
          <w:color w:val="auto"/>
          <w:sz w:val="24"/>
          <w:szCs w:val="24"/>
          <w:highlight w:val="none"/>
        </w:rPr>
        <w:t>7.投标人已详细审查全部招标文件。我们完全理解并同意放弃对这方面有不明及误解的权力。</w:t>
      </w:r>
    </w:p>
    <w:p>
      <w:pPr>
        <w:snapToGrid w:val="0"/>
        <w:spacing w:line="360" w:lineRule="auto"/>
        <w:ind w:left="420"/>
        <w:rPr>
          <w:color w:val="auto"/>
          <w:sz w:val="24"/>
          <w:szCs w:val="24"/>
          <w:highlight w:val="none"/>
        </w:rPr>
      </w:pPr>
      <w:r>
        <w:rPr>
          <w:color w:val="auto"/>
          <w:sz w:val="24"/>
          <w:szCs w:val="24"/>
          <w:highlight w:val="none"/>
        </w:rPr>
        <w:t>8.本投标文件自贵方收到之日生效，有效期至开标后90个日历天，在此期间本投标文件之规定对我方具有约束力。</w:t>
      </w:r>
    </w:p>
    <w:p>
      <w:pPr>
        <w:snapToGrid w:val="0"/>
        <w:spacing w:line="360" w:lineRule="auto"/>
        <w:ind w:left="420"/>
        <w:rPr>
          <w:color w:val="auto"/>
          <w:sz w:val="24"/>
          <w:szCs w:val="24"/>
          <w:highlight w:val="none"/>
        </w:rPr>
      </w:pPr>
      <w:r>
        <w:rPr>
          <w:color w:val="auto"/>
          <w:sz w:val="24"/>
          <w:highlight w:val="none"/>
        </w:rPr>
        <w:t>9.如果我方投标被接受，则至合同履行完成和质量保证期满为止，本投标文件保持有效。</w:t>
      </w:r>
    </w:p>
    <w:p>
      <w:pPr>
        <w:spacing w:line="360" w:lineRule="auto"/>
        <w:ind w:firstLine="510"/>
        <w:rPr>
          <w:color w:val="auto"/>
          <w:sz w:val="24"/>
          <w:highlight w:val="none"/>
        </w:rPr>
      </w:pPr>
      <w:r>
        <w:rPr>
          <w:rFonts w:hint="eastAsia"/>
          <w:color w:val="auto"/>
          <w:sz w:val="24"/>
          <w:highlight w:val="none"/>
        </w:rPr>
        <w:t>投标人全称（盖公章）：</w:t>
      </w:r>
    </w:p>
    <w:p>
      <w:pPr>
        <w:spacing w:line="360" w:lineRule="auto"/>
        <w:ind w:firstLine="510"/>
        <w:rPr>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color w:val="auto"/>
          <w:sz w:val="24"/>
          <w:highlight w:val="none"/>
        </w:rPr>
        <w:t>:</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电  话：</w:t>
      </w:r>
    </w:p>
    <w:p>
      <w:pPr>
        <w:spacing w:line="360" w:lineRule="auto"/>
        <w:ind w:firstLine="510"/>
        <w:rPr>
          <w:color w:val="auto"/>
          <w:sz w:val="24"/>
          <w:highlight w:val="none"/>
        </w:rPr>
      </w:pPr>
      <w:r>
        <w:rPr>
          <w:rFonts w:hint="eastAsia"/>
          <w:color w:val="auto"/>
          <w:sz w:val="24"/>
          <w:highlight w:val="none"/>
        </w:rPr>
        <w:t>邮</w:t>
      </w:r>
      <w:r>
        <w:rPr>
          <w:color w:val="auto"/>
          <w:sz w:val="24"/>
          <w:highlight w:val="none"/>
        </w:rPr>
        <w:t xml:space="preserve">  </w:t>
      </w:r>
      <w:r>
        <w:rPr>
          <w:rFonts w:hint="eastAsia"/>
          <w:color w:val="auto"/>
          <w:sz w:val="24"/>
          <w:highlight w:val="none"/>
        </w:rPr>
        <w:t>编：</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传  真：</w:t>
      </w:r>
    </w:p>
    <w:p>
      <w:pPr>
        <w:spacing w:line="360" w:lineRule="auto"/>
        <w:ind w:firstLine="510"/>
        <w:rPr>
          <w:color w:val="auto"/>
          <w:sz w:val="24"/>
          <w:highlight w:val="none"/>
        </w:rPr>
      </w:pPr>
      <w:r>
        <w:rPr>
          <w:rFonts w:hint="eastAsia"/>
          <w:color w:val="auto"/>
          <w:sz w:val="24"/>
          <w:highlight w:val="none"/>
        </w:rPr>
        <w:t>法定代表人或负责人或授权委托代理人（签字或盖章）：</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w:t>
      </w:r>
      <w:r>
        <w:rPr>
          <w:color w:val="auto"/>
          <w:sz w:val="24"/>
          <w:highlight w:val="none"/>
        </w:rPr>
        <w:tab/>
      </w:r>
      <w:r>
        <w:rPr>
          <w:color w:val="auto"/>
          <w:sz w:val="24"/>
          <w:highlight w:val="none"/>
        </w:rPr>
        <w:t xml:space="preserve">   </w:t>
      </w:r>
    </w:p>
    <w:p>
      <w:pPr>
        <w:spacing w:line="360" w:lineRule="auto"/>
        <w:ind w:firstLine="510"/>
        <w:rPr>
          <w:color w:val="auto"/>
          <w:sz w:val="24"/>
          <w:highlight w:val="none"/>
        </w:rPr>
      </w:pPr>
      <w:r>
        <w:rPr>
          <w:rFonts w:hint="eastAsia"/>
          <w:color w:val="auto"/>
          <w:sz w:val="24"/>
          <w:highlight w:val="none"/>
        </w:rPr>
        <w:t>日</w:t>
      </w:r>
      <w:r>
        <w:rPr>
          <w:color w:val="auto"/>
          <w:sz w:val="24"/>
          <w:highlight w:val="none"/>
        </w:rPr>
        <w:t xml:space="preserve">  </w:t>
      </w:r>
      <w:r>
        <w:rPr>
          <w:rFonts w:hint="eastAsia"/>
          <w:color w:val="auto"/>
          <w:sz w:val="24"/>
          <w:highlight w:val="none"/>
        </w:rPr>
        <w:t>期：</w:t>
      </w:r>
    </w:p>
    <w:p>
      <w:pPr>
        <w:rPr>
          <w:color w:val="auto"/>
          <w:sz w:val="28"/>
          <w:szCs w:val="28"/>
          <w:highlight w:val="none"/>
        </w:rPr>
      </w:pPr>
      <w:r>
        <w:rPr>
          <w:color w:val="auto"/>
          <w:sz w:val="28"/>
          <w:szCs w:val="28"/>
          <w:highlight w:val="none"/>
        </w:rPr>
        <w:br w:type="page"/>
      </w:r>
    </w:p>
    <w:p>
      <w:pPr>
        <w:pStyle w:val="4"/>
        <w:spacing w:line="360" w:lineRule="auto"/>
        <w:rPr>
          <w:color w:val="auto"/>
          <w:sz w:val="28"/>
          <w:szCs w:val="28"/>
          <w:highlight w:val="none"/>
        </w:rPr>
      </w:pPr>
      <w:bookmarkStart w:id="87" w:name="_Toc19545"/>
      <w:bookmarkEnd w:id="87"/>
      <w:r>
        <w:rPr>
          <w:color w:val="auto"/>
          <w:sz w:val="28"/>
          <w:szCs w:val="28"/>
          <w:highlight w:val="none"/>
        </w:rPr>
        <w:t>2、投标函附录格式</w:t>
      </w:r>
    </w:p>
    <w:p>
      <w:pPr>
        <w:spacing w:line="360" w:lineRule="auto"/>
        <w:jc w:val="center"/>
        <w:rPr>
          <w:b/>
          <w:color w:val="auto"/>
          <w:sz w:val="42"/>
          <w:highlight w:val="none"/>
        </w:rPr>
      </w:pPr>
      <w:r>
        <w:rPr>
          <w:rFonts w:hint="eastAsia"/>
          <w:b/>
          <w:color w:val="auto"/>
          <w:sz w:val="42"/>
          <w:highlight w:val="none"/>
        </w:rPr>
        <w:t>投</w:t>
      </w:r>
      <w:r>
        <w:rPr>
          <w:b/>
          <w:color w:val="auto"/>
          <w:sz w:val="42"/>
          <w:highlight w:val="none"/>
        </w:rPr>
        <w:t xml:space="preserve"> </w:t>
      </w:r>
      <w:r>
        <w:rPr>
          <w:rFonts w:hint="eastAsia"/>
          <w:b/>
          <w:color w:val="auto"/>
          <w:sz w:val="42"/>
          <w:highlight w:val="none"/>
        </w:rPr>
        <w:t>标</w:t>
      </w:r>
      <w:r>
        <w:rPr>
          <w:b/>
          <w:color w:val="auto"/>
          <w:sz w:val="42"/>
          <w:highlight w:val="none"/>
        </w:rPr>
        <w:t xml:space="preserve"> </w:t>
      </w:r>
      <w:r>
        <w:rPr>
          <w:rFonts w:hint="eastAsia"/>
          <w:b/>
          <w:color w:val="auto"/>
          <w:sz w:val="42"/>
          <w:highlight w:val="none"/>
        </w:rPr>
        <w:t>函</w:t>
      </w:r>
      <w:r>
        <w:rPr>
          <w:b/>
          <w:color w:val="auto"/>
          <w:sz w:val="42"/>
          <w:highlight w:val="none"/>
        </w:rPr>
        <w:t xml:space="preserve"> </w:t>
      </w:r>
      <w:r>
        <w:rPr>
          <w:rFonts w:hint="eastAsia"/>
          <w:b/>
          <w:color w:val="auto"/>
          <w:sz w:val="42"/>
          <w:highlight w:val="none"/>
        </w:rPr>
        <w:t>附</w:t>
      </w:r>
      <w:r>
        <w:rPr>
          <w:b/>
          <w:color w:val="auto"/>
          <w:sz w:val="42"/>
          <w:highlight w:val="none"/>
        </w:rPr>
        <w:t xml:space="preserve"> </w:t>
      </w:r>
      <w:r>
        <w:rPr>
          <w:rFonts w:hint="eastAsia"/>
          <w:b/>
          <w:color w:val="auto"/>
          <w:sz w:val="42"/>
          <w:highlight w:val="none"/>
        </w:rPr>
        <w:t>录</w:t>
      </w:r>
    </w:p>
    <w:tbl>
      <w:tblPr>
        <w:tblStyle w:val="2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786" w:type="dxa"/>
            <w:vAlign w:val="center"/>
          </w:tcPr>
          <w:p>
            <w:pPr>
              <w:snapToGrid w:val="0"/>
              <w:spacing w:before="48" w:beforeLines="20" w:line="560" w:lineRule="exact"/>
              <w:jc w:val="center"/>
              <w:rPr>
                <w:color w:val="auto"/>
                <w:sz w:val="24"/>
                <w:highlight w:val="none"/>
              </w:rPr>
            </w:pPr>
            <w:r>
              <w:rPr>
                <w:rFonts w:hint="eastAsia"/>
                <w:color w:val="auto"/>
                <w:sz w:val="24"/>
                <w:highlight w:val="none"/>
              </w:rPr>
              <w:t>招标编号</w:t>
            </w:r>
          </w:p>
        </w:tc>
        <w:tc>
          <w:tcPr>
            <w:tcW w:w="7176" w:type="dxa"/>
            <w:vAlign w:val="center"/>
          </w:tcPr>
          <w:p>
            <w:pPr>
              <w:snapToGrid w:val="0"/>
              <w:spacing w:before="48" w:beforeLines="20" w:line="56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786" w:type="dxa"/>
            <w:vAlign w:val="center"/>
          </w:tcPr>
          <w:p>
            <w:pPr>
              <w:snapToGrid w:val="0"/>
              <w:spacing w:before="48" w:beforeLines="20" w:line="560" w:lineRule="exact"/>
              <w:jc w:val="center"/>
              <w:rPr>
                <w:color w:val="auto"/>
                <w:sz w:val="24"/>
                <w:highlight w:val="none"/>
              </w:rPr>
            </w:pPr>
            <w:r>
              <w:rPr>
                <w:rFonts w:hint="eastAsia"/>
                <w:color w:val="auto"/>
                <w:sz w:val="24"/>
                <w:highlight w:val="none"/>
              </w:rPr>
              <w:t>项目名称</w:t>
            </w:r>
          </w:p>
        </w:tc>
        <w:tc>
          <w:tcPr>
            <w:tcW w:w="7176" w:type="dxa"/>
            <w:vAlign w:val="center"/>
          </w:tcPr>
          <w:p>
            <w:pPr>
              <w:snapToGrid w:val="0"/>
              <w:spacing w:before="48" w:beforeLines="20" w:line="56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786" w:type="dxa"/>
            <w:vAlign w:val="center"/>
          </w:tcPr>
          <w:p>
            <w:pPr>
              <w:snapToGrid w:val="0"/>
              <w:spacing w:before="48" w:beforeLines="20" w:line="560" w:lineRule="exact"/>
              <w:jc w:val="center"/>
              <w:rPr>
                <w:color w:val="auto"/>
                <w:sz w:val="24"/>
                <w:highlight w:val="none"/>
              </w:rPr>
            </w:pPr>
            <w:r>
              <w:rPr>
                <w:rFonts w:hint="eastAsia"/>
                <w:color w:val="auto"/>
                <w:sz w:val="24"/>
                <w:highlight w:val="none"/>
              </w:rPr>
              <w:t>投标总价</w:t>
            </w:r>
          </w:p>
          <w:p>
            <w:pPr>
              <w:snapToGrid w:val="0"/>
              <w:spacing w:before="48" w:beforeLines="20" w:line="560" w:lineRule="exact"/>
              <w:jc w:val="center"/>
              <w:rPr>
                <w:color w:val="auto"/>
                <w:sz w:val="24"/>
                <w:highlight w:val="none"/>
              </w:rPr>
            </w:pPr>
            <w:r>
              <w:rPr>
                <w:rFonts w:hint="eastAsia"/>
                <w:color w:val="auto"/>
                <w:sz w:val="24"/>
                <w:highlight w:val="none"/>
              </w:rPr>
              <w:t>（单位：元）</w:t>
            </w:r>
          </w:p>
        </w:tc>
        <w:tc>
          <w:tcPr>
            <w:tcW w:w="7176" w:type="dxa"/>
            <w:vAlign w:val="center"/>
          </w:tcPr>
          <w:p>
            <w:pPr>
              <w:snapToGrid w:val="0"/>
              <w:spacing w:before="48" w:beforeLines="20" w:line="560" w:lineRule="exact"/>
              <w:jc w:val="left"/>
              <w:rPr>
                <w:color w:val="auto"/>
                <w:sz w:val="24"/>
                <w:highlight w:val="none"/>
              </w:rPr>
            </w:pPr>
            <w:r>
              <w:rPr>
                <w:rFonts w:hint="eastAsia"/>
                <w:color w:val="auto"/>
                <w:sz w:val="24"/>
                <w:highlight w:val="none"/>
              </w:rPr>
              <w:t>小写：</w:t>
            </w:r>
            <w:r>
              <w:rPr>
                <w:color w:val="auto"/>
                <w:sz w:val="24"/>
                <w:highlight w:val="none"/>
                <w:u w:val="single"/>
              </w:rPr>
              <w:t xml:space="preserve">        </w:t>
            </w:r>
            <w:r>
              <w:rPr>
                <w:rFonts w:hint="eastAsia"/>
                <w:color w:val="auto"/>
                <w:sz w:val="24"/>
                <w:highlight w:val="none"/>
              </w:rPr>
              <w:t>元</w:t>
            </w:r>
          </w:p>
          <w:p>
            <w:pPr>
              <w:snapToGrid w:val="0"/>
              <w:spacing w:before="48" w:beforeLines="20" w:line="560" w:lineRule="exact"/>
              <w:jc w:val="left"/>
              <w:rPr>
                <w:color w:val="auto"/>
                <w:highlight w:val="none"/>
              </w:rPr>
            </w:pPr>
            <w:r>
              <w:rPr>
                <w:rFonts w:hint="eastAsia"/>
                <w:color w:val="auto"/>
                <w:sz w:val="24"/>
                <w:highlight w:val="none"/>
              </w:rPr>
              <w:t>大写：</w:t>
            </w:r>
            <w:r>
              <w:rPr>
                <w:color w:val="auto"/>
                <w:sz w:val="24"/>
                <w:highlight w:val="none"/>
              </w:rPr>
              <w:t xml:space="preserve"> </w:t>
            </w:r>
            <w:r>
              <w:rPr>
                <w:color w:val="auto"/>
                <w:sz w:val="24"/>
                <w:highlight w:val="none"/>
                <w:u w:val="single"/>
              </w:rPr>
              <w:t xml:space="preserve">                   </w:t>
            </w:r>
            <w:r>
              <w:rPr>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6" w:type="dxa"/>
            <w:vAlign w:val="center"/>
          </w:tcPr>
          <w:p>
            <w:pPr>
              <w:snapToGrid w:val="0"/>
              <w:spacing w:before="48" w:beforeLines="20" w:line="560" w:lineRule="exact"/>
              <w:jc w:val="center"/>
              <w:rPr>
                <w:color w:val="auto"/>
                <w:sz w:val="24"/>
                <w:highlight w:val="none"/>
              </w:rPr>
            </w:pPr>
            <w:r>
              <w:rPr>
                <w:rFonts w:hint="eastAsia"/>
                <w:color w:val="auto"/>
                <w:sz w:val="24"/>
                <w:highlight w:val="none"/>
              </w:rPr>
              <w:t>服务期限</w:t>
            </w:r>
          </w:p>
        </w:tc>
        <w:tc>
          <w:tcPr>
            <w:tcW w:w="7176" w:type="dxa"/>
            <w:vAlign w:val="center"/>
          </w:tcPr>
          <w:p>
            <w:pPr>
              <w:snapToGrid w:val="0"/>
              <w:spacing w:before="48" w:beforeLines="20" w:line="560" w:lineRule="exact"/>
              <w:jc w:val="center"/>
              <w:rPr>
                <w:color w:val="auto"/>
                <w:sz w:val="24"/>
                <w:highlight w:val="none"/>
              </w:rPr>
            </w:pPr>
            <w:r>
              <w:rPr>
                <w:bCs/>
                <w:color w:val="auto"/>
                <w:sz w:val="24"/>
                <w:szCs w:val="24"/>
                <w:highlight w:val="none"/>
              </w:rPr>
              <w:t>2024年08月01日</w:t>
            </w:r>
            <w:r>
              <w:rPr>
                <w:rFonts w:hint="eastAsia"/>
                <w:color w:val="auto"/>
                <w:sz w:val="24"/>
                <w:szCs w:val="24"/>
                <w:highlight w:val="none"/>
              </w:rPr>
              <w:t>至</w:t>
            </w:r>
            <w:r>
              <w:rPr>
                <w:color w:val="auto"/>
                <w:sz w:val="24"/>
                <w:szCs w:val="24"/>
                <w:highlight w:val="none"/>
              </w:rPr>
              <w:t>202</w:t>
            </w:r>
            <w:r>
              <w:rPr>
                <w:rFonts w:hint="eastAsia"/>
                <w:color w:val="auto"/>
                <w:sz w:val="24"/>
                <w:szCs w:val="24"/>
                <w:highlight w:val="none"/>
                <w:lang w:val="en-US" w:eastAsia="zh-CN"/>
              </w:rPr>
              <w:t>8</w:t>
            </w:r>
            <w:r>
              <w:rPr>
                <w:color w:val="auto"/>
                <w:sz w:val="24"/>
                <w:szCs w:val="24"/>
                <w:highlight w:val="none"/>
              </w:rPr>
              <w:t>年12月31日。（具体时间以合同签订为准）。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86" w:type="dxa"/>
            <w:vAlign w:val="center"/>
          </w:tcPr>
          <w:p>
            <w:pPr>
              <w:snapToGrid w:val="0"/>
              <w:spacing w:before="48" w:beforeLines="20" w:line="560" w:lineRule="exact"/>
              <w:jc w:val="center"/>
              <w:rPr>
                <w:color w:val="auto"/>
                <w:sz w:val="24"/>
                <w:highlight w:val="none"/>
              </w:rPr>
            </w:pPr>
            <w:r>
              <w:rPr>
                <w:rFonts w:hint="eastAsia"/>
                <w:color w:val="auto"/>
                <w:sz w:val="24"/>
                <w:highlight w:val="none"/>
              </w:rPr>
              <w:t>服务地点</w:t>
            </w:r>
          </w:p>
        </w:tc>
        <w:tc>
          <w:tcPr>
            <w:tcW w:w="7176" w:type="dxa"/>
            <w:vAlign w:val="center"/>
          </w:tcPr>
          <w:p>
            <w:pPr>
              <w:snapToGrid w:val="0"/>
              <w:spacing w:before="48" w:beforeLines="20" w:line="560" w:lineRule="exact"/>
              <w:jc w:val="center"/>
              <w:rPr>
                <w:color w:val="auto"/>
                <w:sz w:val="24"/>
                <w:highlight w:val="none"/>
              </w:rPr>
            </w:pPr>
            <w:r>
              <w:rPr>
                <w:rFonts w:hint="eastAsia"/>
                <w:color w:val="auto"/>
                <w:sz w:val="24"/>
                <w:szCs w:val="24"/>
                <w:highlight w:val="none"/>
              </w:rPr>
              <w:t>招标人</w:t>
            </w:r>
            <w:r>
              <w:rPr>
                <w:rFonts w:hint="eastAsia"/>
                <w:color w:val="auto"/>
                <w:kern w:val="0"/>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786" w:type="dxa"/>
            <w:vAlign w:val="center"/>
          </w:tcPr>
          <w:p>
            <w:pPr>
              <w:snapToGrid w:val="0"/>
              <w:spacing w:before="48" w:beforeLines="20" w:line="560" w:lineRule="exact"/>
              <w:jc w:val="center"/>
              <w:rPr>
                <w:color w:val="auto"/>
                <w:sz w:val="24"/>
                <w:highlight w:val="none"/>
              </w:rPr>
            </w:pPr>
            <w:r>
              <w:rPr>
                <w:rFonts w:hint="eastAsia"/>
                <w:color w:val="auto"/>
                <w:sz w:val="24"/>
                <w:highlight w:val="none"/>
              </w:rPr>
              <w:t>质量要求</w:t>
            </w:r>
          </w:p>
        </w:tc>
        <w:tc>
          <w:tcPr>
            <w:tcW w:w="7176" w:type="dxa"/>
            <w:vAlign w:val="center"/>
          </w:tcPr>
          <w:p>
            <w:pPr>
              <w:snapToGrid w:val="0"/>
              <w:spacing w:before="48" w:beforeLines="20" w:line="560" w:lineRule="exact"/>
              <w:jc w:val="center"/>
              <w:rPr>
                <w:color w:val="auto"/>
                <w:sz w:val="24"/>
                <w:highlight w:val="none"/>
              </w:rPr>
            </w:pPr>
            <w:r>
              <w:rPr>
                <w:rFonts w:hint="eastAsia"/>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6" w:type="dxa"/>
            <w:vAlign w:val="center"/>
          </w:tcPr>
          <w:p>
            <w:pPr>
              <w:snapToGrid w:val="0"/>
              <w:spacing w:before="48" w:beforeLines="20" w:line="560" w:lineRule="exact"/>
              <w:jc w:val="center"/>
              <w:rPr>
                <w:color w:val="auto"/>
                <w:sz w:val="24"/>
                <w:highlight w:val="none"/>
              </w:rPr>
            </w:pPr>
            <w:r>
              <w:rPr>
                <w:rFonts w:hint="eastAsia"/>
                <w:color w:val="auto"/>
                <w:sz w:val="24"/>
                <w:highlight w:val="none"/>
              </w:rPr>
              <w:t>备注</w:t>
            </w:r>
          </w:p>
        </w:tc>
        <w:tc>
          <w:tcPr>
            <w:tcW w:w="7176" w:type="dxa"/>
            <w:vAlign w:val="center"/>
          </w:tcPr>
          <w:p>
            <w:pPr>
              <w:snapToGrid w:val="0"/>
              <w:spacing w:before="48" w:beforeLines="20" w:line="560" w:lineRule="exact"/>
              <w:jc w:val="center"/>
              <w:rPr>
                <w:color w:val="auto"/>
                <w:sz w:val="24"/>
                <w:highlight w:val="none"/>
              </w:rPr>
            </w:pPr>
          </w:p>
        </w:tc>
      </w:tr>
    </w:tbl>
    <w:p>
      <w:pPr>
        <w:spacing w:line="360" w:lineRule="auto"/>
        <w:ind w:firstLine="510"/>
        <w:rPr>
          <w:color w:val="auto"/>
          <w:highlight w:val="none"/>
        </w:rPr>
      </w:pPr>
    </w:p>
    <w:p>
      <w:pPr>
        <w:spacing w:line="360" w:lineRule="auto"/>
        <w:ind w:firstLine="510"/>
        <w:rPr>
          <w:color w:val="auto"/>
          <w:highlight w:val="none"/>
        </w:rPr>
      </w:pPr>
    </w:p>
    <w:p>
      <w:pPr>
        <w:spacing w:line="360" w:lineRule="auto"/>
        <w:ind w:firstLine="510"/>
        <w:rPr>
          <w:color w:val="auto"/>
          <w:highlight w:val="none"/>
        </w:rPr>
      </w:pPr>
    </w:p>
    <w:p>
      <w:pPr>
        <w:spacing w:before="60" w:after="60" w:line="360" w:lineRule="auto"/>
        <w:ind w:firstLine="510"/>
        <w:rPr>
          <w:color w:val="auto"/>
          <w:sz w:val="24"/>
          <w:highlight w:val="none"/>
        </w:rPr>
      </w:pPr>
      <w:r>
        <w:rPr>
          <w:rFonts w:hint="eastAsia"/>
          <w:color w:val="auto"/>
          <w:sz w:val="24"/>
          <w:highlight w:val="none"/>
        </w:rPr>
        <w:t>投标人全称（盖公章）：</w:t>
      </w:r>
      <w:r>
        <w:rPr>
          <w:color w:val="auto"/>
          <w:sz w:val="24"/>
          <w:highlight w:val="none"/>
        </w:rPr>
        <w:t>________________________</w:t>
      </w:r>
    </w:p>
    <w:p>
      <w:pPr>
        <w:spacing w:before="60" w:after="60" w:line="360" w:lineRule="auto"/>
        <w:ind w:firstLine="510"/>
        <w:rPr>
          <w:color w:val="auto"/>
          <w:sz w:val="24"/>
          <w:highlight w:val="none"/>
        </w:rPr>
      </w:pPr>
      <w:r>
        <w:rPr>
          <w:rFonts w:hint="eastAsia"/>
          <w:color w:val="auto"/>
          <w:sz w:val="24"/>
          <w:highlight w:val="none"/>
        </w:rPr>
        <w:t>法定代表人或负责人或授权委托代理人（签字或盖章）：</w:t>
      </w:r>
      <w:r>
        <w:rPr>
          <w:color w:val="auto"/>
          <w:sz w:val="24"/>
          <w:highlight w:val="none"/>
        </w:rPr>
        <w:t>__________</w:t>
      </w:r>
    </w:p>
    <w:p>
      <w:pPr>
        <w:spacing w:before="60" w:after="60" w:line="360" w:lineRule="auto"/>
        <w:ind w:firstLine="510"/>
        <w:rPr>
          <w:color w:val="auto"/>
          <w:sz w:val="24"/>
          <w:highlight w:val="none"/>
        </w:rPr>
      </w:pPr>
      <w:r>
        <w:rPr>
          <w:rFonts w:hint="eastAsia"/>
          <w:color w:val="auto"/>
          <w:sz w:val="24"/>
          <w:highlight w:val="none"/>
        </w:rPr>
        <w:t>日期：</w:t>
      </w:r>
      <w:r>
        <w:rPr>
          <w:color w:val="auto"/>
          <w:sz w:val="24"/>
          <w:highlight w:val="none"/>
        </w:rPr>
        <w:t>_______年____月_____日</w:t>
      </w:r>
    </w:p>
    <w:p>
      <w:pPr>
        <w:spacing w:line="360" w:lineRule="auto"/>
        <w:rPr>
          <w:color w:val="auto"/>
          <w:highlight w:val="none"/>
        </w:rPr>
      </w:pPr>
      <w:r>
        <w:rPr>
          <w:color w:val="auto"/>
          <w:highlight w:val="none"/>
        </w:rPr>
        <w:br w:type="page"/>
      </w:r>
    </w:p>
    <w:p>
      <w:pPr>
        <w:pStyle w:val="4"/>
        <w:spacing w:line="360" w:lineRule="auto"/>
        <w:jc w:val="center"/>
        <w:rPr>
          <w:color w:val="auto"/>
          <w:sz w:val="24"/>
          <w:szCs w:val="20"/>
          <w:highlight w:val="none"/>
        </w:rPr>
      </w:pPr>
      <w:bookmarkStart w:id="88" w:name="_Toc15703"/>
      <w:bookmarkEnd w:id="88"/>
      <w:bookmarkStart w:id="89" w:name="_Toc350516690"/>
      <w:bookmarkEnd w:id="89"/>
      <w:bookmarkStart w:id="90" w:name="_Toc344397393"/>
      <w:bookmarkEnd w:id="90"/>
      <w:bookmarkStart w:id="91" w:name="_Toc330342823"/>
      <w:bookmarkEnd w:id="91"/>
      <w:bookmarkStart w:id="92" w:name="_Toc25856"/>
      <w:bookmarkEnd w:id="92"/>
      <w:bookmarkStart w:id="93" w:name="_Toc344394227"/>
      <w:bookmarkEnd w:id="93"/>
      <w:bookmarkStart w:id="94" w:name="_Toc20714"/>
      <w:bookmarkEnd w:id="94"/>
      <w:bookmarkStart w:id="95" w:name="_Toc343510626"/>
      <w:bookmarkEnd w:id="95"/>
      <w:bookmarkStart w:id="96" w:name="_Toc18397"/>
      <w:bookmarkEnd w:id="96"/>
      <w:bookmarkStart w:id="97" w:name="_Toc369353514"/>
      <w:bookmarkEnd w:id="97"/>
      <w:bookmarkStart w:id="98" w:name="_Toc8914"/>
      <w:bookmarkEnd w:id="98"/>
      <w:bookmarkStart w:id="99" w:name="_Toc349914551"/>
      <w:bookmarkEnd w:id="99"/>
      <w:bookmarkStart w:id="100" w:name="_Toc349568751"/>
      <w:bookmarkEnd w:id="100"/>
      <w:bookmarkStart w:id="101" w:name="_Toc350515676"/>
      <w:bookmarkEnd w:id="101"/>
      <w:bookmarkStart w:id="102" w:name="_Toc47261690"/>
      <w:bookmarkStart w:id="103" w:name="_Toc47262069"/>
      <w:bookmarkStart w:id="104" w:name="_Toc198021519"/>
      <w:bookmarkStart w:id="105" w:name="_Toc47418731"/>
      <w:bookmarkStart w:id="106" w:name="_Toc47418255"/>
      <w:bookmarkStart w:id="107" w:name="_Toc49019236"/>
      <w:bookmarkStart w:id="108" w:name="_Toc47418938"/>
      <w:bookmarkStart w:id="109" w:name="_Toc48995851"/>
      <w:bookmarkStart w:id="110" w:name="_Toc47261885"/>
      <w:bookmarkStart w:id="111" w:name="_Toc48791235"/>
      <w:r>
        <w:rPr>
          <w:rFonts w:hint="eastAsia"/>
          <w:bCs w:val="0"/>
          <w:color w:val="auto"/>
          <w:highlight w:val="none"/>
        </w:rPr>
        <w:t>第二部分</w:t>
      </w:r>
      <w:r>
        <w:rPr>
          <w:bCs w:val="0"/>
          <w:color w:val="auto"/>
          <w:highlight w:val="none"/>
        </w:rPr>
        <w:t xml:space="preserve"> </w:t>
      </w:r>
      <w:r>
        <w:rPr>
          <w:rFonts w:hint="eastAsia"/>
          <w:bCs w:val="0"/>
          <w:color w:val="auto"/>
          <w:highlight w:val="none"/>
        </w:rPr>
        <w:t>资格审查部分</w:t>
      </w:r>
    </w:p>
    <w:p>
      <w:pPr>
        <w:pStyle w:val="4"/>
        <w:spacing w:line="360" w:lineRule="auto"/>
        <w:rPr>
          <w:color w:val="auto"/>
          <w:sz w:val="28"/>
          <w:szCs w:val="28"/>
          <w:highlight w:val="none"/>
        </w:rPr>
      </w:pPr>
      <w:bookmarkStart w:id="112" w:name="_Toc350516692"/>
      <w:bookmarkEnd w:id="112"/>
      <w:bookmarkStart w:id="113" w:name="_Toc10088"/>
      <w:bookmarkEnd w:id="113"/>
      <w:bookmarkStart w:id="114" w:name="_Toc344397395"/>
      <w:bookmarkEnd w:id="114"/>
      <w:bookmarkStart w:id="115" w:name="_Toc344394229"/>
      <w:bookmarkEnd w:id="115"/>
      <w:bookmarkStart w:id="116" w:name="_Toc29974"/>
      <w:bookmarkEnd w:id="116"/>
      <w:bookmarkStart w:id="117" w:name="_Toc255161212"/>
      <w:bookmarkEnd w:id="117"/>
      <w:bookmarkStart w:id="118" w:name="_Toc330342825"/>
      <w:bookmarkEnd w:id="118"/>
      <w:bookmarkStart w:id="119" w:name="_Toc343510628"/>
      <w:bookmarkEnd w:id="119"/>
      <w:bookmarkStart w:id="120" w:name="_Toc255559500"/>
      <w:bookmarkEnd w:id="120"/>
      <w:bookmarkStart w:id="121" w:name="_Toc349568753"/>
      <w:bookmarkEnd w:id="121"/>
      <w:bookmarkStart w:id="122" w:name="_Toc13827"/>
      <w:bookmarkEnd w:id="122"/>
      <w:bookmarkStart w:id="123" w:name="_Toc18633"/>
      <w:bookmarkEnd w:id="123"/>
      <w:bookmarkStart w:id="124" w:name="_Toc369353516"/>
      <w:bookmarkEnd w:id="124"/>
      <w:bookmarkStart w:id="125" w:name="_Toc330342574"/>
      <w:bookmarkEnd w:id="125"/>
      <w:bookmarkStart w:id="126" w:name="_Toc24996"/>
      <w:bookmarkEnd w:id="126"/>
      <w:bookmarkStart w:id="127" w:name="_Toc350515678"/>
      <w:bookmarkEnd w:id="127"/>
      <w:bookmarkStart w:id="128" w:name="_Toc349914553"/>
      <w:bookmarkEnd w:id="128"/>
      <w:bookmarkStart w:id="129" w:name="_Toc256765556"/>
      <w:bookmarkEnd w:id="129"/>
      <w:bookmarkStart w:id="130" w:name="_Toc296292781"/>
      <w:bookmarkEnd w:id="130"/>
      <w:r>
        <w:rPr>
          <w:color w:val="auto"/>
          <w:sz w:val="28"/>
          <w:szCs w:val="28"/>
          <w:highlight w:val="none"/>
        </w:rPr>
        <w:t>1</w:t>
      </w:r>
      <w:r>
        <w:rPr>
          <w:rFonts w:hint="eastAsia"/>
          <w:color w:val="auto"/>
          <w:sz w:val="28"/>
          <w:szCs w:val="28"/>
          <w:highlight w:val="none"/>
        </w:rPr>
        <w:t>、投标人一般情况（格式）</w:t>
      </w:r>
    </w:p>
    <w:p>
      <w:pPr>
        <w:spacing w:line="360" w:lineRule="auto"/>
        <w:jc w:val="center"/>
        <w:rPr>
          <w:b/>
          <w:color w:val="auto"/>
          <w:highlight w:val="none"/>
        </w:rPr>
      </w:pPr>
      <w:r>
        <w:rPr>
          <w:rFonts w:hint="eastAsia"/>
          <w:b/>
          <w:color w:val="auto"/>
          <w:sz w:val="28"/>
          <w:szCs w:val="28"/>
          <w:highlight w:val="none"/>
        </w:rPr>
        <w:t>投标人一般情况</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4233"/>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84" w:type="dxa"/>
            <w:vAlign w:val="center"/>
          </w:tcPr>
          <w:p>
            <w:pPr>
              <w:spacing w:line="360" w:lineRule="auto"/>
              <w:jc w:val="center"/>
              <w:rPr>
                <w:color w:val="auto"/>
                <w:sz w:val="24"/>
                <w:szCs w:val="24"/>
                <w:highlight w:val="none"/>
              </w:rPr>
            </w:pPr>
            <w:r>
              <w:rPr>
                <w:color w:val="auto"/>
                <w:sz w:val="24"/>
                <w:szCs w:val="24"/>
                <w:highlight w:val="none"/>
              </w:rPr>
              <w:t>1</w:t>
            </w:r>
          </w:p>
        </w:tc>
        <w:tc>
          <w:tcPr>
            <w:tcW w:w="9055" w:type="dxa"/>
            <w:gridSpan w:val="2"/>
            <w:vAlign w:val="center"/>
          </w:tcPr>
          <w:p>
            <w:pPr>
              <w:spacing w:line="360" w:lineRule="auto"/>
              <w:jc w:val="left"/>
              <w:rPr>
                <w:color w:val="auto"/>
                <w:sz w:val="24"/>
                <w:szCs w:val="24"/>
                <w:highlight w:val="none"/>
              </w:rPr>
            </w:pPr>
            <w:r>
              <w:rPr>
                <w:rFonts w:hint="eastAsia"/>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4" w:type="dxa"/>
            <w:vAlign w:val="center"/>
          </w:tcPr>
          <w:p>
            <w:pPr>
              <w:spacing w:line="360" w:lineRule="auto"/>
              <w:jc w:val="center"/>
              <w:rPr>
                <w:color w:val="auto"/>
                <w:sz w:val="24"/>
                <w:szCs w:val="24"/>
                <w:highlight w:val="none"/>
              </w:rPr>
            </w:pPr>
            <w:r>
              <w:rPr>
                <w:color w:val="auto"/>
                <w:sz w:val="24"/>
                <w:szCs w:val="24"/>
                <w:highlight w:val="none"/>
              </w:rPr>
              <w:t>2</w:t>
            </w:r>
          </w:p>
        </w:tc>
        <w:tc>
          <w:tcPr>
            <w:tcW w:w="9055" w:type="dxa"/>
            <w:gridSpan w:val="2"/>
            <w:vAlign w:val="center"/>
          </w:tcPr>
          <w:p>
            <w:pPr>
              <w:spacing w:line="360" w:lineRule="auto"/>
              <w:jc w:val="left"/>
              <w:rPr>
                <w:color w:val="auto"/>
                <w:sz w:val="24"/>
                <w:szCs w:val="24"/>
                <w:highlight w:val="none"/>
              </w:rPr>
            </w:pPr>
            <w:r>
              <w:rPr>
                <w:rFonts w:hint="eastAsia"/>
                <w:color w:val="auto"/>
                <w:sz w:val="24"/>
                <w:szCs w:val="24"/>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84" w:type="dxa"/>
            <w:vAlign w:val="center"/>
          </w:tcPr>
          <w:p>
            <w:pPr>
              <w:spacing w:line="360" w:lineRule="auto"/>
              <w:jc w:val="center"/>
              <w:rPr>
                <w:color w:val="auto"/>
                <w:sz w:val="24"/>
                <w:szCs w:val="24"/>
                <w:highlight w:val="none"/>
              </w:rPr>
            </w:pPr>
            <w:r>
              <w:rPr>
                <w:color w:val="auto"/>
                <w:sz w:val="24"/>
                <w:szCs w:val="24"/>
                <w:highlight w:val="none"/>
              </w:rPr>
              <w:t>3</w:t>
            </w:r>
          </w:p>
        </w:tc>
        <w:tc>
          <w:tcPr>
            <w:tcW w:w="4233" w:type="dxa"/>
            <w:vAlign w:val="center"/>
          </w:tcPr>
          <w:p>
            <w:pPr>
              <w:spacing w:line="360" w:lineRule="auto"/>
              <w:jc w:val="left"/>
              <w:rPr>
                <w:color w:val="auto"/>
                <w:sz w:val="24"/>
                <w:szCs w:val="24"/>
                <w:highlight w:val="none"/>
              </w:rPr>
            </w:pPr>
            <w:r>
              <w:rPr>
                <w:rFonts w:hint="eastAsia"/>
                <w:color w:val="auto"/>
                <w:sz w:val="24"/>
                <w:szCs w:val="24"/>
                <w:highlight w:val="none"/>
              </w:rPr>
              <w:t>电话</w:t>
            </w:r>
          </w:p>
        </w:tc>
        <w:tc>
          <w:tcPr>
            <w:tcW w:w="4822" w:type="dxa"/>
            <w:vAlign w:val="center"/>
          </w:tcPr>
          <w:p>
            <w:pPr>
              <w:spacing w:line="360" w:lineRule="auto"/>
              <w:jc w:val="left"/>
              <w:rPr>
                <w:color w:val="auto"/>
                <w:sz w:val="24"/>
                <w:szCs w:val="24"/>
                <w:highlight w:val="none"/>
              </w:rPr>
            </w:pPr>
            <w:r>
              <w:rPr>
                <w:rFonts w:hint="eastAsia"/>
                <w:color w:val="auto"/>
                <w:sz w:val="24"/>
                <w:szCs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84" w:type="dxa"/>
            <w:vAlign w:val="center"/>
          </w:tcPr>
          <w:p>
            <w:pPr>
              <w:spacing w:line="360" w:lineRule="auto"/>
              <w:jc w:val="center"/>
              <w:rPr>
                <w:color w:val="auto"/>
                <w:sz w:val="24"/>
                <w:szCs w:val="24"/>
                <w:highlight w:val="none"/>
              </w:rPr>
            </w:pPr>
            <w:r>
              <w:rPr>
                <w:color w:val="auto"/>
                <w:sz w:val="24"/>
                <w:szCs w:val="24"/>
                <w:highlight w:val="none"/>
              </w:rPr>
              <w:t>4</w:t>
            </w:r>
          </w:p>
        </w:tc>
        <w:tc>
          <w:tcPr>
            <w:tcW w:w="4233" w:type="dxa"/>
            <w:vAlign w:val="center"/>
          </w:tcPr>
          <w:p>
            <w:pPr>
              <w:spacing w:line="360" w:lineRule="auto"/>
              <w:jc w:val="left"/>
              <w:rPr>
                <w:color w:val="auto"/>
                <w:sz w:val="24"/>
                <w:szCs w:val="24"/>
                <w:highlight w:val="none"/>
              </w:rPr>
            </w:pPr>
            <w:r>
              <w:rPr>
                <w:rFonts w:hint="eastAsia"/>
                <w:color w:val="auto"/>
                <w:sz w:val="24"/>
                <w:szCs w:val="24"/>
                <w:highlight w:val="none"/>
              </w:rPr>
              <w:t>传真</w:t>
            </w:r>
          </w:p>
        </w:tc>
        <w:tc>
          <w:tcPr>
            <w:tcW w:w="4822" w:type="dxa"/>
            <w:vAlign w:val="center"/>
          </w:tcPr>
          <w:p>
            <w:pPr>
              <w:spacing w:line="360" w:lineRule="auto"/>
              <w:jc w:val="left"/>
              <w:rPr>
                <w:color w:val="auto"/>
                <w:sz w:val="24"/>
                <w:szCs w:val="24"/>
                <w:highlight w:val="none"/>
              </w:rPr>
            </w:pPr>
            <w:r>
              <w:rPr>
                <w:rFonts w:hint="eastAsia"/>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4" w:type="dxa"/>
            <w:vAlign w:val="center"/>
          </w:tcPr>
          <w:p>
            <w:pPr>
              <w:spacing w:line="360" w:lineRule="auto"/>
              <w:jc w:val="center"/>
              <w:rPr>
                <w:color w:val="auto"/>
                <w:sz w:val="24"/>
                <w:szCs w:val="24"/>
                <w:highlight w:val="none"/>
              </w:rPr>
            </w:pPr>
            <w:r>
              <w:rPr>
                <w:color w:val="auto"/>
                <w:sz w:val="24"/>
                <w:szCs w:val="24"/>
                <w:highlight w:val="none"/>
              </w:rPr>
              <w:t>5</w:t>
            </w:r>
          </w:p>
        </w:tc>
        <w:tc>
          <w:tcPr>
            <w:tcW w:w="4233" w:type="dxa"/>
            <w:vAlign w:val="center"/>
          </w:tcPr>
          <w:p>
            <w:pPr>
              <w:spacing w:line="360" w:lineRule="auto"/>
              <w:jc w:val="left"/>
              <w:rPr>
                <w:color w:val="auto"/>
                <w:sz w:val="24"/>
                <w:szCs w:val="24"/>
                <w:highlight w:val="none"/>
              </w:rPr>
            </w:pPr>
            <w:r>
              <w:rPr>
                <w:rFonts w:hint="eastAsia"/>
                <w:color w:val="auto"/>
                <w:sz w:val="24"/>
                <w:szCs w:val="24"/>
                <w:highlight w:val="none"/>
              </w:rPr>
              <w:t>注册地</w:t>
            </w:r>
          </w:p>
        </w:tc>
        <w:tc>
          <w:tcPr>
            <w:tcW w:w="4822" w:type="dxa"/>
            <w:vAlign w:val="center"/>
          </w:tcPr>
          <w:p>
            <w:pPr>
              <w:spacing w:line="360" w:lineRule="auto"/>
              <w:jc w:val="left"/>
              <w:rPr>
                <w:color w:val="auto"/>
                <w:sz w:val="24"/>
                <w:szCs w:val="24"/>
                <w:highlight w:val="none"/>
              </w:rPr>
            </w:pPr>
            <w:r>
              <w:rPr>
                <w:rFonts w:hint="eastAsia"/>
                <w:color w:val="auto"/>
                <w:sz w:val="24"/>
                <w:szCs w:val="24"/>
                <w:highlight w:val="none"/>
              </w:rPr>
              <w:t>注册年份（请附营业执照扫描件）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dxa"/>
            <w:vAlign w:val="center"/>
          </w:tcPr>
          <w:p>
            <w:pPr>
              <w:spacing w:line="360" w:lineRule="auto"/>
              <w:jc w:val="center"/>
              <w:rPr>
                <w:color w:val="auto"/>
                <w:sz w:val="24"/>
                <w:szCs w:val="24"/>
                <w:highlight w:val="none"/>
              </w:rPr>
            </w:pPr>
            <w:r>
              <w:rPr>
                <w:color w:val="auto"/>
                <w:sz w:val="24"/>
                <w:szCs w:val="24"/>
                <w:highlight w:val="none"/>
              </w:rPr>
              <w:t>6</w:t>
            </w:r>
          </w:p>
        </w:tc>
        <w:tc>
          <w:tcPr>
            <w:tcW w:w="9055" w:type="dxa"/>
            <w:gridSpan w:val="2"/>
            <w:vAlign w:val="center"/>
          </w:tcPr>
          <w:p>
            <w:pPr>
              <w:spacing w:line="360" w:lineRule="auto"/>
              <w:jc w:val="left"/>
              <w:rPr>
                <w:color w:val="auto"/>
                <w:sz w:val="24"/>
                <w:szCs w:val="24"/>
                <w:highlight w:val="none"/>
              </w:rPr>
            </w:pPr>
            <w:r>
              <w:rPr>
                <w:rFonts w:hint="eastAsia"/>
                <w:color w:val="auto"/>
                <w:sz w:val="24"/>
                <w:szCs w:val="24"/>
                <w:highlight w:val="none"/>
              </w:rPr>
              <w:t>公司有关证书</w:t>
            </w:r>
            <w:r>
              <w:rPr>
                <w:color w:val="auto"/>
                <w:sz w:val="24"/>
                <w:szCs w:val="24"/>
                <w:highlight w:val="none"/>
              </w:rPr>
              <w:t xml:space="preserve">            </w:t>
            </w:r>
            <w:r>
              <w:rPr>
                <w:rFonts w:hint="eastAsia"/>
                <w:color w:val="auto"/>
                <w:sz w:val="24"/>
                <w:szCs w:val="24"/>
                <w:highlight w:val="none"/>
              </w:rPr>
              <w:t>（请附有关证书的扫描件）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84" w:type="dxa"/>
            <w:vAlign w:val="center"/>
          </w:tcPr>
          <w:p>
            <w:pPr>
              <w:spacing w:line="360" w:lineRule="auto"/>
              <w:jc w:val="center"/>
              <w:rPr>
                <w:color w:val="auto"/>
                <w:sz w:val="24"/>
                <w:szCs w:val="24"/>
                <w:highlight w:val="none"/>
              </w:rPr>
            </w:pPr>
            <w:r>
              <w:rPr>
                <w:color w:val="auto"/>
                <w:sz w:val="24"/>
                <w:szCs w:val="24"/>
                <w:highlight w:val="none"/>
              </w:rPr>
              <w:t>7</w:t>
            </w:r>
          </w:p>
        </w:tc>
        <w:tc>
          <w:tcPr>
            <w:tcW w:w="9055" w:type="dxa"/>
            <w:gridSpan w:val="2"/>
            <w:vAlign w:val="center"/>
          </w:tcPr>
          <w:p>
            <w:pPr>
              <w:spacing w:line="360" w:lineRule="auto"/>
              <w:jc w:val="left"/>
              <w:rPr>
                <w:color w:val="auto"/>
                <w:sz w:val="24"/>
                <w:szCs w:val="24"/>
                <w:highlight w:val="none"/>
              </w:rPr>
            </w:pPr>
            <w:r>
              <w:rPr>
                <w:rFonts w:hint="eastAsia"/>
                <w:color w:val="auto"/>
                <w:sz w:val="24"/>
                <w:szCs w:val="24"/>
                <w:highlight w:val="none"/>
              </w:rPr>
              <w:t>公司（是否通过，何种）</w:t>
            </w:r>
            <w:r>
              <w:rPr>
                <w:color w:val="auto"/>
                <w:sz w:val="24"/>
                <w:szCs w:val="24"/>
                <w:highlight w:val="none"/>
              </w:rPr>
              <w:t xml:space="preserve"> </w:t>
            </w:r>
            <w:r>
              <w:rPr>
                <w:rFonts w:hint="eastAsia"/>
                <w:color w:val="auto"/>
                <w:sz w:val="24"/>
                <w:szCs w:val="24"/>
                <w:highlight w:val="none"/>
              </w:rPr>
              <w:t>质量保证体系认证（如通过请附相关证书扫描件，并提供认证机构年审监督报告（如有时）。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4" w:type="dxa"/>
            <w:vAlign w:val="center"/>
          </w:tcPr>
          <w:p>
            <w:pPr>
              <w:spacing w:line="360" w:lineRule="auto"/>
              <w:jc w:val="center"/>
              <w:rPr>
                <w:color w:val="auto"/>
                <w:sz w:val="24"/>
                <w:szCs w:val="24"/>
                <w:highlight w:val="none"/>
              </w:rPr>
            </w:pPr>
            <w:r>
              <w:rPr>
                <w:color w:val="auto"/>
                <w:sz w:val="24"/>
                <w:szCs w:val="24"/>
                <w:highlight w:val="none"/>
              </w:rPr>
              <w:t>8</w:t>
            </w:r>
          </w:p>
        </w:tc>
        <w:tc>
          <w:tcPr>
            <w:tcW w:w="9055" w:type="dxa"/>
            <w:gridSpan w:val="2"/>
            <w:vAlign w:val="center"/>
          </w:tcPr>
          <w:p>
            <w:pPr>
              <w:spacing w:line="360" w:lineRule="auto"/>
              <w:jc w:val="left"/>
              <w:rPr>
                <w:color w:val="auto"/>
                <w:sz w:val="24"/>
                <w:szCs w:val="24"/>
                <w:highlight w:val="none"/>
              </w:rPr>
            </w:pPr>
            <w:r>
              <w:rPr>
                <w:rFonts w:hint="eastAsia"/>
                <w:color w:val="auto"/>
                <w:sz w:val="24"/>
                <w:szCs w:val="24"/>
                <w:highlight w:val="none"/>
              </w:rPr>
              <w:t>主营范围</w:t>
            </w:r>
          </w:p>
          <w:p>
            <w:pPr>
              <w:spacing w:line="360" w:lineRule="auto"/>
              <w:jc w:val="left"/>
              <w:rPr>
                <w:color w:val="auto"/>
                <w:sz w:val="24"/>
                <w:szCs w:val="24"/>
                <w:highlight w:val="none"/>
              </w:rPr>
            </w:pPr>
            <w:r>
              <w:rPr>
                <w:color w:val="auto"/>
                <w:sz w:val="24"/>
                <w:szCs w:val="24"/>
                <w:highlight w:val="none"/>
              </w:rPr>
              <w:t>1.</w:t>
            </w:r>
          </w:p>
          <w:p>
            <w:pPr>
              <w:spacing w:line="360" w:lineRule="auto"/>
              <w:jc w:val="left"/>
              <w:rPr>
                <w:color w:val="auto"/>
                <w:sz w:val="24"/>
                <w:szCs w:val="24"/>
                <w:highlight w:val="none"/>
              </w:rPr>
            </w:pPr>
            <w:r>
              <w:rPr>
                <w:color w:val="auto"/>
                <w:sz w:val="24"/>
                <w:szCs w:val="24"/>
                <w:highlight w:val="none"/>
              </w:rPr>
              <w:t>2.</w:t>
            </w:r>
          </w:p>
          <w:p>
            <w:pPr>
              <w:spacing w:line="360" w:lineRule="auto"/>
              <w:jc w:val="left"/>
              <w:rPr>
                <w:color w:val="auto"/>
                <w:sz w:val="24"/>
                <w:szCs w:val="24"/>
                <w:highlight w:val="none"/>
              </w:rPr>
            </w:pPr>
            <w:r>
              <w:rPr>
                <w:color w:val="auto"/>
                <w:sz w:val="24"/>
                <w:szCs w:val="24"/>
                <w:highlight w:val="none"/>
              </w:rPr>
              <w:t>3.</w:t>
            </w:r>
          </w:p>
          <w:p>
            <w:pPr>
              <w:spacing w:line="360" w:lineRule="auto"/>
              <w:jc w:val="left"/>
              <w:rPr>
                <w:color w:val="auto"/>
                <w:sz w:val="24"/>
                <w:szCs w:val="24"/>
                <w:highlight w:val="none"/>
              </w:rPr>
            </w:pP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vAlign w:val="center"/>
          </w:tcPr>
          <w:p>
            <w:pPr>
              <w:spacing w:line="360" w:lineRule="auto"/>
              <w:jc w:val="center"/>
              <w:rPr>
                <w:color w:val="auto"/>
                <w:sz w:val="24"/>
                <w:szCs w:val="24"/>
                <w:highlight w:val="none"/>
              </w:rPr>
            </w:pPr>
            <w:r>
              <w:rPr>
                <w:color w:val="auto"/>
                <w:sz w:val="24"/>
                <w:szCs w:val="24"/>
                <w:highlight w:val="none"/>
              </w:rPr>
              <w:t>9</w:t>
            </w:r>
          </w:p>
        </w:tc>
        <w:tc>
          <w:tcPr>
            <w:tcW w:w="9055" w:type="dxa"/>
            <w:gridSpan w:val="2"/>
            <w:vAlign w:val="center"/>
          </w:tcPr>
          <w:p>
            <w:pPr>
              <w:spacing w:line="360" w:lineRule="auto"/>
              <w:jc w:val="left"/>
              <w:rPr>
                <w:color w:val="auto"/>
                <w:sz w:val="24"/>
                <w:szCs w:val="24"/>
                <w:highlight w:val="none"/>
              </w:rPr>
            </w:pPr>
            <w:r>
              <w:rPr>
                <w:rFonts w:hint="eastAsia"/>
                <w:color w:val="auto"/>
                <w:sz w:val="24"/>
                <w:szCs w:val="24"/>
                <w:highlight w:val="none"/>
              </w:rPr>
              <w:t>其他要求说明的情况</w:t>
            </w:r>
          </w:p>
        </w:tc>
      </w:tr>
    </w:tbl>
    <w:p>
      <w:pPr>
        <w:spacing w:line="360" w:lineRule="auto"/>
        <w:rPr>
          <w:b/>
          <w:color w:val="auto"/>
          <w:kern w:val="0"/>
          <w:szCs w:val="21"/>
          <w:highlight w:val="none"/>
        </w:rPr>
      </w:pPr>
      <w:r>
        <w:rPr>
          <w:rFonts w:hint="eastAsia"/>
          <w:color w:val="auto"/>
          <w:sz w:val="24"/>
          <w:highlight w:val="none"/>
        </w:rPr>
        <w:t>附：</w:t>
      </w:r>
      <w:r>
        <w:rPr>
          <w:rFonts w:hint="eastAsia"/>
          <w:b/>
          <w:color w:val="auto"/>
          <w:kern w:val="0"/>
          <w:szCs w:val="21"/>
          <w:highlight w:val="none"/>
        </w:rPr>
        <w:t>附企业营业执照、组织机构代码证、税务登记证（已登记办理“三证合一”的企业仅须提供印有统一社会信用代码的营业执照）</w:t>
      </w:r>
    </w:p>
    <w:p>
      <w:pPr>
        <w:autoSpaceDE w:val="0"/>
        <w:autoSpaceDN w:val="0"/>
        <w:adjustRightInd w:val="0"/>
        <w:spacing w:line="360" w:lineRule="auto"/>
        <w:rPr>
          <w:color w:val="auto"/>
          <w:kern w:val="0"/>
          <w:sz w:val="24"/>
          <w:highlight w:val="none"/>
          <w:u w:val="single"/>
          <w:lang w:val="zh-CN"/>
        </w:rPr>
      </w:pPr>
      <w:r>
        <w:rPr>
          <w:rFonts w:hint="eastAsia"/>
          <w:color w:val="auto"/>
          <w:kern w:val="0"/>
          <w:sz w:val="24"/>
          <w:highlight w:val="none"/>
          <w:lang w:val="zh-CN"/>
        </w:rPr>
        <w:t>投标人</w:t>
      </w:r>
      <w:r>
        <w:rPr>
          <w:color w:val="auto"/>
          <w:kern w:val="0"/>
          <w:sz w:val="24"/>
          <w:highlight w:val="none"/>
          <w:lang w:val="zh-CN"/>
        </w:rPr>
        <w:t>(盖公章)：</w:t>
      </w:r>
      <w:r>
        <w:rPr>
          <w:color w:val="auto"/>
          <w:kern w:val="0"/>
          <w:sz w:val="24"/>
          <w:highlight w:val="none"/>
          <w:u w:val="single"/>
          <w:lang w:val="zh-CN"/>
        </w:rPr>
        <w:t xml:space="preserve">                         </w:t>
      </w:r>
    </w:p>
    <w:p>
      <w:pPr>
        <w:autoSpaceDE w:val="0"/>
        <w:autoSpaceDN w:val="0"/>
        <w:adjustRightInd w:val="0"/>
        <w:spacing w:line="360" w:lineRule="auto"/>
        <w:rPr>
          <w:color w:val="auto"/>
          <w:kern w:val="0"/>
          <w:sz w:val="24"/>
          <w:highlight w:val="none"/>
          <w:lang w:val="zh-CN"/>
        </w:rPr>
      </w:pPr>
      <w:r>
        <w:rPr>
          <w:rFonts w:hint="eastAsia"/>
          <w:color w:val="auto"/>
          <w:kern w:val="0"/>
          <w:sz w:val="24"/>
          <w:highlight w:val="none"/>
          <w:lang w:val="zh-CN"/>
        </w:rPr>
        <w:t>法定代表人或授权委托人</w:t>
      </w:r>
      <w:r>
        <w:rPr>
          <w:color w:val="auto"/>
          <w:kern w:val="0"/>
          <w:sz w:val="24"/>
          <w:highlight w:val="none"/>
          <w:lang w:val="zh-CN"/>
        </w:rPr>
        <w:t>(签字或盖章)：</w:t>
      </w:r>
      <w:r>
        <w:rPr>
          <w:color w:val="auto"/>
          <w:kern w:val="0"/>
          <w:sz w:val="24"/>
          <w:highlight w:val="none"/>
          <w:u w:val="single"/>
          <w:lang w:val="zh-CN"/>
        </w:rPr>
        <w:t xml:space="preserve">                          </w:t>
      </w:r>
    </w:p>
    <w:p>
      <w:pPr>
        <w:pStyle w:val="15"/>
        <w:ind w:firstLine="0"/>
        <w:rPr>
          <w:rFonts w:ascii="Times New Roman" w:hAnsi="Times New Roman"/>
          <w:color w:val="auto"/>
          <w:highlight w:val="none"/>
          <w:lang w:val="zh-CN"/>
        </w:rPr>
      </w:pPr>
      <w:r>
        <w:rPr>
          <w:rFonts w:hint="eastAsia" w:ascii="Times New Roman" w:hAnsi="Times New Roman"/>
          <w:color w:val="auto"/>
          <w:highlight w:val="none"/>
          <w:lang w:val="zh-CN"/>
        </w:rPr>
        <w:t>日期：</w:t>
      </w:r>
      <w:r>
        <w:rPr>
          <w:rFonts w:ascii="Times New Roman" w:hAnsi="Times New Roman"/>
          <w:color w:val="auto"/>
          <w:highlight w:val="none"/>
          <w:lang w:val="zh-CN"/>
        </w:rPr>
        <w:t xml:space="preserve">      </w:t>
      </w:r>
      <w:r>
        <w:rPr>
          <w:rFonts w:hint="eastAsia" w:ascii="Times New Roman" w:hAnsi="Times New Roman"/>
          <w:color w:val="auto"/>
          <w:highlight w:val="none"/>
          <w:lang w:val="zh-CN"/>
        </w:rPr>
        <w:t>年</w:t>
      </w:r>
      <w:r>
        <w:rPr>
          <w:rFonts w:ascii="Times New Roman" w:hAnsi="Times New Roman"/>
          <w:color w:val="auto"/>
          <w:highlight w:val="none"/>
          <w:lang w:val="zh-CN"/>
        </w:rPr>
        <w:t xml:space="preserve">   </w:t>
      </w:r>
      <w:r>
        <w:rPr>
          <w:rFonts w:hint="eastAsia" w:ascii="Times New Roman" w:hAnsi="Times New Roman"/>
          <w:color w:val="auto"/>
          <w:highlight w:val="none"/>
          <w:lang w:val="zh-CN"/>
        </w:rPr>
        <w:t>月</w:t>
      </w:r>
      <w:r>
        <w:rPr>
          <w:rFonts w:ascii="Times New Roman" w:hAnsi="Times New Roman"/>
          <w:color w:val="auto"/>
          <w:highlight w:val="none"/>
          <w:lang w:val="zh-CN"/>
        </w:rPr>
        <w:t xml:space="preserve">   </w:t>
      </w:r>
      <w:r>
        <w:rPr>
          <w:rFonts w:hint="eastAsia" w:ascii="Times New Roman" w:hAnsi="Times New Roman"/>
          <w:color w:val="auto"/>
          <w:highlight w:val="none"/>
          <w:lang w:val="zh-CN"/>
        </w:rPr>
        <w:t>日</w:t>
      </w:r>
    </w:p>
    <w:p>
      <w:pPr>
        <w:pStyle w:val="15"/>
        <w:ind w:firstLine="0"/>
        <w:rPr>
          <w:rFonts w:ascii="Times New Roman" w:hAnsi="Times New Roman"/>
          <w:color w:val="auto"/>
          <w:highlight w:val="none"/>
          <w:lang w:val="zh-CN"/>
        </w:rPr>
      </w:pPr>
    </w:p>
    <w:p>
      <w:pPr>
        <w:pStyle w:val="15"/>
        <w:ind w:firstLine="0"/>
        <w:rPr>
          <w:rFonts w:ascii="Times New Roman" w:hAnsi="Times New Roman"/>
          <w:color w:val="auto"/>
          <w:highlight w:val="none"/>
          <w:lang w:val="zh-CN"/>
        </w:rPr>
      </w:pPr>
    </w:p>
    <w:p>
      <w:pPr>
        <w:autoSpaceDE w:val="0"/>
        <w:autoSpaceDN w:val="0"/>
        <w:adjustRightInd w:val="0"/>
        <w:spacing w:line="360" w:lineRule="auto"/>
        <w:rPr>
          <w:color w:val="auto"/>
          <w:kern w:val="0"/>
          <w:sz w:val="24"/>
          <w:highlight w:val="none"/>
          <w:u w:val="single"/>
          <w:lang w:val="zh-CN"/>
        </w:rPr>
      </w:pPr>
    </w:p>
    <w:p>
      <w:pPr>
        <w:autoSpaceDE w:val="0"/>
        <w:autoSpaceDN w:val="0"/>
        <w:adjustRightInd w:val="0"/>
        <w:spacing w:line="360" w:lineRule="auto"/>
        <w:rPr>
          <w:color w:val="auto"/>
          <w:kern w:val="0"/>
          <w:sz w:val="24"/>
          <w:highlight w:val="none"/>
          <w:lang w:val="zh-CN"/>
        </w:rPr>
        <w:sectPr>
          <w:headerReference r:id="rId12" w:type="default"/>
          <w:footerReference r:id="rId13" w:type="default"/>
          <w:pgSz w:w="11906" w:h="16838"/>
          <w:pgMar w:top="1134" w:right="1134" w:bottom="993" w:left="1134" w:header="454" w:footer="454" w:gutter="0"/>
          <w:cols w:space="720" w:num="1"/>
          <w:docGrid w:linePitch="312" w:charSpace="0"/>
        </w:sectPr>
      </w:pPr>
    </w:p>
    <w:p>
      <w:pPr>
        <w:pStyle w:val="4"/>
        <w:spacing w:line="360" w:lineRule="auto"/>
        <w:rPr>
          <w:b w:val="0"/>
          <w:bCs w:val="0"/>
          <w:color w:val="auto"/>
          <w:sz w:val="28"/>
          <w:highlight w:val="none"/>
        </w:rPr>
      </w:pPr>
      <w:bookmarkStart w:id="131" w:name="_Toc19970"/>
      <w:bookmarkEnd w:id="131"/>
      <w:bookmarkStart w:id="132" w:name="_Toc344397400"/>
      <w:bookmarkEnd w:id="132"/>
      <w:bookmarkStart w:id="133" w:name="_Toc344394234"/>
      <w:bookmarkEnd w:id="133"/>
      <w:bookmarkStart w:id="134" w:name="_Toc369353521"/>
      <w:bookmarkEnd w:id="134"/>
      <w:bookmarkStart w:id="135" w:name="_Toc350515683"/>
      <w:bookmarkEnd w:id="135"/>
      <w:bookmarkStart w:id="136" w:name="_Toc343510633"/>
      <w:bookmarkEnd w:id="136"/>
      <w:bookmarkStart w:id="137" w:name="_Toc349568758"/>
      <w:bookmarkEnd w:id="137"/>
      <w:bookmarkStart w:id="138" w:name="_Toc30089"/>
      <w:bookmarkEnd w:id="138"/>
      <w:bookmarkStart w:id="139" w:name="_Toc31473"/>
      <w:bookmarkEnd w:id="139"/>
      <w:bookmarkStart w:id="140" w:name="_Toc330342580"/>
      <w:bookmarkEnd w:id="140"/>
      <w:bookmarkStart w:id="141" w:name="_Toc12848"/>
      <w:bookmarkEnd w:id="141"/>
      <w:bookmarkStart w:id="142" w:name="_Toc25660"/>
      <w:bookmarkEnd w:id="142"/>
      <w:bookmarkStart w:id="143" w:name="_Toc349914558"/>
      <w:bookmarkEnd w:id="143"/>
      <w:bookmarkStart w:id="144" w:name="_Toc350516697"/>
      <w:bookmarkEnd w:id="144"/>
      <w:bookmarkStart w:id="145" w:name="_Toc330342831"/>
      <w:bookmarkEnd w:id="145"/>
      <w:r>
        <w:rPr>
          <w:color w:val="auto"/>
          <w:sz w:val="28"/>
          <w:szCs w:val="28"/>
          <w:highlight w:val="none"/>
        </w:rPr>
        <w:t>2</w:t>
      </w:r>
      <w:r>
        <w:rPr>
          <w:rFonts w:hint="eastAsia"/>
          <w:color w:val="auto"/>
          <w:sz w:val="28"/>
          <w:szCs w:val="28"/>
          <w:highlight w:val="none"/>
        </w:rPr>
        <w:t>、法定代表人身份证明书</w:t>
      </w:r>
      <w:r>
        <w:rPr>
          <w:rFonts w:hint="eastAsia"/>
          <w:bCs w:val="0"/>
          <w:color w:val="auto"/>
          <w:sz w:val="28"/>
          <w:szCs w:val="28"/>
          <w:highlight w:val="none"/>
        </w:rPr>
        <w:t>（格式）</w:t>
      </w:r>
    </w:p>
    <w:p>
      <w:pPr>
        <w:spacing w:before="240" w:line="360" w:lineRule="auto"/>
        <w:jc w:val="center"/>
        <w:rPr>
          <w:b/>
          <w:color w:val="auto"/>
          <w:kern w:val="0"/>
          <w:sz w:val="28"/>
          <w:highlight w:val="none"/>
        </w:rPr>
      </w:pPr>
      <w:r>
        <w:rPr>
          <w:rFonts w:hint="eastAsia"/>
          <w:b/>
          <w:bCs/>
          <w:color w:val="auto"/>
          <w:sz w:val="28"/>
          <w:szCs w:val="32"/>
          <w:highlight w:val="none"/>
        </w:rPr>
        <w:t>法定代表人身份证明书</w:t>
      </w:r>
    </w:p>
    <w:p>
      <w:pPr>
        <w:autoSpaceDE w:val="0"/>
        <w:autoSpaceDN w:val="0"/>
        <w:adjustRightInd w:val="0"/>
        <w:spacing w:before="240" w:line="360" w:lineRule="auto"/>
        <w:jc w:val="center"/>
        <w:rPr>
          <w:color w:val="auto"/>
          <w:spacing w:val="6"/>
          <w:kern w:val="0"/>
          <w:sz w:val="26"/>
          <w:highlight w:val="none"/>
        </w:rPr>
      </w:pPr>
    </w:p>
    <w:p>
      <w:pPr>
        <w:spacing w:line="360" w:lineRule="auto"/>
        <w:rPr>
          <w:bCs/>
          <w:color w:val="auto"/>
          <w:sz w:val="28"/>
          <w:szCs w:val="32"/>
          <w:highlight w:val="none"/>
          <w:u w:val="single"/>
        </w:rPr>
      </w:pPr>
      <w:r>
        <w:rPr>
          <w:rFonts w:hint="eastAsia"/>
          <w:bCs/>
          <w:color w:val="auto"/>
          <w:sz w:val="28"/>
          <w:szCs w:val="32"/>
          <w:highlight w:val="none"/>
        </w:rPr>
        <w:t>单位名称：</w:t>
      </w:r>
      <w:r>
        <w:rPr>
          <w:bCs/>
          <w:color w:val="auto"/>
          <w:sz w:val="28"/>
          <w:szCs w:val="32"/>
          <w:highlight w:val="none"/>
          <w:u w:val="single"/>
        </w:rPr>
        <w:t xml:space="preserve">                         </w:t>
      </w:r>
    </w:p>
    <w:p>
      <w:pPr>
        <w:spacing w:line="360" w:lineRule="auto"/>
        <w:rPr>
          <w:bCs/>
          <w:color w:val="auto"/>
          <w:sz w:val="28"/>
          <w:szCs w:val="32"/>
          <w:highlight w:val="none"/>
          <w:u w:val="single"/>
        </w:rPr>
      </w:pPr>
      <w:r>
        <w:rPr>
          <w:rFonts w:hint="eastAsia"/>
          <w:bCs/>
          <w:color w:val="auto"/>
          <w:sz w:val="28"/>
          <w:szCs w:val="32"/>
          <w:highlight w:val="none"/>
        </w:rPr>
        <w:t>单位性质：</w:t>
      </w:r>
      <w:r>
        <w:rPr>
          <w:bCs/>
          <w:color w:val="auto"/>
          <w:sz w:val="28"/>
          <w:szCs w:val="32"/>
          <w:highlight w:val="none"/>
          <w:u w:val="single"/>
        </w:rPr>
        <w:t xml:space="preserve">                         </w:t>
      </w:r>
    </w:p>
    <w:p>
      <w:pPr>
        <w:spacing w:line="360" w:lineRule="auto"/>
        <w:rPr>
          <w:bCs/>
          <w:color w:val="auto"/>
          <w:sz w:val="28"/>
          <w:szCs w:val="32"/>
          <w:highlight w:val="none"/>
          <w:u w:val="single"/>
        </w:rPr>
      </w:pPr>
      <w:r>
        <w:rPr>
          <w:rFonts w:hint="eastAsia"/>
          <w:bCs/>
          <w:color w:val="auto"/>
          <w:sz w:val="28"/>
          <w:szCs w:val="32"/>
          <w:highlight w:val="none"/>
        </w:rPr>
        <w:t>地</w:t>
      </w:r>
      <w:r>
        <w:rPr>
          <w:bCs/>
          <w:color w:val="auto"/>
          <w:sz w:val="28"/>
          <w:szCs w:val="32"/>
          <w:highlight w:val="none"/>
        </w:rPr>
        <w:t xml:space="preserve">    </w:t>
      </w:r>
      <w:r>
        <w:rPr>
          <w:rFonts w:hint="eastAsia"/>
          <w:bCs/>
          <w:color w:val="auto"/>
          <w:sz w:val="28"/>
          <w:szCs w:val="32"/>
          <w:highlight w:val="none"/>
        </w:rPr>
        <w:t>址：</w:t>
      </w:r>
      <w:r>
        <w:rPr>
          <w:bCs/>
          <w:color w:val="auto"/>
          <w:sz w:val="28"/>
          <w:szCs w:val="32"/>
          <w:highlight w:val="none"/>
          <w:u w:val="single"/>
        </w:rPr>
        <w:t xml:space="preserve">                         </w:t>
      </w:r>
    </w:p>
    <w:p>
      <w:pPr>
        <w:spacing w:line="360" w:lineRule="auto"/>
        <w:rPr>
          <w:bCs/>
          <w:color w:val="auto"/>
          <w:sz w:val="28"/>
          <w:szCs w:val="32"/>
          <w:highlight w:val="none"/>
        </w:rPr>
      </w:pPr>
      <w:r>
        <w:rPr>
          <w:rFonts w:hint="eastAsia"/>
          <w:bCs/>
          <w:color w:val="auto"/>
          <w:sz w:val="28"/>
          <w:szCs w:val="32"/>
          <w:highlight w:val="none"/>
        </w:rPr>
        <w:t>成立时间：</w:t>
      </w:r>
      <w:r>
        <w:rPr>
          <w:bCs/>
          <w:color w:val="auto"/>
          <w:sz w:val="28"/>
          <w:szCs w:val="32"/>
          <w:highlight w:val="none"/>
          <w:u w:val="single"/>
        </w:rPr>
        <w:t xml:space="preserve">                         </w:t>
      </w:r>
    </w:p>
    <w:p>
      <w:pPr>
        <w:spacing w:line="360" w:lineRule="auto"/>
        <w:rPr>
          <w:bCs/>
          <w:color w:val="auto"/>
          <w:sz w:val="28"/>
          <w:szCs w:val="32"/>
          <w:highlight w:val="none"/>
          <w:u w:val="single"/>
        </w:rPr>
      </w:pPr>
      <w:r>
        <w:rPr>
          <w:rFonts w:hint="eastAsia"/>
          <w:bCs/>
          <w:color w:val="auto"/>
          <w:sz w:val="28"/>
          <w:szCs w:val="32"/>
          <w:highlight w:val="none"/>
        </w:rPr>
        <w:t>经营期限：</w:t>
      </w:r>
      <w:r>
        <w:rPr>
          <w:bCs/>
          <w:color w:val="auto"/>
          <w:sz w:val="28"/>
          <w:szCs w:val="32"/>
          <w:highlight w:val="none"/>
          <w:u w:val="single"/>
        </w:rPr>
        <w:t xml:space="preserve">                          </w:t>
      </w:r>
    </w:p>
    <w:p>
      <w:pPr>
        <w:spacing w:line="360" w:lineRule="auto"/>
        <w:rPr>
          <w:bCs/>
          <w:color w:val="auto"/>
          <w:sz w:val="28"/>
          <w:szCs w:val="32"/>
          <w:highlight w:val="none"/>
          <w:u w:val="single"/>
        </w:rPr>
      </w:pPr>
      <w:r>
        <w:rPr>
          <w:rFonts w:hint="eastAsia"/>
          <w:bCs/>
          <w:color w:val="auto"/>
          <w:sz w:val="28"/>
          <w:szCs w:val="32"/>
          <w:highlight w:val="none"/>
        </w:rPr>
        <w:t>姓名：</w:t>
      </w:r>
      <w:r>
        <w:rPr>
          <w:bCs/>
          <w:color w:val="auto"/>
          <w:sz w:val="28"/>
          <w:szCs w:val="32"/>
          <w:highlight w:val="none"/>
          <w:u w:val="single"/>
        </w:rPr>
        <w:t xml:space="preserve">           </w:t>
      </w:r>
      <w:r>
        <w:rPr>
          <w:bCs/>
          <w:color w:val="auto"/>
          <w:sz w:val="28"/>
          <w:szCs w:val="32"/>
          <w:highlight w:val="none"/>
        </w:rPr>
        <w:t xml:space="preserve">   性别：</w:t>
      </w:r>
      <w:r>
        <w:rPr>
          <w:bCs/>
          <w:color w:val="auto"/>
          <w:sz w:val="28"/>
          <w:szCs w:val="32"/>
          <w:highlight w:val="none"/>
          <w:u w:val="single"/>
        </w:rPr>
        <w:t xml:space="preserve">             </w:t>
      </w:r>
      <w:r>
        <w:rPr>
          <w:bCs/>
          <w:color w:val="auto"/>
          <w:sz w:val="28"/>
          <w:szCs w:val="32"/>
          <w:highlight w:val="none"/>
        </w:rPr>
        <w:t xml:space="preserve">  年龄：</w:t>
      </w:r>
      <w:r>
        <w:rPr>
          <w:bCs/>
          <w:color w:val="auto"/>
          <w:sz w:val="28"/>
          <w:szCs w:val="32"/>
          <w:highlight w:val="none"/>
          <w:u w:val="single"/>
        </w:rPr>
        <w:t xml:space="preserve">             </w:t>
      </w:r>
    </w:p>
    <w:p>
      <w:pPr>
        <w:spacing w:line="360" w:lineRule="auto"/>
        <w:rPr>
          <w:bCs/>
          <w:color w:val="auto"/>
          <w:sz w:val="28"/>
          <w:szCs w:val="32"/>
          <w:highlight w:val="none"/>
        </w:rPr>
      </w:pPr>
      <w:r>
        <w:rPr>
          <w:rFonts w:hint="eastAsia"/>
          <w:bCs/>
          <w:color w:val="auto"/>
          <w:sz w:val="28"/>
          <w:szCs w:val="32"/>
          <w:highlight w:val="none"/>
        </w:rPr>
        <w:t>职务：</w:t>
      </w:r>
      <w:r>
        <w:rPr>
          <w:bCs/>
          <w:color w:val="auto"/>
          <w:sz w:val="28"/>
          <w:szCs w:val="32"/>
          <w:highlight w:val="none"/>
          <w:u w:val="single"/>
        </w:rPr>
        <w:t xml:space="preserve">            </w:t>
      </w:r>
      <w:r>
        <w:rPr>
          <w:rFonts w:hint="eastAsia"/>
          <w:bCs/>
          <w:color w:val="auto"/>
          <w:sz w:val="28"/>
          <w:szCs w:val="32"/>
          <w:highlight w:val="none"/>
        </w:rPr>
        <w:t>系</w:t>
      </w:r>
      <w:r>
        <w:rPr>
          <w:bCs/>
          <w:color w:val="auto"/>
          <w:sz w:val="28"/>
          <w:szCs w:val="32"/>
          <w:highlight w:val="none"/>
          <w:u w:val="single"/>
        </w:rPr>
        <w:t xml:space="preserve">        （投标人单位名称）         </w:t>
      </w:r>
      <w:r>
        <w:rPr>
          <w:rFonts w:hint="eastAsia"/>
          <w:bCs/>
          <w:color w:val="auto"/>
          <w:sz w:val="28"/>
          <w:szCs w:val="32"/>
          <w:highlight w:val="none"/>
        </w:rPr>
        <w:t>的法定代表人。</w:t>
      </w:r>
    </w:p>
    <w:p>
      <w:pPr>
        <w:spacing w:line="360" w:lineRule="auto"/>
        <w:rPr>
          <w:bCs/>
          <w:color w:val="auto"/>
          <w:sz w:val="28"/>
          <w:szCs w:val="32"/>
          <w:highlight w:val="none"/>
        </w:rPr>
      </w:pPr>
      <w:r>
        <w:rPr>
          <w:rFonts w:hint="eastAsia"/>
          <w:bCs/>
          <w:color w:val="auto"/>
          <w:sz w:val="28"/>
          <w:szCs w:val="32"/>
          <w:highlight w:val="none"/>
        </w:rPr>
        <w:t>特此证明。</w:t>
      </w:r>
    </w:p>
    <w:p>
      <w:pPr>
        <w:spacing w:line="360" w:lineRule="auto"/>
        <w:ind w:right="600"/>
        <w:jc w:val="left"/>
        <w:rPr>
          <w:bCs/>
          <w:color w:val="auto"/>
          <w:sz w:val="28"/>
          <w:szCs w:val="32"/>
          <w:highlight w:val="none"/>
          <w:u w:val="single"/>
        </w:rPr>
      </w:pPr>
      <w:r>
        <w:rPr>
          <w:bCs/>
          <w:color w:val="auto"/>
          <w:sz w:val="28"/>
          <w:szCs w:val="32"/>
          <w:highlight w:val="none"/>
        </w:rPr>
        <w:t xml:space="preserve">                                      投标人：</w:t>
      </w:r>
      <w:r>
        <w:rPr>
          <w:rFonts w:hint="eastAsia"/>
          <w:bCs/>
          <w:color w:val="auto"/>
          <w:sz w:val="28"/>
          <w:szCs w:val="32"/>
          <w:highlight w:val="none"/>
          <w:u w:val="single"/>
        </w:rPr>
        <w:t>（盖公章）</w:t>
      </w:r>
      <w:r>
        <w:rPr>
          <w:bCs/>
          <w:color w:val="auto"/>
          <w:sz w:val="28"/>
          <w:szCs w:val="32"/>
          <w:highlight w:val="none"/>
          <w:u w:val="single"/>
        </w:rPr>
        <w:t xml:space="preserve">              </w:t>
      </w:r>
    </w:p>
    <w:p>
      <w:pPr>
        <w:spacing w:line="360" w:lineRule="auto"/>
        <w:ind w:right="600"/>
        <w:jc w:val="center"/>
        <w:rPr>
          <w:bCs/>
          <w:color w:val="auto"/>
          <w:sz w:val="28"/>
          <w:szCs w:val="32"/>
          <w:highlight w:val="none"/>
        </w:rPr>
      </w:pPr>
      <w:r>
        <w:rPr>
          <w:bCs/>
          <w:color w:val="auto"/>
          <w:sz w:val="28"/>
          <w:szCs w:val="32"/>
          <w:highlight w:val="none"/>
        </w:rPr>
        <w:t xml:space="preserve">                                  日期：  年    月     日</w:t>
      </w:r>
    </w:p>
    <w:p>
      <w:pPr>
        <w:spacing w:line="360" w:lineRule="auto"/>
        <w:ind w:right="600"/>
        <w:jc w:val="center"/>
        <w:rPr>
          <w:bCs/>
          <w:color w:val="auto"/>
          <w:sz w:val="28"/>
          <w:szCs w:val="32"/>
          <w:highlight w:val="none"/>
        </w:rPr>
      </w:pPr>
    </w:p>
    <w:p>
      <w:pPr>
        <w:spacing w:line="360" w:lineRule="auto"/>
        <w:ind w:right="600"/>
        <w:rPr>
          <w:bCs/>
          <w:color w:val="auto"/>
          <w:sz w:val="28"/>
          <w:szCs w:val="32"/>
          <w:highlight w:val="none"/>
        </w:rPr>
      </w:pPr>
      <w:r>
        <w:rPr>
          <w:rFonts w:hint="eastAsia"/>
          <w:bCs/>
          <w:color w:val="auto"/>
          <w:sz w:val="28"/>
          <w:szCs w:val="32"/>
          <w:highlight w:val="none"/>
        </w:rPr>
        <w:t>备注</w:t>
      </w:r>
      <w:r>
        <w:rPr>
          <w:bCs/>
          <w:color w:val="auto"/>
          <w:sz w:val="28"/>
          <w:szCs w:val="32"/>
          <w:highlight w:val="none"/>
        </w:rPr>
        <w:t>:附法定代表人身份证</w:t>
      </w:r>
      <w:r>
        <w:rPr>
          <w:rFonts w:hint="eastAsia"/>
          <w:bCs/>
          <w:color w:val="auto"/>
          <w:sz w:val="28"/>
          <w:szCs w:val="32"/>
          <w:highlight w:val="none"/>
        </w:rPr>
        <w:t>扫描件（正、反面）</w:t>
      </w:r>
    </w:p>
    <w:bookmarkEnd w:id="102"/>
    <w:bookmarkEnd w:id="103"/>
    <w:bookmarkEnd w:id="104"/>
    <w:bookmarkEnd w:id="105"/>
    <w:bookmarkEnd w:id="106"/>
    <w:bookmarkEnd w:id="107"/>
    <w:bookmarkEnd w:id="108"/>
    <w:bookmarkEnd w:id="109"/>
    <w:bookmarkEnd w:id="110"/>
    <w:bookmarkEnd w:id="111"/>
    <w:p>
      <w:pPr>
        <w:pStyle w:val="4"/>
        <w:spacing w:line="360" w:lineRule="auto"/>
        <w:rPr>
          <w:color w:val="auto"/>
          <w:sz w:val="28"/>
          <w:szCs w:val="28"/>
          <w:highlight w:val="none"/>
        </w:rPr>
      </w:pPr>
      <w:bookmarkStart w:id="146" w:name="_Toc752"/>
      <w:bookmarkEnd w:id="146"/>
      <w:bookmarkStart w:id="147" w:name="_Toc344394235"/>
      <w:bookmarkEnd w:id="147"/>
      <w:bookmarkStart w:id="148" w:name="_Toc330342832"/>
      <w:bookmarkEnd w:id="148"/>
      <w:bookmarkStart w:id="149" w:name="_Toc5113"/>
      <w:bookmarkEnd w:id="149"/>
      <w:bookmarkStart w:id="150" w:name="_Toc349914559"/>
      <w:bookmarkEnd w:id="150"/>
      <w:bookmarkStart w:id="151" w:name="_Toc349568759"/>
      <w:bookmarkEnd w:id="151"/>
      <w:bookmarkStart w:id="152" w:name="_Toc344397401"/>
      <w:bookmarkEnd w:id="152"/>
      <w:bookmarkStart w:id="153" w:name="_Toc350516698"/>
      <w:bookmarkEnd w:id="153"/>
      <w:bookmarkStart w:id="154" w:name="_Toc369353522"/>
      <w:bookmarkEnd w:id="154"/>
      <w:bookmarkStart w:id="155" w:name="_Toc330342581"/>
      <w:bookmarkEnd w:id="155"/>
      <w:bookmarkStart w:id="156" w:name="_Toc16122"/>
      <w:bookmarkEnd w:id="156"/>
      <w:bookmarkStart w:id="157" w:name="_Toc343510634"/>
      <w:bookmarkEnd w:id="157"/>
      <w:bookmarkStart w:id="158" w:name="_Toc27450"/>
      <w:bookmarkEnd w:id="158"/>
      <w:bookmarkStart w:id="159" w:name="_Toc350515684"/>
      <w:bookmarkEnd w:id="159"/>
      <w:bookmarkStart w:id="160" w:name="_Toc8017"/>
      <w:bookmarkEnd w:id="160"/>
      <w:r>
        <w:rPr>
          <w:color w:val="auto"/>
          <w:sz w:val="28"/>
          <w:szCs w:val="28"/>
          <w:highlight w:val="none"/>
        </w:rPr>
        <w:br w:type="page"/>
      </w:r>
      <w:r>
        <w:rPr>
          <w:color w:val="auto"/>
          <w:sz w:val="28"/>
          <w:szCs w:val="28"/>
          <w:highlight w:val="none"/>
        </w:rPr>
        <w:t>3</w:t>
      </w:r>
      <w:r>
        <w:rPr>
          <w:rFonts w:hint="eastAsia"/>
          <w:color w:val="auto"/>
          <w:sz w:val="28"/>
          <w:szCs w:val="28"/>
          <w:highlight w:val="none"/>
        </w:rPr>
        <w:t>、法定代表人授权书</w:t>
      </w:r>
      <w:r>
        <w:rPr>
          <w:rFonts w:hint="eastAsia"/>
          <w:bCs w:val="0"/>
          <w:color w:val="auto"/>
          <w:sz w:val="28"/>
          <w:szCs w:val="28"/>
          <w:highlight w:val="none"/>
        </w:rPr>
        <w:t>（格式）（如法定代表人投标不需此项）</w:t>
      </w:r>
    </w:p>
    <w:p>
      <w:pPr>
        <w:spacing w:line="360" w:lineRule="auto"/>
        <w:rPr>
          <w:color w:val="auto"/>
          <w:sz w:val="24"/>
          <w:szCs w:val="24"/>
          <w:highlight w:val="none"/>
        </w:rPr>
      </w:pPr>
    </w:p>
    <w:p>
      <w:pPr>
        <w:spacing w:line="360" w:lineRule="auto"/>
        <w:jc w:val="center"/>
        <w:rPr>
          <w:b/>
          <w:bCs/>
          <w:color w:val="auto"/>
          <w:sz w:val="28"/>
          <w:szCs w:val="28"/>
          <w:highlight w:val="none"/>
        </w:rPr>
      </w:pPr>
      <w:r>
        <w:rPr>
          <w:rFonts w:hint="eastAsia"/>
          <w:b/>
          <w:bCs/>
          <w:color w:val="auto"/>
          <w:sz w:val="28"/>
          <w:szCs w:val="28"/>
          <w:highlight w:val="none"/>
        </w:rPr>
        <w:t>法定代表人授权书</w:t>
      </w:r>
    </w:p>
    <w:p>
      <w:pPr>
        <w:spacing w:line="360" w:lineRule="auto"/>
        <w:rPr>
          <w:color w:val="auto"/>
          <w:sz w:val="24"/>
          <w:szCs w:val="24"/>
          <w:highlight w:val="none"/>
        </w:rPr>
      </w:pPr>
    </w:p>
    <w:p>
      <w:pPr>
        <w:spacing w:line="360" w:lineRule="auto"/>
        <w:ind w:right="142" w:firstLine="560" w:firstLineChars="200"/>
        <w:rPr>
          <w:bCs/>
          <w:color w:val="auto"/>
          <w:sz w:val="28"/>
          <w:szCs w:val="32"/>
          <w:highlight w:val="none"/>
        </w:rPr>
      </w:pPr>
      <w:bookmarkStart w:id="161" w:name="_Toc247230322"/>
      <w:bookmarkStart w:id="162" w:name="_Toc235331336"/>
      <w:r>
        <w:rPr>
          <w:rFonts w:hint="eastAsia"/>
          <w:bCs/>
          <w:color w:val="auto"/>
          <w:sz w:val="28"/>
          <w:szCs w:val="32"/>
          <w:highlight w:val="none"/>
        </w:rPr>
        <w:t>本授权委托书声明，我</w:t>
      </w:r>
      <w:r>
        <w:rPr>
          <w:bCs/>
          <w:color w:val="auto"/>
          <w:sz w:val="28"/>
          <w:szCs w:val="32"/>
          <w:highlight w:val="none"/>
          <w:u w:val="single"/>
        </w:rPr>
        <w:t xml:space="preserve">         （姓名）         </w:t>
      </w:r>
      <w:r>
        <w:rPr>
          <w:rFonts w:hint="eastAsia"/>
          <w:bCs/>
          <w:color w:val="auto"/>
          <w:sz w:val="28"/>
          <w:szCs w:val="32"/>
          <w:highlight w:val="none"/>
        </w:rPr>
        <w:t>系</w:t>
      </w:r>
      <w:r>
        <w:rPr>
          <w:bCs/>
          <w:color w:val="auto"/>
          <w:sz w:val="28"/>
          <w:szCs w:val="32"/>
          <w:highlight w:val="none"/>
          <w:u w:val="single"/>
        </w:rPr>
        <w:t xml:space="preserve">        （投标人名称）            </w:t>
      </w:r>
      <w:r>
        <w:rPr>
          <w:rFonts w:hint="eastAsia"/>
          <w:bCs/>
          <w:color w:val="auto"/>
          <w:sz w:val="28"/>
          <w:szCs w:val="32"/>
          <w:highlight w:val="none"/>
        </w:rPr>
        <w:t>的法定代表人，现授权委托</w:t>
      </w:r>
      <w:r>
        <w:rPr>
          <w:bCs/>
          <w:color w:val="auto"/>
          <w:sz w:val="28"/>
          <w:szCs w:val="32"/>
          <w:highlight w:val="none"/>
          <w:u w:val="single"/>
        </w:rPr>
        <w:t xml:space="preserve">      （姓名）   </w:t>
      </w:r>
      <w:r>
        <w:rPr>
          <w:rFonts w:hint="eastAsia"/>
          <w:bCs/>
          <w:color w:val="auto"/>
          <w:sz w:val="28"/>
          <w:szCs w:val="32"/>
          <w:highlight w:val="none"/>
        </w:rPr>
        <w:t>为我公司签署</w:t>
      </w:r>
      <w:r>
        <w:rPr>
          <w:bCs/>
          <w:color w:val="auto"/>
          <w:sz w:val="28"/>
          <w:szCs w:val="32"/>
          <w:highlight w:val="none"/>
          <w:u w:val="single"/>
        </w:rPr>
        <w:t xml:space="preserve">           （项目名称，招标编号）         </w:t>
      </w:r>
      <w:r>
        <w:rPr>
          <w:rFonts w:hint="eastAsia"/>
          <w:bCs/>
          <w:color w:val="auto"/>
          <w:sz w:val="28"/>
          <w:szCs w:val="32"/>
          <w:highlight w:val="none"/>
        </w:rPr>
        <w:t>投标的法定代表人授权委托代理人，我承认代理人全权代表我所签署的本项目的文件的内容。</w:t>
      </w:r>
    </w:p>
    <w:p>
      <w:pPr>
        <w:spacing w:line="360" w:lineRule="auto"/>
        <w:ind w:right="142"/>
        <w:rPr>
          <w:bCs/>
          <w:color w:val="auto"/>
          <w:sz w:val="28"/>
          <w:szCs w:val="32"/>
          <w:highlight w:val="none"/>
        </w:rPr>
      </w:pPr>
      <w:r>
        <w:rPr>
          <w:rFonts w:hint="eastAsia"/>
          <w:bCs/>
          <w:color w:val="auto"/>
          <w:sz w:val="28"/>
          <w:szCs w:val="32"/>
          <w:highlight w:val="none"/>
        </w:rPr>
        <w:t>代理人无转委托权，特此委托。</w:t>
      </w:r>
    </w:p>
    <w:p>
      <w:pPr>
        <w:spacing w:line="360" w:lineRule="auto"/>
        <w:ind w:right="142"/>
        <w:rPr>
          <w:bCs/>
          <w:color w:val="auto"/>
          <w:sz w:val="28"/>
          <w:szCs w:val="32"/>
          <w:highlight w:val="none"/>
          <w:u w:val="single"/>
        </w:rPr>
      </w:pPr>
      <w:r>
        <w:rPr>
          <w:rFonts w:hint="eastAsia"/>
          <w:bCs/>
          <w:color w:val="auto"/>
          <w:sz w:val="28"/>
          <w:szCs w:val="32"/>
          <w:highlight w:val="none"/>
        </w:rPr>
        <w:t>代理人：</w:t>
      </w:r>
      <w:r>
        <w:rPr>
          <w:bCs/>
          <w:color w:val="auto"/>
          <w:sz w:val="28"/>
          <w:szCs w:val="32"/>
          <w:highlight w:val="none"/>
          <w:u w:val="single"/>
        </w:rPr>
        <w:t xml:space="preserve">  (签字或盖章)          </w:t>
      </w:r>
      <w:r>
        <w:rPr>
          <w:rFonts w:hint="eastAsia"/>
          <w:bCs/>
          <w:color w:val="auto"/>
          <w:sz w:val="28"/>
          <w:szCs w:val="32"/>
          <w:highlight w:val="none"/>
        </w:rPr>
        <w:t>性别：</w:t>
      </w:r>
      <w:r>
        <w:rPr>
          <w:bCs/>
          <w:color w:val="auto"/>
          <w:sz w:val="28"/>
          <w:szCs w:val="32"/>
          <w:highlight w:val="none"/>
          <w:u w:val="single"/>
        </w:rPr>
        <w:t xml:space="preserve">            </w:t>
      </w:r>
      <w:r>
        <w:rPr>
          <w:bCs/>
          <w:color w:val="auto"/>
          <w:sz w:val="28"/>
          <w:szCs w:val="32"/>
          <w:highlight w:val="none"/>
        </w:rPr>
        <w:t xml:space="preserve">  年龄：</w:t>
      </w:r>
      <w:r>
        <w:rPr>
          <w:bCs/>
          <w:color w:val="auto"/>
          <w:sz w:val="28"/>
          <w:szCs w:val="32"/>
          <w:highlight w:val="none"/>
          <w:u w:val="single"/>
        </w:rPr>
        <w:t xml:space="preserve">             </w:t>
      </w:r>
    </w:p>
    <w:p>
      <w:pPr>
        <w:spacing w:line="360" w:lineRule="auto"/>
        <w:ind w:right="142"/>
        <w:rPr>
          <w:bCs/>
          <w:color w:val="auto"/>
          <w:sz w:val="28"/>
          <w:szCs w:val="32"/>
          <w:highlight w:val="none"/>
          <w:u w:val="single"/>
        </w:rPr>
      </w:pPr>
      <w:r>
        <w:rPr>
          <w:rFonts w:hint="eastAsia"/>
          <w:bCs/>
          <w:color w:val="auto"/>
          <w:sz w:val="28"/>
          <w:szCs w:val="32"/>
          <w:highlight w:val="none"/>
        </w:rPr>
        <w:t>身份证号码：</w:t>
      </w:r>
      <w:r>
        <w:rPr>
          <w:bCs/>
          <w:color w:val="auto"/>
          <w:sz w:val="28"/>
          <w:szCs w:val="32"/>
          <w:highlight w:val="none"/>
          <w:u w:val="single"/>
        </w:rPr>
        <w:t xml:space="preserve">                 </w:t>
      </w:r>
      <w:r>
        <w:rPr>
          <w:bCs/>
          <w:color w:val="auto"/>
          <w:sz w:val="28"/>
          <w:szCs w:val="32"/>
          <w:highlight w:val="none"/>
        </w:rPr>
        <w:t xml:space="preserve"> 职务：</w:t>
      </w:r>
      <w:r>
        <w:rPr>
          <w:bCs/>
          <w:color w:val="auto"/>
          <w:sz w:val="28"/>
          <w:szCs w:val="32"/>
          <w:highlight w:val="none"/>
          <w:u w:val="single"/>
        </w:rPr>
        <w:t xml:space="preserve">                 </w:t>
      </w:r>
    </w:p>
    <w:p>
      <w:pPr>
        <w:spacing w:line="360" w:lineRule="auto"/>
        <w:ind w:right="142"/>
        <w:rPr>
          <w:bCs/>
          <w:color w:val="auto"/>
          <w:sz w:val="28"/>
          <w:szCs w:val="32"/>
          <w:highlight w:val="none"/>
          <w:u w:val="single"/>
        </w:rPr>
      </w:pPr>
      <w:r>
        <w:rPr>
          <w:rFonts w:hint="eastAsia"/>
          <w:bCs/>
          <w:color w:val="auto"/>
          <w:sz w:val="28"/>
          <w:szCs w:val="32"/>
          <w:highlight w:val="none"/>
        </w:rPr>
        <w:t>投标人：</w:t>
      </w:r>
      <w:r>
        <w:rPr>
          <w:bCs/>
          <w:color w:val="auto"/>
          <w:sz w:val="28"/>
          <w:szCs w:val="32"/>
          <w:highlight w:val="none"/>
          <w:u w:val="single"/>
        </w:rPr>
        <w:t xml:space="preserve">        （盖公章）          </w:t>
      </w:r>
    </w:p>
    <w:p>
      <w:pPr>
        <w:spacing w:line="360" w:lineRule="auto"/>
        <w:ind w:right="142"/>
        <w:rPr>
          <w:bCs/>
          <w:color w:val="auto"/>
          <w:sz w:val="28"/>
          <w:szCs w:val="32"/>
          <w:highlight w:val="none"/>
          <w:u w:val="single"/>
        </w:rPr>
      </w:pPr>
      <w:r>
        <w:rPr>
          <w:rFonts w:hint="eastAsia"/>
          <w:bCs/>
          <w:color w:val="auto"/>
          <w:sz w:val="28"/>
          <w:szCs w:val="32"/>
          <w:highlight w:val="none"/>
        </w:rPr>
        <w:t>法定代表人：</w:t>
      </w:r>
      <w:r>
        <w:rPr>
          <w:bCs/>
          <w:color w:val="auto"/>
          <w:sz w:val="28"/>
          <w:szCs w:val="32"/>
          <w:highlight w:val="none"/>
          <w:u w:val="single"/>
        </w:rPr>
        <w:t xml:space="preserve">    （签字或盖章）          </w:t>
      </w:r>
    </w:p>
    <w:p>
      <w:pPr>
        <w:spacing w:line="360" w:lineRule="auto"/>
        <w:ind w:right="142"/>
        <w:rPr>
          <w:bCs/>
          <w:color w:val="auto"/>
          <w:sz w:val="28"/>
          <w:szCs w:val="32"/>
          <w:highlight w:val="none"/>
          <w:u w:val="single"/>
        </w:rPr>
      </w:pPr>
      <w:r>
        <w:rPr>
          <w:rFonts w:hint="eastAsia"/>
          <w:bCs/>
          <w:color w:val="auto"/>
          <w:sz w:val="28"/>
          <w:szCs w:val="32"/>
          <w:highlight w:val="none"/>
        </w:rPr>
        <w:t>授权委托日期：</w:t>
      </w:r>
      <w:r>
        <w:rPr>
          <w:bCs/>
          <w:color w:val="auto"/>
          <w:sz w:val="28"/>
          <w:szCs w:val="32"/>
          <w:highlight w:val="none"/>
          <w:u w:val="single"/>
        </w:rPr>
        <w:t xml:space="preserve">   </w:t>
      </w:r>
      <w:r>
        <w:rPr>
          <w:rFonts w:hint="eastAsia"/>
          <w:bCs/>
          <w:color w:val="auto"/>
          <w:sz w:val="28"/>
          <w:szCs w:val="32"/>
          <w:highlight w:val="none"/>
        </w:rPr>
        <w:t>年</w:t>
      </w:r>
      <w:r>
        <w:rPr>
          <w:bCs/>
          <w:color w:val="auto"/>
          <w:sz w:val="28"/>
          <w:szCs w:val="32"/>
          <w:highlight w:val="none"/>
          <w:u w:val="single"/>
        </w:rPr>
        <w:t xml:space="preserve">   </w:t>
      </w:r>
      <w:r>
        <w:rPr>
          <w:rFonts w:hint="eastAsia"/>
          <w:bCs/>
          <w:color w:val="auto"/>
          <w:sz w:val="28"/>
          <w:szCs w:val="32"/>
          <w:highlight w:val="none"/>
        </w:rPr>
        <w:t>月</w:t>
      </w:r>
      <w:r>
        <w:rPr>
          <w:bCs/>
          <w:color w:val="auto"/>
          <w:sz w:val="28"/>
          <w:szCs w:val="32"/>
          <w:highlight w:val="none"/>
          <w:u w:val="single"/>
        </w:rPr>
        <w:t xml:space="preserve">   </w:t>
      </w:r>
      <w:r>
        <w:rPr>
          <w:rFonts w:hint="eastAsia"/>
          <w:bCs/>
          <w:color w:val="auto"/>
          <w:sz w:val="28"/>
          <w:szCs w:val="32"/>
          <w:highlight w:val="none"/>
        </w:rPr>
        <w:t>日</w:t>
      </w:r>
    </w:p>
    <w:p>
      <w:pPr>
        <w:spacing w:line="360" w:lineRule="auto"/>
        <w:ind w:right="142"/>
        <w:rPr>
          <w:bCs/>
          <w:color w:val="auto"/>
          <w:sz w:val="28"/>
          <w:szCs w:val="32"/>
          <w:highlight w:val="none"/>
        </w:rPr>
      </w:pPr>
    </w:p>
    <w:bookmarkEnd w:id="161"/>
    <w:bookmarkEnd w:id="162"/>
    <w:p>
      <w:pPr>
        <w:spacing w:line="360" w:lineRule="auto"/>
        <w:ind w:right="142"/>
        <w:rPr>
          <w:bCs/>
          <w:color w:val="auto"/>
          <w:sz w:val="28"/>
          <w:szCs w:val="32"/>
          <w:highlight w:val="none"/>
        </w:rPr>
      </w:pPr>
      <w:bookmarkStart w:id="163" w:name="_Toc247230326"/>
      <w:r>
        <w:rPr>
          <w:rFonts w:hint="eastAsia"/>
          <w:bCs/>
          <w:color w:val="auto"/>
          <w:sz w:val="28"/>
          <w:szCs w:val="32"/>
          <w:highlight w:val="none"/>
        </w:rPr>
        <w:t>备注</w:t>
      </w:r>
      <w:r>
        <w:rPr>
          <w:bCs/>
          <w:color w:val="auto"/>
          <w:sz w:val="28"/>
          <w:szCs w:val="32"/>
          <w:highlight w:val="none"/>
        </w:rPr>
        <w:t>:附代理人身份证</w:t>
      </w:r>
      <w:r>
        <w:rPr>
          <w:rFonts w:hint="eastAsia"/>
          <w:bCs/>
          <w:color w:val="auto"/>
          <w:sz w:val="28"/>
          <w:szCs w:val="32"/>
          <w:highlight w:val="none"/>
        </w:rPr>
        <w:t>扫描件（正、反面）</w:t>
      </w:r>
    </w:p>
    <w:p>
      <w:pPr>
        <w:rPr>
          <w:color w:val="auto"/>
          <w:sz w:val="28"/>
          <w:szCs w:val="28"/>
          <w:highlight w:val="none"/>
        </w:rPr>
      </w:pPr>
      <w:bookmarkStart w:id="164" w:name="_Toc330342833"/>
      <w:bookmarkStart w:id="165" w:name="_Toc15410"/>
      <w:bookmarkStart w:id="166" w:name="_Toc343510635"/>
      <w:bookmarkStart w:id="167" w:name="_Toc344394236"/>
      <w:bookmarkStart w:id="168" w:name="_Toc6655"/>
      <w:bookmarkStart w:id="169" w:name="_Toc350516699"/>
      <w:bookmarkStart w:id="170" w:name="_Toc350515685"/>
      <w:bookmarkStart w:id="171" w:name="_Toc349914564"/>
      <w:bookmarkStart w:id="172" w:name="_Toc5577"/>
      <w:bookmarkStart w:id="173" w:name="_Toc344397402"/>
      <w:bookmarkStart w:id="174" w:name="_Toc349568760"/>
      <w:bookmarkStart w:id="175" w:name="_Toc369353523"/>
      <w:bookmarkStart w:id="176" w:name="_Toc330342582"/>
      <w:r>
        <w:rPr>
          <w:color w:val="auto"/>
          <w:sz w:val="28"/>
          <w:szCs w:val="28"/>
          <w:highlight w:val="none"/>
        </w:rPr>
        <w:br w:type="page"/>
      </w:r>
    </w:p>
    <w:p>
      <w:pPr>
        <w:pStyle w:val="4"/>
        <w:rPr>
          <w:color w:val="auto"/>
          <w:highlight w:val="none"/>
        </w:rPr>
      </w:pPr>
      <w:bookmarkStart w:id="177" w:name="_Toc31028"/>
      <w:bookmarkEnd w:id="177"/>
      <w:r>
        <w:rPr>
          <w:rFonts w:hint="eastAsia"/>
          <w:color w:val="auto"/>
          <w:highlight w:val="none"/>
        </w:rPr>
        <w:t>4、项目负责人</w:t>
      </w:r>
    </w:p>
    <w:p>
      <w:pPr>
        <w:rPr>
          <w:color w:val="auto"/>
          <w:highlight w:val="none"/>
        </w:rPr>
      </w:pPr>
    </w:p>
    <w:p>
      <w:pPr>
        <w:pStyle w:val="37"/>
        <w:spacing w:line="400" w:lineRule="exact"/>
        <w:ind w:firstLine="480" w:firstLineChars="200"/>
        <w:rPr>
          <w:color w:val="auto"/>
          <w:sz w:val="24"/>
          <w:highlight w:val="none"/>
        </w:rPr>
      </w:pPr>
      <w:r>
        <w:rPr>
          <w:rFonts w:hint="eastAsia"/>
          <w:color w:val="auto"/>
          <w:sz w:val="24"/>
          <w:highlight w:val="none"/>
        </w:rPr>
        <w:t>项目负责人应附注册证书、身份证、职称证、学历证等。</w:t>
      </w:r>
    </w:p>
    <w:p>
      <w:pPr>
        <w:pStyle w:val="37"/>
        <w:spacing w:line="400" w:lineRule="exact"/>
        <w:rPr>
          <w:color w:val="auto"/>
          <w:sz w:val="24"/>
          <w:highlight w:val="none"/>
        </w:rPr>
      </w:pP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姓</w:t>
            </w:r>
            <w:r>
              <w:rPr>
                <w:color w:val="auto"/>
                <w:sz w:val="24"/>
                <w:highlight w:val="none"/>
              </w:rPr>
              <w:t xml:space="preserve">  </w:t>
            </w:r>
            <w:r>
              <w:rPr>
                <w:rFonts w:hint="eastAsia"/>
                <w:color w:val="auto"/>
                <w:sz w:val="24"/>
                <w:highlight w:val="none"/>
              </w:rPr>
              <w:t>名</w:t>
            </w:r>
          </w:p>
        </w:tc>
        <w:tc>
          <w:tcPr>
            <w:tcW w:w="1079"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年</w:t>
            </w:r>
            <w:r>
              <w:rPr>
                <w:color w:val="auto"/>
                <w:sz w:val="24"/>
                <w:highlight w:val="none"/>
              </w:rPr>
              <w:t xml:space="preserve"> </w:t>
            </w:r>
            <w:r>
              <w:rPr>
                <w:rFonts w:hint="eastAsia"/>
                <w:color w:val="auto"/>
                <w:sz w:val="24"/>
                <w:highlight w:val="none"/>
              </w:rPr>
              <w:t>龄</w:t>
            </w:r>
          </w:p>
        </w:tc>
        <w:tc>
          <w:tcPr>
            <w:tcW w:w="1065"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学</w:t>
            </w:r>
            <w:r>
              <w:rPr>
                <w:color w:val="auto"/>
                <w:sz w:val="24"/>
                <w:highlight w:val="none"/>
              </w:rPr>
              <w:t xml:space="preserve"> </w:t>
            </w:r>
            <w:r>
              <w:rPr>
                <w:rFonts w:hint="eastAsia"/>
                <w:color w:val="auto"/>
                <w:sz w:val="24"/>
                <w:highlight w:val="none"/>
              </w:rPr>
              <w:t>历</w:t>
            </w:r>
          </w:p>
        </w:tc>
        <w:tc>
          <w:tcPr>
            <w:tcW w:w="2135"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职</w:t>
            </w:r>
            <w:r>
              <w:rPr>
                <w:color w:val="auto"/>
                <w:sz w:val="24"/>
                <w:highlight w:val="none"/>
              </w:rPr>
              <w:t xml:space="preserve">  </w:t>
            </w:r>
            <w:r>
              <w:rPr>
                <w:rFonts w:hint="eastAsia"/>
                <w:color w:val="auto"/>
                <w:sz w:val="24"/>
                <w:highlight w:val="none"/>
              </w:rPr>
              <w:t>称</w:t>
            </w:r>
          </w:p>
        </w:tc>
        <w:tc>
          <w:tcPr>
            <w:tcW w:w="1079"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职</w:t>
            </w:r>
            <w:r>
              <w:rPr>
                <w:color w:val="auto"/>
                <w:sz w:val="24"/>
                <w:highlight w:val="none"/>
              </w:rPr>
              <w:t xml:space="preserve"> </w:t>
            </w:r>
            <w:r>
              <w:rPr>
                <w:rFonts w:hint="eastAsia"/>
                <w:color w:val="auto"/>
                <w:sz w:val="24"/>
                <w:highlight w:val="none"/>
              </w:rPr>
              <w:t>务</w:t>
            </w:r>
          </w:p>
        </w:tc>
        <w:tc>
          <w:tcPr>
            <w:tcW w:w="1065"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拟在本工程任职</w:t>
            </w:r>
          </w:p>
        </w:tc>
        <w:tc>
          <w:tcPr>
            <w:tcW w:w="2135"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毕业学校</w:t>
            </w:r>
          </w:p>
        </w:tc>
        <w:tc>
          <w:tcPr>
            <w:tcW w:w="7336" w:type="dxa"/>
            <w:gridSpan w:val="6"/>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r>
              <w:rPr>
                <w:color w:val="auto"/>
                <w:sz w:val="24"/>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时</w:t>
            </w:r>
            <w:r>
              <w:rPr>
                <w:color w:val="auto"/>
                <w:sz w:val="24"/>
                <w:highlight w:val="none"/>
              </w:rPr>
              <w:t xml:space="preserve">  </w:t>
            </w:r>
            <w:r>
              <w:rPr>
                <w:rFonts w:hint="eastAsia"/>
                <w:color w:val="auto"/>
                <w:sz w:val="24"/>
                <w:highlight w:val="none"/>
              </w:rPr>
              <w:t>间</w:t>
            </w: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参加过的类似项目名称</w:t>
            </w:r>
          </w:p>
        </w:tc>
        <w:tc>
          <w:tcPr>
            <w:tcW w:w="1969"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概况说明</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color w:val="auto"/>
                <w:sz w:val="24"/>
                <w:highlight w:val="none"/>
              </w:rPr>
            </w:pPr>
            <w:r>
              <w:rPr>
                <w:rFonts w:hint="eastAsia"/>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pPr>
              <w:pStyle w:val="37"/>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3071" w:type="dxa"/>
            <w:gridSpan w:val="3"/>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color w:val="auto"/>
                <w:sz w:val="24"/>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br w:type="page"/>
      </w:r>
    </w:p>
    <w:p>
      <w:pPr>
        <w:pStyle w:val="4"/>
        <w:spacing w:line="360" w:lineRule="auto"/>
        <w:rPr>
          <w:color w:val="auto"/>
          <w:sz w:val="28"/>
          <w:szCs w:val="28"/>
          <w:highlight w:val="none"/>
        </w:rPr>
      </w:pPr>
      <w:bookmarkStart w:id="178" w:name="_Toc8382"/>
      <w:bookmarkEnd w:id="178"/>
      <w:bookmarkStart w:id="179" w:name="_Toc28333"/>
      <w:bookmarkEnd w:id="179"/>
      <w:r>
        <w:rPr>
          <w:color w:val="auto"/>
          <w:sz w:val="28"/>
          <w:szCs w:val="28"/>
          <w:highlight w:val="none"/>
        </w:rPr>
        <w:t>5</w:t>
      </w:r>
      <w:r>
        <w:rPr>
          <w:rFonts w:hint="eastAsia"/>
          <w:color w:val="auto"/>
          <w:sz w:val="28"/>
          <w:szCs w:val="28"/>
          <w:highlight w:val="none"/>
        </w:rPr>
        <w:t>、投标保证书格式</w:t>
      </w:r>
    </w:p>
    <w:p>
      <w:pPr>
        <w:spacing w:line="360" w:lineRule="auto"/>
        <w:jc w:val="center"/>
        <w:rPr>
          <w:b/>
          <w:color w:val="auto"/>
          <w:sz w:val="42"/>
          <w:highlight w:val="none"/>
        </w:rPr>
      </w:pPr>
      <w:r>
        <w:rPr>
          <w:rFonts w:hint="eastAsia"/>
          <w:b/>
          <w:color w:val="auto"/>
          <w:sz w:val="42"/>
          <w:highlight w:val="none"/>
        </w:rPr>
        <w:t>投</w:t>
      </w:r>
      <w:r>
        <w:rPr>
          <w:b/>
          <w:color w:val="auto"/>
          <w:sz w:val="42"/>
          <w:highlight w:val="none"/>
        </w:rPr>
        <w:t xml:space="preserve"> </w:t>
      </w:r>
      <w:r>
        <w:rPr>
          <w:rFonts w:hint="eastAsia"/>
          <w:b/>
          <w:color w:val="auto"/>
          <w:sz w:val="42"/>
          <w:highlight w:val="none"/>
        </w:rPr>
        <w:t>标</w:t>
      </w:r>
      <w:r>
        <w:rPr>
          <w:b/>
          <w:color w:val="auto"/>
          <w:sz w:val="42"/>
          <w:highlight w:val="none"/>
        </w:rPr>
        <w:t xml:space="preserve"> </w:t>
      </w:r>
      <w:r>
        <w:rPr>
          <w:rFonts w:hint="eastAsia"/>
          <w:b/>
          <w:color w:val="auto"/>
          <w:sz w:val="42"/>
          <w:highlight w:val="none"/>
        </w:rPr>
        <w:t>保</w:t>
      </w:r>
      <w:r>
        <w:rPr>
          <w:b/>
          <w:color w:val="auto"/>
          <w:sz w:val="42"/>
          <w:highlight w:val="none"/>
        </w:rPr>
        <w:t xml:space="preserve"> </w:t>
      </w:r>
      <w:r>
        <w:rPr>
          <w:rFonts w:hint="eastAsia"/>
          <w:b/>
          <w:color w:val="auto"/>
          <w:sz w:val="42"/>
          <w:highlight w:val="none"/>
        </w:rPr>
        <w:t>证</w:t>
      </w:r>
      <w:r>
        <w:rPr>
          <w:b/>
          <w:color w:val="auto"/>
          <w:sz w:val="42"/>
          <w:highlight w:val="none"/>
        </w:rPr>
        <w:t xml:space="preserve"> </w:t>
      </w:r>
      <w:r>
        <w:rPr>
          <w:rFonts w:hint="eastAsia"/>
          <w:b/>
          <w:color w:val="auto"/>
          <w:sz w:val="42"/>
          <w:highlight w:val="none"/>
        </w:rPr>
        <w:t>书</w:t>
      </w:r>
    </w:p>
    <w:p>
      <w:pPr>
        <w:spacing w:line="360" w:lineRule="auto"/>
        <w:rPr>
          <w:color w:val="auto"/>
          <w:sz w:val="24"/>
          <w:highlight w:val="none"/>
        </w:rPr>
      </w:pPr>
    </w:p>
    <w:p>
      <w:pPr>
        <w:spacing w:after="120" w:line="360" w:lineRule="auto"/>
        <w:rPr>
          <w:b/>
          <w:color w:val="auto"/>
          <w:sz w:val="24"/>
          <w:highlight w:val="none"/>
        </w:rPr>
      </w:pPr>
      <w:r>
        <w:rPr>
          <w:rFonts w:hint="eastAsia"/>
          <w:b/>
          <w:color w:val="auto"/>
          <w:sz w:val="24"/>
          <w:highlight w:val="none"/>
        </w:rPr>
        <w:t>致：</w:t>
      </w:r>
      <w:r>
        <w:rPr>
          <w:rFonts w:hint="eastAsia"/>
          <w:b/>
          <w:color w:val="auto"/>
          <w:spacing w:val="10"/>
          <w:sz w:val="24"/>
          <w:highlight w:val="none"/>
        </w:rPr>
        <w:t>辽宁国信建设工程管理有限公司</w:t>
      </w:r>
      <w:r>
        <w:rPr>
          <w:rFonts w:hint="eastAsia"/>
          <w:b/>
          <w:color w:val="auto"/>
          <w:sz w:val="24"/>
          <w:highlight w:val="none"/>
        </w:rPr>
        <w:t>：</w:t>
      </w:r>
    </w:p>
    <w:p>
      <w:pPr>
        <w:spacing w:before="60" w:after="60" w:line="360" w:lineRule="auto"/>
        <w:ind w:firstLine="510"/>
        <w:rPr>
          <w:color w:val="auto"/>
          <w:sz w:val="24"/>
          <w:highlight w:val="none"/>
        </w:rPr>
      </w:pPr>
      <w:r>
        <w:rPr>
          <w:rFonts w:hint="eastAsia"/>
          <w:color w:val="auto"/>
          <w:sz w:val="24"/>
          <w:highlight w:val="none"/>
        </w:rPr>
        <w:t>本保证书作为</w:t>
      </w:r>
      <w:r>
        <w:rPr>
          <w:color w:val="auto"/>
          <w:sz w:val="24"/>
          <w:highlight w:val="none"/>
          <w:u w:val="single"/>
        </w:rPr>
        <w:t xml:space="preserve">      （投标人）      </w:t>
      </w:r>
      <w:r>
        <w:rPr>
          <w:rFonts w:hint="eastAsia"/>
          <w:color w:val="auto"/>
          <w:sz w:val="24"/>
          <w:highlight w:val="none"/>
        </w:rPr>
        <w:t>对贵公司“</w:t>
      </w:r>
      <w:r>
        <w:rPr>
          <w:color w:val="auto"/>
          <w:sz w:val="24"/>
          <w:highlight w:val="none"/>
          <w:u w:val="single"/>
        </w:rPr>
        <w:t xml:space="preserve"> （项目名称）   （项目编号）  </w:t>
      </w:r>
      <w:r>
        <w:rPr>
          <w:rFonts w:hint="eastAsia"/>
          <w:color w:val="auto"/>
          <w:sz w:val="24"/>
          <w:highlight w:val="none"/>
        </w:rPr>
        <w:t>”</w:t>
      </w:r>
      <w:r>
        <w:rPr>
          <w:color w:val="auto"/>
          <w:sz w:val="24"/>
          <w:highlight w:val="none"/>
        </w:rPr>
        <w:t xml:space="preserve"> </w:t>
      </w:r>
      <w:r>
        <w:rPr>
          <w:rFonts w:hint="eastAsia"/>
          <w:color w:val="auto"/>
          <w:sz w:val="24"/>
          <w:highlight w:val="none"/>
        </w:rPr>
        <w:t>的提供投标保证金的保证。</w:t>
      </w:r>
    </w:p>
    <w:p>
      <w:pPr>
        <w:spacing w:before="60" w:after="60" w:line="360" w:lineRule="auto"/>
        <w:ind w:firstLine="510"/>
        <w:rPr>
          <w:color w:val="auto"/>
          <w:sz w:val="24"/>
          <w:highlight w:val="none"/>
        </w:rPr>
      </w:pPr>
      <w:r>
        <w:rPr>
          <w:rFonts w:hint="eastAsia"/>
          <w:color w:val="auto"/>
          <w:sz w:val="24"/>
          <w:highlight w:val="none"/>
        </w:rPr>
        <w:t>由我单位（公司）提供的</w:t>
      </w:r>
      <w:r>
        <w:rPr>
          <w:color w:val="auto"/>
          <w:sz w:val="24"/>
          <w:highlight w:val="none"/>
          <w:u w:val="single"/>
        </w:rPr>
        <w:t xml:space="preserve">     （投标保证金形式）     </w:t>
      </w:r>
      <w:r>
        <w:rPr>
          <w:rFonts w:hint="eastAsia"/>
          <w:color w:val="auto"/>
          <w:sz w:val="24"/>
          <w:highlight w:val="none"/>
        </w:rPr>
        <w:t>总额为</w:t>
      </w:r>
      <w:r>
        <w:rPr>
          <w:color w:val="auto"/>
          <w:sz w:val="24"/>
          <w:highlight w:val="none"/>
        </w:rPr>
        <w:t>___________________（人民币______________万元）。</w:t>
      </w:r>
    </w:p>
    <w:p>
      <w:pPr>
        <w:spacing w:before="60" w:after="60" w:line="360" w:lineRule="auto"/>
        <w:ind w:firstLine="510"/>
        <w:rPr>
          <w:color w:val="auto"/>
          <w:sz w:val="24"/>
          <w:highlight w:val="none"/>
        </w:rPr>
      </w:pPr>
      <w:r>
        <w:rPr>
          <w:rFonts w:hint="eastAsia"/>
          <w:color w:val="auto"/>
          <w:sz w:val="24"/>
          <w:highlight w:val="none"/>
        </w:rPr>
        <w:t>一旦发生下述行为，我单位（公司）将放弃要求退还投标保证金的权利：</w:t>
      </w:r>
    </w:p>
    <w:p>
      <w:pPr>
        <w:spacing w:before="60" w:after="60" w:line="360" w:lineRule="auto"/>
        <w:ind w:firstLine="510"/>
        <w:rPr>
          <w:color w:val="auto"/>
          <w:sz w:val="24"/>
          <w:highlight w:val="none"/>
        </w:rPr>
      </w:pPr>
      <w:r>
        <w:rPr>
          <w:color w:val="auto"/>
          <w:sz w:val="24"/>
          <w:highlight w:val="none"/>
        </w:rPr>
        <w:t>1、从开标日起到投标文件有效期满前，我单位撤回投标；</w:t>
      </w:r>
    </w:p>
    <w:p>
      <w:pPr>
        <w:spacing w:before="60" w:after="60" w:line="360" w:lineRule="auto"/>
        <w:ind w:firstLine="510"/>
        <w:rPr>
          <w:color w:val="auto"/>
          <w:sz w:val="24"/>
          <w:highlight w:val="none"/>
        </w:rPr>
      </w:pPr>
      <w:r>
        <w:rPr>
          <w:color w:val="auto"/>
          <w:sz w:val="24"/>
          <w:highlight w:val="none"/>
        </w:rPr>
        <w:t>2、开标、评标到定标期间发生违反招标文件规定的行为；</w:t>
      </w:r>
    </w:p>
    <w:p>
      <w:pPr>
        <w:spacing w:before="60" w:after="60" w:line="360" w:lineRule="auto"/>
        <w:ind w:firstLine="510"/>
        <w:rPr>
          <w:color w:val="auto"/>
          <w:sz w:val="24"/>
          <w:highlight w:val="none"/>
        </w:rPr>
      </w:pPr>
      <w:r>
        <w:rPr>
          <w:rFonts w:hint="eastAsia"/>
          <w:color w:val="auto"/>
          <w:sz w:val="24"/>
          <w:highlight w:val="none"/>
        </w:rPr>
        <w:t>本保证书自开标日起</w:t>
      </w:r>
      <w:r>
        <w:rPr>
          <w:color w:val="auto"/>
          <w:sz w:val="24"/>
          <w:highlight w:val="none"/>
        </w:rPr>
        <w:t>90日历天内有效，除非贵方提前终止或解除本保证书。</w:t>
      </w:r>
    </w:p>
    <w:p>
      <w:pPr>
        <w:spacing w:before="60" w:after="60" w:line="360" w:lineRule="auto"/>
        <w:rPr>
          <w:color w:val="auto"/>
          <w:sz w:val="24"/>
          <w:highlight w:val="none"/>
        </w:rPr>
      </w:pPr>
    </w:p>
    <w:p>
      <w:pPr>
        <w:spacing w:before="60" w:after="60" w:line="360" w:lineRule="auto"/>
        <w:rPr>
          <w:color w:val="auto"/>
          <w:sz w:val="24"/>
          <w:highlight w:val="none"/>
        </w:rPr>
      </w:pPr>
    </w:p>
    <w:p>
      <w:pPr>
        <w:spacing w:before="60" w:after="60" w:line="360" w:lineRule="auto"/>
        <w:ind w:firstLine="510"/>
        <w:rPr>
          <w:color w:val="auto"/>
          <w:sz w:val="24"/>
          <w:highlight w:val="none"/>
        </w:rPr>
      </w:pPr>
      <w:r>
        <w:rPr>
          <w:rFonts w:hint="eastAsia"/>
          <w:color w:val="auto"/>
          <w:sz w:val="24"/>
          <w:highlight w:val="none"/>
        </w:rPr>
        <w:t>投标人全称（盖公章）：</w:t>
      </w:r>
      <w:r>
        <w:rPr>
          <w:color w:val="auto"/>
          <w:sz w:val="24"/>
          <w:highlight w:val="none"/>
        </w:rPr>
        <w:t>________________________</w:t>
      </w:r>
    </w:p>
    <w:p>
      <w:pPr>
        <w:spacing w:before="60" w:after="60" w:line="360" w:lineRule="auto"/>
        <w:ind w:firstLine="510"/>
        <w:rPr>
          <w:color w:val="auto"/>
          <w:sz w:val="24"/>
          <w:highlight w:val="none"/>
        </w:rPr>
      </w:pPr>
      <w:r>
        <w:rPr>
          <w:rFonts w:hint="eastAsia"/>
          <w:color w:val="auto"/>
          <w:sz w:val="24"/>
          <w:highlight w:val="none"/>
        </w:rPr>
        <w:t>法定代表人或授权委托代理人（签字或盖章）：</w:t>
      </w:r>
      <w:r>
        <w:rPr>
          <w:color w:val="auto"/>
          <w:sz w:val="24"/>
          <w:highlight w:val="none"/>
        </w:rPr>
        <w:t>__________</w:t>
      </w:r>
    </w:p>
    <w:p>
      <w:pPr>
        <w:spacing w:before="60" w:after="60" w:line="360" w:lineRule="auto"/>
        <w:ind w:firstLine="510"/>
        <w:rPr>
          <w:color w:val="auto"/>
          <w:sz w:val="24"/>
          <w:highlight w:val="none"/>
        </w:rPr>
      </w:pPr>
      <w:r>
        <w:rPr>
          <w:rFonts w:hint="eastAsia"/>
          <w:color w:val="auto"/>
          <w:sz w:val="24"/>
          <w:highlight w:val="none"/>
        </w:rPr>
        <w:t>日期：</w:t>
      </w:r>
      <w:r>
        <w:rPr>
          <w:color w:val="auto"/>
          <w:sz w:val="24"/>
          <w:highlight w:val="none"/>
        </w:rPr>
        <w:t>_______年____月_____日</w:t>
      </w:r>
    </w:p>
    <w:p>
      <w:pPr>
        <w:spacing w:before="60" w:after="60" w:line="360" w:lineRule="auto"/>
        <w:ind w:firstLine="510"/>
        <w:rPr>
          <w:color w:val="auto"/>
          <w:highlight w:val="none"/>
        </w:rPr>
      </w:pPr>
    </w:p>
    <w:p>
      <w:pPr>
        <w:pStyle w:val="4"/>
        <w:spacing w:line="360" w:lineRule="auto"/>
        <w:rPr>
          <w:color w:val="auto"/>
          <w:sz w:val="28"/>
          <w:szCs w:val="28"/>
          <w:highlight w:val="none"/>
        </w:rPr>
      </w:pPr>
      <w:bookmarkStart w:id="180" w:name="_Toc421711544"/>
      <w:bookmarkEnd w:id="180"/>
      <w:bookmarkStart w:id="181" w:name="_Toc2349"/>
      <w:bookmarkEnd w:id="181"/>
      <w:bookmarkStart w:id="182" w:name="_Toc408756326"/>
      <w:bookmarkEnd w:id="182"/>
      <w:bookmarkStart w:id="183" w:name="_Toc428352860"/>
      <w:bookmarkEnd w:id="183"/>
      <w:bookmarkStart w:id="184" w:name="_Toc431929800"/>
      <w:bookmarkEnd w:id="184"/>
      <w:bookmarkStart w:id="185" w:name="_Toc10853"/>
      <w:bookmarkEnd w:id="185"/>
      <w:r>
        <w:rPr>
          <w:color w:val="auto"/>
          <w:highlight w:val="none"/>
        </w:rPr>
        <w:br w:type="page"/>
      </w:r>
      <w:r>
        <w:rPr>
          <w:color w:val="auto"/>
          <w:sz w:val="28"/>
          <w:szCs w:val="28"/>
          <w:highlight w:val="none"/>
        </w:rPr>
        <w:t>6</w:t>
      </w:r>
      <w:r>
        <w:rPr>
          <w:rFonts w:hint="eastAsia"/>
          <w:color w:val="auto"/>
          <w:sz w:val="28"/>
          <w:szCs w:val="28"/>
          <w:highlight w:val="none"/>
        </w:rPr>
        <w:t>、投标保证金付款凭证或保函扫描件</w:t>
      </w:r>
    </w:p>
    <w:p>
      <w:pPr>
        <w:rPr>
          <w:color w:val="auto"/>
          <w:highlight w:val="none"/>
        </w:rPr>
      </w:pPr>
    </w:p>
    <w:p>
      <w:pPr>
        <w:rPr>
          <w:color w:val="auto"/>
          <w:highlight w:val="none"/>
        </w:rPr>
      </w:pPr>
      <w:r>
        <w:rPr>
          <w:color w:val="auto"/>
          <w:highlight w:val="none"/>
        </w:rPr>
        <w:br w:type="page"/>
      </w:r>
    </w:p>
    <w:p>
      <w:pPr>
        <w:rPr>
          <w:b/>
          <w:bCs/>
          <w:color w:val="auto"/>
          <w:sz w:val="28"/>
          <w:szCs w:val="28"/>
          <w:highlight w:val="none"/>
        </w:rPr>
      </w:pPr>
      <w:r>
        <w:rPr>
          <w:b/>
          <w:bCs/>
          <w:color w:val="auto"/>
          <w:sz w:val="28"/>
          <w:szCs w:val="28"/>
          <w:highlight w:val="none"/>
        </w:rPr>
        <w:t>7、投标人不得被列入“失信被执行人”或“失信惩戒对象”或“重大税收违法案件当事人”，以“信用中国”网站（www.creditchina.gov.cn）查询为准。（需在招标公告发布后从“信用中国”网站打印查询结果并加盖公章）</w:t>
      </w:r>
    </w:p>
    <w:p>
      <w:pPr>
        <w:rPr>
          <w:color w:val="auto"/>
          <w:highlight w:val="none"/>
        </w:rPr>
      </w:pPr>
    </w:p>
    <w:p>
      <w:pPr>
        <w:rPr>
          <w:color w:val="auto"/>
          <w:highlight w:val="none"/>
        </w:rPr>
      </w:pPr>
    </w:p>
    <w:p>
      <w:pPr>
        <w:rPr>
          <w:color w:val="auto"/>
          <w:highlight w:val="none"/>
        </w:rPr>
      </w:pPr>
      <w:r>
        <w:rPr>
          <w:color w:val="auto"/>
          <w:highlight w:val="none"/>
        </w:rPr>
        <w:br w:type="page"/>
      </w:r>
    </w:p>
    <w:p>
      <w:pPr>
        <w:numPr>
          <w:ilvl w:val="0"/>
          <w:numId w:val="12"/>
        </w:numPr>
        <w:rPr>
          <w:b/>
          <w:bCs/>
          <w:color w:val="auto"/>
          <w:sz w:val="28"/>
          <w:szCs w:val="28"/>
          <w:highlight w:val="none"/>
        </w:rPr>
      </w:pPr>
      <w:r>
        <w:rPr>
          <w:rFonts w:hint="eastAsia"/>
          <w:b/>
          <w:bCs/>
          <w:color w:val="auto"/>
          <w:sz w:val="28"/>
          <w:szCs w:val="28"/>
          <w:highlight w:val="none"/>
        </w:rPr>
        <w:t>投标人告知承诺函</w:t>
      </w:r>
    </w:p>
    <w:p>
      <w:pPr>
        <w:spacing w:line="600" w:lineRule="exact"/>
        <w:jc w:val="center"/>
        <w:rPr>
          <w:color w:val="auto"/>
          <w:szCs w:val="32"/>
          <w:highlight w:val="none"/>
        </w:rPr>
      </w:pPr>
      <w:r>
        <w:rPr>
          <w:rFonts w:hint="eastAsia"/>
          <w:color w:val="auto"/>
          <w:sz w:val="32"/>
          <w:szCs w:val="32"/>
          <w:highlight w:val="none"/>
        </w:rPr>
        <w:t>投标人告知承诺函</w:t>
      </w:r>
    </w:p>
    <w:p>
      <w:pPr>
        <w:spacing w:line="600" w:lineRule="exact"/>
        <w:rPr>
          <w:color w:val="auto"/>
          <w:sz w:val="30"/>
          <w:szCs w:val="30"/>
          <w:highlight w:val="none"/>
          <w:u w:val="single"/>
        </w:rPr>
      </w:pPr>
    </w:p>
    <w:p>
      <w:pPr>
        <w:spacing w:line="600" w:lineRule="exact"/>
        <w:rPr>
          <w:color w:val="auto"/>
          <w:sz w:val="24"/>
          <w:szCs w:val="24"/>
          <w:highlight w:val="none"/>
          <w:u w:val="single"/>
        </w:rPr>
      </w:pPr>
      <w:r>
        <w:rPr>
          <w:rFonts w:hint="eastAsia"/>
          <w:color w:val="auto"/>
          <w:sz w:val="24"/>
          <w:szCs w:val="24"/>
          <w:highlight w:val="none"/>
          <w:u w:val="single"/>
        </w:rPr>
        <w:t>营口市自然资源局、营口市自然资源事务中心：</w:t>
      </w:r>
    </w:p>
    <w:p>
      <w:pPr>
        <w:spacing w:line="600" w:lineRule="exact"/>
        <w:ind w:firstLine="480" w:firstLineChars="200"/>
        <w:rPr>
          <w:color w:val="auto"/>
          <w:sz w:val="24"/>
          <w:szCs w:val="24"/>
          <w:highlight w:val="none"/>
        </w:rPr>
      </w:pPr>
      <w:r>
        <w:rPr>
          <w:rFonts w:hint="eastAsia"/>
          <w:color w:val="auto"/>
          <w:sz w:val="24"/>
          <w:szCs w:val="24"/>
          <w:highlight w:val="none"/>
        </w:rPr>
        <w:t>我单位参与</w:t>
      </w:r>
      <w:r>
        <w:rPr>
          <w:rFonts w:hint="eastAsia"/>
          <w:color w:val="auto"/>
          <w:sz w:val="24"/>
          <w:szCs w:val="24"/>
          <w:highlight w:val="none"/>
          <w:u w:val="single"/>
        </w:rPr>
        <w:t>（</w:t>
      </w:r>
      <w:r>
        <w:rPr>
          <w:rFonts w:hint="eastAsia"/>
          <w:color w:val="auto"/>
          <w:sz w:val="24"/>
          <w:szCs w:val="24"/>
          <w:highlight w:val="none"/>
          <w:u w:val="single"/>
          <w:lang w:eastAsia="zh-CN"/>
        </w:rPr>
        <w:t>辽宁省营口市海洋生态保护修复工程项目生态修复效果与减灾功能评估</w:t>
      </w:r>
      <w:r>
        <w:rPr>
          <w:rFonts w:hint="eastAsia"/>
          <w:color w:val="auto"/>
          <w:sz w:val="24"/>
          <w:szCs w:val="24"/>
          <w:highlight w:val="none"/>
          <w:u w:val="single"/>
        </w:rPr>
        <w:t>）</w:t>
      </w:r>
      <w:r>
        <w:rPr>
          <w:rFonts w:hint="eastAsia"/>
          <w:color w:val="auto"/>
          <w:sz w:val="24"/>
          <w:szCs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color w:val="auto"/>
          <w:sz w:val="24"/>
          <w:szCs w:val="24"/>
          <w:highlight w:val="none"/>
        </w:rPr>
      </w:pPr>
      <w:r>
        <w:rPr>
          <w:rFonts w:hint="eastAsia"/>
          <w:color w:val="auto"/>
          <w:sz w:val="24"/>
          <w:szCs w:val="24"/>
          <w:highlight w:val="none"/>
        </w:rPr>
        <w:t>一、我单位和我本人遵循公开、公平、公正、诚实守信的原则，依法依规参与本项目投标。</w:t>
      </w:r>
    </w:p>
    <w:p>
      <w:pPr>
        <w:spacing w:line="600" w:lineRule="exact"/>
        <w:ind w:firstLine="480" w:firstLineChars="200"/>
        <w:rPr>
          <w:color w:val="auto"/>
          <w:sz w:val="24"/>
          <w:szCs w:val="24"/>
          <w:highlight w:val="none"/>
        </w:rPr>
      </w:pPr>
      <w:r>
        <w:rPr>
          <w:rFonts w:hint="eastAsia"/>
          <w:color w:val="auto"/>
          <w:sz w:val="24"/>
          <w:szCs w:val="24"/>
          <w:highlight w:val="none"/>
        </w:rPr>
        <w:t>二、我单位具有参与本次投标的资质和能力，公司运营状况良好，不存在挂靠投标、不受让、租借、出租、出借资格或资质证书，无处罚期内的不良行为。</w:t>
      </w:r>
    </w:p>
    <w:p>
      <w:pPr>
        <w:spacing w:line="600" w:lineRule="exact"/>
        <w:ind w:firstLine="480" w:firstLineChars="200"/>
        <w:rPr>
          <w:color w:val="auto"/>
          <w:sz w:val="24"/>
          <w:szCs w:val="24"/>
          <w:highlight w:val="none"/>
        </w:rPr>
      </w:pPr>
      <w:r>
        <w:rPr>
          <w:rFonts w:hint="eastAsia"/>
          <w:color w:val="auto"/>
          <w:sz w:val="24"/>
          <w:szCs w:val="24"/>
          <w:highlight w:val="none"/>
        </w:rPr>
        <w:t>三、我单位在本项目投标过程中从招标公告</w:t>
      </w:r>
      <w:r>
        <w:rPr>
          <w:color w:val="auto"/>
          <w:sz w:val="24"/>
          <w:szCs w:val="24"/>
          <w:highlight w:val="none"/>
        </w:rPr>
        <w:t>/投标邀请书列明的渠道获取招标文件，没有通过其他不正当渠道获取招标文件。</w:t>
      </w:r>
    </w:p>
    <w:p>
      <w:pPr>
        <w:spacing w:line="600" w:lineRule="exact"/>
        <w:rPr>
          <w:color w:val="auto"/>
          <w:sz w:val="24"/>
          <w:szCs w:val="24"/>
          <w:highlight w:val="none"/>
        </w:rPr>
      </w:pPr>
      <w:r>
        <w:rPr>
          <w:color w:val="auto"/>
          <w:sz w:val="24"/>
          <w:szCs w:val="24"/>
          <w:highlight w:val="none"/>
        </w:rPr>
        <w:t xml:space="preserve">    四、我单位承诺投标文件由本单位员工独立编制，严格遵守保密义务。所提供的一切投标相关材料都是真实、有效、合法的。</w:t>
      </w:r>
    </w:p>
    <w:p>
      <w:pPr>
        <w:spacing w:line="600" w:lineRule="exact"/>
        <w:ind w:firstLine="480" w:firstLineChars="200"/>
        <w:rPr>
          <w:color w:val="auto"/>
          <w:sz w:val="24"/>
          <w:szCs w:val="24"/>
          <w:highlight w:val="none"/>
        </w:rPr>
      </w:pPr>
      <w:r>
        <w:rPr>
          <w:rFonts w:hint="eastAsia"/>
          <w:color w:val="auto"/>
          <w:sz w:val="24"/>
          <w:szCs w:val="24"/>
          <w:highlight w:val="none"/>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color w:val="auto"/>
          <w:sz w:val="24"/>
          <w:szCs w:val="24"/>
          <w:highlight w:val="none"/>
        </w:rPr>
      </w:pPr>
      <w:r>
        <w:rPr>
          <w:rFonts w:hint="eastAsia"/>
          <w:color w:val="auto"/>
          <w:sz w:val="24"/>
          <w:szCs w:val="24"/>
          <w:highlight w:val="none"/>
        </w:rPr>
        <w:t>六、我单位不与招标人或招标代理机构串通投标，损害国家利益、社会公共利益或者他人的合法权益。</w:t>
      </w:r>
    </w:p>
    <w:p>
      <w:pPr>
        <w:spacing w:line="600" w:lineRule="exact"/>
        <w:ind w:firstLine="480" w:firstLineChars="200"/>
        <w:rPr>
          <w:color w:val="auto"/>
          <w:sz w:val="24"/>
          <w:szCs w:val="24"/>
          <w:highlight w:val="none"/>
        </w:rPr>
      </w:pPr>
      <w:r>
        <w:rPr>
          <w:rFonts w:hint="eastAsia"/>
          <w:color w:val="auto"/>
          <w:sz w:val="24"/>
          <w:szCs w:val="24"/>
          <w:highlight w:val="none"/>
        </w:rPr>
        <w:t>七、我单位不向招标人或者评标委员会成员行贿以牟取中标，不在开标后进行虚假恶意投诉。</w:t>
      </w:r>
    </w:p>
    <w:p>
      <w:pPr>
        <w:spacing w:line="600" w:lineRule="exact"/>
        <w:ind w:firstLine="480" w:firstLineChars="200"/>
        <w:rPr>
          <w:color w:val="auto"/>
          <w:sz w:val="24"/>
          <w:szCs w:val="24"/>
          <w:highlight w:val="none"/>
        </w:rPr>
      </w:pPr>
      <w:r>
        <w:rPr>
          <w:rFonts w:hint="eastAsia"/>
          <w:color w:val="auto"/>
          <w:sz w:val="24"/>
          <w:szCs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color w:val="auto"/>
          <w:sz w:val="24"/>
          <w:szCs w:val="24"/>
          <w:highlight w:val="none"/>
        </w:rPr>
      </w:pPr>
      <w:r>
        <w:rPr>
          <w:rFonts w:hint="eastAsia"/>
          <w:color w:val="auto"/>
          <w:sz w:val="24"/>
          <w:szCs w:val="24"/>
          <w:highlight w:val="none"/>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color w:val="auto"/>
          <w:sz w:val="24"/>
          <w:szCs w:val="24"/>
          <w:highlight w:val="none"/>
        </w:rPr>
      </w:pPr>
      <w:r>
        <w:rPr>
          <w:rFonts w:hint="eastAsia"/>
          <w:color w:val="auto"/>
          <w:sz w:val="24"/>
          <w:szCs w:val="24"/>
          <w:highlight w:val="none"/>
        </w:rPr>
        <w:t>十、本承诺函由我单位盖章及法定代表人（授权委托人）签字（或盖章）确认。</w:t>
      </w:r>
    </w:p>
    <w:p>
      <w:pPr>
        <w:spacing w:line="600" w:lineRule="exact"/>
        <w:ind w:firstLine="480" w:firstLineChars="200"/>
        <w:rPr>
          <w:color w:val="auto"/>
          <w:sz w:val="24"/>
          <w:szCs w:val="24"/>
          <w:highlight w:val="none"/>
          <w:shd w:val="clear" w:color="auto" w:fill="FFFFFF"/>
        </w:rPr>
      </w:pPr>
    </w:p>
    <w:p>
      <w:pPr>
        <w:spacing w:line="600" w:lineRule="exact"/>
        <w:ind w:firstLine="480" w:firstLineChars="200"/>
        <w:rPr>
          <w:color w:val="auto"/>
          <w:sz w:val="24"/>
          <w:szCs w:val="24"/>
          <w:highlight w:val="none"/>
          <w:shd w:val="clear" w:color="auto" w:fill="FFFFFF"/>
        </w:rPr>
      </w:pPr>
    </w:p>
    <w:p>
      <w:pPr>
        <w:spacing w:line="600" w:lineRule="exact"/>
        <w:ind w:firstLine="360" w:firstLineChars="150"/>
        <w:rPr>
          <w:color w:val="auto"/>
          <w:sz w:val="24"/>
          <w:szCs w:val="24"/>
          <w:highlight w:val="none"/>
        </w:rPr>
      </w:pPr>
      <w:r>
        <w:rPr>
          <w:rFonts w:hint="eastAsia"/>
          <w:color w:val="auto"/>
          <w:sz w:val="24"/>
          <w:szCs w:val="24"/>
          <w:highlight w:val="none"/>
        </w:rPr>
        <w:t>承诺单位：</w:t>
      </w:r>
      <w:r>
        <w:rPr>
          <w:color w:val="auto"/>
          <w:sz w:val="24"/>
          <w:szCs w:val="24"/>
          <w:highlight w:val="none"/>
        </w:rPr>
        <w:t xml:space="preserve">     </w:t>
      </w:r>
      <w:r>
        <w:rPr>
          <w:rFonts w:hint="eastAsia"/>
          <w:color w:val="auto"/>
          <w:sz w:val="24"/>
          <w:szCs w:val="24"/>
          <w:highlight w:val="none"/>
        </w:rPr>
        <w:t>（盖单位公章）</w:t>
      </w:r>
    </w:p>
    <w:p>
      <w:pPr>
        <w:spacing w:line="600" w:lineRule="exact"/>
        <w:rPr>
          <w:color w:val="auto"/>
          <w:sz w:val="24"/>
          <w:szCs w:val="24"/>
          <w:highlight w:val="none"/>
        </w:rPr>
      </w:pPr>
    </w:p>
    <w:p>
      <w:pPr>
        <w:spacing w:line="600" w:lineRule="exact"/>
        <w:ind w:firstLine="360" w:firstLineChars="150"/>
        <w:rPr>
          <w:color w:val="auto"/>
          <w:sz w:val="24"/>
          <w:szCs w:val="24"/>
          <w:highlight w:val="none"/>
        </w:rPr>
      </w:pPr>
      <w:r>
        <w:rPr>
          <w:rFonts w:hint="eastAsia"/>
          <w:color w:val="auto"/>
          <w:sz w:val="24"/>
          <w:szCs w:val="24"/>
          <w:highlight w:val="none"/>
        </w:rPr>
        <w:t>法定代表人（授权委托人）：</w:t>
      </w:r>
      <w:r>
        <w:rPr>
          <w:color w:val="auto"/>
          <w:sz w:val="24"/>
          <w:szCs w:val="24"/>
          <w:highlight w:val="none"/>
        </w:rPr>
        <w:t xml:space="preserve">        </w:t>
      </w:r>
      <w:r>
        <w:rPr>
          <w:rFonts w:hint="eastAsia"/>
          <w:color w:val="auto"/>
          <w:sz w:val="24"/>
          <w:szCs w:val="24"/>
          <w:highlight w:val="none"/>
        </w:rPr>
        <w:t>（签字或盖章）</w:t>
      </w:r>
    </w:p>
    <w:p>
      <w:pPr>
        <w:spacing w:line="600" w:lineRule="exact"/>
        <w:rPr>
          <w:color w:val="auto"/>
          <w:sz w:val="24"/>
          <w:szCs w:val="24"/>
          <w:highlight w:val="none"/>
        </w:rPr>
      </w:pPr>
    </w:p>
    <w:p>
      <w:pPr>
        <w:spacing w:line="600" w:lineRule="exact"/>
        <w:rPr>
          <w:color w:val="auto"/>
          <w:sz w:val="24"/>
          <w:szCs w:val="24"/>
          <w:highlight w:val="none"/>
        </w:rPr>
      </w:pPr>
    </w:p>
    <w:p>
      <w:pPr>
        <w:jc w:val="right"/>
        <w:rPr>
          <w:b/>
          <w:bCs/>
          <w:color w:val="auto"/>
          <w:sz w:val="24"/>
          <w:szCs w:val="24"/>
          <w:highlight w:val="none"/>
        </w:rPr>
      </w:pPr>
      <w:r>
        <w:rPr>
          <w:rFonts w:hint="eastAsia"/>
          <w:color w:val="auto"/>
          <w:sz w:val="24"/>
          <w:szCs w:val="24"/>
          <w:highlight w:val="none"/>
        </w:rPr>
        <w:t>承诺时间：</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pPr>
        <w:rPr>
          <w:color w:val="auto"/>
          <w:highlight w:val="none"/>
        </w:rPr>
      </w:pPr>
    </w:p>
    <w:p>
      <w:pPr>
        <w:rPr>
          <w:color w:val="auto"/>
          <w:highlight w:val="none"/>
        </w:rPr>
      </w:pPr>
    </w:p>
    <w:p>
      <w:pPr>
        <w:rPr>
          <w:color w:val="auto"/>
          <w:highlight w:val="none"/>
        </w:rPr>
      </w:pPr>
      <w:bookmarkStart w:id="186" w:name="_Toc13728"/>
      <w:r>
        <w:rPr>
          <w:color w:val="auto"/>
          <w:highlight w:val="none"/>
        </w:rPr>
        <w:br w:type="page"/>
      </w:r>
    </w:p>
    <w:p>
      <w:pPr>
        <w:pStyle w:val="4"/>
        <w:spacing w:line="360" w:lineRule="auto"/>
        <w:jc w:val="center"/>
        <w:rPr>
          <w:color w:val="auto"/>
          <w:highlight w:val="none"/>
        </w:rPr>
      </w:pPr>
      <w:bookmarkStart w:id="187" w:name="_Toc343510619"/>
      <w:bookmarkEnd w:id="187"/>
      <w:bookmarkStart w:id="188" w:name="_Toc349914547"/>
      <w:bookmarkEnd w:id="188"/>
      <w:bookmarkStart w:id="189" w:name="_Toc7715"/>
      <w:bookmarkEnd w:id="189"/>
      <w:bookmarkStart w:id="190" w:name="_Toc14571"/>
      <w:bookmarkEnd w:id="190"/>
      <w:bookmarkStart w:id="191" w:name="_Toc344397386"/>
      <w:bookmarkEnd w:id="191"/>
      <w:bookmarkStart w:id="192" w:name="_Toc350515672"/>
      <w:bookmarkEnd w:id="192"/>
      <w:bookmarkStart w:id="193" w:name="_Toc19864"/>
      <w:bookmarkEnd w:id="193"/>
      <w:bookmarkStart w:id="194" w:name="_Toc369353510"/>
      <w:bookmarkEnd w:id="194"/>
      <w:bookmarkStart w:id="195" w:name="_Toc349568743"/>
      <w:bookmarkEnd w:id="195"/>
      <w:bookmarkStart w:id="196" w:name="_Toc344394220"/>
      <w:bookmarkEnd w:id="196"/>
      <w:bookmarkStart w:id="197" w:name="_Toc330342816"/>
      <w:bookmarkEnd w:id="197"/>
      <w:bookmarkStart w:id="198" w:name="_Toc350516686"/>
      <w:bookmarkEnd w:id="198"/>
      <w:bookmarkStart w:id="199" w:name="_Toc16811"/>
      <w:bookmarkEnd w:id="199"/>
      <w:bookmarkStart w:id="200" w:name="_Toc29700"/>
      <w:bookmarkEnd w:id="200"/>
      <w:r>
        <w:rPr>
          <w:rFonts w:hint="eastAsia"/>
          <w:color w:val="auto"/>
          <w:highlight w:val="none"/>
        </w:rPr>
        <w:t>第三部分</w:t>
      </w:r>
      <w:r>
        <w:rPr>
          <w:color w:val="auto"/>
          <w:highlight w:val="none"/>
        </w:rPr>
        <w:t xml:space="preserve"> </w:t>
      </w:r>
      <w:r>
        <w:rPr>
          <w:rFonts w:hint="eastAsia"/>
          <w:color w:val="auto"/>
          <w:highlight w:val="none"/>
        </w:rPr>
        <w:t>技术部分</w:t>
      </w:r>
    </w:p>
    <w:p>
      <w:pPr>
        <w:spacing w:before="240" w:after="60" w:line="360" w:lineRule="auto"/>
        <w:ind w:firstLine="510"/>
        <w:rPr>
          <w:color w:val="auto"/>
          <w:sz w:val="24"/>
          <w:highlight w:val="none"/>
        </w:rPr>
      </w:pPr>
    </w:p>
    <w:p>
      <w:pPr>
        <w:spacing w:before="240" w:after="60" w:line="360" w:lineRule="auto"/>
        <w:ind w:firstLine="510"/>
        <w:rPr>
          <w:color w:val="auto"/>
          <w:sz w:val="24"/>
          <w:highlight w:val="none"/>
        </w:rPr>
      </w:pPr>
      <w:r>
        <w:rPr>
          <w:rFonts w:hint="eastAsia"/>
          <w:color w:val="auto"/>
          <w:sz w:val="24"/>
          <w:highlight w:val="none"/>
        </w:rPr>
        <w:t>投标人根据招标文件的要求对所投服务的以下方面进行技术说明，格式自拟：</w:t>
      </w:r>
    </w:p>
    <w:p>
      <w:pPr>
        <w:spacing w:before="240" w:after="60" w:line="360" w:lineRule="auto"/>
        <w:ind w:firstLine="510"/>
        <w:rPr>
          <w:color w:val="auto"/>
          <w:sz w:val="24"/>
          <w:highlight w:val="none"/>
        </w:rPr>
      </w:pPr>
      <w:r>
        <w:rPr>
          <w:color w:val="auto"/>
          <w:sz w:val="24"/>
          <w:highlight w:val="none"/>
        </w:rPr>
        <w:t>1)</w:t>
      </w:r>
      <w:r>
        <w:rPr>
          <w:color w:val="auto"/>
          <w:sz w:val="24"/>
          <w:highlight w:val="none"/>
        </w:rPr>
        <w:tab/>
      </w:r>
      <w:r>
        <w:rPr>
          <w:rFonts w:hint="eastAsia"/>
          <w:color w:val="auto"/>
          <w:sz w:val="24"/>
          <w:highlight w:val="none"/>
        </w:rPr>
        <w:t>工作方案；</w:t>
      </w:r>
    </w:p>
    <w:p>
      <w:pPr>
        <w:spacing w:before="240" w:after="60" w:line="360" w:lineRule="auto"/>
        <w:ind w:firstLine="510"/>
        <w:rPr>
          <w:color w:val="auto"/>
          <w:sz w:val="24"/>
          <w:highlight w:val="none"/>
        </w:rPr>
      </w:pPr>
      <w:r>
        <w:rPr>
          <w:color w:val="auto"/>
          <w:sz w:val="24"/>
          <w:highlight w:val="none"/>
        </w:rPr>
        <w:t>2)</w:t>
      </w:r>
      <w:r>
        <w:rPr>
          <w:color w:val="auto"/>
          <w:sz w:val="24"/>
          <w:highlight w:val="none"/>
        </w:rPr>
        <w:tab/>
      </w:r>
      <w:r>
        <w:rPr>
          <w:rFonts w:hint="eastAsia"/>
          <w:color w:val="auto"/>
          <w:sz w:val="24"/>
          <w:highlight w:val="none"/>
        </w:rPr>
        <w:t>设备保障；</w:t>
      </w:r>
    </w:p>
    <w:p>
      <w:pPr>
        <w:spacing w:before="240" w:after="60" w:line="360" w:lineRule="auto"/>
        <w:ind w:firstLine="510"/>
        <w:rPr>
          <w:color w:val="auto"/>
          <w:sz w:val="24"/>
          <w:highlight w:val="none"/>
        </w:rPr>
      </w:pPr>
      <w:r>
        <w:rPr>
          <w:color w:val="auto"/>
          <w:sz w:val="24"/>
          <w:highlight w:val="none"/>
        </w:rPr>
        <w:t xml:space="preserve">3) </w:t>
      </w:r>
      <w:r>
        <w:rPr>
          <w:rFonts w:hint="eastAsia"/>
          <w:color w:val="auto"/>
          <w:sz w:val="24"/>
          <w:highlight w:val="none"/>
        </w:rPr>
        <w:t>质量控制保证措施；</w:t>
      </w:r>
    </w:p>
    <w:p>
      <w:pPr>
        <w:spacing w:before="240" w:after="60" w:line="360" w:lineRule="auto"/>
        <w:ind w:firstLine="510"/>
        <w:rPr>
          <w:color w:val="auto"/>
          <w:sz w:val="24"/>
          <w:highlight w:val="none"/>
        </w:rPr>
      </w:pPr>
      <w:r>
        <w:rPr>
          <w:color w:val="auto"/>
          <w:sz w:val="24"/>
          <w:highlight w:val="none"/>
        </w:rPr>
        <w:t>4）</w:t>
      </w:r>
      <w:r>
        <w:rPr>
          <w:rFonts w:hint="eastAsia"/>
          <w:color w:val="auto"/>
          <w:sz w:val="24"/>
          <w:highlight w:val="none"/>
        </w:rPr>
        <w:t>实施进度计划及保障措施；</w:t>
      </w:r>
    </w:p>
    <w:p>
      <w:pPr>
        <w:spacing w:before="240" w:after="60" w:line="360" w:lineRule="auto"/>
        <w:ind w:firstLine="510"/>
        <w:rPr>
          <w:color w:val="auto"/>
          <w:sz w:val="24"/>
          <w:highlight w:val="none"/>
        </w:rPr>
      </w:pPr>
      <w:r>
        <w:rPr>
          <w:color w:val="auto"/>
          <w:sz w:val="24"/>
          <w:highlight w:val="none"/>
        </w:rPr>
        <w:t>5）项目</w:t>
      </w:r>
      <w:r>
        <w:rPr>
          <w:rFonts w:hint="eastAsia"/>
          <w:color w:val="auto"/>
          <w:sz w:val="24"/>
          <w:highlight w:val="none"/>
        </w:rPr>
        <w:t>重点难点的理解及突发情况的预见和解决方案；</w:t>
      </w:r>
    </w:p>
    <w:p>
      <w:pPr>
        <w:spacing w:before="240" w:after="60" w:line="360" w:lineRule="auto"/>
        <w:ind w:firstLine="510"/>
        <w:rPr>
          <w:color w:val="auto"/>
          <w:sz w:val="24"/>
          <w:highlight w:val="none"/>
        </w:rPr>
      </w:pPr>
      <w:r>
        <w:rPr>
          <w:color w:val="auto"/>
          <w:sz w:val="24"/>
          <w:highlight w:val="none"/>
        </w:rPr>
        <w:t>6）资料、信息收集及管理方案</w:t>
      </w:r>
      <w:r>
        <w:rPr>
          <w:rFonts w:hint="eastAsia"/>
          <w:color w:val="auto"/>
          <w:sz w:val="24"/>
          <w:highlight w:val="none"/>
        </w:rPr>
        <w:t>。</w:t>
      </w:r>
    </w:p>
    <w:p>
      <w:pPr>
        <w:rPr>
          <w:color w:val="auto"/>
          <w:highlight w:val="none"/>
        </w:rPr>
      </w:pPr>
    </w:p>
    <w:p>
      <w:pPr>
        <w:rPr>
          <w:color w:val="auto"/>
          <w:highlight w:val="none"/>
        </w:rPr>
      </w:pPr>
      <w:r>
        <w:rPr>
          <w:color w:val="auto"/>
          <w:highlight w:val="none"/>
        </w:rPr>
        <w:br w:type="page"/>
      </w:r>
    </w:p>
    <w:p>
      <w:pPr>
        <w:pStyle w:val="4"/>
        <w:spacing w:line="360" w:lineRule="auto"/>
        <w:jc w:val="center"/>
        <w:rPr>
          <w:color w:val="auto"/>
          <w:highlight w:val="none"/>
        </w:rPr>
      </w:pPr>
      <w:bookmarkStart w:id="201" w:name="_Toc27966"/>
      <w:bookmarkEnd w:id="201"/>
      <w:bookmarkStart w:id="202" w:name="_Toc23478"/>
      <w:bookmarkEnd w:id="202"/>
      <w:r>
        <w:rPr>
          <w:rFonts w:hint="eastAsia"/>
          <w:color w:val="auto"/>
          <w:highlight w:val="none"/>
        </w:rPr>
        <w:t>第四部分</w:t>
      </w:r>
      <w:r>
        <w:rPr>
          <w:color w:val="auto"/>
          <w:highlight w:val="none"/>
        </w:rPr>
        <w:t xml:space="preserve"> </w:t>
      </w:r>
      <w:r>
        <w:rPr>
          <w:rFonts w:hint="eastAsia"/>
          <w:color w:val="auto"/>
          <w:highlight w:val="none"/>
        </w:rPr>
        <w:t>商务部分</w:t>
      </w:r>
    </w:p>
    <w:p>
      <w:pPr>
        <w:pStyle w:val="4"/>
        <w:spacing w:line="360" w:lineRule="auto"/>
        <w:rPr>
          <w:color w:val="auto"/>
          <w:sz w:val="28"/>
          <w:szCs w:val="28"/>
          <w:highlight w:val="none"/>
        </w:rPr>
      </w:pPr>
      <w:bookmarkStart w:id="203" w:name="_Toc25097"/>
      <w:bookmarkEnd w:id="203"/>
      <w:bookmarkStart w:id="204" w:name="_Toc268"/>
      <w:bookmarkEnd w:id="204"/>
      <w:bookmarkStart w:id="205" w:name="_Toc330342811"/>
      <w:bookmarkEnd w:id="205"/>
      <w:bookmarkStart w:id="206" w:name="_Toc344394215"/>
      <w:bookmarkEnd w:id="206"/>
      <w:bookmarkStart w:id="207" w:name="_Toc18123"/>
      <w:bookmarkEnd w:id="207"/>
      <w:bookmarkStart w:id="208" w:name="_Toc344397381"/>
      <w:bookmarkEnd w:id="208"/>
      <w:bookmarkStart w:id="209" w:name="_Toc330342560"/>
      <w:bookmarkEnd w:id="209"/>
      <w:bookmarkStart w:id="210" w:name="_Toc9488"/>
      <w:bookmarkEnd w:id="210"/>
      <w:bookmarkStart w:id="211" w:name="_Toc350516685"/>
      <w:bookmarkEnd w:id="211"/>
      <w:bookmarkStart w:id="212" w:name="_Toc349568738"/>
      <w:bookmarkEnd w:id="212"/>
      <w:bookmarkStart w:id="213" w:name="_Toc343510614"/>
      <w:bookmarkEnd w:id="213"/>
      <w:bookmarkStart w:id="214" w:name="_Toc350515671"/>
      <w:bookmarkEnd w:id="214"/>
      <w:bookmarkStart w:id="215" w:name="_Toc23035"/>
      <w:bookmarkEnd w:id="215"/>
      <w:bookmarkStart w:id="216" w:name="_Toc349914546"/>
      <w:bookmarkEnd w:id="216"/>
      <w:bookmarkStart w:id="217" w:name="_Toc369353509"/>
      <w:bookmarkEnd w:id="217"/>
      <w:r>
        <w:rPr>
          <w:color w:val="auto"/>
          <w:sz w:val="28"/>
          <w:szCs w:val="28"/>
          <w:highlight w:val="none"/>
        </w:rPr>
        <w:t>1、</w:t>
      </w:r>
      <w:r>
        <w:rPr>
          <w:rFonts w:hint="eastAsia"/>
          <w:bCs w:val="0"/>
          <w:color w:val="auto"/>
          <w:sz w:val="28"/>
          <w:szCs w:val="28"/>
          <w:highlight w:val="none"/>
        </w:rPr>
        <w:t>服务说明</w:t>
      </w:r>
    </w:p>
    <w:p>
      <w:pPr>
        <w:spacing w:line="360" w:lineRule="auto"/>
        <w:jc w:val="center"/>
        <w:rPr>
          <w:color w:val="auto"/>
          <w:sz w:val="24"/>
          <w:szCs w:val="24"/>
          <w:highlight w:val="none"/>
        </w:rPr>
      </w:pPr>
    </w:p>
    <w:p>
      <w:pPr>
        <w:spacing w:line="360" w:lineRule="auto"/>
        <w:jc w:val="center"/>
        <w:rPr>
          <w:color w:val="auto"/>
          <w:sz w:val="24"/>
          <w:szCs w:val="24"/>
          <w:highlight w:val="none"/>
        </w:rPr>
      </w:pPr>
    </w:p>
    <w:p>
      <w:pPr>
        <w:spacing w:line="360" w:lineRule="auto"/>
        <w:jc w:val="center"/>
        <w:rPr>
          <w:color w:val="auto"/>
          <w:sz w:val="24"/>
          <w:szCs w:val="24"/>
          <w:highlight w:val="none"/>
        </w:rPr>
      </w:pPr>
      <w:r>
        <w:rPr>
          <w:rFonts w:hint="eastAsia"/>
          <w:color w:val="auto"/>
          <w:sz w:val="24"/>
          <w:szCs w:val="24"/>
          <w:highlight w:val="none"/>
        </w:rPr>
        <w:t>我单位所提供的服务质量完全响应“第五章</w:t>
      </w:r>
      <w:r>
        <w:rPr>
          <w:color w:val="auto"/>
          <w:sz w:val="24"/>
          <w:szCs w:val="24"/>
          <w:highlight w:val="none"/>
        </w:rPr>
        <w:t xml:space="preserve"> </w:t>
      </w:r>
      <w:r>
        <w:rPr>
          <w:rFonts w:hint="eastAsia"/>
          <w:color w:val="auto"/>
          <w:sz w:val="24"/>
          <w:szCs w:val="24"/>
          <w:highlight w:val="none"/>
        </w:rPr>
        <w:t>项目情况及服务需求”。</w:t>
      </w:r>
    </w:p>
    <w:p>
      <w:pPr>
        <w:spacing w:line="360" w:lineRule="auto"/>
        <w:rPr>
          <w:color w:val="auto"/>
          <w:sz w:val="24"/>
          <w:szCs w:val="24"/>
          <w:highlight w:val="none"/>
          <w:u w:val="single"/>
        </w:rPr>
      </w:pPr>
    </w:p>
    <w:p>
      <w:pPr>
        <w:spacing w:before="240" w:after="60" w:line="360" w:lineRule="auto"/>
        <w:rPr>
          <w:color w:val="auto"/>
          <w:sz w:val="24"/>
          <w:highlight w:val="none"/>
        </w:rPr>
      </w:pPr>
    </w:p>
    <w:p>
      <w:pPr>
        <w:spacing w:before="240" w:after="60" w:line="360" w:lineRule="auto"/>
        <w:ind w:firstLine="510"/>
        <w:rPr>
          <w:color w:val="auto"/>
          <w:sz w:val="24"/>
          <w:highlight w:val="none"/>
        </w:rPr>
      </w:pPr>
      <w:r>
        <w:rPr>
          <w:rFonts w:hint="eastAsia"/>
          <w:color w:val="auto"/>
          <w:sz w:val="24"/>
          <w:highlight w:val="none"/>
        </w:rPr>
        <w:t>投标人全称（盖公章）：</w:t>
      </w:r>
      <w:r>
        <w:rPr>
          <w:color w:val="auto"/>
          <w:sz w:val="24"/>
          <w:highlight w:val="none"/>
          <w:u w:val="single"/>
        </w:rPr>
        <w:t xml:space="preserve">                          </w:t>
      </w:r>
    </w:p>
    <w:p>
      <w:pPr>
        <w:spacing w:before="240" w:after="60" w:line="360" w:lineRule="auto"/>
        <w:ind w:firstLine="510"/>
        <w:rPr>
          <w:color w:val="auto"/>
          <w:sz w:val="24"/>
          <w:highlight w:val="none"/>
        </w:rPr>
      </w:pPr>
      <w:r>
        <w:rPr>
          <w:rFonts w:hint="eastAsia"/>
          <w:color w:val="auto"/>
          <w:sz w:val="24"/>
          <w:highlight w:val="none"/>
        </w:rPr>
        <w:t>法定代表人或授权委托人（签字或盖章）：</w:t>
      </w:r>
      <w:r>
        <w:rPr>
          <w:color w:val="auto"/>
          <w:sz w:val="24"/>
          <w:highlight w:val="none"/>
          <w:u w:val="single"/>
        </w:rPr>
        <w:t xml:space="preserve">                </w:t>
      </w:r>
    </w:p>
    <w:p>
      <w:pPr>
        <w:spacing w:before="240" w:after="60" w:line="360" w:lineRule="auto"/>
        <w:ind w:firstLine="510"/>
        <w:rPr>
          <w:color w:val="auto"/>
          <w:sz w:val="24"/>
          <w:highlight w:val="none"/>
        </w:rPr>
      </w:pPr>
      <w:r>
        <w:rPr>
          <w:rFonts w:hint="eastAsia"/>
          <w:color w:val="auto"/>
          <w:sz w:val="24"/>
          <w:highlight w:val="none"/>
        </w:rPr>
        <w:t>日期：</w:t>
      </w:r>
      <w:r>
        <w:rPr>
          <w:color w:val="auto"/>
          <w:sz w:val="24"/>
          <w:highlight w:val="none"/>
        </w:rPr>
        <w:t>________年_____月_____日</w:t>
      </w:r>
    </w:p>
    <w:p>
      <w:pPr>
        <w:spacing w:line="360" w:lineRule="auto"/>
        <w:rPr>
          <w:b/>
          <w:bCs/>
          <w:color w:val="auto"/>
          <w:sz w:val="24"/>
          <w:szCs w:val="24"/>
          <w:highlight w:val="none"/>
        </w:rPr>
      </w:pPr>
    </w:p>
    <w:p>
      <w:pPr>
        <w:pStyle w:val="4"/>
        <w:spacing w:line="360" w:lineRule="auto"/>
        <w:rPr>
          <w:color w:val="auto"/>
          <w:sz w:val="28"/>
          <w:szCs w:val="28"/>
          <w:highlight w:val="none"/>
        </w:rPr>
        <w:sectPr>
          <w:headerReference r:id="rId14" w:type="default"/>
          <w:pgSz w:w="11906" w:h="16838"/>
          <w:pgMar w:top="1134" w:right="1274" w:bottom="993" w:left="1276" w:header="454" w:footer="454" w:gutter="0"/>
          <w:cols w:space="720" w:num="1"/>
          <w:docGrid w:linePitch="312" w:charSpace="0"/>
        </w:sectPr>
      </w:pPr>
    </w:p>
    <w:p>
      <w:pPr>
        <w:pStyle w:val="4"/>
        <w:spacing w:line="360" w:lineRule="auto"/>
        <w:rPr>
          <w:color w:val="auto"/>
          <w:sz w:val="28"/>
          <w:szCs w:val="28"/>
          <w:highlight w:val="none"/>
        </w:rPr>
      </w:pPr>
      <w:bookmarkStart w:id="218" w:name="_Toc369353511"/>
      <w:bookmarkEnd w:id="218"/>
      <w:bookmarkStart w:id="219" w:name="_Toc23964"/>
      <w:bookmarkEnd w:id="219"/>
      <w:bookmarkStart w:id="220" w:name="_Toc350515673"/>
      <w:bookmarkEnd w:id="220"/>
      <w:bookmarkStart w:id="221" w:name="_Toc7616"/>
      <w:bookmarkEnd w:id="221"/>
      <w:bookmarkStart w:id="222" w:name="_Toc14964"/>
      <w:bookmarkEnd w:id="222"/>
      <w:bookmarkStart w:id="223" w:name="_Toc350516687"/>
      <w:bookmarkEnd w:id="223"/>
      <w:bookmarkStart w:id="224" w:name="_Toc349914548"/>
      <w:bookmarkEnd w:id="224"/>
      <w:r>
        <w:rPr>
          <w:color w:val="auto"/>
          <w:sz w:val="28"/>
          <w:szCs w:val="28"/>
          <w:highlight w:val="none"/>
        </w:rPr>
        <w:t>2</w:t>
      </w:r>
      <w:r>
        <w:rPr>
          <w:rFonts w:hint="eastAsia"/>
          <w:color w:val="auto"/>
          <w:sz w:val="28"/>
          <w:szCs w:val="28"/>
          <w:highlight w:val="none"/>
        </w:rPr>
        <w:t>、拟投入本项目的人员情况（格式）</w:t>
      </w:r>
    </w:p>
    <w:p>
      <w:pPr>
        <w:spacing w:line="360" w:lineRule="auto"/>
        <w:jc w:val="center"/>
        <w:rPr>
          <w:b/>
          <w:color w:val="auto"/>
          <w:highlight w:val="none"/>
        </w:rPr>
      </w:pPr>
      <w:r>
        <w:rPr>
          <w:rFonts w:hint="eastAsia"/>
          <w:b/>
          <w:color w:val="auto"/>
          <w:sz w:val="28"/>
          <w:szCs w:val="28"/>
          <w:highlight w:val="none"/>
        </w:rPr>
        <w:t>拟投入本项目的人员情况</w:t>
      </w:r>
    </w:p>
    <w:tbl>
      <w:tblPr>
        <w:tblStyle w:val="26"/>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187" w:type="dxa"/>
            <w:vAlign w:val="center"/>
          </w:tcPr>
          <w:p>
            <w:pPr>
              <w:pStyle w:val="13"/>
              <w:spacing w:line="360" w:lineRule="auto"/>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人员姓名</w:t>
            </w:r>
          </w:p>
        </w:tc>
        <w:tc>
          <w:tcPr>
            <w:tcW w:w="3188" w:type="dxa"/>
            <w:vAlign w:val="center"/>
          </w:tcPr>
          <w:p>
            <w:pPr>
              <w:pStyle w:val="13"/>
              <w:spacing w:line="360" w:lineRule="auto"/>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专业工作年限</w:t>
            </w:r>
          </w:p>
        </w:tc>
        <w:tc>
          <w:tcPr>
            <w:tcW w:w="3197" w:type="dxa"/>
            <w:vAlign w:val="center"/>
          </w:tcPr>
          <w:p>
            <w:pPr>
              <w:pStyle w:val="13"/>
              <w:spacing w:line="360" w:lineRule="auto"/>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87" w:type="dxa"/>
            <w:vAlign w:val="center"/>
          </w:tcPr>
          <w:p>
            <w:pPr>
              <w:pStyle w:val="13"/>
              <w:spacing w:line="360" w:lineRule="auto"/>
              <w:rPr>
                <w:rFonts w:ascii="Times New Roman" w:hAnsi="Times New Roman" w:cs="Times New Roman"/>
                <w:color w:val="auto"/>
                <w:sz w:val="28"/>
                <w:szCs w:val="28"/>
                <w:highlight w:val="none"/>
              </w:rPr>
            </w:pPr>
          </w:p>
        </w:tc>
        <w:tc>
          <w:tcPr>
            <w:tcW w:w="3188" w:type="dxa"/>
            <w:vAlign w:val="center"/>
          </w:tcPr>
          <w:p>
            <w:pPr>
              <w:pStyle w:val="13"/>
              <w:spacing w:line="360" w:lineRule="auto"/>
              <w:rPr>
                <w:rFonts w:ascii="Times New Roman" w:hAnsi="Times New Roman" w:cs="Times New Roman"/>
                <w:color w:val="auto"/>
                <w:sz w:val="28"/>
                <w:szCs w:val="28"/>
                <w:highlight w:val="none"/>
              </w:rPr>
            </w:pPr>
          </w:p>
        </w:tc>
        <w:tc>
          <w:tcPr>
            <w:tcW w:w="3197" w:type="dxa"/>
            <w:vAlign w:val="center"/>
          </w:tcPr>
          <w:p>
            <w:pPr>
              <w:pStyle w:val="13"/>
              <w:spacing w:line="360" w:lineRule="auto"/>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87" w:type="dxa"/>
            <w:vAlign w:val="center"/>
          </w:tcPr>
          <w:p>
            <w:pPr>
              <w:pStyle w:val="13"/>
              <w:spacing w:line="360" w:lineRule="auto"/>
              <w:rPr>
                <w:rFonts w:ascii="Times New Roman" w:hAnsi="Times New Roman" w:cs="Times New Roman"/>
                <w:color w:val="auto"/>
                <w:sz w:val="28"/>
                <w:szCs w:val="28"/>
                <w:highlight w:val="none"/>
              </w:rPr>
            </w:pPr>
          </w:p>
        </w:tc>
        <w:tc>
          <w:tcPr>
            <w:tcW w:w="3188" w:type="dxa"/>
            <w:vAlign w:val="center"/>
          </w:tcPr>
          <w:p>
            <w:pPr>
              <w:pStyle w:val="13"/>
              <w:spacing w:line="360" w:lineRule="auto"/>
              <w:rPr>
                <w:rFonts w:ascii="Times New Roman" w:hAnsi="Times New Roman" w:cs="Times New Roman"/>
                <w:color w:val="auto"/>
                <w:sz w:val="28"/>
                <w:szCs w:val="28"/>
                <w:highlight w:val="none"/>
              </w:rPr>
            </w:pPr>
          </w:p>
        </w:tc>
        <w:tc>
          <w:tcPr>
            <w:tcW w:w="3197" w:type="dxa"/>
            <w:vAlign w:val="center"/>
          </w:tcPr>
          <w:p>
            <w:pPr>
              <w:pStyle w:val="13"/>
              <w:spacing w:line="360" w:lineRule="auto"/>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87" w:type="dxa"/>
            <w:vAlign w:val="center"/>
          </w:tcPr>
          <w:p>
            <w:pPr>
              <w:pStyle w:val="13"/>
              <w:spacing w:line="360" w:lineRule="auto"/>
              <w:rPr>
                <w:rFonts w:ascii="Times New Roman" w:hAnsi="Times New Roman" w:cs="Times New Roman"/>
                <w:color w:val="auto"/>
                <w:sz w:val="28"/>
                <w:szCs w:val="28"/>
                <w:highlight w:val="none"/>
              </w:rPr>
            </w:pPr>
          </w:p>
        </w:tc>
        <w:tc>
          <w:tcPr>
            <w:tcW w:w="3188" w:type="dxa"/>
            <w:vAlign w:val="center"/>
          </w:tcPr>
          <w:p>
            <w:pPr>
              <w:pStyle w:val="13"/>
              <w:spacing w:line="360" w:lineRule="auto"/>
              <w:rPr>
                <w:rFonts w:ascii="Times New Roman" w:hAnsi="Times New Roman" w:cs="Times New Roman"/>
                <w:color w:val="auto"/>
                <w:sz w:val="28"/>
                <w:szCs w:val="28"/>
                <w:highlight w:val="none"/>
              </w:rPr>
            </w:pPr>
          </w:p>
        </w:tc>
        <w:tc>
          <w:tcPr>
            <w:tcW w:w="3197" w:type="dxa"/>
            <w:vAlign w:val="center"/>
          </w:tcPr>
          <w:p>
            <w:pPr>
              <w:pStyle w:val="13"/>
              <w:spacing w:line="360" w:lineRule="auto"/>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87" w:type="dxa"/>
            <w:vAlign w:val="center"/>
          </w:tcPr>
          <w:p>
            <w:pPr>
              <w:pStyle w:val="13"/>
              <w:spacing w:line="360" w:lineRule="auto"/>
              <w:rPr>
                <w:rFonts w:ascii="Times New Roman" w:hAnsi="Times New Roman" w:cs="Times New Roman"/>
                <w:color w:val="auto"/>
                <w:sz w:val="28"/>
                <w:szCs w:val="28"/>
                <w:highlight w:val="none"/>
              </w:rPr>
            </w:pPr>
          </w:p>
        </w:tc>
        <w:tc>
          <w:tcPr>
            <w:tcW w:w="3188" w:type="dxa"/>
            <w:vAlign w:val="center"/>
          </w:tcPr>
          <w:p>
            <w:pPr>
              <w:pStyle w:val="13"/>
              <w:spacing w:line="360" w:lineRule="auto"/>
              <w:rPr>
                <w:rFonts w:ascii="Times New Roman" w:hAnsi="Times New Roman" w:cs="Times New Roman"/>
                <w:color w:val="auto"/>
                <w:sz w:val="28"/>
                <w:szCs w:val="28"/>
                <w:highlight w:val="none"/>
              </w:rPr>
            </w:pPr>
          </w:p>
        </w:tc>
        <w:tc>
          <w:tcPr>
            <w:tcW w:w="3197" w:type="dxa"/>
            <w:vAlign w:val="center"/>
          </w:tcPr>
          <w:p>
            <w:pPr>
              <w:pStyle w:val="13"/>
              <w:spacing w:line="360" w:lineRule="auto"/>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87" w:type="dxa"/>
            <w:vAlign w:val="center"/>
          </w:tcPr>
          <w:p>
            <w:pPr>
              <w:pStyle w:val="13"/>
              <w:spacing w:line="360" w:lineRule="auto"/>
              <w:rPr>
                <w:rFonts w:ascii="Times New Roman" w:hAnsi="Times New Roman" w:cs="Times New Roman"/>
                <w:color w:val="auto"/>
                <w:sz w:val="28"/>
                <w:szCs w:val="28"/>
                <w:highlight w:val="none"/>
              </w:rPr>
            </w:pPr>
          </w:p>
        </w:tc>
        <w:tc>
          <w:tcPr>
            <w:tcW w:w="3188" w:type="dxa"/>
            <w:vAlign w:val="center"/>
          </w:tcPr>
          <w:p>
            <w:pPr>
              <w:pStyle w:val="13"/>
              <w:spacing w:line="360" w:lineRule="auto"/>
              <w:rPr>
                <w:rFonts w:ascii="Times New Roman" w:hAnsi="Times New Roman" w:cs="Times New Roman"/>
                <w:color w:val="auto"/>
                <w:sz w:val="28"/>
                <w:szCs w:val="28"/>
                <w:highlight w:val="none"/>
              </w:rPr>
            </w:pPr>
          </w:p>
        </w:tc>
        <w:tc>
          <w:tcPr>
            <w:tcW w:w="3197" w:type="dxa"/>
            <w:vAlign w:val="center"/>
          </w:tcPr>
          <w:p>
            <w:pPr>
              <w:pStyle w:val="13"/>
              <w:spacing w:line="360" w:lineRule="auto"/>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vAlign w:val="center"/>
          </w:tcPr>
          <w:p>
            <w:pPr>
              <w:pStyle w:val="13"/>
              <w:spacing w:line="360" w:lineRule="auto"/>
              <w:rPr>
                <w:rFonts w:ascii="Times New Roman" w:hAnsi="Times New Roman" w:cs="Times New Roman"/>
                <w:color w:val="auto"/>
                <w:sz w:val="28"/>
                <w:szCs w:val="28"/>
                <w:highlight w:val="none"/>
              </w:rPr>
            </w:pPr>
          </w:p>
        </w:tc>
        <w:tc>
          <w:tcPr>
            <w:tcW w:w="3188" w:type="dxa"/>
            <w:vAlign w:val="center"/>
          </w:tcPr>
          <w:p>
            <w:pPr>
              <w:pStyle w:val="13"/>
              <w:spacing w:line="360" w:lineRule="auto"/>
              <w:rPr>
                <w:rFonts w:ascii="Times New Roman" w:hAnsi="Times New Roman" w:cs="Times New Roman"/>
                <w:color w:val="auto"/>
                <w:sz w:val="28"/>
                <w:szCs w:val="28"/>
                <w:highlight w:val="none"/>
              </w:rPr>
            </w:pPr>
          </w:p>
        </w:tc>
        <w:tc>
          <w:tcPr>
            <w:tcW w:w="3197" w:type="dxa"/>
            <w:vAlign w:val="center"/>
          </w:tcPr>
          <w:p>
            <w:pPr>
              <w:pStyle w:val="13"/>
              <w:spacing w:line="360" w:lineRule="auto"/>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87" w:type="dxa"/>
            <w:vAlign w:val="center"/>
          </w:tcPr>
          <w:p>
            <w:pPr>
              <w:pStyle w:val="13"/>
              <w:spacing w:line="360" w:lineRule="auto"/>
              <w:rPr>
                <w:rFonts w:ascii="Times New Roman" w:hAnsi="Times New Roman" w:cs="Times New Roman"/>
                <w:color w:val="auto"/>
                <w:sz w:val="28"/>
                <w:szCs w:val="28"/>
                <w:highlight w:val="none"/>
              </w:rPr>
            </w:pPr>
          </w:p>
        </w:tc>
        <w:tc>
          <w:tcPr>
            <w:tcW w:w="3188" w:type="dxa"/>
            <w:vAlign w:val="center"/>
          </w:tcPr>
          <w:p>
            <w:pPr>
              <w:pStyle w:val="13"/>
              <w:spacing w:line="360" w:lineRule="auto"/>
              <w:rPr>
                <w:rFonts w:ascii="Times New Roman" w:hAnsi="Times New Roman" w:cs="Times New Roman"/>
                <w:color w:val="auto"/>
                <w:sz w:val="28"/>
                <w:szCs w:val="28"/>
                <w:highlight w:val="none"/>
              </w:rPr>
            </w:pPr>
          </w:p>
        </w:tc>
        <w:tc>
          <w:tcPr>
            <w:tcW w:w="3197" w:type="dxa"/>
            <w:vAlign w:val="center"/>
          </w:tcPr>
          <w:p>
            <w:pPr>
              <w:pStyle w:val="13"/>
              <w:spacing w:line="360" w:lineRule="auto"/>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87" w:type="dxa"/>
            <w:vAlign w:val="center"/>
          </w:tcPr>
          <w:p>
            <w:pPr>
              <w:pStyle w:val="13"/>
              <w:spacing w:line="360" w:lineRule="auto"/>
              <w:rPr>
                <w:rFonts w:ascii="Times New Roman" w:hAnsi="Times New Roman" w:cs="Times New Roman"/>
                <w:color w:val="auto"/>
                <w:sz w:val="28"/>
                <w:szCs w:val="28"/>
                <w:highlight w:val="none"/>
              </w:rPr>
            </w:pPr>
          </w:p>
        </w:tc>
        <w:tc>
          <w:tcPr>
            <w:tcW w:w="3188" w:type="dxa"/>
            <w:vAlign w:val="center"/>
          </w:tcPr>
          <w:p>
            <w:pPr>
              <w:pStyle w:val="13"/>
              <w:spacing w:line="360" w:lineRule="auto"/>
              <w:rPr>
                <w:rFonts w:ascii="Times New Roman" w:hAnsi="Times New Roman" w:cs="Times New Roman"/>
                <w:color w:val="auto"/>
                <w:sz w:val="28"/>
                <w:szCs w:val="28"/>
                <w:highlight w:val="none"/>
              </w:rPr>
            </w:pPr>
          </w:p>
        </w:tc>
        <w:tc>
          <w:tcPr>
            <w:tcW w:w="3197" w:type="dxa"/>
            <w:vAlign w:val="center"/>
          </w:tcPr>
          <w:p>
            <w:pPr>
              <w:pStyle w:val="13"/>
              <w:spacing w:line="360" w:lineRule="auto"/>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187" w:type="dxa"/>
            <w:vAlign w:val="center"/>
          </w:tcPr>
          <w:p>
            <w:pPr>
              <w:pStyle w:val="13"/>
              <w:spacing w:line="360" w:lineRule="auto"/>
              <w:rPr>
                <w:rFonts w:ascii="Times New Roman" w:hAnsi="Times New Roman" w:cs="Times New Roman"/>
                <w:color w:val="auto"/>
                <w:sz w:val="28"/>
                <w:szCs w:val="28"/>
                <w:highlight w:val="none"/>
              </w:rPr>
            </w:pPr>
          </w:p>
        </w:tc>
        <w:tc>
          <w:tcPr>
            <w:tcW w:w="3188" w:type="dxa"/>
            <w:vAlign w:val="center"/>
          </w:tcPr>
          <w:p>
            <w:pPr>
              <w:pStyle w:val="13"/>
              <w:spacing w:line="360" w:lineRule="auto"/>
              <w:rPr>
                <w:rFonts w:ascii="Times New Roman" w:hAnsi="Times New Roman" w:cs="Times New Roman"/>
                <w:color w:val="auto"/>
                <w:sz w:val="28"/>
                <w:szCs w:val="28"/>
                <w:highlight w:val="none"/>
              </w:rPr>
            </w:pPr>
          </w:p>
        </w:tc>
        <w:tc>
          <w:tcPr>
            <w:tcW w:w="3197" w:type="dxa"/>
            <w:vAlign w:val="center"/>
          </w:tcPr>
          <w:p>
            <w:pPr>
              <w:pStyle w:val="13"/>
              <w:spacing w:line="360" w:lineRule="auto"/>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87" w:type="dxa"/>
            <w:vAlign w:val="center"/>
          </w:tcPr>
          <w:p>
            <w:pPr>
              <w:pStyle w:val="13"/>
              <w:spacing w:line="360" w:lineRule="auto"/>
              <w:rPr>
                <w:rFonts w:ascii="Times New Roman" w:hAnsi="Times New Roman" w:cs="Times New Roman"/>
                <w:color w:val="auto"/>
                <w:sz w:val="28"/>
                <w:szCs w:val="28"/>
                <w:highlight w:val="none"/>
              </w:rPr>
            </w:pPr>
          </w:p>
        </w:tc>
        <w:tc>
          <w:tcPr>
            <w:tcW w:w="3188" w:type="dxa"/>
            <w:vAlign w:val="center"/>
          </w:tcPr>
          <w:p>
            <w:pPr>
              <w:pStyle w:val="13"/>
              <w:spacing w:line="360" w:lineRule="auto"/>
              <w:rPr>
                <w:rFonts w:ascii="Times New Roman" w:hAnsi="Times New Roman" w:cs="Times New Roman"/>
                <w:color w:val="auto"/>
                <w:sz w:val="28"/>
                <w:szCs w:val="28"/>
                <w:highlight w:val="none"/>
              </w:rPr>
            </w:pPr>
          </w:p>
        </w:tc>
        <w:tc>
          <w:tcPr>
            <w:tcW w:w="3197" w:type="dxa"/>
            <w:vAlign w:val="center"/>
          </w:tcPr>
          <w:p>
            <w:pPr>
              <w:pStyle w:val="13"/>
              <w:spacing w:line="360" w:lineRule="auto"/>
              <w:rPr>
                <w:rFonts w:ascii="Times New Roman" w:hAnsi="Times New Roman" w:cs="Times New Roman"/>
                <w:color w:val="auto"/>
                <w:sz w:val="28"/>
                <w:szCs w:val="28"/>
                <w:highlight w:val="none"/>
              </w:rPr>
            </w:pPr>
          </w:p>
        </w:tc>
      </w:tr>
    </w:tbl>
    <w:p>
      <w:pPr>
        <w:spacing w:before="240" w:after="60" w:line="360" w:lineRule="auto"/>
        <w:rPr>
          <w:color w:val="auto"/>
          <w:sz w:val="24"/>
          <w:highlight w:val="none"/>
        </w:rPr>
      </w:pPr>
      <w:r>
        <w:rPr>
          <w:rFonts w:hint="eastAsia"/>
          <w:color w:val="auto"/>
          <w:sz w:val="24"/>
          <w:highlight w:val="none"/>
        </w:rPr>
        <w:t>注：后附身份证、职称证（或有评审资质单位的评审结果文件）、学历证及投标截止时间前</w:t>
      </w:r>
      <w:r>
        <w:rPr>
          <w:color w:val="auto"/>
          <w:sz w:val="24"/>
          <w:highlight w:val="none"/>
        </w:rPr>
        <w:t>6个月社保证明材料等</w:t>
      </w:r>
      <w:r>
        <w:rPr>
          <w:rFonts w:hint="eastAsia"/>
          <w:color w:val="auto"/>
          <w:sz w:val="24"/>
          <w:highlight w:val="none"/>
        </w:rPr>
        <w:t>。</w:t>
      </w:r>
    </w:p>
    <w:p>
      <w:pPr>
        <w:spacing w:before="240" w:after="60" w:line="360" w:lineRule="auto"/>
        <w:ind w:firstLine="510"/>
        <w:rPr>
          <w:color w:val="auto"/>
          <w:sz w:val="24"/>
          <w:highlight w:val="none"/>
        </w:rPr>
      </w:pPr>
      <w:r>
        <w:rPr>
          <w:rFonts w:hint="eastAsia"/>
          <w:color w:val="auto"/>
          <w:sz w:val="24"/>
          <w:highlight w:val="none"/>
        </w:rPr>
        <w:t>投标人全称（公章）：</w:t>
      </w:r>
      <w:r>
        <w:rPr>
          <w:color w:val="auto"/>
          <w:sz w:val="24"/>
          <w:highlight w:val="none"/>
          <w:u w:val="single"/>
        </w:rPr>
        <w:t xml:space="preserve">                          </w:t>
      </w:r>
    </w:p>
    <w:p>
      <w:pPr>
        <w:spacing w:before="240" w:after="60" w:line="360" w:lineRule="auto"/>
        <w:ind w:firstLine="510"/>
        <w:rPr>
          <w:color w:val="auto"/>
          <w:sz w:val="24"/>
          <w:highlight w:val="none"/>
        </w:rPr>
      </w:pPr>
      <w:r>
        <w:rPr>
          <w:rFonts w:hint="eastAsia"/>
          <w:color w:val="auto"/>
          <w:sz w:val="24"/>
          <w:highlight w:val="none"/>
        </w:rPr>
        <w:t>法定代表人或授权委托人（签字或盖章）：</w:t>
      </w:r>
      <w:r>
        <w:rPr>
          <w:color w:val="auto"/>
          <w:sz w:val="24"/>
          <w:highlight w:val="none"/>
          <w:u w:val="single"/>
        </w:rPr>
        <w:t xml:space="preserve">                </w:t>
      </w:r>
    </w:p>
    <w:p>
      <w:pPr>
        <w:spacing w:line="360" w:lineRule="auto"/>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日期：</w:t>
      </w:r>
      <w:r>
        <w:rPr>
          <w:color w:val="auto"/>
          <w:sz w:val="24"/>
          <w:highlight w:val="none"/>
        </w:rPr>
        <w:t>________年_____月_____日</w:t>
      </w:r>
    </w:p>
    <w:p>
      <w:pPr>
        <w:pStyle w:val="4"/>
        <w:spacing w:line="360" w:lineRule="auto"/>
        <w:rPr>
          <w:color w:val="auto"/>
          <w:sz w:val="28"/>
          <w:szCs w:val="28"/>
          <w:highlight w:val="none"/>
        </w:rPr>
      </w:pPr>
      <w:bookmarkStart w:id="225" w:name="_Toc21806"/>
      <w:bookmarkEnd w:id="225"/>
      <w:bookmarkStart w:id="226" w:name="_Toc32458"/>
      <w:bookmarkEnd w:id="226"/>
      <w:r>
        <w:rPr>
          <w:color w:val="auto"/>
          <w:sz w:val="24"/>
          <w:highlight w:val="none"/>
        </w:rPr>
        <w:br w:type="page"/>
      </w:r>
      <w:r>
        <w:rPr>
          <w:color w:val="auto"/>
          <w:sz w:val="28"/>
          <w:szCs w:val="28"/>
          <w:highlight w:val="none"/>
        </w:rPr>
        <w:t>3</w:t>
      </w:r>
      <w:r>
        <w:rPr>
          <w:rFonts w:hint="eastAsia"/>
          <w:color w:val="auto"/>
          <w:sz w:val="28"/>
          <w:szCs w:val="28"/>
          <w:highlight w:val="none"/>
        </w:rPr>
        <w:t>、</w:t>
      </w:r>
      <w:r>
        <w:rPr>
          <w:color w:val="auto"/>
          <w:sz w:val="28"/>
          <w:szCs w:val="28"/>
          <w:highlight w:val="none"/>
        </w:rPr>
        <w:t>2021</w:t>
      </w:r>
      <w:r>
        <w:rPr>
          <w:rFonts w:hint="eastAsia"/>
          <w:color w:val="auto"/>
          <w:sz w:val="28"/>
          <w:szCs w:val="28"/>
          <w:highlight w:val="none"/>
        </w:rPr>
        <w:t>年</w:t>
      </w:r>
      <w:r>
        <w:rPr>
          <w:color w:val="auto"/>
          <w:sz w:val="28"/>
          <w:szCs w:val="28"/>
          <w:highlight w:val="none"/>
        </w:rPr>
        <w:t>1月1日至今类似</w:t>
      </w:r>
      <w:r>
        <w:rPr>
          <w:rFonts w:hint="eastAsia"/>
          <w:color w:val="auto"/>
          <w:sz w:val="28"/>
          <w:szCs w:val="28"/>
          <w:highlight w:val="none"/>
        </w:rPr>
        <w:t>服务业绩（如有）</w:t>
      </w:r>
    </w:p>
    <w:p>
      <w:pPr>
        <w:spacing w:line="360" w:lineRule="auto"/>
        <w:rPr>
          <w:b/>
          <w:color w:val="auto"/>
          <w:sz w:val="24"/>
          <w:szCs w:val="24"/>
          <w:highlight w:val="none"/>
        </w:rPr>
      </w:pPr>
      <w:r>
        <w:rPr>
          <w:rFonts w:hint="eastAsia"/>
          <w:b/>
          <w:color w:val="auto"/>
          <w:sz w:val="24"/>
          <w:highlight w:val="none"/>
        </w:rPr>
        <w:t>注：</w:t>
      </w:r>
      <w:r>
        <w:rPr>
          <w:b/>
          <w:color w:val="auto"/>
          <w:sz w:val="24"/>
          <w:highlight w:val="none"/>
        </w:rPr>
        <w:t>1）类似</w:t>
      </w:r>
      <w:r>
        <w:rPr>
          <w:rFonts w:hint="eastAsia"/>
          <w:b/>
          <w:color w:val="auto"/>
          <w:sz w:val="24"/>
          <w:highlight w:val="none"/>
        </w:rPr>
        <w:t>服务业绩要求投标人附</w:t>
      </w:r>
      <w:r>
        <w:rPr>
          <w:b/>
          <w:color w:val="auto"/>
          <w:sz w:val="24"/>
          <w:highlight w:val="none"/>
        </w:rPr>
        <w:t>2021</w:t>
      </w:r>
      <w:r>
        <w:rPr>
          <w:rFonts w:hint="eastAsia"/>
          <w:b/>
          <w:color w:val="auto"/>
          <w:sz w:val="24"/>
          <w:highlight w:val="none"/>
        </w:rPr>
        <w:t>年</w:t>
      </w:r>
      <w:r>
        <w:rPr>
          <w:b/>
          <w:color w:val="auto"/>
          <w:sz w:val="24"/>
          <w:highlight w:val="none"/>
        </w:rPr>
        <w:t>1月1日至今已完成或正在履行的类似</w:t>
      </w:r>
      <w:r>
        <w:rPr>
          <w:rFonts w:hint="eastAsia"/>
          <w:b/>
          <w:color w:val="auto"/>
          <w:sz w:val="24"/>
          <w:highlight w:val="none"/>
        </w:rPr>
        <w:t>服务合同扫描件（以合同或协议签订日期为准），类似服务合同</w:t>
      </w:r>
      <w:r>
        <w:rPr>
          <w:rFonts w:hint="eastAsia"/>
          <w:b/>
          <w:color w:val="auto"/>
          <w:sz w:val="24"/>
          <w:szCs w:val="24"/>
          <w:highlight w:val="none"/>
        </w:rPr>
        <w:t>扫描件须加盖公章。</w:t>
      </w:r>
    </w:p>
    <w:p>
      <w:pPr>
        <w:spacing w:line="360" w:lineRule="auto"/>
        <w:rPr>
          <w:color w:val="auto"/>
          <w:sz w:val="28"/>
          <w:szCs w:val="28"/>
          <w:highlight w:val="none"/>
        </w:rPr>
      </w:pPr>
      <w:r>
        <w:rPr>
          <w:b/>
          <w:color w:val="auto"/>
          <w:sz w:val="24"/>
          <w:highlight w:val="none"/>
        </w:rPr>
        <w:t>2）投标人</w:t>
      </w:r>
      <w:r>
        <w:rPr>
          <w:rFonts w:hint="eastAsia"/>
          <w:b/>
          <w:color w:val="auto"/>
          <w:sz w:val="24"/>
          <w:szCs w:val="24"/>
          <w:highlight w:val="none"/>
        </w:rPr>
        <w:t>所提供的业绩证明材料是否具有类似性由评标委员会判定。</w:t>
      </w:r>
    </w:p>
    <w:p>
      <w:pPr>
        <w:rPr>
          <w:color w:val="auto"/>
          <w:highlight w:val="none"/>
        </w:rPr>
      </w:pPr>
      <w:r>
        <w:rPr>
          <w:color w:val="auto"/>
          <w:highlight w:val="none"/>
        </w:rPr>
        <w:br w:type="page"/>
      </w:r>
    </w:p>
    <w:p>
      <w:pPr>
        <w:pStyle w:val="4"/>
        <w:spacing w:line="360" w:lineRule="auto"/>
        <w:jc w:val="center"/>
        <w:rPr>
          <w:color w:val="auto"/>
          <w:sz w:val="28"/>
          <w:szCs w:val="28"/>
          <w:highlight w:val="none"/>
        </w:rPr>
      </w:pPr>
      <w:bookmarkStart w:id="227" w:name="_Toc2"/>
      <w:bookmarkEnd w:id="227"/>
      <w:r>
        <w:rPr>
          <w:rFonts w:hint="eastAsia"/>
          <w:bCs w:val="0"/>
          <w:color w:val="auto"/>
          <w:highlight w:val="none"/>
        </w:rPr>
        <w:t>第五部分</w:t>
      </w:r>
      <w:r>
        <w:rPr>
          <w:bCs w:val="0"/>
          <w:color w:val="auto"/>
          <w:highlight w:val="none"/>
        </w:rPr>
        <w:t xml:space="preserve"> </w:t>
      </w:r>
      <w:r>
        <w:rPr>
          <w:rFonts w:hint="eastAsia"/>
          <w:bCs w:val="0"/>
          <w:color w:val="auto"/>
          <w:highlight w:val="none"/>
        </w:rPr>
        <w:t>其他资料</w:t>
      </w:r>
    </w:p>
    <w:p>
      <w:pPr>
        <w:pStyle w:val="4"/>
        <w:spacing w:line="360" w:lineRule="auto"/>
        <w:rPr>
          <w:color w:val="auto"/>
          <w:sz w:val="28"/>
          <w:szCs w:val="28"/>
          <w:highlight w:val="none"/>
        </w:rPr>
      </w:pPr>
      <w:bookmarkStart w:id="228" w:name="_Toc349914552"/>
      <w:bookmarkEnd w:id="228"/>
      <w:bookmarkStart w:id="229" w:name="_Toc330342824"/>
      <w:bookmarkEnd w:id="229"/>
      <w:bookmarkStart w:id="230" w:name="_Toc26376"/>
      <w:bookmarkEnd w:id="230"/>
      <w:bookmarkStart w:id="231" w:name="_Toc369353515"/>
      <w:bookmarkEnd w:id="231"/>
      <w:bookmarkStart w:id="232" w:name="_Toc350515677"/>
      <w:bookmarkEnd w:id="232"/>
      <w:bookmarkStart w:id="233" w:name="_Toc563"/>
      <w:bookmarkEnd w:id="233"/>
      <w:bookmarkStart w:id="234" w:name="_Toc330342573"/>
      <w:bookmarkEnd w:id="234"/>
      <w:bookmarkStart w:id="235" w:name="_Toc344397394"/>
      <w:bookmarkEnd w:id="235"/>
      <w:bookmarkStart w:id="236" w:name="_Toc16436"/>
      <w:bookmarkEnd w:id="236"/>
      <w:bookmarkStart w:id="237" w:name="_Toc343510627"/>
      <w:bookmarkEnd w:id="237"/>
      <w:bookmarkStart w:id="238" w:name="_Toc20287"/>
      <w:bookmarkEnd w:id="238"/>
      <w:bookmarkStart w:id="239" w:name="_Toc21061"/>
      <w:bookmarkEnd w:id="239"/>
      <w:bookmarkStart w:id="240" w:name="_Toc350516691"/>
      <w:bookmarkEnd w:id="240"/>
      <w:bookmarkStart w:id="241" w:name="_Toc344394228"/>
      <w:bookmarkEnd w:id="241"/>
      <w:bookmarkStart w:id="242" w:name="_Toc349568752"/>
      <w:bookmarkEnd w:id="242"/>
      <w:r>
        <w:rPr>
          <w:color w:val="auto"/>
          <w:sz w:val="28"/>
          <w:szCs w:val="28"/>
          <w:highlight w:val="none"/>
        </w:rPr>
        <w:t>1、承诺书</w:t>
      </w:r>
      <w:r>
        <w:rPr>
          <w:rFonts w:hint="eastAsia"/>
          <w:bCs w:val="0"/>
          <w:color w:val="auto"/>
          <w:sz w:val="28"/>
          <w:szCs w:val="28"/>
          <w:highlight w:val="none"/>
        </w:rPr>
        <w:t>（格式）</w:t>
      </w:r>
    </w:p>
    <w:p>
      <w:pPr>
        <w:autoSpaceDE w:val="0"/>
        <w:autoSpaceDN w:val="0"/>
        <w:adjustRightInd w:val="0"/>
        <w:spacing w:after="240" w:line="360" w:lineRule="auto"/>
        <w:jc w:val="left"/>
        <w:rPr>
          <w:b/>
          <w:bCs/>
          <w:color w:val="auto"/>
          <w:kern w:val="0"/>
          <w:sz w:val="28"/>
          <w:szCs w:val="28"/>
          <w:highlight w:val="none"/>
          <w:lang w:val="zh-CN"/>
        </w:rPr>
      </w:pPr>
      <w:r>
        <w:rPr>
          <w:rFonts w:hint="eastAsia"/>
          <w:b/>
          <w:bCs/>
          <w:color w:val="auto"/>
          <w:kern w:val="0"/>
          <w:sz w:val="24"/>
          <w:highlight w:val="none"/>
          <w:lang w:val="zh-CN"/>
        </w:rPr>
        <w:t>致：</w:t>
      </w:r>
      <w:r>
        <w:rPr>
          <w:rFonts w:hint="eastAsia"/>
          <w:b/>
          <w:color w:val="auto"/>
          <w:kern w:val="0"/>
          <w:sz w:val="24"/>
          <w:highlight w:val="none"/>
          <w:lang w:val="zh-CN"/>
        </w:rPr>
        <w:t>营口市自然资源局</w:t>
      </w:r>
    </w:p>
    <w:p>
      <w:pPr>
        <w:autoSpaceDE w:val="0"/>
        <w:autoSpaceDN w:val="0"/>
        <w:adjustRightInd w:val="0"/>
        <w:spacing w:line="360" w:lineRule="auto"/>
        <w:ind w:firstLine="576"/>
        <w:jc w:val="left"/>
        <w:rPr>
          <w:color w:val="auto"/>
          <w:kern w:val="0"/>
          <w:sz w:val="24"/>
          <w:highlight w:val="none"/>
          <w:lang w:val="zh-CN"/>
        </w:rPr>
      </w:pPr>
      <w:r>
        <w:rPr>
          <w:rFonts w:hint="eastAsia"/>
          <w:color w:val="auto"/>
          <w:kern w:val="0"/>
          <w:sz w:val="24"/>
          <w:highlight w:val="none"/>
          <w:lang w:val="zh-CN"/>
        </w:rPr>
        <w:t>为满足“</w:t>
      </w:r>
      <w:r>
        <w:rPr>
          <w:rFonts w:hint="eastAsia"/>
          <w:color w:val="auto"/>
          <w:sz w:val="24"/>
          <w:highlight w:val="none"/>
          <w:lang w:eastAsia="zh-CN"/>
        </w:rPr>
        <w:t>辽宁省营口市海洋生态保护修复工程项目生态修复效果与减灾功能评估</w:t>
      </w:r>
      <w:r>
        <w:rPr>
          <w:rFonts w:hint="eastAsia"/>
          <w:color w:val="auto"/>
          <w:kern w:val="0"/>
          <w:sz w:val="24"/>
          <w:highlight w:val="none"/>
          <w:lang w:val="zh-CN"/>
        </w:rPr>
        <w:t>”资格审查的要求，我方</w:t>
      </w:r>
      <w:r>
        <w:rPr>
          <w:b/>
          <w:bCs/>
          <w:color w:val="auto"/>
          <w:kern w:val="0"/>
          <w:sz w:val="24"/>
          <w:highlight w:val="none"/>
          <w:u w:val="single"/>
          <w:lang w:val="zh-CN"/>
        </w:rPr>
        <w:t>(投标人全称)</w:t>
      </w:r>
      <w:r>
        <w:rPr>
          <w:rFonts w:hint="eastAsia"/>
          <w:color w:val="auto"/>
          <w:kern w:val="0"/>
          <w:sz w:val="24"/>
          <w:highlight w:val="none"/>
          <w:lang w:val="zh-CN"/>
        </w:rPr>
        <w:t>在此承诺所提供的申请材料均为真实的，我方理解你们将不受必须接受我方的约束。</w:t>
      </w:r>
    </w:p>
    <w:p>
      <w:pPr>
        <w:autoSpaceDE w:val="0"/>
        <w:autoSpaceDN w:val="0"/>
        <w:adjustRightInd w:val="0"/>
        <w:spacing w:line="360" w:lineRule="auto"/>
        <w:rPr>
          <w:color w:val="auto"/>
          <w:sz w:val="28"/>
          <w:szCs w:val="28"/>
          <w:highlight w:val="none"/>
          <w:lang w:val="zh-CN"/>
        </w:rPr>
      </w:pPr>
    </w:p>
    <w:p>
      <w:pPr>
        <w:autoSpaceDE w:val="0"/>
        <w:autoSpaceDN w:val="0"/>
        <w:adjustRightInd w:val="0"/>
        <w:spacing w:line="360" w:lineRule="auto"/>
        <w:ind w:firstLine="3799"/>
        <w:jc w:val="left"/>
        <w:rPr>
          <w:color w:val="auto"/>
          <w:kern w:val="0"/>
          <w:sz w:val="28"/>
          <w:szCs w:val="28"/>
          <w:highlight w:val="none"/>
          <w:lang w:val="zh-CN"/>
        </w:rPr>
      </w:pPr>
    </w:p>
    <w:p>
      <w:pPr>
        <w:autoSpaceDE w:val="0"/>
        <w:autoSpaceDN w:val="0"/>
        <w:adjustRightInd w:val="0"/>
        <w:spacing w:line="360" w:lineRule="auto"/>
        <w:ind w:firstLine="3799"/>
        <w:jc w:val="left"/>
        <w:rPr>
          <w:color w:val="auto"/>
          <w:kern w:val="0"/>
          <w:sz w:val="28"/>
          <w:szCs w:val="28"/>
          <w:highlight w:val="none"/>
          <w:lang w:val="zh-CN"/>
        </w:rPr>
      </w:pPr>
    </w:p>
    <w:p>
      <w:pPr>
        <w:autoSpaceDE w:val="0"/>
        <w:autoSpaceDN w:val="0"/>
        <w:adjustRightInd w:val="0"/>
        <w:spacing w:line="360" w:lineRule="auto"/>
        <w:ind w:firstLine="3799"/>
        <w:jc w:val="left"/>
        <w:rPr>
          <w:color w:val="auto"/>
          <w:kern w:val="0"/>
          <w:sz w:val="28"/>
          <w:szCs w:val="28"/>
          <w:highlight w:val="none"/>
          <w:lang w:val="zh-CN"/>
        </w:rPr>
      </w:pPr>
    </w:p>
    <w:p>
      <w:pPr>
        <w:autoSpaceDE w:val="0"/>
        <w:autoSpaceDN w:val="0"/>
        <w:adjustRightInd w:val="0"/>
        <w:spacing w:line="360" w:lineRule="auto"/>
        <w:ind w:firstLine="3799"/>
        <w:jc w:val="left"/>
        <w:rPr>
          <w:color w:val="auto"/>
          <w:kern w:val="0"/>
          <w:sz w:val="28"/>
          <w:szCs w:val="28"/>
          <w:highlight w:val="none"/>
          <w:lang w:val="zh-CN"/>
        </w:rPr>
      </w:pPr>
    </w:p>
    <w:p>
      <w:pPr>
        <w:autoSpaceDE w:val="0"/>
        <w:autoSpaceDN w:val="0"/>
        <w:adjustRightInd w:val="0"/>
        <w:spacing w:line="360" w:lineRule="auto"/>
        <w:ind w:firstLine="3799"/>
        <w:jc w:val="left"/>
        <w:rPr>
          <w:color w:val="auto"/>
          <w:kern w:val="0"/>
          <w:sz w:val="28"/>
          <w:szCs w:val="28"/>
          <w:highlight w:val="none"/>
          <w:lang w:val="zh-CN"/>
        </w:rPr>
      </w:pPr>
    </w:p>
    <w:p>
      <w:pPr>
        <w:autoSpaceDE w:val="0"/>
        <w:autoSpaceDN w:val="0"/>
        <w:adjustRightInd w:val="0"/>
        <w:spacing w:line="360" w:lineRule="auto"/>
        <w:ind w:firstLine="3799"/>
        <w:jc w:val="left"/>
        <w:rPr>
          <w:color w:val="auto"/>
          <w:kern w:val="0"/>
          <w:sz w:val="28"/>
          <w:szCs w:val="28"/>
          <w:highlight w:val="none"/>
          <w:lang w:val="zh-CN"/>
        </w:rPr>
      </w:pPr>
    </w:p>
    <w:p>
      <w:pPr>
        <w:autoSpaceDE w:val="0"/>
        <w:autoSpaceDN w:val="0"/>
        <w:adjustRightInd w:val="0"/>
        <w:spacing w:line="360" w:lineRule="auto"/>
        <w:ind w:firstLine="3799"/>
        <w:jc w:val="left"/>
        <w:rPr>
          <w:color w:val="auto"/>
          <w:kern w:val="0"/>
          <w:sz w:val="28"/>
          <w:szCs w:val="28"/>
          <w:highlight w:val="none"/>
          <w:lang w:val="zh-CN"/>
        </w:rPr>
      </w:pPr>
    </w:p>
    <w:p>
      <w:pPr>
        <w:autoSpaceDE w:val="0"/>
        <w:autoSpaceDN w:val="0"/>
        <w:adjustRightInd w:val="0"/>
        <w:spacing w:line="360" w:lineRule="auto"/>
        <w:ind w:firstLine="2640" w:firstLineChars="1100"/>
        <w:jc w:val="left"/>
        <w:rPr>
          <w:color w:val="auto"/>
          <w:kern w:val="0"/>
          <w:sz w:val="24"/>
          <w:highlight w:val="none"/>
          <w:u w:val="single"/>
          <w:lang w:val="zh-CN"/>
        </w:rPr>
      </w:pPr>
      <w:r>
        <w:rPr>
          <w:rFonts w:hint="eastAsia"/>
          <w:color w:val="auto"/>
          <w:kern w:val="0"/>
          <w:sz w:val="24"/>
          <w:highlight w:val="none"/>
          <w:lang w:val="zh-CN"/>
        </w:rPr>
        <w:t>投标人</w:t>
      </w:r>
      <w:r>
        <w:rPr>
          <w:color w:val="auto"/>
          <w:kern w:val="0"/>
          <w:sz w:val="24"/>
          <w:highlight w:val="none"/>
          <w:lang w:val="zh-CN"/>
        </w:rPr>
        <w:t>(盖公章)：</w:t>
      </w:r>
      <w:r>
        <w:rPr>
          <w:color w:val="auto"/>
          <w:kern w:val="0"/>
          <w:sz w:val="24"/>
          <w:highlight w:val="none"/>
          <w:u w:val="single"/>
          <w:lang w:val="zh-CN"/>
        </w:rPr>
        <w:t xml:space="preserve">                                   </w:t>
      </w:r>
    </w:p>
    <w:p>
      <w:pPr>
        <w:autoSpaceDE w:val="0"/>
        <w:autoSpaceDN w:val="0"/>
        <w:adjustRightInd w:val="0"/>
        <w:spacing w:line="360" w:lineRule="auto"/>
        <w:ind w:firstLine="3271"/>
        <w:jc w:val="left"/>
        <w:rPr>
          <w:color w:val="auto"/>
          <w:kern w:val="0"/>
          <w:sz w:val="24"/>
          <w:highlight w:val="none"/>
          <w:u w:val="single"/>
          <w:lang w:val="zh-CN"/>
        </w:rPr>
      </w:pPr>
    </w:p>
    <w:p>
      <w:pPr>
        <w:autoSpaceDE w:val="0"/>
        <w:autoSpaceDN w:val="0"/>
        <w:adjustRightInd w:val="0"/>
        <w:spacing w:line="360" w:lineRule="auto"/>
        <w:ind w:firstLine="2640" w:firstLineChars="1100"/>
        <w:jc w:val="left"/>
        <w:rPr>
          <w:color w:val="auto"/>
          <w:kern w:val="0"/>
          <w:sz w:val="24"/>
          <w:highlight w:val="none"/>
          <w:u w:val="single"/>
          <w:lang w:val="zh-CN"/>
        </w:rPr>
      </w:pPr>
      <w:r>
        <w:rPr>
          <w:rFonts w:hint="eastAsia"/>
          <w:color w:val="auto"/>
          <w:kern w:val="0"/>
          <w:sz w:val="24"/>
          <w:highlight w:val="none"/>
          <w:lang w:val="zh-CN"/>
        </w:rPr>
        <w:t>法定代表人或授权委托人</w:t>
      </w:r>
      <w:r>
        <w:rPr>
          <w:color w:val="auto"/>
          <w:kern w:val="0"/>
          <w:sz w:val="24"/>
          <w:highlight w:val="none"/>
          <w:lang w:val="zh-CN"/>
        </w:rPr>
        <w:t>(签字或盖章)：</w:t>
      </w:r>
      <w:r>
        <w:rPr>
          <w:color w:val="auto"/>
          <w:kern w:val="0"/>
          <w:sz w:val="24"/>
          <w:highlight w:val="none"/>
          <w:u w:val="single"/>
          <w:lang w:val="zh-CN"/>
        </w:rPr>
        <w:t xml:space="preserve">                         </w:t>
      </w:r>
    </w:p>
    <w:p>
      <w:pPr>
        <w:autoSpaceDE w:val="0"/>
        <w:autoSpaceDN w:val="0"/>
        <w:adjustRightInd w:val="0"/>
        <w:spacing w:line="360" w:lineRule="auto"/>
        <w:ind w:firstLine="2640" w:firstLineChars="1100"/>
        <w:jc w:val="left"/>
        <w:rPr>
          <w:color w:val="auto"/>
          <w:kern w:val="0"/>
          <w:sz w:val="24"/>
          <w:highlight w:val="none"/>
          <w:lang w:val="zh-CN"/>
        </w:rPr>
      </w:pPr>
    </w:p>
    <w:p>
      <w:pPr>
        <w:jc w:val="right"/>
        <w:rPr>
          <w:color w:val="auto"/>
          <w:kern w:val="0"/>
          <w:highlight w:val="none"/>
          <w:lang w:val="zh-CN"/>
        </w:rPr>
      </w:pPr>
      <w:r>
        <w:rPr>
          <w:rFonts w:hint="eastAsia"/>
          <w:color w:val="auto"/>
          <w:sz w:val="24"/>
          <w:highlight w:val="none"/>
        </w:rPr>
        <w:t>日期：</w:t>
      </w:r>
      <w:r>
        <w:rPr>
          <w:color w:val="auto"/>
          <w:sz w:val="24"/>
          <w:highlight w:val="none"/>
        </w:rPr>
        <w:t>________年_____月_____日</w:t>
      </w:r>
    </w:p>
    <w:p>
      <w:pPr>
        <w:rPr>
          <w:color w:val="auto"/>
          <w:kern w:val="0"/>
          <w:sz w:val="24"/>
          <w:highlight w:val="none"/>
          <w:lang w:val="zh-CN"/>
        </w:rPr>
      </w:pPr>
      <w:r>
        <w:rPr>
          <w:color w:val="auto"/>
          <w:kern w:val="0"/>
          <w:sz w:val="24"/>
          <w:highlight w:val="none"/>
          <w:lang w:val="zh-CN"/>
        </w:rPr>
        <w:br w:type="page"/>
      </w:r>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86"/>
    <w:p>
      <w:pPr>
        <w:pStyle w:val="4"/>
        <w:spacing w:line="360" w:lineRule="auto"/>
        <w:rPr>
          <w:color w:val="auto"/>
          <w:sz w:val="28"/>
          <w:szCs w:val="28"/>
          <w:highlight w:val="none"/>
        </w:rPr>
      </w:pPr>
      <w:bookmarkStart w:id="243" w:name="_Toc26756"/>
      <w:bookmarkEnd w:id="243"/>
      <w:r>
        <w:rPr>
          <w:color w:val="auto"/>
          <w:sz w:val="28"/>
          <w:szCs w:val="28"/>
          <w:highlight w:val="none"/>
        </w:rPr>
        <w:t>2</w:t>
      </w:r>
      <w:r>
        <w:rPr>
          <w:rFonts w:hint="eastAsia"/>
          <w:color w:val="auto"/>
          <w:sz w:val="28"/>
          <w:szCs w:val="28"/>
          <w:highlight w:val="none"/>
        </w:rPr>
        <w:t>、待解决的诉讼</w:t>
      </w:r>
      <w:r>
        <w:rPr>
          <w:rFonts w:hint="eastAsia"/>
          <w:bCs w:val="0"/>
          <w:color w:val="auto"/>
          <w:sz w:val="28"/>
          <w:szCs w:val="28"/>
          <w:highlight w:val="none"/>
        </w:rPr>
        <w:t>（格式）</w:t>
      </w:r>
    </w:p>
    <w:tbl>
      <w:tblPr>
        <w:tblStyle w:val="26"/>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6"/>
        <w:gridCol w:w="220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828" w:type="dxa"/>
            <w:gridSpan w:val="4"/>
            <w:vAlign w:val="center"/>
          </w:tcPr>
          <w:p>
            <w:pPr>
              <w:spacing w:line="360" w:lineRule="auto"/>
              <w:jc w:val="center"/>
              <w:rPr>
                <w:color w:val="auto"/>
                <w:sz w:val="28"/>
                <w:szCs w:val="28"/>
                <w:highlight w:val="none"/>
              </w:rPr>
            </w:pPr>
            <w:r>
              <w:rPr>
                <w:rFonts w:hint="eastAsia"/>
                <w:color w:val="auto"/>
                <w:sz w:val="28"/>
                <w:szCs w:val="28"/>
                <w:highlight w:val="none"/>
              </w:rPr>
              <w:t>待解决的诉讼</w:t>
            </w:r>
            <w:r>
              <w:rPr>
                <w:color w:val="auto"/>
                <w:sz w:val="28"/>
                <w:szCs w:val="28"/>
                <w:highlight w:val="none"/>
              </w:rPr>
              <w:t xml:space="preserve">   </w:t>
            </w:r>
            <w:r>
              <w:rPr>
                <w:rFonts w:hint="eastAsia"/>
                <w:color w:val="auto"/>
                <w:sz w:val="28"/>
                <w:szCs w:val="28"/>
                <w:highlight w:val="none"/>
              </w:rPr>
              <w:t>□有</w:t>
            </w:r>
            <w:r>
              <w:rPr>
                <w:color w:val="auto"/>
                <w:sz w:val="28"/>
                <w:szCs w:val="28"/>
                <w:highlight w:val="none"/>
              </w:rPr>
              <w:t xml:space="preserve">   </w:t>
            </w:r>
            <w:r>
              <w:rPr>
                <w:rFonts w:hint="eastAsia"/>
                <w:color w:val="auto"/>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205" w:type="dxa"/>
            <w:vAlign w:val="center"/>
          </w:tcPr>
          <w:p>
            <w:pPr>
              <w:spacing w:line="360" w:lineRule="auto"/>
              <w:jc w:val="center"/>
              <w:rPr>
                <w:color w:val="auto"/>
                <w:kern w:val="0"/>
                <w:sz w:val="24"/>
                <w:highlight w:val="none"/>
              </w:rPr>
            </w:pPr>
            <w:r>
              <w:rPr>
                <w:rFonts w:hint="eastAsia"/>
                <w:color w:val="auto"/>
                <w:kern w:val="0"/>
                <w:sz w:val="24"/>
                <w:highlight w:val="none"/>
              </w:rPr>
              <w:t>年份</w:t>
            </w:r>
          </w:p>
        </w:tc>
        <w:tc>
          <w:tcPr>
            <w:tcW w:w="2206" w:type="dxa"/>
            <w:vAlign w:val="center"/>
          </w:tcPr>
          <w:p>
            <w:pPr>
              <w:spacing w:line="360" w:lineRule="auto"/>
              <w:jc w:val="center"/>
              <w:rPr>
                <w:color w:val="auto"/>
                <w:kern w:val="0"/>
                <w:sz w:val="24"/>
                <w:highlight w:val="none"/>
              </w:rPr>
            </w:pPr>
            <w:r>
              <w:rPr>
                <w:rFonts w:hint="eastAsia"/>
                <w:color w:val="auto"/>
                <w:kern w:val="0"/>
                <w:sz w:val="24"/>
                <w:highlight w:val="none"/>
              </w:rPr>
              <w:t>争议事项</w:t>
            </w:r>
          </w:p>
        </w:tc>
        <w:tc>
          <w:tcPr>
            <w:tcW w:w="2206" w:type="dxa"/>
            <w:vAlign w:val="center"/>
          </w:tcPr>
          <w:p>
            <w:pPr>
              <w:spacing w:line="360" w:lineRule="auto"/>
              <w:jc w:val="center"/>
              <w:rPr>
                <w:color w:val="auto"/>
                <w:kern w:val="0"/>
                <w:sz w:val="24"/>
                <w:highlight w:val="none"/>
              </w:rPr>
            </w:pPr>
            <w:r>
              <w:rPr>
                <w:rFonts w:hint="eastAsia"/>
                <w:color w:val="auto"/>
                <w:kern w:val="0"/>
                <w:sz w:val="24"/>
                <w:highlight w:val="none"/>
              </w:rPr>
              <w:t>未决所赔金额</w:t>
            </w:r>
          </w:p>
        </w:tc>
        <w:tc>
          <w:tcPr>
            <w:tcW w:w="2211" w:type="dxa"/>
            <w:vAlign w:val="center"/>
          </w:tcPr>
          <w:p>
            <w:pPr>
              <w:spacing w:line="360" w:lineRule="auto"/>
              <w:jc w:val="center"/>
              <w:rPr>
                <w:color w:val="auto"/>
                <w:kern w:val="0"/>
                <w:sz w:val="24"/>
                <w:highlight w:val="none"/>
              </w:rPr>
            </w:pPr>
            <w:r>
              <w:rPr>
                <w:rFonts w:hint="eastAsia"/>
                <w:color w:val="auto"/>
                <w:kern w:val="0"/>
                <w:sz w:val="24"/>
                <w:highlight w:val="none"/>
              </w:rPr>
              <w:t>未决所赔金额占资产的比例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color w:val="auto"/>
                <w:kern w:val="0"/>
                <w:sz w:val="24"/>
                <w:highlight w:val="none"/>
              </w:rPr>
            </w:pPr>
          </w:p>
        </w:tc>
        <w:tc>
          <w:tcPr>
            <w:tcW w:w="2206" w:type="dxa"/>
          </w:tcPr>
          <w:p>
            <w:pPr>
              <w:spacing w:line="360" w:lineRule="auto"/>
              <w:rPr>
                <w:color w:val="auto"/>
                <w:kern w:val="0"/>
                <w:sz w:val="24"/>
                <w:highlight w:val="none"/>
              </w:rPr>
            </w:pPr>
          </w:p>
        </w:tc>
        <w:tc>
          <w:tcPr>
            <w:tcW w:w="2206" w:type="dxa"/>
          </w:tcPr>
          <w:p>
            <w:pPr>
              <w:spacing w:line="360" w:lineRule="auto"/>
              <w:rPr>
                <w:color w:val="auto"/>
                <w:kern w:val="0"/>
                <w:sz w:val="24"/>
                <w:highlight w:val="none"/>
              </w:rPr>
            </w:pPr>
          </w:p>
        </w:tc>
        <w:tc>
          <w:tcPr>
            <w:tcW w:w="2211" w:type="dxa"/>
          </w:tcPr>
          <w:p>
            <w:pPr>
              <w:spacing w:line="360" w:lineRule="auto"/>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color w:val="auto"/>
                <w:kern w:val="0"/>
                <w:sz w:val="24"/>
                <w:highlight w:val="none"/>
              </w:rPr>
            </w:pPr>
          </w:p>
        </w:tc>
        <w:tc>
          <w:tcPr>
            <w:tcW w:w="2206" w:type="dxa"/>
          </w:tcPr>
          <w:p>
            <w:pPr>
              <w:spacing w:line="360" w:lineRule="auto"/>
              <w:rPr>
                <w:color w:val="auto"/>
                <w:kern w:val="0"/>
                <w:sz w:val="24"/>
                <w:highlight w:val="none"/>
              </w:rPr>
            </w:pPr>
          </w:p>
        </w:tc>
        <w:tc>
          <w:tcPr>
            <w:tcW w:w="2206" w:type="dxa"/>
          </w:tcPr>
          <w:p>
            <w:pPr>
              <w:spacing w:line="360" w:lineRule="auto"/>
              <w:rPr>
                <w:color w:val="auto"/>
                <w:kern w:val="0"/>
                <w:sz w:val="24"/>
                <w:highlight w:val="none"/>
              </w:rPr>
            </w:pPr>
          </w:p>
        </w:tc>
        <w:tc>
          <w:tcPr>
            <w:tcW w:w="2211" w:type="dxa"/>
          </w:tcPr>
          <w:p>
            <w:pPr>
              <w:spacing w:line="360" w:lineRule="auto"/>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color w:val="auto"/>
                <w:kern w:val="0"/>
                <w:sz w:val="24"/>
                <w:highlight w:val="none"/>
              </w:rPr>
            </w:pPr>
          </w:p>
        </w:tc>
        <w:tc>
          <w:tcPr>
            <w:tcW w:w="2206" w:type="dxa"/>
          </w:tcPr>
          <w:p>
            <w:pPr>
              <w:spacing w:line="360" w:lineRule="auto"/>
              <w:rPr>
                <w:color w:val="auto"/>
                <w:kern w:val="0"/>
                <w:sz w:val="24"/>
                <w:highlight w:val="none"/>
              </w:rPr>
            </w:pPr>
          </w:p>
        </w:tc>
        <w:tc>
          <w:tcPr>
            <w:tcW w:w="2206" w:type="dxa"/>
          </w:tcPr>
          <w:p>
            <w:pPr>
              <w:spacing w:line="360" w:lineRule="auto"/>
              <w:rPr>
                <w:color w:val="auto"/>
                <w:kern w:val="0"/>
                <w:sz w:val="24"/>
                <w:highlight w:val="none"/>
              </w:rPr>
            </w:pPr>
          </w:p>
        </w:tc>
        <w:tc>
          <w:tcPr>
            <w:tcW w:w="2211" w:type="dxa"/>
          </w:tcPr>
          <w:p>
            <w:pPr>
              <w:spacing w:line="360" w:lineRule="auto"/>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828" w:type="dxa"/>
            <w:gridSpan w:val="4"/>
            <w:vAlign w:val="center"/>
          </w:tcPr>
          <w:p>
            <w:pPr>
              <w:spacing w:line="360" w:lineRule="auto"/>
              <w:jc w:val="center"/>
              <w:rPr>
                <w:color w:val="auto"/>
                <w:kern w:val="0"/>
                <w:sz w:val="24"/>
                <w:highlight w:val="none"/>
              </w:rPr>
            </w:pPr>
            <w:r>
              <w:rPr>
                <w:rFonts w:hint="eastAsia"/>
                <w:color w:val="auto"/>
                <w:kern w:val="0"/>
                <w:sz w:val="24"/>
                <w:highlight w:val="none"/>
              </w:rPr>
              <w:t>不良记录</w:t>
            </w:r>
            <w:r>
              <w:rPr>
                <w:color w:val="auto"/>
                <w:kern w:val="0"/>
                <w:sz w:val="24"/>
                <w:highlight w:val="none"/>
              </w:rPr>
              <w:t xml:space="preserve">       </w:t>
            </w:r>
            <w:r>
              <w:rPr>
                <w:rFonts w:hint="eastAsia"/>
                <w:color w:val="auto"/>
                <w:kern w:val="0"/>
                <w:sz w:val="24"/>
                <w:highlight w:val="none"/>
              </w:rPr>
              <w:t>□有</w:t>
            </w:r>
            <w:r>
              <w:rPr>
                <w:color w:val="auto"/>
                <w:kern w:val="0"/>
                <w:sz w:val="24"/>
                <w:highlight w:val="none"/>
              </w:rPr>
              <w:t xml:space="preserve">   </w:t>
            </w:r>
            <w:r>
              <w:rPr>
                <w:rFonts w:hint="eastAsia"/>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center"/>
          </w:tcPr>
          <w:p>
            <w:pPr>
              <w:spacing w:line="360" w:lineRule="auto"/>
              <w:jc w:val="center"/>
              <w:rPr>
                <w:color w:val="auto"/>
                <w:kern w:val="0"/>
                <w:sz w:val="24"/>
                <w:highlight w:val="none"/>
              </w:rPr>
            </w:pPr>
            <w:r>
              <w:rPr>
                <w:rFonts w:hint="eastAsia"/>
                <w:color w:val="auto"/>
                <w:kern w:val="0"/>
                <w:sz w:val="24"/>
                <w:highlight w:val="none"/>
              </w:rPr>
              <w:t>时间</w:t>
            </w:r>
          </w:p>
        </w:tc>
        <w:tc>
          <w:tcPr>
            <w:tcW w:w="4412" w:type="dxa"/>
            <w:gridSpan w:val="2"/>
            <w:vAlign w:val="center"/>
          </w:tcPr>
          <w:p>
            <w:pPr>
              <w:spacing w:line="360" w:lineRule="auto"/>
              <w:jc w:val="center"/>
              <w:rPr>
                <w:color w:val="auto"/>
                <w:kern w:val="0"/>
                <w:sz w:val="24"/>
                <w:highlight w:val="none"/>
              </w:rPr>
            </w:pPr>
            <w:r>
              <w:rPr>
                <w:rFonts w:hint="eastAsia"/>
                <w:color w:val="auto"/>
                <w:kern w:val="0"/>
                <w:sz w:val="24"/>
                <w:highlight w:val="none"/>
              </w:rPr>
              <w:t>不良记录情况说明</w:t>
            </w:r>
          </w:p>
        </w:tc>
        <w:tc>
          <w:tcPr>
            <w:tcW w:w="2211" w:type="dxa"/>
            <w:vAlign w:val="center"/>
          </w:tcPr>
          <w:p>
            <w:pPr>
              <w:spacing w:line="360" w:lineRule="auto"/>
              <w:jc w:val="center"/>
              <w:rPr>
                <w:color w:val="auto"/>
                <w:kern w:val="0"/>
                <w:sz w:val="24"/>
                <w:highlight w:val="none"/>
              </w:rPr>
            </w:pPr>
            <w:r>
              <w:rPr>
                <w:rFonts w:hint="eastAsia"/>
                <w:color w:val="auto"/>
                <w:kern w:val="0"/>
                <w:sz w:val="24"/>
                <w:highlight w:val="none"/>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color w:val="auto"/>
                <w:kern w:val="0"/>
                <w:sz w:val="24"/>
                <w:highlight w:val="none"/>
              </w:rPr>
            </w:pPr>
          </w:p>
        </w:tc>
        <w:tc>
          <w:tcPr>
            <w:tcW w:w="4412" w:type="dxa"/>
            <w:gridSpan w:val="2"/>
          </w:tcPr>
          <w:p>
            <w:pPr>
              <w:spacing w:line="360" w:lineRule="auto"/>
              <w:rPr>
                <w:color w:val="auto"/>
                <w:kern w:val="0"/>
                <w:sz w:val="24"/>
                <w:highlight w:val="none"/>
              </w:rPr>
            </w:pPr>
          </w:p>
        </w:tc>
        <w:tc>
          <w:tcPr>
            <w:tcW w:w="2211" w:type="dxa"/>
          </w:tcPr>
          <w:p>
            <w:pPr>
              <w:spacing w:line="360" w:lineRule="auto"/>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color w:val="auto"/>
                <w:kern w:val="0"/>
                <w:sz w:val="24"/>
                <w:highlight w:val="none"/>
              </w:rPr>
            </w:pPr>
          </w:p>
        </w:tc>
        <w:tc>
          <w:tcPr>
            <w:tcW w:w="4412" w:type="dxa"/>
            <w:gridSpan w:val="2"/>
          </w:tcPr>
          <w:p>
            <w:pPr>
              <w:spacing w:line="360" w:lineRule="auto"/>
              <w:rPr>
                <w:color w:val="auto"/>
                <w:kern w:val="0"/>
                <w:sz w:val="24"/>
                <w:highlight w:val="none"/>
              </w:rPr>
            </w:pPr>
          </w:p>
        </w:tc>
        <w:tc>
          <w:tcPr>
            <w:tcW w:w="2211" w:type="dxa"/>
          </w:tcPr>
          <w:p>
            <w:pPr>
              <w:spacing w:line="360" w:lineRule="auto"/>
              <w:rPr>
                <w:color w:val="auto"/>
                <w:kern w:val="0"/>
                <w:sz w:val="24"/>
                <w:highlight w:val="none"/>
              </w:rPr>
            </w:pPr>
          </w:p>
        </w:tc>
      </w:tr>
    </w:tbl>
    <w:p>
      <w:pPr>
        <w:spacing w:line="360" w:lineRule="auto"/>
        <w:rPr>
          <w:color w:val="auto"/>
          <w:highlight w:val="none"/>
        </w:rPr>
      </w:pPr>
    </w:p>
    <w:p>
      <w:pPr>
        <w:spacing w:line="360" w:lineRule="auto"/>
        <w:ind w:firstLine="120" w:firstLineChars="50"/>
        <w:rPr>
          <w:color w:val="auto"/>
          <w:kern w:val="0"/>
          <w:sz w:val="24"/>
          <w:highlight w:val="none"/>
        </w:rPr>
      </w:pPr>
      <w:r>
        <w:rPr>
          <w:rFonts w:hint="eastAsia"/>
          <w:color w:val="auto"/>
          <w:kern w:val="0"/>
          <w:sz w:val="24"/>
          <w:highlight w:val="none"/>
        </w:rPr>
        <w:t>注：</w:t>
      </w:r>
      <w:r>
        <w:rPr>
          <w:color w:val="auto"/>
          <w:kern w:val="0"/>
          <w:sz w:val="24"/>
          <w:highlight w:val="none"/>
        </w:rPr>
        <w:t>1、近年为2021</w:t>
      </w:r>
      <w:r>
        <w:rPr>
          <w:rFonts w:hint="eastAsia"/>
          <w:color w:val="auto"/>
          <w:kern w:val="0"/>
          <w:sz w:val="24"/>
          <w:highlight w:val="none"/>
        </w:rPr>
        <w:t>年</w:t>
      </w:r>
      <w:r>
        <w:rPr>
          <w:color w:val="auto"/>
          <w:kern w:val="0"/>
          <w:sz w:val="24"/>
          <w:highlight w:val="none"/>
        </w:rPr>
        <w:t>1月1日至今。</w:t>
      </w:r>
    </w:p>
    <w:p>
      <w:pPr>
        <w:spacing w:line="360" w:lineRule="auto"/>
        <w:ind w:firstLine="600" w:firstLineChars="250"/>
        <w:rPr>
          <w:color w:val="auto"/>
          <w:kern w:val="0"/>
          <w:sz w:val="24"/>
          <w:highlight w:val="none"/>
        </w:rPr>
      </w:pPr>
      <w:r>
        <w:rPr>
          <w:color w:val="auto"/>
          <w:kern w:val="0"/>
          <w:sz w:val="24"/>
          <w:highlight w:val="none"/>
        </w:rPr>
        <w:t>2、如有诉讼附法院判决书等证明材料。</w:t>
      </w:r>
    </w:p>
    <w:p>
      <w:pPr>
        <w:spacing w:line="360" w:lineRule="auto"/>
        <w:rPr>
          <w:color w:val="auto"/>
          <w:kern w:val="0"/>
          <w:sz w:val="24"/>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ind w:left="3118" w:leftChars="1485"/>
        <w:rPr>
          <w:color w:val="auto"/>
          <w:sz w:val="24"/>
          <w:highlight w:val="none"/>
        </w:rPr>
      </w:pPr>
      <w:r>
        <w:rPr>
          <w:rFonts w:hint="eastAsia"/>
          <w:color w:val="auto"/>
          <w:sz w:val="24"/>
          <w:highlight w:val="none"/>
        </w:rPr>
        <w:t>投标人名称：</w:t>
      </w:r>
      <w:r>
        <w:rPr>
          <w:color w:val="auto"/>
          <w:sz w:val="24"/>
          <w:highlight w:val="none"/>
        </w:rPr>
        <w:t xml:space="preserve"> </w:t>
      </w:r>
      <w:r>
        <w:rPr>
          <w:color w:val="auto"/>
          <w:sz w:val="24"/>
          <w:highlight w:val="none"/>
          <w:u w:val="single"/>
        </w:rPr>
        <w:t xml:space="preserve">                          （盖公章）</w:t>
      </w:r>
    </w:p>
    <w:p>
      <w:pPr>
        <w:spacing w:line="360" w:lineRule="auto"/>
        <w:ind w:left="3118" w:leftChars="1485"/>
        <w:rPr>
          <w:color w:val="auto"/>
          <w:sz w:val="24"/>
          <w:highlight w:val="none"/>
        </w:rPr>
      </w:pPr>
    </w:p>
    <w:p>
      <w:pPr>
        <w:spacing w:line="360" w:lineRule="auto"/>
        <w:ind w:left="3118" w:leftChars="1485"/>
        <w:rPr>
          <w:color w:val="auto"/>
          <w:sz w:val="24"/>
          <w:highlight w:val="none"/>
          <w:u w:val="single"/>
        </w:rPr>
      </w:pPr>
      <w:r>
        <w:rPr>
          <w:rFonts w:hint="eastAsia"/>
          <w:color w:val="auto"/>
          <w:sz w:val="24"/>
          <w:highlight w:val="none"/>
        </w:rPr>
        <w:t>法定代表人或授权委托人：（签字或盖章）</w:t>
      </w:r>
      <w:r>
        <w:rPr>
          <w:color w:val="auto"/>
          <w:sz w:val="24"/>
          <w:highlight w:val="none"/>
        </w:rPr>
        <w:t>:</w:t>
      </w:r>
      <w:r>
        <w:rPr>
          <w:color w:val="auto"/>
          <w:sz w:val="24"/>
          <w:highlight w:val="none"/>
          <w:u w:val="single"/>
        </w:rPr>
        <w:t xml:space="preserve">                        </w:t>
      </w:r>
    </w:p>
    <w:p>
      <w:pPr>
        <w:spacing w:line="360" w:lineRule="auto"/>
        <w:ind w:left="3118" w:leftChars="1485"/>
        <w:rPr>
          <w:color w:val="auto"/>
          <w:sz w:val="24"/>
          <w:highlight w:val="none"/>
          <w:u w:val="single"/>
        </w:rPr>
      </w:pPr>
    </w:p>
    <w:p>
      <w:pPr>
        <w:spacing w:line="360" w:lineRule="auto"/>
        <w:ind w:left="3118" w:leftChars="1485"/>
        <w:rPr>
          <w:color w:val="auto"/>
          <w:sz w:val="24"/>
          <w:highlight w:val="none"/>
        </w:rPr>
      </w:pPr>
      <w:r>
        <w:rPr>
          <w:rFonts w:hint="eastAsia"/>
          <w:color w:val="auto"/>
          <w:sz w:val="24"/>
          <w:highlight w:val="none"/>
        </w:rPr>
        <w:t>日</w:t>
      </w:r>
      <w:r>
        <w:rPr>
          <w:color w:val="auto"/>
          <w:sz w:val="24"/>
          <w:highlight w:val="none"/>
        </w:rPr>
        <w:t xml:space="preserve">         </w:t>
      </w:r>
      <w:r>
        <w:rPr>
          <w:rFonts w:hint="eastAsia"/>
          <w:color w:val="auto"/>
          <w:sz w:val="24"/>
          <w:highlight w:val="none"/>
        </w:rPr>
        <w:t>期：</w:t>
      </w:r>
      <w:r>
        <w:rPr>
          <w:color w:val="auto"/>
          <w:sz w:val="24"/>
          <w:highlight w:val="none"/>
          <w:u w:val="single"/>
        </w:rPr>
        <w:t xml:space="preserve">                                    </w:t>
      </w:r>
    </w:p>
    <w:p>
      <w:pPr>
        <w:pStyle w:val="4"/>
        <w:spacing w:line="360" w:lineRule="auto"/>
        <w:rPr>
          <w:color w:val="auto"/>
          <w:sz w:val="28"/>
          <w:szCs w:val="28"/>
          <w:highlight w:val="none"/>
        </w:rPr>
      </w:pPr>
      <w:bookmarkStart w:id="244" w:name="_Toc431929819"/>
      <w:bookmarkEnd w:id="244"/>
      <w:bookmarkStart w:id="245" w:name="_Toc29714"/>
      <w:bookmarkEnd w:id="245"/>
      <w:bookmarkStart w:id="246" w:name="_Toc25145"/>
      <w:bookmarkEnd w:id="246"/>
      <w:r>
        <w:rPr>
          <w:b w:val="0"/>
          <w:bCs w:val="0"/>
          <w:color w:val="auto"/>
          <w:sz w:val="30"/>
          <w:highlight w:val="none"/>
        </w:rPr>
        <w:br w:type="page"/>
      </w:r>
      <w:r>
        <w:rPr>
          <w:color w:val="auto"/>
          <w:sz w:val="28"/>
          <w:szCs w:val="28"/>
          <w:highlight w:val="none"/>
        </w:rPr>
        <w:t>3</w:t>
      </w:r>
      <w:r>
        <w:rPr>
          <w:rFonts w:hint="eastAsia"/>
          <w:color w:val="auto"/>
          <w:sz w:val="28"/>
          <w:szCs w:val="28"/>
          <w:highlight w:val="none"/>
        </w:rPr>
        <w:t>、投标人未处于被责令停业，财产被接管、冻结破产状态承诺书（格式）</w:t>
      </w:r>
    </w:p>
    <w:p>
      <w:pPr>
        <w:pStyle w:val="23"/>
        <w:spacing w:line="360" w:lineRule="auto"/>
        <w:rPr>
          <w:color w:val="auto"/>
          <w:kern w:val="0"/>
          <w:highlight w:val="none"/>
          <w:shd w:val="clear" w:color="auto" w:fill="FFFFFF"/>
        </w:rPr>
      </w:pPr>
      <w:r>
        <w:rPr>
          <w:rFonts w:hint="eastAsia"/>
          <w:color w:val="auto"/>
          <w:highlight w:val="none"/>
          <w:shd w:val="clear" w:color="auto" w:fill="FFFFFF"/>
        </w:rPr>
        <w:t>我单位郑重承诺：</w:t>
      </w:r>
    </w:p>
    <w:p>
      <w:pPr>
        <w:pStyle w:val="23"/>
        <w:spacing w:line="360" w:lineRule="auto"/>
        <w:ind w:firstLine="600" w:firstLineChars="250"/>
        <w:rPr>
          <w:color w:val="auto"/>
          <w:highlight w:val="none"/>
          <w:shd w:val="clear" w:color="auto" w:fill="FFFFFF"/>
        </w:rPr>
      </w:pPr>
      <w:r>
        <w:rPr>
          <w:color w:val="auto"/>
          <w:highlight w:val="none"/>
          <w:shd w:val="clear" w:color="auto" w:fill="FFFFFF"/>
        </w:rPr>
        <w:t xml:space="preserve">1、 </w:t>
      </w:r>
      <w:r>
        <w:rPr>
          <w:rFonts w:hint="eastAsia"/>
          <w:color w:val="auto"/>
          <w:highlight w:val="none"/>
          <w:shd w:val="clear" w:color="auto" w:fill="FFFFFF"/>
        </w:rPr>
        <w:t>目前我单位处于正常生产经营状态。</w:t>
      </w:r>
    </w:p>
    <w:p>
      <w:pPr>
        <w:pStyle w:val="23"/>
        <w:spacing w:line="360" w:lineRule="auto"/>
        <w:ind w:firstLine="600" w:firstLineChars="250"/>
        <w:rPr>
          <w:color w:val="auto"/>
          <w:highlight w:val="none"/>
          <w:shd w:val="clear" w:color="auto" w:fill="FFFFFF"/>
        </w:rPr>
      </w:pPr>
      <w:r>
        <w:rPr>
          <w:color w:val="auto"/>
          <w:highlight w:val="none"/>
          <w:shd w:val="clear" w:color="auto" w:fill="FFFFFF"/>
        </w:rPr>
        <w:t xml:space="preserve">2、 </w:t>
      </w:r>
      <w:r>
        <w:rPr>
          <w:rFonts w:hint="eastAsia"/>
          <w:color w:val="auto"/>
          <w:highlight w:val="none"/>
          <w:shd w:val="clear" w:color="auto" w:fill="FFFFFF"/>
        </w:rPr>
        <w:t>我公司没有处于责令停业状态。</w:t>
      </w:r>
    </w:p>
    <w:p>
      <w:pPr>
        <w:pStyle w:val="23"/>
        <w:spacing w:line="360" w:lineRule="auto"/>
        <w:ind w:firstLine="600" w:firstLineChars="250"/>
        <w:rPr>
          <w:color w:val="auto"/>
          <w:highlight w:val="none"/>
          <w:shd w:val="clear" w:color="auto" w:fill="FFFFFF"/>
        </w:rPr>
      </w:pPr>
      <w:r>
        <w:rPr>
          <w:color w:val="auto"/>
          <w:highlight w:val="none"/>
          <w:shd w:val="clear" w:color="auto" w:fill="FFFFFF"/>
        </w:rPr>
        <w:t xml:space="preserve">3、 </w:t>
      </w:r>
      <w:r>
        <w:rPr>
          <w:rFonts w:hint="eastAsia"/>
          <w:color w:val="auto"/>
          <w:highlight w:val="none"/>
          <w:shd w:val="clear" w:color="auto" w:fill="FFFFFF"/>
        </w:rPr>
        <w:t>我公司投标资格未被取消。</w:t>
      </w:r>
    </w:p>
    <w:p>
      <w:pPr>
        <w:pStyle w:val="23"/>
        <w:spacing w:line="360" w:lineRule="auto"/>
        <w:ind w:firstLine="600" w:firstLineChars="250"/>
        <w:rPr>
          <w:color w:val="auto"/>
          <w:highlight w:val="none"/>
          <w:shd w:val="clear" w:color="auto" w:fill="FFFFFF"/>
        </w:rPr>
      </w:pPr>
      <w:r>
        <w:rPr>
          <w:color w:val="auto"/>
          <w:highlight w:val="none"/>
          <w:shd w:val="clear" w:color="auto" w:fill="FFFFFF"/>
        </w:rPr>
        <w:t xml:space="preserve">4、 </w:t>
      </w:r>
      <w:r>
        <w:rPr>
          <w:rFonts w:hint="eastAsia"/>
          <w:color w:val="auto"/>
          <w:highlight w:val="none"/>
          <w:shd w:val="clear" w:color="auto" w:fill="FFFFFF"/>
        </w:rPr>
        <w:t>我公司目前没有处于财产被接管、冻结，破产状态。</w:t>
      </w:r>
    </w:p>
    <w:p>
      <w:pPr>
        <w:pStyle w:val="23"/>
        <w:spacing w:line="360" w:lineRule="auto"/>
        <w:ind w:firstLine="600" w:firstLineChars="250"/>
        <w:rPr>
          <w:color w:val="auto"/>
          <w:highlight w:val="none"/>
          <w:shd w:val="clear" w:color="auto" w:fill="FFFFFF"/>
        </w:rPr>
      </w:pPr>
      <w:r>
        <w:rPr>
          <w:color w:val="auto"/>
          <w:highlight w:val="none"/>
          <w:shd w:val="clear" w:color="auto" w:fill="FFFFFF"/>
        </w:rPr>
        <w:t xml:space="preserve">5、 </w:t>
      </w:r>
      <w:r>
        <w:rPr>
          <w:rFonts w:hint="eastAsia"/>
          <w:color w:val="auto"/>
          <w:highlight w:val="none"/>
          <w:shd w:val="clear" w:color="auto" w:fill="FFFFFF"/>
        </w:rPr>
        <w:t>……</w:t>
      </w:r>
    </w:p>
    <w:p>
      <w:pPr>
        <w:spacing w:line="360" w:lineRule="auto"/>
        <w:ind w:firstLine="120" w:firstLineChars="50"/>
        <w:rPr>
          <w:color w:val="auto"/>
          <w:sz w:val="24"/>
          <w:highlight w:val="none"/>
        </w:rPr>
      </w:pPr>
    </w:p>
    <w:p>
      <w:pPr>
        <w:spacing w:line="360" w:lineRule="auto"/>
        <w:ind w:firstLine="120" w:firstLineChars="50"/>
        <w:rPr>
          <w:color w:val="auto"/>
          <w:sz w:val="24"/>
          <w:highlight w:val="none"/>
        </w:rPr>
      </w:pPr>
      <w:r>
        <w:rPr>
          <w:rFonts w:hint="eastAsia"/>
          <w:color w:val="auto"/>
          <w:sz w:val="24"/>
          <w:highlight w:val="none"/>
        </w:rPr>
        <w:t>投标人：</w:t>
      </w:r>
      <w:r>
        <w:rPr>
          <w:color w:val="auto"/>
          <w:sz w:val="24"/>
          <w:highlight w:val="none"/>
          <w:u w:val="single"/>
        </w:rPr>
        <w:t xml:space="preserve">                                        </w:t>
      </w:r>
      <w:r>
        <w:rPr>
          <w:rFonts w:hint="eastAsia"/>
          <w:color w:val="auto"/>
          <w:sz w:val="24"/>
          <w:highlight w:val="none"/>
        </w:rPr>
        <w:t>（盖公章）</w:t>
      </w:r>
    </w:p>
    <w:p>
      <w:pPr>
        <w:spacing w:line="360" w:lineRule="auto"/>
        <w:ind w:firstLine="120" w:firstLineChars="50"/>
        <w:rPr>
          <w:color w:val="auto"/>
          <w:sz w:val="24"/>
          <w:highlight w:val="none"/>
        </w:rPr>
      </w:pPr>
      <w:r>
        <w:rPr>
          <w:rFonts w:hint="eastAsia"/>
          <w:color w:val="auto"/>
          <w:sz w:val="24"/>
          <w:highlight w:val="none"/>
        </w:rPr>
        <w:t>法定代表人或授权委托代理人：</w:t>
      </w:r>
      <w:r>
        <w:rPr>
          <w:color w:val="auto"/>
          <w:sz w:val="24"/>
          <w:highlight w:val="none"/>
          <w:u w:val="single"/>
        </w:rPr>
        <w:t xml:space="preserve">                     </w:t>
      </w:r>
      <w:r>
        <w:rPr>
          <w:rFonts w:hint="eastAsia"/>
          <w:color w:val="auto"/>
          <w:sz w:val="24"/>
          <w:highlight w:val="none"/>
        </w:rPr>
        <w:t>（签字或盖章）</w:t>
      </w:r>
    </w:p>
    <w:p>
      <w:pPr>
        <w:pStyle w:val="23"/>
        <w:spacing w:line="360" w:lineRule="auto"/>
        <w:ind w:firstLine="120" w:firstLineChars="50"/>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p>
      <w:pPr>
        <w:pStyle w:val="13"/>
        <w:spacing w:line="360" w:lineRule="auto"/>
        <w:rPr>
          <w:rFonts w:ascii="Times New Roman" w:hAnsi="Times New Roman" w:cs="Times New Roman"/>
          <w:b/>
          <w:color w:val="auto"/>
          <w:sz w:val="24"/>
          <w:highlight w:val="none"/>
        </w:rPr>
      </w:pPr>
    </w:p>
    <w:p>
      <w:pPr>
        <w:pStyle w:val="13"/>
        <w:spacing w:line="360" w:lineRule="auto"/>
        <w:rPr>
          <w:rFonts w:ascii="Times New Roman" w:hAnsi="Times New Roman" w:cs="Times New Roman"/>
          <w:b/>
          <w:color w:val="auto"/>
          <w:sz w:val="24"/>
          <w:highlight w:val="none"/>
        </w:rPr>
      </w:pPr>
    </w:p>
    <w:p>
      <w:pPr>
        <w:pStyle w:val="13"/>
        <w:spacing w:line="360" w:lineRule="auto"/>
        <w:rPr>
          <w:rFonts w:ascii="Times New Roman" w:hAnsi="Times New Roman" w:cs="Times New Roman"/>
          <w:b/>
          <w:color w:val="auto"/>
          <w:sz w:val="24"/>
          <w:highlight w:val="none"/>
        </w:rPr>
      </w:pPr>
    </w:p>
    <w:p>
      <w:pPr>
        <w:pStyle w:val="13"/>
        <w:spacing w:line="360" w:lineRule="auto"/>
        <w:rPr>
          <w:rFonts w:ascii="Times New Roman" w:hAnsi="Times New Roman" w:cs="Times New Roman"/>
          <w:b/>
          <w:color w:val="auto"/>
          <w:sz w:val="24"/>
          <w:highlight w:val="none"/>
        </w:rPr>
      </w:pPr>
    </w:p>
    <w:p>
      <w:pPr>
        <w:spacing w:line="360" w:lineRule="auto"/>
        <w:rPr>
          <w:color w:val="auto"/>
          <w:sz w:val="24"/>
          <w:highlight w:val="none"/>
        </w:rPr>
        <w:sectPr>
          <w:headerReference r:id="rId15" w:type="default"/>
          <w:pgSz w:w="11906" w:h="16838"/>
          <w:pgMar w:top="1134" w:right="1134" w:bottom="993" w:left="1134" w:header="454" w:footer="454" w:gutter="0"/>
          <w:cols w:space="720" w:num="1"/>
          <w:docGrid w:linePitch="312" w:charSpace="0"/>
        </w:sectPr>
      </w:pPr>
    </w:p>
    <w:p>
      <w:pPr>
        <w:pStyle w:val="4"/>
        <w:rPr>
          <w:color w:val="auto"/>
          <w:highlight w:val="none"/>
        </w:rPr>
      </w:pPr>
      <w:bookmarkStart w:id="247" w:name="_Toc18014"/>
      <w:bookmarkEnd w:id="247"/>
      <w:r>
        <w:rPr>
          <w:color w:val="auto"/>
          <w:highlight w:val="none"/>
        </w:rPr>
        <w:t>4、投标人认为所需要的其他材料</w:t>
      </w:r>
    </w:p>
    <w:p>
      <w:pPr>
        <w:rPr>
          <w:color w:val="auto"/>
          <w:sz w:val="28"/>
          <w:szCs w:val="28"/>
          <w:highlight w:val="none"/>
        </w:rPr>
      </w:pPr>
      <w:r>
        <w:rPr>
          <w:color w:val="auto"/>
          <w:sz w:val="28"/>
          <w:szCs w:val="28"/>
          <w:highlight w:val="none"/>
        </w:rPr>
        <w:br w:type="page"/>
      </w:r>
    </w:p>
    <w:p>
      <w:pPr>
        <w:spacing w:line="360" w:lineRule="auto"/>
        <w:ind w:firstLine="435"/>
        <w:rPr>
          <w:color w:val="auto"/>
          <w:sz w:val="28"/>
          <w:szCs w:val="28"/>
          <w:highlight w:val="none"/>
        </w:rPr>
      </w:pPr>
    </w:p>
    <w:p>
      <w:pPr>
        <w:spacing w:line="360" w:lineRule="auto"/>
        <w:ind w:firstLine="435"/>
        <w:rPr>
          <w:color w:val="auto"/>
          <w:sz w:val="28"/>
          <w:szCs w:val="28"/>
          <w:highlight w:val="none"/>
        </w:rPr>
      </w:pPr>
    </w:p>
    <w:p>
      <w:pPr>
        <w:spacing w:line="360" w:lineRule="auto"/>
        <w:ind w:firstLine="435"/>
        <w:rPr>
          <w:color w:val="auto"/>
          <w:sz w:val="28"/>
          <w:szCs w:val="28"/>
          <w:highlight w:val="none"/>
        </w:rPr>
      </w:pPr>
    </w:p>
    <w:p>
      <w:pPr>
        <w:spacing w:line="360" w:lineRule="auto"/>
        <w:ind w:firstLine="435"/>
        <w:rPr>
          <w:color w:val="auto"/>
          <w:sz w:val="28"/>
          <w:szCs w:val="28"/>
          <w:highlight w:val="none"/>
        </w:rPr>
      </w:pPr>
    </w:p>
    <w:p>
      <w:pPr>
        <w:spacing w:line="360" w:lineRule="auto"/>
        <w:ind w:firstLine="435"/>
        <w:rPr>
          <w:color w:val="auto"/>
          <w:sz w:val="28"/>
          <w:szCs w:val="28"/>
          <w:highlight w:val="none"/>
        </w:rPr>
      </w:pPr>
    </w:p>
    <w:p>
      <w:pPr>
        <w:spacing w:line="360" w:lineRule="auto"/>
        <w:ind w:firstLine="435"/>
        <w:rPr>
          <w:color w:val="auto"/>
          <w:sz w:val="28"/>
          <w:szCs w:val="28"/>
          <w:highlight w:val="none"/>
        </w:rPr>
      </w:pPr>
    </w:p>
    <w:p>
      <w:pPr>
        <w:spacing w:line="360" w:lineRule="auto"/>
        <w:ind w:firstLine="435"/>
        <w:rPr>
          <w:color w:val="auto"/>
          <w:sz w:val="28"/>
          <w:szCs w:val="28"/>
          <w:highlight w:val="none"/>
        </w:rPr>
      </w:pPr>
    </w:p>
    <w:p>
      <w:pPr>
        <w:pStyle w:val="2"/>
        <w:numPr>
          <w:ilvl w:val="0"/>
          <w:numId w:val="2"/>
        </w:numPr>
        <w:spacing w:line="360" w:lineRule="auto"/>
        <w:jc w:val="center"/>
        <w:rPr>
          <w:color w:val="auto"/>
          <w:w w:val="90"/>
          <w:highlight w:val="none"/>
        </w:rPr>
      </w:pPr>
      <w:bookmarkStart w:id="248" w:name="_Toc24960"/>
      <w:bookmarkEnd w:id="248"/>
      <w:bookmarkStart w:id="249" w:name="_Toc343510644"/>
      <w:bookmarkEnd w:id="249"/>
      <w:bookmarkStart w:id="250" w:name="_Toc350515694"/>
      <w:bookmarkEnd w:id="250"/>
      <w:bookmarkStart w:id="251" w:name="_Toc10566"/>
      <w:bookmarkEnd w:id="251"/>
      <w:bookmarkStart w:id="252" w:name="_Toc344394245"/>
      <w:bookmarkEnd w:id="252"/>
      <w:bookmarkStart w:id="253" w:name="_Toc349568769"/>
      <w:bookmarkEnd w:id="253"/>
      <w:r>
        <w:rPr>
          <w:color w:val="auto"/>
          <w:w w:val="90"/>
          <w:highlight w:val="none"/>
        </w:rPr>
        <w:t xml:space="preserve">  评标办法</w:t>
      </w:r>
    </w:p>
    <w:p>
      <w:pPr>
        <w:widowControl/>
        <w:tabs>
          <w:tab w:val="left" w:pos="2280"/>
        </w:tabs>
        <w:spacing w:line="360" w:lineRule="auto"/>
        <w:jc w:val="center"/>
        <w:rPr>
          <w:b/>
          <w:color w:val="auto"/>
          <w:sz w:val="32"/>
          <w:szCs w:val="24"/>
          <w:highlight w:val="none"/>
        </w:rPr>
      </w:pPr>
      <w:r>
        <w:rPr>
          <w:color w:val="auto"/>
          <w:highlight w:val="none"/>
        </w:rPr>
        <w:br w:type="page"/>
      </w:r>
      <w:r>
        <w:rPr>
          <w:rFonts w:hint="eastAsia"/>
          <w:b/>
          <w:color w:val="auto"/>
          <w:sz w:val="32"/>
          <w:szCs w:val="24"/>
          <w:highlight w:val="none"/>
        </w:rPr>
        <w:t>第一部分</w:t>
      </w:r>
      <w:r>
        <w:rPr>
          <w:b/>
          <w:color w:val="auto"/>
          <w:sz w:val="32"/>
          <w:szCs w:val="24"/>
          <w:highlight w:val="none"/>
        </w:rPr>
        <w:t xml:space="preserve">  </w:t>
      </w:r>
      <w:r>
        <w:rPr>
          <w:rFonts w:hint="eastAsia"/>
          <w:b/>
          <w:color w:val="auto"/>
          <w:sz w:val="32"/>
          <w:szCs w:val="24"/>
          <w:highlight w:val="none"/>
        </w:rPr>
        <w:t>总</w:t>
      </w:r>
      <w:r>
        <w:rPr>
          <w:b/>
          <w:color w:val="auto"/>
          <w:sz w:val="32"/>
          <w:szCs w:val="24"/>
          <w:highlight w:val="none"/>
        </w:rPr>
        <w:t xml:space="preserve">     </w:t>
      </w:r>
      <w:r>
        <w:rPr>
          <w:rFonts w:hint="eastAsia"/>
          <w:b/>
          <w:color w:val="auto"/>
          <w:sz w:val="32"/>
          <w:szCs w:val="24"/>
          <w:highlight w:val="none"/>
        </w:rPr>
        <w:t>则</w:t>
      </w:r>
    </w:p>
    <w:p>
      <w:pPr>
        <w:widowControl/>
        <w:tabs>
          <w:tab w:val="left" w:pos="2280"/>
        </w:tabs>
        <w:spacing w:line="360" w:lineRule="auto"/>
        <w:jc w:val="center"/>
        <w:rPr>
          <w:b/>
          <w:color w:val="auto"/>
          <w:sz w:val="32"/>
          <w:szCs w:val="24"/>
          <w:highlight w:val="none"/>
        </w:rPr>
      </w:pPr>
    </w:p>
    <w:p>
      <w:pPr>
        <w:widowControl/>
        <w:snapToGrid w:val="0"/>
        <w:spacing w:line="360" w:lineRule="auto"/>
        <w:ind w:firstLine="420"/>
        <w:jc w:val="left"/>
        <w:rPr>
          <w:color w:val="auto"/>
          <w:spacing w:val="4"/>
          <w:kern w:val="0"/>
          <w:sz w:val="24"/>
          <w:highlight w:val="none"/>
        </w:rPr>
      </w:pPr>
      <w:r>
        <w:rPr>
          <w:rFonts w:hint="eastAsia"/>
          <w:color w:val="auto"/>
          <w:spacing w:val="4"/>
          <w:kern w:val="0"/>
          <w:sz w:val="24"/>
          <w:highlight w:val="none"/>
        </w:rPr>
        <w:t>根据《中华人民共和国招标投标法》结合本项目实际，制定本办法。</w:t>
      </w:r>
    </w:p>
    <w:p>
      <w:pPr>
        <w:widowControl/>
        <w:snapToGrid w:val="0"/>
        <w:spacing w:line="360" w:lineRule="auto"/>
        <w:ind w:firstLine="420"/>
        <w:jc w:val="left"/>
        <w:rPr>
          <w:color w:val="auto"/>
          <w:spacing w:val="4"/>
          <w:kern w:val="0"/>
          <w:sz w:val="24"/>
          <w:highlight w:val="none"/>
        </w:rPr>
      </w:pPr>
      <w:r>
        <w:rPr>
          <w:color w:val="auto"/>
          <w:spacing w:val="4"/>
          <w:kern w:val="0"/>
          <w:sz w:val="24"/>
          <w:highlight w:val="none"/>
        </w:rPr>
        <w:t>1.本标准是本招标项目评标委员会评定和推荐中标候选人的依据。</w:t>
      </w:r>
    </w:p>
    <w:p>
      <w:pPr>
        <w:widowControl/>
        <w:snapToGrid w:val="0"/>
        <w:spacing w:line="360" w:lineRule="auto"/>
        <w:ind w:firstLine="420"/>
        <w:jc w:val="left"/>
        <w:rPr>
          <w:color w:val="auto"/>
          <w:spacing w:val="4"/>
          <w:kern w:val="0"/>
          <w:sz w:val="24"/>
          <w:highlight w:val="none"/>
        </w:rPr>
      </w:pPr>
      <w:r>
        <w:rPr>
          <w:color w:val="auto"/>
          <w:spacing w:val="4"/>
          <w:kern w:val="0"/>
          <w:sz w:val="24"/>
          <w:highlight w:val="none"/>
        </w:rPr>
        <w:t>2.评标原则:评标应遵循公开、公平、公正、科学合理的原则。</w:t>
      </w:r>
    </w:p>
    <w:p>
      <w:pPr>
        <w:widowControl/>
        <w:snapToGrid w:val="0"/>
        <w:spacing w:line="360" w:lineRule="auto"/>
        <w:ind w:firstLine="420"/>
        <w:jc w:val="left"/>
        <w:rPr>
          <w:color w:val="auto"/>
          <w:spacing w:val="4"/>
          <w:kern w:val="0"/>
          <w:sz w:val="24"/>
          <w:highlight w:val="none"/>
        </w:rPr>
      </w:pPr>
      <w:r>
        <w:rPr>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w:t>
      </w:r>
      <w:r>
        <w:rPr>
          <w:rFonts w:hint="eastAsia"/>
          <w:color w:val="auto"/>
          <w:spacing w:val="4"/>
          <w:kern w:val="0"/>
          <w:sz w:val="24"/>
          <w:highlight w:val="none"/>
        </w:rPr>
        <w:t>得分仍相同则按技术部分得分高低进行排序。如技术部分得分仍相同，由招标人决定。</w:t>
      </w:r>
    </w:p>
    <w:p>
      <w:pPr>
        <w:widowControl/>
        <w:snapToGrid w:val="0"/>
        <w:spacing w:line="360" w:lineRule="auto"/>
        <w:ind w:firstLine="420"/>
        <w:jc w:val="left"/>
        <w:rPr>
          <w:color w:val="auto"/>
          <w:spacing w:val="4"/>
          <w:kern w:val="0"/>
          <w:sz w:val="24"/>
          <w:highlight w:val="none"/>
        </w:rPr>
      </w:pPr>
      <w:r>
        <w:rPr>
          <w:rFonts w:hint="eastAsia"/>
          <w:color w:val="auto"/>
          <w:spacing w:val="4"/>
          <w:kern w:val="0"/>
          <w:sz w:val="24"/>
          <w:highlight w:val="none"/>
        </w:rPr>
        <w:t>评标委员会在对投标文件进行评审、评分时，应遵守下列规则：</w:t>
      </w:r>
    </w:p>
    <w:p>
      <w:pPr>
        <w:widowControl/>
        <w:snapToGrid w:val="0"/>
        <w:spacing w:line="360" w:lineRule="auto"/>
        <w:ind w:firstLine="420"/>
        <w:jc w:val="left"/>
        <w:rPr>
          <w:color w:val="auto"/>
          <w:spacing w:val="4"/>
          <w:kern w:val="0"/>
          <w:sz w:val="24"/>
          <w:highlight w:val="none"/>
        </w:rPr>
      </w:pPr>
      <w:r>
        <w:rPr>
          <w:rFonts w:hint="eastAsia"/>
          <w:color w:val="auto"/>
          <w:spacing w:val="4"/>
          <w:kern w:val="0"/>
          <w:sz w:val="24"/>
          <w:highlight w:val="none"/>
        </w:rPr>
        <w:t>（</w:t>
      </w:r>
      <w:r>
        <w:rPr>
          <w:color w:val="auto"/>
          <w:spacing w:val="4"/>
          <w:kern w:val="0"/>
          <w:sz w:val="24"/>
          <w:highlight w:val="none"/>
        </w:rPr>
        <w:t>1）评标委员会成员应按招标文件的要求，认真审查、评审各投标人投标文件，并写出书面审查和评审意见。</w:t>
      </w:r>
    </w:p>
    <w:p>
      <w:pPr>
        <w:widowControl/>
        <w:snapToGrid w:val="0"/>
        <w:spacing w:line="360" w:lineRule="auto"/>
        <w:ind w:firstLine="420"/>
        <w:jc w:val="left"/>
        <w:rPr>
          <w:color w:val="auto"/>
          <w:spacing w:val="4"/>
          <w:kern w:val="0"/>
          <w:sz w:val="24"/>
          <w:highlight w:val="none"/>
        </w:rPr>
      </w:pPr>
      <w:r>
        <w:rPr>
          <w:rFonts w:hint="eastAsia"/>
          <w:color w:val="auto"/>
          <w:spacing w:val="4"/>
          <w:kern w:val="0"/>
          <w:sz w:val="24"/>
          <w:highlight w:val="none"/>
        </w:rPr>
        <w:t>（</w:t>
      </w:r>
      <w:r>
        <w:rPr>
          <w:color w:val="auto"/>
          <w:spacing w:val="4"/>
          <w:kern w:val="0"/>
          <w:sz w:val="24"/>
          <w:highlight w:val="none"/>
        </w:rPr>
        <w:t>2）评标委员会各成员应自主评审，并签字确认。</w:t>
      </w:r>
    </w:p>
    <w:p>
      <w:pPr>
        <w:widowControl/>
        <w:snapToGrid w:val="0"/>
        <w:spacing w:line="360" w:lineRule="auto"/>
        <w:ind w:firstLine="496" w:firstLineChars="200"/>
        <w:jc w:val="left"/>
        <w:rPr>
          <w:color w:val="auto"/>
          <w:spacing w:val="4"/>
          <w:kern w:val="0"/>
          <w:sz w:val="24"/>
          <w:highlight w:val="none"/>
        </w:rPr>
      </w:pPr>
      <w:r>
        <w:rPr>
          <w:rFonts w:hint="eastAsia"/>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pPr>
        <w:widowControl/>
        <w:snapToGrid w:val="0"/>
        <w:spacing w:line="360" w:lineRule="auto"/>
        <w:ind w:firstLine="420"/>
        <w:jc w:val="left"/>
        <w:rPr>
          <w:color w:val="auto"/>
          <w:spacing w:val="4"/>
          <w:kern w:val="0"/>
          <w:sz w:val="24"/>
          <w:highlight w:val="none"/>
        </w:rPr>
      </w:pPr>
      <w:r>
        <w:rPr>
          <w:color w:val="auto"/>
          <w:spacing w:val="4"/>
          <w:kern w:val="0"/>
          <w:sz w:val="24"/>
          <w:highlight w:val="none"/>
        </w:rPr>
        <w:t>3．评标办法：</w:t>
      </w:r>
      <w:r>
        <w:rPr>
          <w:rFonts w:hint="eastAsia"/>
          <w:b/>
          <w:color w:val="auto"/>
          <w:spacing w:val="4"/>
          <w:kern w:val="0"/>
          <w:sz w:val="24"/>
          <w:highlight w:val="none"/>
        </w:rPr>
        <w:t>评标采用综合评估法</w:t>
      </w:r>
      <w:r>
        <w:rPr>
          <w:rFonts w:hint="eastAsia"/>
          <w:color w:val="auto"/>
          <w:spacing w:val="4"/>
          <w:kern w:val="0"/>
          <w:sz w:val="24"/>
          <w:highlight w:val="none"/>
        </w:rPr>
        <w:t>。</w:t>
      </w:r>
    </w:p>
    <w:p>
      <w:pPr>
        <w:widowControl/>
        <w:snapToGrid w:val="0"/>
        <w:spacing w:line="360" w:lineRule="auto"/>
        <w:ind w:firstLine="420"/>
        <w:jc w:val="left"/>
        <w:rPr>
          <w:color w:val="auto"/>
          <w:spacing w:val="4"/>
          <w:kern w:val="0"/>
          <w:sz w:val="24"/>
          <w:highlight w:val="none"/>
        </w:rPr>
      </w:pPr>
      <w:r>
        <w:rPr>
          <w:color w:val="auto"/>
          <w:spacing w:val="4"/>
          <w:kern w:val="0"/>
          <w:sz w:val="24"/>
          <w:highlight w:val="none"/>
        </w:rPr>
        <w:t>4．评标打分原则及中标单位的产生：评标委员会应根据招标文件确定的评分要求，对投标文件进行评分，并按照投标人得分高低推荐中标候选人。</w:t>
      </w:r>
    </w:p>
    <w:p>
      <w:pPr>
        <w:widowControl/>
        <w:snapToGrid w:val="0"/>
        <w:spacing w:line="360" w:lineRule="auto"/>
        <w:ind w:firstLine="496" w:firstLineChars="200"/>
        <w:jc w:val="left"/>
        <w:rPr>
          <w:color w:val="auto"/>
          <w:spacing w:val="4"/>
          <w:kern w:val="0"/>
          <w:sz w:val="24"/>
          <w:highlight w:val="none"/>
        </w:rPr>
      </w:pPr>
      <w:r>
        <w:rPr>
          <w:rFonts w:hint="eastAsia"/>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w:t>
      </w:r>
      <w:r>
        <w:rPr>
          <w:color w:val="auto"/>
          <w:spacing w:val="4"/>
          <w:kern w:val="0"/>
          <w:sz w:val="24"/>
          <w:highlight w:val="none"/>
        </w:rPr>
        <w:t>18.5条规定不予退还其投标保证金</w:t>
      </w:r>
      <w:r>
        <w:rPr>
          <w:rFonts w:hint="eastAsia"/>
          <w:color w:val="auto"/>
          <w:spacing w:val="4"/>
          <w:kern w:val="0"/>
          <w:sz w:val="24"/>
          <w:highlight w:val="none"/>
        </w:rPr>
        <w:t>或依法重新招标。</w:t>
      </w:r>
    </w:p>
    <w:p>
      <w:pPr>
        <w:widowControl/>
        <w:snapToGrid w:val="0"/>
        <w:spacing w:line="360" w:lineRule="auto"/>
        <w:ind w:firstLine="420"/>
        <w:jc w:val="left"/>
        <w:rPr>
          <w:color w:val="auto"/>
          <w:spacing w:val="4"/>
          <w:kern w:val="0"/>
          <w:sz w:val="24"/>
          <w:highlight w:val="none"/>
        </w:rPr>
      </w:pPr>
      <w:r>
        <w:rPr>
          <w:rFonts w:hint="eastAsia"/>
          <w:color w:val="auto"/>
          <w:spacing w:val="4"/>
          <w:kern w:val="0"/>
          <w:sz w:val="24"/>
          <w:highlight w:val="none"/>
        </w:rPr>
        <w:t>评标中若遇特殊问题，由评标委员会根据有关法律、法规、规定研究决定。</w:t>
      </w:r>
    </w:p>
    <w:p>
      <w:pPr>
        <w:widowControl/>
        <w:snapToGrid w:val="0"/>
        <w:spacing w:line="360" w:lineRule="auto"/>
        <w:ind w:firstLine="420"/>
        <w:jc w:val="left"/>
        <w:rPr>
          <w:color w:val="auto"/>
          <w:spacing w:val="4"/>
          <w:kern w:val="0"/>
          <w:sz w:val="24"/>
          <w:highlight w:val="none"/>
        </w:rPr>
      </w:pPr>
      <w:r>
        <w:rPr>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pPr>
        <w:widowControl/>
        <w:snapToGrid w:val="0"/>
        <w:spacing w:line="360" w:lineRule="auto"/>
        <w:ind w:firstLine="420"/>
        <w:jc w:val="left"/>
        <w:rPr>
          <w:color w:val="auto"/>
          <w:spacing w:val="4"/>
          <w:sz w:val="24"/>
          <w:highlight w:val="none"/>
        </w:rPr>
      </w:pPr>
      <w:r>
        <w:rPr>
          <w:color w:val="auto"/>
          <w:spacing w:val="4"/>
          <w:sz w:val="24"/>
          <w:highlight w:val="none"/>
        </w:rPr>
        <w:t>6．评标计算计分规则：</w:t>
      </w:r>
    </w:p>
    <w:p>
      <w:pPr>
        <w:widowControl/>
        <w:snapToGrid w:val="0"/>
        <w:spacing w:line="360" w:lineRule="auto"/>
        <w:ind w:firstLine="420"/>
        <w:jc w:val="left"/>
        <w:rPr>
          <w:color w:val="auto"/>
          <w:spacing w:val="4"/>
          <w:sz w:val="24"/>
          <w:highlight w:val="none"/>
        </w:rPr>
      </w:pPr>
      <w:r>
        <w:rPr>
          <w:rFonts w:hint="eastAsia"/>
          <w:color w:val="auto"/>
          <w:spacing w:val="4"/>
          <w:sz w:val="24"/>
          <w:highlight w:val="none"/>
        </w:rPr>
        <w:t>（</w:t>
      </w:r>
      <w:r>
        <w:rPr>
          <w:color w:val="auto"/>
          <w:spacing w:val="4"/>
          <w:sz w:val="24"/>
          <w:highlight w:val="none"/>
        </w:rPr>
        <w:t>1）表述价款的数据均以元为单位，评分计算保留两位小数，第三位作四舍五入。</w:t>
      </w:r>
    </w:p>
    <w:p>
      <w:pPr>
        <w:widowControl/>
        <w:snapToGrid w:val="0"/>
        <w:spacing w:line="360" w:lineRule="auto"/>
        <w:ind w:firstLine="420"/>
        <w:jc w:val="left"/>
        <w:rPr>
          <w:color w:val="auto"/>
          <w:spacing w:val="4"/>
          <w:sz w:val="24"/>
          <w:highlight w:val="none"/>
        </w:rPr>
      </w:pPr>
      <w:r>
        <w:rPr>
          <w:rFonts w:hint="eastAsia"/>
          <w:color w:val="auto"/>
          <w:spacing w:val="4"/>
          <w:sz w:val="24"/>
          <w:highlight w:val="none"/>
        </w:rPr>
        <w:t>（</w:t>
      </w:r>
      <w:r>
        <w:rPr>
          <w:color w:val="auto"/>
          <w:spacing w:val="4"/>
          <w:sz w:val="24"/>
          <w:highlight w:val="none"/>
        </w:rPr>
        <w:t>2）表述建筑面积以平方米为单位，保留整数，小数点后作四舍五入。</w:t>
      </w:r>
    </w:p>
    <w:p>
      <w:pPr>
        <w:widowControl/>
        <w:snapToGrid w:val="0"/>
        <w:spacing w:line="360" w:lineRule="auto"/>
        <w:ind w:firstLine="420"/>
        <w:jc w:val="left"/>
        <w:rPr>
          <w:color w:val="auto"/>
          <w:spacing w:val="4"/>
          <w:sz w:val="24"/>
          <w:highlight w:val="none"/>
        </w:rPr>
      </w:pPr>
      <w:r>
        <w:rPr>
          <w:rFonts w:hint="eastAsia"/>
          <w:color w:val="auto"/>
          <w:spacing w:val="4"/>
          <w:sz w:val="24"/>
          <w:highlight w:val="none"/>
        </w:rPr>
        <w:t>（</w:t>
      </w:r>
      <w:r>
        <w:rPr>
          <w:color w:val="auto"/>
          <w:spacing w:val="4"/>
          <w:sz w:val="24"/>
          <w:highlight w:val="none"/>
        </w:rPr>
        <w:t>3）有效范围内百分比计算的比值,保留二位小数,第三位作四舍五入,中间用插入法确定分数。</w:t>
      </w:r>
    </w:p>
    <w:p>
      <w:pPr>
        <w:widowControl/>
        <w:snapToGrid w:val="0"/>
        <w:spacing w:line="360" w:lineRule="auto"/>
        <w:ind w:firstLine="420"/>
        <w:jc w:val="left"/>
        <w:rPr>
          <w:color w:val="auto"/>
          <w:spacing w:val="4"/>
          <w:sz w:val="24"/>
          <w:highlight w:val="none"/>
        </w:rPr>
      </w:pPr>
      <w:r>
        <w:rPr>
          <w:rFonts w:hint="eastAsia"/>
          <w:color w:val="auto"/>
          <w:spacing w:val="4"/>
          <w:sz w:val="24"/>
          <w:highlight w:val="none"/>
        </w:rPr>
        <w:t>（</w:t>
      </w:r>
      <w:r>
        <w:rPr>
          <w:color w:val="auto"/>
          <w:spacing w:val="4"/>
          <w:sz w:val="24"/>
          <w:highlight w:val="none"/>
        </w:rPr>
        <w:t>4）分项得分保留二位小数，第三位作四舍五入。</w:t>
      </w:r>
    </w:p>
    <w:p>
      <w:pPr>
        <w:widowControl/>
        <w:snapToGrid w:val="0"/>
        <w:spacing w:line="360" w:lineRule="auto"/>
        <w:ind w:firstLine="420"/>
        <w:jc w:val="left"/>
        <w:rPr>
          <w:color w:val="auto"/>
          <w:spacing w:val="4"/>
          <w:sz w:val="24"/>
          <w:highlight w:val="none"/>
        </w:rPr>
      </w:pPr>
      <w:r>
        <w:rPr>
          <w:rFonts w:hint="eastAsia"/>
          <w:color w:val="auto"/>
          <w:spacing w:val="4"/>
          <w:sz w:val="24"/>
          <w:highlight w:val="none"/>
        </w:rPr>
        <w:t>（</w:t>
      </w:r>
      <w:r>
        <w:rPr>
          <w:color w:val="auto"/>
          <w:spacing w:val="4"/>
          <w:sz w:val="24"/>
          <w:highlight w:val="none"/>
        </w:rPr>
        <w:t>5）总积分以分项得分累计之和为准，分值保留小数点后二位。</w:t>
      </w:r>
    </w:p>
    <w:p>
      <w:pPr>
        <w:widowControl/>
        <w:snapToGrid w:val="0"/>
        <w:spacing w:line="360" w:lineRule="auto"/>
        <w:ind w:firstLine="420"/>
        <w:jc w:val="left"/>
        <w:rPr>
          <w:color w:val="auto"/>
          <w:spacing w:val="4"/>
          <w:sz w:val="24"/>
          <w:highlight w:val="none"/>
        </w:rPr>
      </w:pPr>
      <w:r>
        <w:rPr>
          <w:rFonts w:hint="eastAsia"/>
          <w:color w:val="auto"/>
          <w:spacing w:val="4"/>
          <w:sz w:val="24"/>
          <w:highlight w:val="none"/>
        </w:rPr>
        <w:t>（</w:t>
      </w:r>
      <w:r>
        <w:rPr>
          <w:color w:val="auto"/>
          <w:spacing w:val="4"/>
          <w:sz w:val="24"/>
          <w:highlight w:val="none"/>
        </w:rPr>
        <w:t>6）处罚扣分以地、州以上建设行政主管部门通报处罚文件为依据。</w:t>
      </w:r>
    </w:p>
    <w:p>
      <w:pPr>
        <w:widowControl/>
        <w:snapToGrid w:val="0"/>
        <w:spacing w:line="360" w:lineRule="auto"/>
        <w:ind w:firstLine="420"/>
        <w:jc w:val="left"/>
        <w:rPr>
          <w:color w:val="auto"/>
          <w:spacing w:val="4"/>
          <w:kern w:val="0"/>
          <w:sz w:val="24"/>
          <w:highlight w:val="none"/>
        </w:rPr>
      </w:pPr>
      <w:r>
        <w:rPr>
          <w:color w:val="auto"/>
          <w:spacing w:val="4"/>
          <w:kern w:val="0"/>
          <w:sz w:val="24"/>
          <w:highlight w:val="none"/>
        </w:rPr>
        <w:t xml:space="preserve">7. </w:t>
      </w:r>
      <w:r>
        <w:rPr>
          <w:rFonts w:hint="eastAsia"/>
          <w:color w:val="auto"/>
          <w:spacing w:val="4"/>
          <w:kern w:val="0"/>
          <w:sz w:val="24"/>
          <w:highlight w:val="none"/>
        </w:rPr>
        <w:t>评标工作按以下程序进行：</w:t>
      </w:r>
    </w:p>
    <w:p>
      <w:pPr>
        <w:widowControl/>
        <w:snapToGrid w:val="0"/>
        <w:spacing w:line="360" w:lineRule="auto"/>
        <w:ind w:firstLine="420"/>
        <w:jc w:val="left"/>
        <w:rPr>
          <w:color w:val="auto"/>
          <w:spacing w:val="4"/>
          <w:kern w:val="0"/>
          <w:sz w:val="24"/>
          <w:highlight w:val="none"/>
        </w:rPr>
      </w:pPr>
      <w:r>
        <w:rPr>
          <w:rFonts w:hint="eastAsia"/>
          <w:color w:val="auto"/>
          <w:spacing w:val="4"/>
          <w:kern w:val="0"/>
          <w:sz w:val="24"/>
          <w:highlight w:val="none"/>
        </w:rPr>
        <w:t>（一）资格审查；</w:t>
      </w:r>
    </w:p>
    <w:p>
      <w:pPr>
        <w:widowControl/>
        <w:snapToGrid w:val="0"/>
        <w:spacing w:line="360" w:lineRule="auto"/>
        <w:ind w:firstLine="420"/>
        <w:jc w:val="left"/>
        <w:rPr>
          <w:color w:val="auto"/>
          <w:spacing w:val="4"/>
          <w:kern w:val="0"/>
          <w:sz w:val="24"/>
          <w:highlight w:val="none"/>
        </w:rPr>
      </w:pPr>
      <w:r>
        <w:rPr>
          <w:rFonts w:hint="eastAsia"/>
          <w:color w:val="auto"/>
          <w:spacing w:val="4"/>
          <w:kern w:val="0"/>
          <w:sz w:val="24"/>
          <w:highlight w:val="none"/>
        </w:rPr>
        <w:t>（二）初步评审；</w:t>
      </w:r>
    </w:p>
    <w:p>
      <w:pPr>
        <w:widowControl/>
        <w:snapToGrid w:val="0"/>
        <w:spacing w:line="360" w:lineRule="auto"/>
        <w:ind w:firstLine="420"/>
        <w:jc w:val="left"/>
        <w:rPr>
          <w:color w:val="auto"/>
          <w:spacing w:val="4"/>
          <w:kern w:val="0"/>
          <w:sz w:val="24"/>
          <w:highlight w:val="none"/>
        </w:rPr>
      </w:pPr>
      <w:r>
        <w:rPr>
          <w:rFonts w:hint="eastAsia"/>
          <w:color w:val="auto"/>
          <w:spacing w:val="4"/>
          <w:kern w:val="0"/>
          <w:sz w:val="24"/>
          <w:highlight w:val="none"/>
        </w:rPr>
        <w:t>（三）详细评审及澄清；</w:t>
      </w:r>
    </w:p>
    <w:p>
      <w:pPr>
        <w:widowControl/>
        <w:snapToGrid w:val="0"/>
        <w:spacing w:line="360" w:lineRule="auto"/>
        <w:ind w:firstLine="420"/>
        <w:jc w:val="left"/>
        <w:rPr>
          <w:color w:val="auto"/>
          <w:spacing w:val="4"/>
          <w:kern w:val="0"/>
          <w:sz w:val="24"/>
          <w:highlight w:val="none"/>
        </w:rPr>
      </w:pPr>
      <w:r>
        <w:rPr>
          <w:rFonts w:hint="eastAsia"/>
          <w:color w:val="auto"/>
          <w:spacing w:val="4"/>
          <w:kern w:val="0"/>
          <w:sz w:val="24"/>
          <w:highlight w:val="none"/>
        </w:rPr>
        <w:t>（四）汇总评标结果，推荐中标候选人；</w:t>
      </w:r>
    </w:p>
    <w:p>
      <w:pPr>
        <w:widowControl/>
        <w:snapToGrid w:val="0"/>
        <w:spacing w:line="360" w:lineRule="auto"/>
        <w:ind w:firstLine="420"/>
        <w:jc w:val="left"/>
        <w:rPr>
          <w:bCs/>
          <w:color w:val="auto"/>
          <w:sz w:val="24"/>
          <w:highlight w:val="none"/>
        </w:rPr>
      </w:pPr>
      <w:r>
        <w:rPr>
          <w:rFonts w:hint="eastAsia"/>
          <w:color w:val="auto"/>
          <w:spacing w:val="4"/>
          <w:kern w:val="0"/>
          <w:sz w:val="24"/>
          <w:highlight w:val="none"/>
        </w:rPr>
        <w:t>（五）编写评标报告。</w:t>
      </w:r>
    </w:p>
    <w:p>
      <w:pPr>
        <w:spacing w:line="360" w:lineRule="auto"/>
        <w:ind w:firstLine="628" w:firstLineChars="262"/>
        <w:rPr>
          <w:bCs/>
          <w:color w:val="auto"/>
          <w:sz w:val="24"/>
          <w:szCs w:val="24"/>
          <w:highlight w:val="none"/>
        </w:rPr>
      </w:pPr>
    </w:p>
    <w:p>
      <w:pPr>
        <w:widowControl/>
        <w:tabs>
          <w:tab w:val="left" w:pos="2280"/>
        </w:tabs>
        <w:spacing w:line="360" w:lineRule="auto"/>
        <w:jc w:val="center"/>
        <w:rPr>
          <w:b/>
          <w:color w:val="auto"/>
          <w:sz w:val="32"/>
          <w:szCs w:val="24"/>
          <w:highlight w:val="none"/>
        </w:rPr>
      </w:pPr>
      <w:r>
        <w:rPr>
          <w:rFonts w:hint="eastAsia"/>
          <w:b/>
          <w:color w:val="auto"/>
          <w:sz w:val="32"/>
          <w:szCs w:val="24"/>
          <w:highlight w:val="none"/>
        </w:rPr>
        <w:t>第二部分</w:t>
      </w:r>
      <w:r>
        <w:rPr>
          <w:b/>
          <w:color w:val="auto"/>
          <w:sz w:val="32"/>
          <w:szCs w:val="24"/>
          <w:highlight w:val="none"/>
        </w:rPr>
        <w:t xml:space="preserve">  </w:t>
      </w:r>
      <w:r>
        <w:rPr>
          <w:rFonts w:hint="eastAsia"/>
          <w:b/>
          <w:color w:val="auto"/>
          <w:sz w:val="32"/>
          <w:szCs w:val="24"/>
          <w:highlight w:val="none"/>
        </w:rPr>
        <w:t>评分办法</w:t>
      </w:r>
    </w:p>
    <w:p>
      <w:pPr>
        <w:spacing w:line="360" w:lineRule="auto"/>
        <w:ind w:left="559" w:hanging="559" w:hangingChars="232"/>
        <w:rPr>
          <w:b/>
          <w:bCs/>
          <w:color w:val="auto"/>
          <w:sz w:val="24"/>
          <w:highlight w:val="none"/>
        </w:rPr>
      </w:pPr>
      <w:r>
        <w:rPr>
          <w:rFonts w:hint="eastAsia"/>
          <w:b/>
          <w:bCs/>
          <w:color w:val="auto"/>
          <w:sz w:val="24"/>
          <w:highlight w:val="none"/>
        </w:rPr>
        <w:t>一、资格审查</w:t>
      </w:r>
    </w:p>
    <w:p>
      <w:pPr>
        <w:numPr>
          <w:ilvl w:val="0"/>
          <w:numId w:val="13"/>
        </w:numPr>
        <w:tabs>
          <w:tab w:val="left" w:pos="1276"/>
          <w:tab w:val="clear" w:pos="1828"/>
        </w:tabs>
        <w:spacing w:line="360" w:lineRule="auto"/>
        <w:ind w:left="414" w:firstLine="426"/>
        <w:rPr>
          <w:color w:val="auto"/>
          <w:sz w:val="24"/>
          <w:highlight w:val="none"/>
        </w:rPr>
      </w:pPr>
      <w:r>
        <w:rPr>
          <w:rFonts w:hint="eastAsia"/>
          <w:color w:val="auto"/>
          <w:sz w:val="24"/>
          <w:highlight w:val="none"/>
        </w:rPr>
        <w:t>只对在公开开标时经司法公证及监督部门验证有效的投标文件进行符合性审查，判断是否满足招标文件要求。</w:t>
      </w:r>
    </w:p>
    <w:p>
      <w:pPr>
        <w:numPr>
          <w:ilvl w:val="0"/>
          <w:numId w:val="13"/>
        </w:numPr>
        <w:tabs>
          <w:tab w:val="left" w:pos="1276"/>
          <w:tab w:val="clear" w:pos="1828"/>
        </w:tabs>
        <w:spacing w:line="360" w:lineRule="auto"/>
        <w:ind w:left="414" w:firstLine="426"/>
        <w:rPr>
          <w:color w:val="auto"/>
          <w:sz w:val="24"/>
          <w:highlight w:val="none"/>
        </w:rPr>
      </w:pPr>
      <w:r>
        <w:rPr>
          <w:rFonts w:hint="eastAsia"/>
          <w:color w:val="auto"/>
          <w:sz w:val="24"/>
          <w:highlight w:val="none"/>
        </w:rPr>
        <w:t>评标委员会将审验投标人递交的证件及投标文件，对投标人进行资格审查，审查其是否有能力和条件有效地履行合同义务。投标人未按招标文件要求提供以下文件的扫描件并加盖公章，不予通过资格审查，其投标按否决投标处理：</w:t>
      </w:r>
    </w:p>
    <w:p>
      <w:pPr>
        <w:spacing w:line="360" w:lineRule="auto"/>
        <w:ind w:firstLine="480" w:firstLineChars="200"/>
        <w:rPr>
          <w:color w:val="auto"/>
          <w:sz w:val="24"/>
          <w:szCs w:val="24"/>
          <w:highlight w:val="none"/>
        </w:rPr>
      </w:pPr>
      <w:r>
        <w:rPr>
          <w:color w:val="auto"/>
          <w:sz w:val="24"/>
          <w:szCs w:val="24"/>
          <w:highlight w:val="none"/>
        </w:rPr>
        <w:t>1、有效的企业营业执照、组织机构代码证、税务登记证</w:t>
      </w:r>
      <w:r>
        <w:rPr>
          <w:rFonts w:hint="eastAsia"/>
          <w:color w:val="auto"/>
          <w:sz w:val="24"/>
          <w:szCs w:val="24"/>
          <w:highlight w:val="none"/>
        </w:rPr>
        <w:t>、事业单位法人证书等（已登记办理“三证合一”的企业仅须提供印有统一社会信用代码的营业执照或事业单位法人证书）；</w:t>
      </w:r>
    </w:p>
    <w:p>
      <w:pPr>
        <w:spacing w:line="360" w:lineRule="auto"/>
        <w:ind w:firstLine="480" w:firstLineChars="200"/>
        <w:rPr>
          <w:rFonts w:hint="eastAsia" w:ascii="宋体" w:hAnsi="宋体" w:cs="宋体"/>
          <w:color w:val="auto"/>
          <w:sz w:val="24"/>
          <w:szCs w:val="24"/>
          <w:highlight w:val="none"/>
        </w:rPr>
      </w:pPr>
      <w:r>
        <w:rPr>
          <w:color w:val="auto"/>
          <w:sz w:val="24"/>
          <w:szCs w:val="24"/>
          <w:highlight w:val="none"/>
        </w:rPr>
        <w:t>2</w:t>
      </w:r>
      <w:r>
        <w:rPr>
          <w:rFonts w:hint="eastAsia"/>
          <w:color w:val="auto"/>
          <w:sz w:val="24"/>
          <w:szCs w:val="24"/>
          <w:highlight w:val="none"/>
        </w:rPr>
        <w:t>、</w:t>
      </w:r>
      <w:r>
        <w:rPr>
          <w:rFonts w:hint="eastAsia" w:ascii="宋体" w:hAnsi="宋体" w:cs="宋体"/>
          <w:color w:val="auto"/>
          <w:sz w:val="24"/>
          <w:szCs w:val="24"/>
          <w:highlight w:val="none"/>
        </w:rPr>
        <w:t>投标人须具有有效的测绘甲级(含)以上资质证书（专业范围含海洋测绘）证书及有效的省级及以上质量技术监督部门颁发的CMA认证证书（检测范围应包括海水、海洋沉积物、海洋生物</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海洋生态相关内容）；</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val="en-US" w:eastAsia="zh-CN"/>
        </w:rPr>
        <w:t>3、</w:t>
      </w:r>
      <w:r>
        <w:rPr>
          <w:rFonts w:hint="eastAsia"/>
          <w:color w:val="auto"/>
          <w:sz w:val="24"/>
          <w:szCs w:val="24"/>
          <w:highlight w:val="none"/>
        </w:rPr>
        <w:t>法定代表人身份证明书或法定代表人授权书；</w:t>
      </w:r>
    </w:p>
    <w:p>
      <w:pPr>
        <w:snapToGrid w:val="0"/>
        <w:spacing w:line="360" w:lineRule="auto"/>
        <w:ind w:firstLine="480" w:firstLineChars="200"/>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、投标保证金（收据或汇款凭证）或保函；</w:t>
      </w:r>
    </w:p>
    <w:p>
      <w:pPr>
        <w:tabs>
          <w:tab w:val="left" w:pos="993"/>
        </w:tabs>
        <w:snapToGrid w:val="0"/>
        <w:spacing w:line="360" w:lineRule="auto"/>
        <w:ind w:firstLine="480" w:firstLineChars="200"/>
        <w:rPr>
          <w:color w:val="auto"/>
          <w:sz w:val="24"/>
          <w:highlight w:val="none"/>
        </w:rPr>
      </w:pPr>
      <w:r>
        <w:rPr>
          <w:rFonts w:hint="eastAsia"/>
          <w:color w:val="auto"/>
          <w:sz w:val="24"/>
          <w:szCs w:val="24"/>
          <w:highlight w:val="none"/>
          <w:lang w:val="en-US" w:eastAsia="zh-CN"/>
        </w:rPr>
        <w:t>5</w:t>
      </w:r>
      <w:r>
        <w:rPr>
          <w:rFonts w:hint="eastAsia"/>
          <w:color w:val="auto"/>
          <w:sz w:val="24"/>
          <w:szCs w:val="24"/>
          <w:highlight w:val="none"/>
        </w:rPr>
        <w:t>、</w:t>
      </w:r>
      <w:r>
        <w:rPr>
          <w:rFonts w:hint="eastAsia"/>
          <w:color w:val="auto"/>
          <w:kern w:val="0"/>
          <w:sz w:val="24"/>
          <w:szCs w:val="28"/>
          <w:highlight w:val="none"/>
        </w:rPr>
        <w:t>投标人</w:t>
      </w:r>
      <w:r>
        <w:rPr>
          <w:rFonts w:hint="eastAsia"/>
          <w:color w:val="auto"/>
          <w:sz w:val="24"/>
          <w:highlight w:val="none"/>
        </w:rPr>
        <w:t>不得被列入“失信被执行人”或“失信惩戒对象”或“重大税收违法案件当事人”，以“信用中国”网站（</w:t>
      </w:r>
      <w:r>
        <w:rPr>
          <w:color w:val="auto"/>
          <w:sz w:val="24"/>
          <w:highlight w:val="none"/>
        </w:rPr>
        <w:t>www.creditchina.gov.cn）查询为准。（需在</w:t>
      </w:r>
      <w:r>
        <w:rPr>
          <w:rFonts w:hint="eastAsia"/>
          <w:color w:val="auto"/>
          <w:sz w:val="24"/>
          <w:highlight w:val="none"/>
        </w:rPr>
        <w:t>招标公告发布后从“信用中国”网站打印查询结果并加盖公章）；</w:t>
      </w:r>
    </w:p>
    <w:p>
      <w:pPr>
        <w:tabs>
          <w:tab w:val="left" w:pos="993"/>
        </w:tabs>
        <w:snapToGrid w:val="0"/>
        <w:spacing w:line="360" w:lineRule="auto"/>
        <w:ind w:firstLine="480" w:firstLineChars="200"/>
        <w:rPr>
          <w:color w:val="auto"/>
          <w:sz w:val="24"/>
          <w:highlight w:val="none"/>
        </w:rPr>
      </w:pPr>
      <w:r>
        <w:rPr>
          <w:rFonts w:hint="eastAsia"/>
          <w:color w:val="auto"/>
          <w:sz w:val="24"/>
          <w:highlight w:val="none"/>
          <w:lang w:val="en-US" w:eastAsia="zh-CN"/>
        </w:rPr>
        <w:t>6</w:t>
      </w:r>
      <w:r>
        <w:rPr>
          <w:rFonts w:hint="eastAsia"/>
          <w:color w:val="auto"/>
          <w:sz w:val="24"/>
          <w:highlight w:val="none"/>
        </w:rPr>
        <w:t>、投标人告知承诺函</w:t>
      </w:r>
    </w:p>
    <w:p>
      <w:pPr>
        <w:spacing w:line="360" w:lineRule="auto"/>
        <w:ind w:left="559" w:hanging="559" w:hangingChars="232"/>
        <w:rPr>
          <w:b/>
          <w:bCs/>
          <w:color w:val="auto"/>
          <w:sz w:val="24"/>
          <w:highlight w:val="none"/>
        </w:rPr>
      </w:pPr>
      <w:r>
        <w:rPr>
          <w:rFonts w:hint="eastAsia"/>
          <w:b/>
          <w:bCs/>
          <w:color w:val="auto"/>
          <w:sz w:val="24"/>
          <w:highlight w:val="none"/>
        </w:rPr>
        <w:t>二、初步评审</w:t>
      </w:r>
    </w:p>
    <w:p>
      <w:pPr>
        <w:numPr>
          <w:ilvl w:val="0"/>
          <w:numId w:val="13"/>
        </w:numPr>
        <w:tabs>
          <w:tab w:val="left" w:pos="1276"/>
          <w:tab w:val="clear" w:pos="1828"/>
        </w:tabs>
        <w:snapToGrid w:val="0"/>
        <w:spacing w:line="360" w:lineRule="auto"/>
        <w:ind w:left="414" w:firstLine="426"/>
        <w:rPr>
          <w:color w:val="auto"/>
          <w:sz w:val="24"/>
          <w:highlight w:val="none"/>
        </w:rPr>
      </w:pPr>
      <w:r>
        <w:rPr>
          <w:rFonts w:hint="eastAsia"/>
          <w:color w:val="auto"/>
          <w:sz w:val="24"/>
          <w:highlight w:val="none"/>
        </w:rPr>
        <w:t>开标后，只有符合招标文件要求并在投标截止时间前递交的投标文件，才能提交评标委员会进行评审。</w:t>
      </w:r>
    </w:p>
    <w:p>
      <w:pPr>
        <w:numPr>
          <w:ilvl w:val="0"/>
          <w:numId w:val="13"/>
        </w:numPr>
        <w:tabs>
          <w:tab w:val="left" w:pos="1276"/>
          <w:tab w:val="clear" w:pos="1828"/>
        </w:tabs>
        <w:snapToGrid w:val="0"/>
        <w:spacing w:line="360" w:lineRule="auto"/>
        <w:ind w:left="414" w:firstLine="426"/>
        <w:rPr>
          <w:color w:val="auto"/>
          <w:sz w:val="24"/>
          <w:szCs w:val="28"/>
          <w:highlight w:val="none"/>
        </w:rPr>
      </w:pPr>
      <w:r>
        <w:rPr>
          <w:rFonts w:hint="eastAsia"/>
          <w:color w:val="auto"/>
          <w:sz w:val="24"/>
          <w:szCs w:val="28"/>
          <w:highlight w:val="none"/>
        </w:rPr>
        <w:t>评标委员会发现投标人以他人名义投标、串通投标、以行贿手段谋取中标或者以其他弄虚作假方式投标的，该投标人的投标将被否决。</w:t>
      </w:r>
    </w:p>
    <w:p>
      <w:pPr>
        <w:numPr>
          <w:ilvl w:val="0"/>
          <w:numId w:val="13"/>
        </w:numPr>
        <w:tabs>
          <w:tab w:val="left" w:pos="1276"/>
          <w:tab w:val="clear" w:pos="1828"/>
        </w:tabs>
        <w:snapToGrid w:val="0"/>
        <w:spacing w:line="360" w:lineRule="auto"/>
        <w:ind w:left="414" w:firstLine="426"/>
        <w:rPr>
          <w:color w:val="auto"/>
          <w:sz w:val="24"/>
          <w:szCs w:val="28"/>
          <w:highlight w:val="none"/>
        </w:rPr>
      </w:pPr>
      <w:r>
        <w:rPr>
          <w:rFonts w:hint="eastAsia"/>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numPr>
          <w:ilvl w:val="0"/>
          <w:numId w:val="13"/>
        </w:numPr>
        <w:tabs>
          <w:tab w:val="left" w:pos="1276"/>
          <w:tab w:val="clear" w:pos="1828"/>
        </w:tabs>
        <w:snapToGrid w:val="0"/>
        <w:spacing w:line="360" w:lineRule="auto"/>
        <w:ind w:left="414" w:firstLine="426"/>
        <w:rPr>
          <w:color w:val="auto"/>
          <w:sz w:val="24"/>
          <w:szCs w:val="28"/>
          <w:highlight w:val="none"/>
        </w:rPr>
      </w:pPr>
      <w:r>
        <w:rPr>
          <w:rFonts w:hint="eastAsia"/>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pPr>
        <w:numPr>
          <w:ilvl w:val="0"/>
          <w:numId w:val="13"/>
        </w:numPr>
        <w:tabs>
          <w:tab w:val="left" w:pos="1276"/>
          <w:tab w:val="clear" w:pos="1828"/>
        </w:tabs>
        <w:snapToGrid w:val="0"/>
        <w:spacing w:line="360" w:lineRule="auto"/>
        <w:ind w:left="414" w:firstLine="426"/>
        <w:rPr>
          <w:color w:val="auto"/>
          <w:sz w:val="24"/>
          <w:szCs w:val="28"/>
          <w:highlight w:val="none"/>
        </w:rPr>
      </w:pPr>
      <w:r>
        <w:rPr>
          <w:rFonts w:hint="eastAsia"/>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pPr>
        <w:tabs>
          <w:tab w:val="left" w:pos="1276"/>
        </w:tabs>
        <w:snapToGrid w:val="0"/>
        <w:spacing w:line="360" w:lineRule="auto"/>
        <w:ind w:left="420" w:firstLine="420" w:firstLineChars="175"/>
        <w:rPr>
          <w:color w:val="auto"/>
          <w:sz w:val="24"/>
          <w:szCs w:val="28"/>
          <w:highlight w:val="none"/>
        </w:rPr>
      </w:pPr>
      <w:r>
        <w:rPr>
          <w:rFonts w:hint="eastAsia"/>
          <w:color w:val="auto"/>
          <w:sz w:val="24"/>
          <w:szCs w:val="28"/>
          <w:highlight w:val="none"/>
        </w:rPr>
        <w:t>投标报价有算术错误及其他错误的，评标委员会按以下原则要求投标人对投标报价进行修正，并要求投标人书面澄清确认。投标人拒不澄清确认的，评标委员会应当否决其投标：</w:t>
      </w:r>
    </w:p>
    <w:p>
      <w:pPr>
        <w:tabs>
          <w:tab w:val="left" w:pos="1276"/>
        </w:tabs>
        <w:snapToGrid w:val="0"/>
        <w:spacing w:line="360" w:lineRule="auto"/>
        <w:ind w:left="840"/>
        <w:rPr>
          <w:color w:val="auto"/>
          <w:sz w:val="24"/>
          <w:szCs w:val="28"/>
          <w:highlight w:val="none"/>
        </w:rPr>
      </w:pPr>
      <w:r>
        <w:rPr>
          <w:rFonts w:hint="eastAsia"/>
          <w:color w:val="auto"/>
          <w:sz w:val="24"/>
          <w:szCs w:val="28"/>
          <w:highlight w:val="none"/>
        </w:rPr>
        <w:t>（</w:t>
      </w:r>
      <w:r>
        <w:rPr>
          <w:color w:val="auto"/>
          <w:sz w:val="24"/>
          <w:szCs w:val="28"/>
          <w:highlight w:val="none"/>
        </w:rPr>
        <w:t>1）投标文件中的大写金额与小写金额不一致的，以大写金额为准；</w:t>
      </w:r>
    </w:p>
    <w:p>
      <w:pPr>
        <w:tabs>
          <w:tab w:val="left" w:pos="1276"/>
        </w:tabs>
        <w:snapToGrid w:val="0"/>
        <w:spacing w:line="360" w:lineRule="auto"/>
        <w:ind w:left="420"/>
        <w:rPr>
          <w:color w:val="auto"/>
          <w:sz w:val="24"/>
          <w:szCs w:val="28"/>
          <w:highlight w:val="none"/>
        </w:rPr>
      </w:pPr>
      <w:r>
        <w:rPr>
          <w:rFonts w:hint="eastAsia"/>
          <w:color w:val="auto"/>
          <w:sz w:val="24"/>
          <w:szCs w:val="28"/>
          <w:highlight w:val="none"/>
        </w:rPr>
        <w:t>（</w:t>
      </w:r>
      <w:r>
        <w:rPr>
          <w:color w:val="auto"/>
          <w:sz w:val="24"/>
          <w:szCs w:val="28"/>
          <w:highlight w:val="none"/>
        </w:rPr>
        <w:t>2）总价金额与单价金额不一致的，以单价金额为准，但单价金额小数点有明显错误的除外；</w:t>
      </w:r>
    </w:p>
    <w:p>
      <w:pPr>
        <w:tabs>
          <w:tab w:val="left" w:pos="1276"/>
        </w:tabs>
        <w:snapToGrid w:val="0"/>
        <w:spacing w:line="360" w:lineRule="auto"/>
        <w:ind w:left="420"/>
        <w:rPr>
          <w:color w:val="auto"/>
          <w:sz w:val="24"/>
          <w:szCs w:val="28"/>
          <w:highlight w:val="none"/>
        </w:rPr>
      </w:pPr>
      <w:r>
        <w:rPr>
          <w:rFonts w:hint="eastAsia"/>
          <w:color w:val="auto"/>
          <w:sz w:val="24"/>
          <w:szCs w:val="28"/>
          <w:highlight w:val="none"/>
        </w:rPr>
        <w:t>（</w:t>
      </w:r>
      <w:r>
        <w:rPr>
          <w:color w:val="auto"/>
          <w:sz w:val="24"/>
          <w:szCs w:val="28"/>
          <w:highlight w:val="none"/>
        </w:rPr>
        <w:t>3）投标报价为各分项报价金额之和，投标报价与分项报价的合价不一致的，应以各分项合价累计数为准，修正投标报价；</w:t>
      </w:r>
    </w:p>
    <w:p>
      <w:pPr>
        <w:tabs>
          <w:tab w:val="left" w:pos="1276"/>
        </w:tabs>
        <w:snapToGrid w:val="0"/>
        <w:spacing w:line="360" w:lineRule="auto"/>
        <w:ind w:left="840"/>
        <w:rPr>
          <w:color w:val="auto"/>
          <w:sz w:val="24"/>
          <w:szCs w:val="28"/>
          <w:highlight w:val="none"/>
        </w:rPr>
      </w:pPr>
      <w:r>
        <w:rPr>
          <w:rFonts w:hint="eastAsia"/>
          <w:color w:val="auto"/>
          <w:sz w:val="24"/>
          <w:szCs w:val="28"/>
          <w:highlight w:val="none"/>
        </w:rPr>
        <w:t>（</w:t>
      </w:r>
      <w:r>
        <w:rPr>
          <w:color w:val="auto"/>
          <w:sz w:val="24"/>
          <w:szCs w:val="28"/>
          <w:highlight w:val="none"/>
        </w:rPr>
        <w:t>4）如果分项报价中存在缺漏项，则视为缺漏项价格已包含在其他分项报价之中。</w:t>
      </w:r>
    </w:p>
    <w:p>
      <w:pPr>
        <w:numPr>
          <w:ilvl w:val="0"/>
          <w:numId w:val="13"/>
        </w:numPr>
        <w:tabs>
          <w:tab w:val="left" w:pos="1276"/>
          <w:tab w:val="clear" w:pos="1828"/>
        </w:tabs>
        <w:snapToGrid w:val="0"/>
        <w:spacing w:line="360" w:lineRule="auto"/>
        <w:ind w:left="414" w:firstLine="426"/>
        <w:rPr>
          <w:color w:val="auto"/>
          <w:sz w:val="24"/>
          <w:szCs w:val="28"/>
          <w:highlight w:val="none"/>
        </w:rPr>
      </w:pPr>
      <w:r>
        <w:rPr>
          <w:rFonts w:hint="eastAsia"/>
          <w:color w:val="auto"/>
          <w:sz w:val="24"/>
          <w:szCs w:val="28"/>
          <w:highlight w:val="none"/>
        </w:rPr>
        <w:t>投标文件对下列情形有重大偏差的，视为未能对招标文件作出实质响应，按规定否决其投标：</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未有下列相互串通投标情形：</w:t>
      </w:r>
    </w:p>
    <w:p>
      <w:pPr>
        <w:snapToGrid w:val="0"/>
        <w:spacing w:line="360" w:lineRule="auto"/>
        <w:ind w:left="993"/>
        <w:rPr>
          <w:b/>
          <w:color w:val="auto"/>
          <w:sz w:val="24"/>
          <w:highlight w:val="none"/>
        </w:rPr>
      </w:pPr>
      <w:r>
        <w:rPr>
          <w:rFonts w:hint="eastAsia"/>
          <w:b/>
          <w:color w:val="auto"/>
          <w:sz w:val="24"/>
          <w:highlight w:val="none"/>
        </w:rPr>
        <w:t>（</w:t>
      </w:r>
      <w:r>
        <w:rPr>
          <w:b/>
          <w:color w:val="auto"/>
          <w:sz w:val="24"/>
          <w:highlight w:val="none"/>
        </w:rPr>
        <w:t>1）不同投标人的投标文件由同一单位或者个人编制；</w:t>
      </w:r>
    </w:p>
    <w:p>
      <w:pPr>
        <w:snapToGrid w:val="0"/>
        <w:spacing w:line="360" w:lineRule="auto"/>
        <w:ind w:left="993"/>
        <w:rPr>
          <w:b/>
          <w:color w:val="auto"/>
          <w:sz w:val="24"/>
          <w:highlight w:val="none"/>
        </w:rPr>
      </w:pPr>
      <w:r>
        <w:rPr>
          <w:rFonts w:hint="eastAsia"/>
          <w:b/>
          <w:color w:val="auto"/>
          <w:sz w:val="24"/>
          <w:highlight w:val="none"/>
        </w:rPr>
        <w:t>（</w:t>
      </w:r>
      <w:r>
        <w:rPr>
          <w:b/>
          <w:color w:val="auto"/>
          <w:sz w:val="24"/>
          <w:highlight w:val="none"/>
        </w:rPr>
        <w:t>2）不同投标人委托同一单位或者个人办理投标事宜；</w:t>
      </w:r>
    </w:p>
    <w:p>
      <w:pPr>
        <w:snapToGrid w:val="0"/>
        <w:spacing w:line="360" w:lineRule="auto"/>
        <w:ind w:left="993"/>
        <w:rPr>
          <w:b/>
          <w:color w:val="auto"/>
          <w:sz w:val="24"/>
          <w:highlight w:val="none"/>
        </w:rPr>
      </w:pPr>
      <w:r>
        <w:rPr>
          <w:rFonts w:hint="eastAsia"/>
          <w:b/>
          <w:color w:val="auto"/>
          <w:sz w:val="24"/>
          <w:highlight w:val="none"/>
        </w:rPr>
        <w:t>（</w:t>
      </w:r>
      <w:r>
        <w:rPr>
          <w:b/>
          <w:color w:val="auto"/>
          <w:sz w:val="24"/>
          <w:highlight w:val="none"/>
        </w:rPr>
        <w:t>3）不同投标人的投标文件载明的项目管理成员为同一人；</w:t>
      </w:r>
    </w:p>
    <w:p>
      <w:pPr>
        <w:snapToGrid w:val="0"/>
        <w:spacing w:line="360" w:lineRule="auto"/>
        <w:ind w:left="993"/>
        <w:rPr>
          <w:b/>
          <w:color w:val="auto"/>
          <w:sz w:val="24"/>
          <w:highlight w:val="none"/>
        </w:rPr>
      </w:pPr>
      <w:r>
        <w:rPr>
          <w:rFonts w:hint="eastAsia"/>
          <w:b/>
          <w:color w:val="auto"/>
          <w:sz w:val="24"/>
          <w:highlight w:val="none"/>
        </w:rPr>
        <w:t>（</w:t>
      </w:r>
      <w:r>
        <w:rPr>
          <w:b/>
          <w:color w:val="auto"/>
          <w:sz w:val="24"/>
          <w:highlight w:val="none"/>
        </w:rPr>
        <w:t>4）不同投标人的投标文件异常一致或者投标报价呈规律性差异；</w:t>
      </w:r>
    </w:p>
    <w:p>
      <w:pPr>
        <w:snapToGrid w:val="0"/>
        <w:spacing w:line="360" w:lineRule="auto"/>
        <w:ind w:left="993"/>
        <w:rPr>
          <w:b/>
          <w:color w:val="auto"/>
          <w:sz w:val="24"/>
          <w:highlight w:val="none"/>
        </w:rPr>
      </w:pPr>
      <w:r>
        <w:rPr>
          <w:rFonts w:hint="eastAsia"/>
          <w:b/>
          <w:color w:val="auto"/>
          <w:sz w:val="24"/>
          <w:highlight w:val="none"/>
        </w:rPr>
        <w:t>（</w:t>
      </w:r>
      <w:r>
        <w:rPr>
          <w:b/>
          <w:color w:val="auto"/>
          <w:sz w:val="24"/>
          <w:highlight w:val="none"/>
        </w:rPr>
        <w:t>5）不同投标人的投标文件相互混装；</w:t>
      </w:r>
    </w:p>
    <w:p>
      <w:pPr>
        <w:snapToGrid w:val="0"/>
        <w:spacing w:line="360" w:lineRule="auto"/>
        <w:ind w:left="993"/>
        <w:rPr>
          <w:b/>
          <w:color w:val="auto"/>
          <w:sz w:val="24"/>
          <w:highlight w:val="none"/>
        </w:rPr>
      </w:pPr>
      <w:r>
        <w:rPr>
          <w:rFonts w:hint="eastAsia"/>
          <w:b/>
          <w:color w:val="auto"/>
          <w:sz w:val="24"/>
          <w:highlight w:val="none"/>
        </w:rPr>
        <w:t>（</w:t>
      </w:r>
      <w:r>
        <w:rPr>
          <w:b/>
          <w:color w:val="auto"/>
          <w:sz w:val="24"/>
          <w:highlight w:val="none"/>
        </w:rPr>
        <w:t>6）不同投标人的投标保证金从同一单位或者个人的账户转出。</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投标报价低于招标文件中所载明的最高限价；</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有单位盖章及法定代表人或负责人或其授权代理人签字盖章的；</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符合规定的格式填写，内容未有不全或关键字迹模糊、无法辨认的；</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投标人未递交两份或多份内容不同的投标文件，或在一份投标文件中对同一招标项目有两个或多个报价，且未声明哪一个有效的；</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投标人名称或组织结构与报名时一致的；</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投标文件载明的招标项目完成期限未超过招标文件规定的期限的；</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符合技术规格、技术标准的要求的；</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投标文件未附有招标人不能接受的条件的；</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投标文件中服务承诺或质量承诺满足招标文件要求的；</w:t>
      </w:r>
    </w:p>
    <w:p>
      <w:pPr>
        <w:numPr>
          <w:ilvl w:val="0"/>
          <w:numId w:val="14"/>
        </w:numPr>
        <w:snapToGrid w:val="0"/>
        <w:spacing w:line="360" w:lineRule="auto"/>
        <w:ind w:left="1123" w:hanging="493"/>
        <w:rPr>
          <w:b/>
          <w:color w:val="auto"/>
          <w:sz w:val="24"/>
          <w:highlight w:val="none"/>
        </w:rPr>
      </w:pPr>
      <w:r>
        <w:rPr>
          <w:rFonts w:hint="eastAsia"/>
          <w:b/>
          <w:color w:val="auto"/>
          <w:sz w:val="24"/>
          <w:highlight w:val="none"/>
        </w:rPr>
        <w:t>未有不符合招标文件中规定的其他实质性要求的。</w:t>
      </w:r>
    </w:p>
    <w:p>
      <w:pPr>
        <w:numPr>
          <w:ilvl w:val="0"/>
          <w:numId w:val="13"/>
        </w:numPr>
        <w:tabs>
          <w:tab w:val="left" w:pos="1276"/>
          <w:tab w:val="clear" w:pos="1828"/>
        </w:tabs>
        <w:snapToGrid w:val="0"/>
        <w:spacing w:line="360" w:lineRule="auto"/>
        <w:ind w:left="414" w:firstLine="426"/>
        <w:jc w:val="left"/>
        <w:rPr>
          <w:color w:val="auto"/>
          <w:sz w:val="24"/>
          <w:szCs w:val="28"/>
          <w:highlight w:val="none"/>
        </w:rPr>
      </w:pPr>
      <w:r>
        <w:rPr>
          <w:rFonts w:hint="eastAsia"/>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pPr>
        <w:numPr>
          <w:ilvl w:val="0"/>
          <w:numId w:val="15"/>
        </w:numPr>
        <w:spacing w:line="360" w:lineRule="auto"/>
        <w:ind w:left="559" w:hanging="559" w:hangingChars="232"/>
        <w:rPr>
          <w:rFonts w:hint="eastAsia"/>
          <w:b/>
          <w:bCs/>
          <w:color w:val="auto"/>
          <w:sz w:val="24"/>
          <w:highlight w:val="none"/>
        </w:rPr>
      </w:pPr>
      <w:r>
        <w:rPr>
          <w:rFonts w:hint="eastAsia"/>
          <w:b/>
          <w:bCs/>
          <w:color w:val="auto"/>
          <w:sz w:val="24"/>
          <w:highlight w:val="none"/>
        </w:rPr>
        <w:t>详细评审</w:t>
      </w:r>
    </w:p>
    <w:tbl>
      <w:tblPr>
        <w:tblStyle w:val="26"/>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262"/>
        <w:gridCol w:w="983"/>
        <w:gridCol w:w="6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评审项目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标准分</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43"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价格部分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（1）评标基准价=所有有效投标人投标价之和/有效投标单位数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（2）偏差率=（投标人的投标价-评标基准价）/评标基准价×100%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（3）价格评分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当投标人的投标价＞评标基准价时：投标价得分=30-偏差率×100×0.4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当投标人的投标价≤评标基准价：投标价得分=30+偏差率×100×0.2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注：（1）有效投标报价为小于或等于最高投标限价的报价。（2）若投标人的投标报价低于投标限价的85%，则该投标人的投标报价不参与评标基准价的计算，但参与评分。（3）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39"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企业</w:t>
            </w:r>
            <w:r>
              <w:rPr>
                <w:rFonts w:hint="eastAsia" w:ascii="宋体" w:hAnsi="宋体" w:cs="宋体"/>
                <w:color w:val="auto"/>
                <w:sz w:val="24"/>
                <w:highlight w:val="none"/>
                <w:lang w:val="en-US" w:eastAsia="zh-CN"/>
              </w:rPr>
              <w:t>业绩</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400" w:lineRule="exact"/>
              <w:jc w:val="left"/>
              <w:rPr>
                <w:rFonts w:hint="eastAsia" w:ascii="宋体" w:hAnsi="宋体" w:cs="宋体"/>
                <w:color w:val="auto"/>
                <w:sz w:val="24"/>
                <w:highlight w:val="none"/>
              </w:rPr>
            </w:pPr>
            <w:r>
              <w:rPr>
                <w:rFonts w:hint="eastAsia" w:ascii="宋体" w:hAnsi="宋体" w:cs="宋体"/>
                <w:color w:val="auto"/>
                <w:sz w:val="24"/>
                <w:szCs w:val="20"/>
                <w:highlight w:val="none"/>
              </w:rPr>
              <w:t>2021年1月1日以来已承揽的同类项目（包括生态修复</w:t>
            </w:r>
            <w:r>
              <w:rPr>
                <w:rFonts w:hint="eastAsia" w:ascii="宋体" w:hAnsi="宋体" w:cs="宋体"/>
                <w:color w:val="auto"/>
                <w:sz w:val="24"/>
                <w:szCs w:val="20"/>
                <w:highlight w:val="none"/>
                <w:lang w:val="en-US" w:eastAsia="zh-CN"/>
              </w:rPr>
              <w:t>类或环境保护类</w:t>
            </w:r>
            <w:r>
              <w:rPr>
                <w:rFonts w:hint="eastAsia" w:ascii="宋体" w:hAnsi="宋体" w:cs="宋体"/>
                <w:color w:val="auto"/>
                <w:sz w:val="24"/>
                <w:szCs w:val="20"/>
                <w:highlight w:val="none"/>
              </w:rPr>
              <w:t>项目</w:t>
            </w:r>
            <w:r>
              <w:rPr>
                <w:rFonts w:hint="eastAsia" w:ascii="宋体" w:hAnsi="宋体" w:eastAsia="宋体" w:cs="宋体"/>
                <w:color w:val="auto"/>
                <w:sz w:val="24"/>
                <w:szCs w:val="20"/>
                <w:highlight w:val="none"/>
                <w:lang w:val="en-US" w:eastAsia="zh-CN"/>
              </w:rPr>
              <w:t>的</w:t>
            </w:r>
            <w:r>
              <w:rPr>
                <w:rFonts w:hint="eastAsia" w:ascii="宋体" w:hAnsi="宋体" w:cs="宋体"/>
                <w:color w:val="auto"/>
                <w:sz w:val="24"/>
                <w:szCs w:val="20"/>
                <w:highlight w:val="none"/>
              </w:rPr>
              <w:t>监测或效果评估</w:t>
            </w:r>
            <w:r>
              <w:rPr>
                <w:rFonts w:hint="eastAsia" w:ascii="宋体" w:hAnsi="宋体" w:eastAsia="宋体" w:cs="宋体"/>
                <w:color w:val="auto"/>
                <w:sz w:val="24"/>
                <w:szCs w:val="20"/>
                <w:highlight w:val="none"/>
                <w:lang w:val="en-US" w:eastAsia="zh-CN"/>
              </w:rPr>
              <w:t>服务</w:t>
            </w:r>
            <w:r>
              <w:rPr>
                <w:rFonts w:hint="eastAsia" w:ascii="宋体" w:hAnsi="宋体" w:cs="宋体"/>
                <w:color w:val="auto"/>
                <w:sz w:val="24"/>
                <w:szCs w:val="20"/>
                <w:highlight w:val="none"/>
              </w:rPr>
              <w:t>），每份得</w:t>
            </w:r>
            <w:r>
              <w:rPr>
                <w:rFonts w:hint="eastAsia" w:ascii="宋体" w:hAnsi="宋体" w:cs="宋体"/>
                <w:color w:val="auto"/>
                <w:sz w:val="24"/>
                <w:szCs w:val="20"/>
                <w:highlight w:val="none"/>
                <w:lang w:val="en-US" w:eastAsia="zh-CN"/>
              </w:rPr>
              <w:t>2</w:t>
            </w:r>
            <w:r>
              <w:rPr>
                <w:rFonts w:hint="eastAsia" w:ascii="宋体" w:hAnsi="宋体" w:cs="宋体"/>
                <w:color w:val="auto"/>
                <w:sz w:val="24"/>
                <w:szCs w:val="20"/>
                <w:highlight w:val="none"/>
              </w:rPr>
              <w:t>分，满分</w:t>
            </w:r>
            <w:r>
              <w:rPr>
                <w:rFonts w:hint="eastAsia" w:ascii="宋体" w:hAnsi="宋体" w:cs="宋体"/>
                <w:color w:val="auto"/>
                <w:sz w:val="24"/>
                <w:szCs w:val="20"/>
                <w:highlight w:val="none"/>
                <w:lang w:val="en-US" w:eastAsia="zh-CN"/>
              </w:rPr>
              <w:t>6</w:t>
            </w:r>
            <w:r>
              <w:rPr>
                <w:rFonts w:hint="eastAsia" w:ascii="宋体" w:hAnsi="宋体" w:cs="宋体"/>
                <w:color w:val="auto"/>
                <w:sz w:val="24"/>
                <w:szCs w:val="20"/>
                <w:highlight w:val="none"/>
              </w:rPr>
              <w:t>分。注:须提供项目合同原件的电子扫描件，承揽时间以合同签署时间为准。否则不得分。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企业认证证书</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400" w:lineRule="exact"/>
              <w:jc w:val="left"/>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1.</w:t>
            </w:r>
            <w:r>
              <w:rPr>
                <w:rFonts w:hint="eastAsia" w:ascii="宋体" w:hAnsi="宋体" w:cs="宋体"/>
                <w:color w:val="auto"/>
                <w:sz w:val="24"/>
                <w:szCs w:val="20"/>
                <w:highlight w:val="none"/>
              </w:rPr>
              <w:t>投标人通过 CNAS 实验室认可证书，得</w:t>
            </w:r>
            <w:r>
              <w:rPr>
                <w:rFonts w:hint="eastAsia" w:ascii="宋体" w:hAnsi="宋体" w:cs="宋体"/>
                <w:color w:val="auto"/>
                <w:sz w:val="24"/>
                <w:szCs w:val="20"/>
                <w:highlight w:val="none"/>
                <w:lang w:val="en-US" w:eastAsia="zh-CN"/>
              </w:rPr>
              <w:t>3</w:t>
            </w:r>
            <w:r>
              <w:rPr>
                <w:rFonts w:hint="eastAsia" w:ascii="宋体" w:hAnsi="宋体" w:cs="宋体"/>
                <w:color w:val="auto"/>
                <w:sz w:val="24"/>
                <w:szCs w:val="20"/>
                <w:highlight w:val="none"/>
              </w:rPr>
              <w:t>分，否则不得分。注：须提供相关证件原件的电子扫描件。</w:t>
            </w:r>
          </w:p>
          <w:p>
            <w:pPr>
              <w:numPr>
                <w:ilvl w:val="0"/>
                <w:numId w:val="0"/>
              </w:numPr>
              <w:spacing w:line="40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szCs w:val="20"/>
                <w:highlight w:val="none"/>
                <w:lang w:val="en-US" w:eastAsia="zh-CN"/>
              </w:rPr>
              <w:t>2.</w:t>
            </w:r>
            <w:r>
              <w:rPr>
                <w:rFonts w:hint="eastAsia" w:ascii="宋体" w:hAnsi="宋体" w:cs="宋体"/>
                <w:color w:val="auto"/>
                <w:sz w:val="24"/>
                <w:szCs w:val="20"/>
                <w:highlight w:val="none"/>
              </w:rPr>
              <w:t>投标人</w:t>
            </w:r>
            <w:r>
              <w:rPr>
                <w:rFonts w:hint="eastAsia" w:ascii="宋体" w:hAnsi="宋体" w:cs="宋体"/>
                <w:color w:val="auto"/>
                <w:sz w:val="24"/>
                <w:szCs w:val="20"/>
                <w:highlight w:val="none"/>
                <w:lang w:val="en-US" w:eastAsia="zh-CN"/>
              </w:rPr>
              <w:t>具有有效期内的ISO认证的（质量管理体系认证；环境管理体系认证；职业健康安全管理体系认证），每提供1个得1分，最多得3分。</w:t>
            </w:r>
            <w:r>
              <w:rPr>
                <w:rFonts w:hint="eastAsia" w:ascii="宋体" w:hAnsi="宋体" w:eastAsia="宋体" w:cs="宋体"/>
                <w:color w:val="auto"/>
                <w:sz w:val="24"/>
                <w:highlight w:val="none"/>
                <w:lang w:val="en-US" w:eastAsia="zh-CN"/>
              </w:rPr>
              <w:t>不提供不得分。</w:t>
            </w:r>
          </w:p>
          <w:p>
            <w:pPr>
              <w:numPr>
                <w:ilvl w:val="0"/>
                <w:numId w:val="0"/>
              </w:numPr>
              <w:spacing w:line="400" w:lineRule="exact"/>
              <w:jc w:val="left"/>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注：认可、认证证书须可在国家认证认可监督管理委员会官网网站（http：//www.cnca.gov.cn）查询，并附上查询截图加盖公章。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2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拟投入本项目人员</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numPr>
                <w:ilvl w:val="-1"/>
                <w:numId w:val="0"/>
              </w:num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1、项目负责人具有</w:t>
            </w:r>
            <w:r>
              <w:rPr>
                <w:rFonts w:hint="eastAsia" w:ascii="宋体" w:hAnsi="宋体" w:cs="宋体"/>
                <w:color w:val="auto"/>
                <w:sz w:val="24"/>
                <w:highlight w:val="none"/>
                <w:lang w:val="en-US" w:eastAsia="zh-CN"/>
              </w:rPr>
              <w:t>与本项目</w:t>
            </w:r>
            <w:r>
              <w:rPr>
                <w:rFonts w:hint="eastAsia" w:ascii="宋体" w:hAnsi="宋体" w:cs="宋体"/>
                <w:color w:val="auto"/>
                <w:sz w:val="24"/>
                <w:highlight w:val="none"/>
              </w:rPr>
              <w:t>相关专业</w:t>
            </w:r>
            <w:r>
              <w:rPr>
                <w:rFonts w:hint="eastAsia" w:ascii="宋体" w:hAnsi="宋体" w:cs="宋体"/>
                <w:color w:val="auto"/>
                <w:sz w:val="24"/>
                <w:highlight w:val="none"/>
                <w:lang w:val="en-US" w:eastAsia="zh-CN"/>
              </w:rPr>
              <w:t>的正</w:t>
            </w:r>
            <w:r>
              <w:rPr>
                <w:rFonts w:hint="eastAsia" w:ascii="宋体" w:hAnsi="宋体" w:cs="宋体"/>
                <w:color w:val="auto"/>
                <w:sz w:val="24"/>
                <w:highlight w:val="none"/>
              </w:rPr>
              <w:t>高级</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享受教授、研究院待遇的高级工程师/研究院）</w:t>
            </w:r>
            <w:r>
              <w:rPr>
                <w:rFonts w:hint="eastAsia" w:ascii="宋体" w:hAnsi="宋体" w:cs="宋体"/>
                <w:color w:val="auto"/>
                <w:sz w:val="24"/>
                <w:highlight w:val="none"/>
              </w:rPr>
              <w:t>职称得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分，高级职称得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、项目组成员（含项目负责人）具有</w:t>
            </w:r>
            <w:r>
              <w:rPr>
                <w:rFonts w:hint="eastAsia" w:ascii="宋体" w:hAnsi="宋体" w:cs="宋体"/>
                <w:color w:val="auto"/>
                <w:sz w:val="24"/>
                <w:highlight w:val="none"/>
                <w:lang w:val="en-US" w:eastAsia="zh-CN"/>
              </w:rPr>
              <w:t>由国家海洋标准计量中心颁发的</w:t>
            </w:r>
            <w:r>
              <w:rPr>
                <w:rFonts w:hint="eastAsia" w:ascii="宋体" w:hAnsi="宋体" w:cs="宋体"/>
                <w:color w:val="auto"/>
                <w:sz w:val="24"/>
                <w:highlight w:val="none"/>
              </w:rPr>
              <w:t>“海洋监/检测人员培训证书”</w:t>
            </w:r>
            <w:r>
              <w:rPr>
                <w:rFonts w:hint="eastAsia" w:ascii="宋体" w:hAnsi="宋体" w:cs="宋体"/>
                <w:color w:val="auto"/>
                <w:sz w:val="24"/>
                <w:highlight w:val="none"/>
                <w:lang w:val="en-US" w:eastAsia="zh-CN"/>
              </w:rPr>
              <w:t>或具有由市级及以上自然资源部门颁发的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测绘作业证</w:t>
            </w:r>
            <w:r>
              <w:rPr>
                <w:rFonts w:hint="eastAsia" w:ascii="宋体" w:hAnsi="宋体" w:cs="宋体"/>
                <w:color w:val="auto"/>
                <w:sz w:val="24"/>
                <w:highlight w:val="none"/>
                <w:lang w:eastAsia="zh-CN"/>
              </w:rPr>
              <w:t>”</w:t>
            </w:r>
            <w:r>
              <w:rPr>
                <w:rFonts w:hint="eastAsia" w:ascii="宋体" w:hAnsi="宋体" w:cs="宋体"/>
                <w:color w:val="auto"/>
                <w:sz w:val="24"/>
                <w:highlight w:val="none"/>
              </w:rPr>
              <w:t>的人员，每1人加</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分，满分</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拟投入本项目团队人员(不含项目负责人)</w:t>
            </w:r>
            <w:r>
              <w:rPr>
                <w:rFonts w:hint="eastAsia" w:ascii="宋体" w:hAnsi="宋体" w:cs="宋体"/>
                <w:color w:val="auto"/>
                <w:sz w:val="24"/>
                <w:highlight w:val="none"/>
                <w:lang w:val="en-US" w:eastAsia="zh-CN"/>
              </w:rPr>
              <w:t>人数至少为10人，其中与本项目相关中级及以上专业技术职称6人及以上的，得3分；中级及以上专业技术职称4-5人的，得2分；中级及以上专业技术职称2-3人的，得1分，其他情况不得分。</w:t>
            </w: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eastAsia="宋体" w:cs="宋体"/>
                <w:color w:val="auto"/>
                <w:sz w:val="24"/>
                <w:highlight w:val="none"/>
                <w:lang w:val="en-US" w:eastAsia="zh-CN"/>
              </w:rPr>
              <w:t>以上人员均为本单位职工，拟投入本项目组成员均需须提供身份证、职称证书扫描件（或有评审资质单位的评审结果文件）、身份证扫描件和投标截止时间前6个月社保证明扫描件并加盖公章。</w:t>
            </w:r>
            <w:r>
              <w:rPr>
                <w:rFonts w:hint="eastAsia" w:ascii="宋体" w:hAnsi="宋体" w:cs="宋体"/>
                <w:color w:val="auto"/>
                <w:sz w:val="24"/>
                <w:highlight w:val="none"/>
              </w:rPr>
              <w:t>未提供或提供不全不得分。</w:t>
            </w:r>
          </w:p>
          <w:p>
            <w:pPr>
              <w:numPr>
                <w:ilvl w:val="0"/>
                <w:numId w:val="16"/>
              </w:num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rPr>
              <w:t>海洋环境、海洋生态、环境工程等环境相关专业以及海岸工程、港口与海洋工程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海洋测绘</w:t>
            </w:r>
            <w:r>
              <w:rPr>
                <w:rFonts w:hint="eastAsia" w:ascii="宋体" w:hAnsi="宋体" w:cs="宋体"/>
                <w:color w:val="auto"/>
                <w:sz w:val="24"/>
                <w:highlight w:val="none"/>
              </w:rPr>
              <w:t>等均属于相关专业</w:t>
            </w:r>
            <w:r>
              <w:rPr>
                <w:rFonts w:hint="eastAsia" w:ascii="宋体" w:hAnsi="宋体" w:cs="宋体"/>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同一人员拥有多个专业不重复计分。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75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42"/>
              <w:widowControl/>
              <w:autoSpaceDE w:val="0"/>
              <w:autoSpaceDN w:val="0"/>
              <w:adjustRightInd/>
              <w:spacing w:line="360" w:lineRule="auto"/>
              <w:ind w:left="108" w:right="238"/>
              <w:jc w:val="both"/>
              <w:textAlignment w:val="auto"/>
              <w:rPr>
                <w:rFonts w:hint="default" w:ascii="宋体" w:hAnsi="宋体" w:eastAsia="宋体" w:cs="宋体"/>
                <w:color w:val="auto"/>
                <w:sz w:val="24"/>
                <w:szCs w:val="24"/>
                <w:highlight w:val="none"/>
                <w:lang w:val="en-US" w:eastAsia="zh-CN"/>
              </w:rPr>
            </w:pPr>
            <w:r>
              <w:rPr>
                <w:rFonts w:hint="eastAsia" w:cs="宋体"/>
                <w:b/>
                <w:bCs/>
                <w:color w:val="auto"/>
                <w:sz w:val="24"/>
                <w:szCs w:val="24"/>
                <w:highlight w:val="none"/>
                <w:lang w:val="en-US" w:eastAsia="zh-CN"/>
              </w:rPr>
              <w:t>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工作方案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pStyle w:val="42"/>
              <w:widowControl/>
              <w:autoSpaceDE w:val="0"/>
              <w:autoSpaceDN w:val="0"/>
              <w:adjustRightInd/>
              <w:spacing w:line="360" w:lineRule="auto"/>
              <w:ind w:left="108" w:right="238"/>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1、工作方案科学合理，有较强的针对性，在深度、高度、合理性、符合性、可行性等方面优于招标要求，切合实际。（10（含）-15分）</w:t>
            </w:r>
          </w:p>
          <w:p>
            <w:pPr>
              <w:pStyle w:val="42"/>
              <w:widowControl/>
              <w:autoSpaceDE w:val="0"/>
              <w:autoSpaceDN w:val="0"/>
              <w:adjustRightInd/>
              <w:spacing w:line="360" w:lineRule="auto"/>
              <w:ind w:left="108" w:right="238"/>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2、工作方案基本合理，有针对性，在深度、高度、合理性、符合性、可行性等方面满足招标要求，较切合实际。（5（含）-10分）</w:t>
            </w:r>
          </w:p>
          <w:p>
            <w:pPr>
              <w:pStyle w:val="42"/>
              <w:widowControl/>
              <w:autoSpaceDE w:val="0"/>
              <w:autoSpaceDN w:val="0"/>
              <w:adjustRightInd/>
              <w:spacing w:line="360" w:lineRule="auto"/>
              <w:ind w:left="108" w:right="238"/>
              <w:jc w:val="both"/>
              <w:textAlignment w:val="auto"/>
              <w:rPr>
                <w:rFonts w:hint="eastAsia"/>
                <w:color w:val="auto"/>
                <w:highlight w:val="none"/>
              </w:rPr>
            </w:pPr>
            <w:r>
              <w:rPr>
                <w:rFonts w:hint="eastAsia" w:ascii="宋体" w:hAnsi="宋体" w:eastAsia="宋体" w:cs="宋体"/>
                <w:color w:val="auto"/>
                <w:sz w:val="24"/>
                <w:szCs w:val="24"/>
                <w:highlight w:val="none"/>
                <w:lang w:eastAsia="zh-CN"/>
              </w:rPr>
              <w:t>3、工作方案要求在深度、高度、合理性、符合性、可行性等方面有欠缺，不太切合实际。（0-5分）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left"/>
              <w:textAlignment w:val="auto"/>
              <w:rPr>
                <w:rFonts w:hint="default" w:ascii="宋体" w:hAnsi="宋体" w:eastAsia="宋体" w:cs="宋体"/>
                <w:color w:val="auto"/>
                <w:kern w:val="2"/>
                <w:sz w:val="24"/>
                <w:highlight w:val="none"/>
                <w:lang w:val="en-US" w:eastAsia="zh-CN" w:bidi="ar-SA"/>
              </w:rPr>
            </w:pPr>
            <w:r>
              <w:rPr>
                <w:rFonts w:hint="eastAsia" w:ascii="宋体" w:hAnsi="宋体"/>
                <w:color w:val="auto"/>
                <w:sz w:val="24"/>
                <w:highlight w:val="none"/>
                <w:lang w:val="en-US" w:eastAsia="zh-CN"/>
              </w:rPr>
              <w:t>设备保障</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2"/>
              <w:keepNext w:val="0"/>
              <w:keepLines w:val="0"/>
              <w:pageBreakBefore w:val="0"/>
              <w:kinsoku/>
              <w:wordWrap/>
              <w:overflowPunct/>
              <w:topLinePunct w:val="0"/>
              <w:bidi w:val="0"/>
              <w:adjustRightInd/>
              <w:snapToGrid/>
              <w:spacing w:before="1" w:line="360" w:lineRule="auto"/>
              <w:jc w:val="center"/>
              <w:textAlignment w:val="auto"/>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.00</w:t>
            </w:r>
          </w:p>
        </w:tc>
        <w:tc>
          <w:tcPr>
            <w:tcW w:w="6469" w:type="dxa"/>
            <w:tcBorders>
              <w:top w:val="single" w:color="000000" w:sz="4" w:space="0"/>
              <w:left w:val="single" w:color="000000" w:sz="4" w:space="0"/>
              <w:bottom w:val="single" w:color="000000" w:sz="4" w:space="0"/>
              <w:right w:val="single" w:color="000000" w:sz="4" w:space="0"/>
            </w:tcBorders>
            <w:noWrap w:val="0"/>
            <w:vAlign w:val="top"/>
          </w:tcPr>
          <w:p>
            <w:pPr>
              <w:pStyle w:val="42"/>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软硬件设备最先进，能提供最先进、完善的服务，保障成果质量的可靠技术设备，得</w:t>
            </w:r>
            <w:r>
              <w:rPr>
                <w:rFonts w:hint="eastAsia" w:cs="宋体"/>
                <w:color w:val="auto"/>
                <w:kern w:val="2"/>
                <w:sz w:val="24"/>
                <w:szCs w:val="22"/>
                <w:highlight w:val="none"/>
                <w:lang w:val="en-US" w:eastAsia="zh-CN" w:bidi="ar-SA"/>
              </w:rPr>
              <w:t>7（含）</w:t>
            </w:r>
            <w:r>
              <w:rPr>
                <w:rFonts w:hint="eastAsia" w:ascii="宋体" w:hAnsi="宋体" w:eastAsia="宋体" w:cs="宋体"/>
                <w:color w:val="auto"/>
                <w:kern w:val="2"/>
                <w:sz w:val="24"/>
                <w:szCs w:val="22"/>
                <w:highlight w:val="none"/>
                <w:lang w:val="en-US" w:eastAsia="zh-CN" w:bidi="ar-SA"/>
              </w:rPr>
              <w:t>-10分；</w:t>
            </w:r>
          </w:p>
          <w:p>
            <w:pPr>
              <w:pStyle w:val="42"/>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软硬件设备比较先进，能提供比较先进、完善的服务，保障成果质量的可靠技术设备，得</w:t>
            </w:r>
            <w:r>
              <w:rPr>
                <w:rFonts w:hint="eastAsia" w:cs="宋体"/>
                <w:color w:val="auto"/>
                <w:kern w:val="2"/>
                <w:sz w:val="24"/>
                <w:szCs w:val="22"/>
                <w:highlight w:val="none"/>
                <w:lang w:val="en-US" w:eastAsia="zh-CN" w:bidi="ar-SA"/>
              </w:rPr>
              <w:t>3（含）</w:t>
            </w:r>
            <w:r>
              <w:rPr>
                <w:rFonts w:hint="eastAsia" w:ascii="宋体" w:hAnsi="宋体" w:eastAsia="宋体" w:cs="宋体"/>
                <w:color w:val="auto"/>
                <w:kern w:val="2"/>
                <w:sz w:val="24"/>
                <w:szCs w:val="22"/>
                <w:highlight w:val="none"/>
                <w:lang w:val="en-US" w:eastAsia="zh-CN" w:bidi="ar-SA"/>
              </w:rPr>
              <w:t>-7分；</w:t>
            </w:r>
          </w:p>
          <w:p>
            <w:pPr>
              <w:pStyle w:val="42"/>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软硬件设备符合要求，能提供完善的服务，保障成果质量的可靠技术设备，得0-3分</w:t>
            </w:r>
            <w:r>
              <w:rPr>
                <w:rFonts w:hint="eastAsia" w:cs="宋体"/>
                <w:color w:val="auto"/>
                <w:kern w:val="2"/>
                <w:sz w:val="24"/>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质量</w:t>
            </w:r>
            <w:r>
              <w:rPr>
                <w:rFonts w:hint="eastAsia" w:ascii="宋体" w:hAnsi="宋体" w:cs="宋体"/>
                <w:color w:val="auto"/>
                <w:sz w:val="24"/>
                <w:highlight w:val="none"/>
                <w:lang w:val="en-US" w:eastAsia="zh-CN"/>
              </w:rPr>
              <w:t>控制</w:t>
            </w:r>
            <w:r>
              <w:rPr>
                <w:rFonts w:hint="eastAsia" w:ascii="宋体" w:hAnsi="宋体" w:eastAsia="宋体" w:cs="宋体"/>
                <w:color w:val="auto"/>
                <w:sz w:val="24"/>
                <w:highlight w:val="none"/>
              </w:rPr>
              <w:t>保证措施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服务质量保证体系健全，工作程序清晰，安排科学，保证措施有力，有具体的质量违约责任承诺的得</w:t>
            </w:r>
            <w:r>
              <w:rPr>
                <w:rFonts w:hint="eastAsia" w:ascii="宋体" w:hAnsi="宋体" w:cs="宋体"/>
                <w:color w:val="auto"/>
                <w:sz w:val="24"/>
                <w:highlight w:val="none"/>
                <w:lang w:val="en-US" w:eastAsia="zh-CN"/>
              </w:rPr>
              <w:t>7（含）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服务质量保证体系健全，工作程序清晰，安排基本合理，保证措施较合理，有质量违约责任承诺的得</w:t>
            </w:r>
            <w:r>
              <w:rPr>
                <w:rFonts w:hint="eastAsia" w:ascii="宋体" w:hAnsi="宋体" w:cs="宋体"/>
                <w:color w:val="auto"/>
                <w:sz w:val="24"/>
                <w:highlight w:val="none"/>
                <w:lang w:val="en-US" w:eastAsia="zh-CN"/>
              </w:rPr>
              <w:t>3（含）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w:t>
            </w:r>
          </w:p>
          <w:p>
            <w:pPr>
              <w:spacing w:line="400" w:lineRule="exact"/>
              <w:rPr>
                <w:rFonts w:hint="eastAsia" w:ascii="Times New Roman" w:hAnsi="Times New Roman" w:eastAsia="宋体" w:cs="Times New Roman"/>
                <w:color w:val="auto"/>
                <w:spacing w:val="0"/>
                <w:kern w:val="0"/>
                <w:sz w:val="24"/>
                <w:highlight w:val="none"/>
                <w:lang w:val="en-US" w:eastAsia="zh-CN" w:bidi="ar-SA"/>
              </w:rPr>
            </w:pPr>
            <w:r>
              <w:rPr>
                <w:rFonts w:hint="eastAsia" w:ascii="宋体" w:hAnsi="宋体" w:eastAsia="宋体" w:cs="宋体"/>
                <w:color w:val="auto"/>
                <w:sz w:val="24"/>
                <w:highlight w:val="none"/>
              </w:rPr>
              <w:t>服务质量保证体系欠缺，工作程序清晰，安排基本合理，保证措施基本合理的得</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实施进度计划及保障措施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实施进度计划明确，保障措施</w:t>
            </w:r>
            <w:r>
              <w:rPr>
                <w:rFonts w:hint="eastAsia" w:ascii="宋体" w:hAnsi="宋体" w:cs="宋体"/>
                <w:color w:val="auto"/>
                <w:sz w:val="24"/>
                <w:highlight w:val="none"/>
                <w:lang w:val="en-US" w:eastAsia="zh-CN"/>
              </w:rPr>
              <w:t>有力</w:t>
            </w:r>
            <w:r>
              <w:rPr>
                <w:rFonts w:hint="eastAsia" w:ascii="宋体" w:hAnsi="宋体" w:eastAsia="宋体" w:cs="宋体"/>
                <w:color w:val="auto"/>
                <w:sz w:val="24"/>
                <w:highlight w:val="none"/>
              </w:rPr>
              <w:t>、科学合理、可行性强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对不同阶段的工作有周密、细致的计划及控制措施，得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实施进度计划</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明确，保障措施</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完善、</w:t>
            </w:r>
            <w:r>
              <w:rPr>
                <w:rFonts w:hint="eastAsia" w:ascii="宋体" w:hAnsi="宋体" w:cs="宋体"/>
                <w:color w:val="auto"/>
                <w:sz w:val="24"/>
                <w:highlight w:val="none"/>
                <w:lang w:val="en-US" w:eastAsia="zh-CN"/>
              </w:rPr>
              <w:t>具有科学性和</w:t>
            </w:r>
            <w:r>
              <w:rPr>
                <w:rFonts w:hint="eastAsia" w:ascii="宋体" w:hAnsi="宋体" w:eastAsia="宋体" w:cs="宋体"/>
                <w:color w:val="auto"/>
                <w:sz w:val="24"/>
                <w:highlight w:val="none"/>
              </w:rPr>
              <w:t>可行性</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工作有比较周密、细致的计划控制措施，得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实施进度计划</w:t>
            </w:r>
            <w:r>
              <w:rPr>
                <w:rFonts w:hint="eastAsia" w:ascii="宋体" w:hAnsi="宋体" w:cs="宋体"/>
                <w:color w:val="auto"/>
                <w:sz w:val="24"/>
                <w:highlight w:val="none"/>
                <w:lang w:val="en-US" w:eastAsia="zh-CN"/>
              </w:rPr>
              <w:t>模糊</w:t>
            </w:r>
            <w:r>
              <w:rPr>
                <w:rFonts w:hint="eastAsia" w:ascii="宋体" w:hAnsi="宋体" w:eastAsia="宋体" w:cs="宋体"/>
                <w:color w:val="auto"/>
                <w:sz w:val="24"/>
                <w:highlight w:val="none"/>
              </w:rPr>
              <w:t>，保障措施</w:t>
            </w:r>
            <w:r>
              <w:rPr>
                <w:rFonts w:hint="eastAsia" w:ascii="宋体" w:hAnsi="宋体" w:cs="宋体"/>
                <w:color w:val="auto"/>
                <w:sz w:val="24"/>
                <w:highlight w:val="none"/>
                <w:lang w:val="en-US" w:eastAsia="zh-CN"/>
              </w:rPr>
              <w:t>欠缺</w:t>
            </w:r>
            <w:r>
              <w:rPr>
                <w:rFonts w:hint="eastAsia" w:ascii="宋体" w:hAnsi="宋体" w:eastAsia="宋体" w:cs="宋体"/>
                <w:color w:val="auto"/>
                <w:sz w:val="24"/>
                <w:highlight w:val="none"/>
              </w:rPr>
              <w:t>、科学</w:t>
            </w:r>
            <w:r>
              <w:rPr>
                <w:rFonts w:hint="eastAsia" w:ascii="宋体" w:hAnsi="宋体" w:cs="宋体"/>
                <w:color w:val="auto"/>
                <w:sz w:val="24"/>
                <w:highlight w:val="none"/>
                <w:lang w:val="en-US" w:eastAsia="zh-CN"/>
              </w:rPr>
              <w:t>性</w:t>
            </w:r>
            <w:r>
              <w:rPr>
                <w:rFonts w:hint="eastAsia" w:ascii="宋体" w:hAnsi="宋体" w:eastAsia="宋体" w:cs="宋体"/>
                <w:color w:val="auto"/>
                <w:sz w:val="24"/>
                <w:highlight w:val="none"/>
              </w:rPr>
              <w:t>、可行性</w:t>
            </w:r>
            <w:r>
              <w:rPr>
                <w:rFonts w:hint="eastAsia" w:ascii="宋体" w:hAnsi="宋体" w:cs="宋体"/>
                <w:color w:val="auto"/>
                <w:sz w:val="24"/>
                <w:highlight w:val="none"/>
                <w:lang w:val="en-US" w:eastAsia="zh-CN"/>
              </w:rPr>
              <w:t>较差</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工作组织没有周密、细致的计划及控制措施，得</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lang w:eastAsia="zh-CN"/>
              </w:rPr>
              <w:t>重点难点</w:t>
            </w:r>
            <w:r>
              <w:rPr>
                <w:rFonts w:hint="eastAsia" w:ascii="宋体" w:hAnsi="宋体" w:cs="宋体"/>
                <w:color w:val="auto"/>
                <w:sz w:val="24"/>
                <w:highlight w:val="none"/>
                <w:lang w:val="en-US" w:eastAsia="zh-CN"/>
              </w:rPr>
              <w:t>的理解及突发情况的预见和</w:t>
            </w:r>
            <w:r>
              <w:rPr>
                <w:rFonts w:hint="eastAsia" w:ascii="宋体" w:hAnsi="宋体" w:eastAsia="宋体" w:cs="宋体"/>
                <w:color w:val="auto"/>
                <w:sz w:val="24"/>
                <w:highlight w:val="none"/>
                <w:lang w:eastAsia="zh-CN"/>
              </w:rPr>
              <w:t>解决方案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对重点难点理解</w:t>
            </w:r>
            <w:r>
              <w:rPr>
                <w:rFonts w:hint="eastAsia" w:ascii="宋体" w:hAnsi="宋体" w:cs="宋体"/>
                <w:color w:val="auto"/>
                <w:sz w:val="24"/>
                <w:highlight w:val="none"/>
                <w:lang w:val="en-US" w:eastAsia="zh-CN"/>
              </w:rPr>
              <w:t>透彻</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对突发情况的预见全面且</w:t>
            </w:r>
            <w:r>
              <w:rPr>
                <w:rFonts w:hint="eastAsia" w:ascii="宋体" w:hAnsi="宋体" w:eastAsia="宋体" w:cs="宋体"/>
                <w:color w:val="auto"/>
                <w:sz w:val="24"/>
                <w:highlight w:val="none"/>
              </w:rPr>
              <w:t>解决方案的可行性</w:t>
            </w:r>
            <w:r>
              <w:rPr>
                <w:rFonts w:hint="eastAsia" w:ascii="宋体" w:hAnsi="宋体" w:cs="宋体"/>
                <w:color w:val="auto"/>
                <w:sz w:val="24"/>
                <w:highlight w:val="none"/>
                <w:lang w:val="en-US" w:eastAsia="zh-CN"/>
              </w:rPr>
              <w:t>强</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w:t>
            </w:r>
            <w:r>
              <w:rPr>
                <w:rFonts w:hint="eastAsia" w:ascii="宋体" w:hAnsi="宋体" w:cs="宋体"/>
                <w:color w:val="auto"/>
                <w:sz w:val="24"/>
                <w:highlight w:val="none"/>
                <w:lang w:val="en-US" w:eastAsia="zh-CN"/>
              </w:rPr>
              <w:t>稍有</w:t>
            </w:r>
            <w:r>
              <w:rPr>
                <w:rFonts w:hint="eastAsia" w:ascii="宋体" w:hAnsi="宋体" w:eastAsia="宋体" w:cs="宋体"/>
                <w:color w:val="auto"/>
                <w:sz w:val="24"/>
                <w:highlight w:val="none"/>
              </w:rPr>
              <w:t>理解</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对突发情况的预见较为全面且</w:t>
            </w:r>
            <w:r>
              <w:rPr>
                <w:rFonts w:hint="eastAsia" w:ascii="宋体" w:hAnsi="宋体" w:eastAsia="宋体" w:cs="宋体"/>
                <w:color w:val="auto"/>
                <w:sz w:val="24"/>
                <w:highlight w:val="none"/>
              </w:rPr>
              <w:t>解决方案的</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可行性得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对重点难点理解</w:t>
            </w:r>
            <w:r>
              <w:rPr>
                <w:rFonts w:hint="eastAsia" w:ascii="宋体" w:hAnsi="宋体" w:cs="宋体"/>
                <w:color w:val="auto"/>
                <w:sz w:val="24"/>
                <w:highlight w:val="none"/>
                <w:lang w:val="en-US" w:eastAsia="zh-CN"/>
              </w:rPr>
              <w:t>欠缺对突发情况的预见不全面且</w:t>
            </w:r>
            <w:r>
              <w:rPr>
                <w:rFonts w:hint="eastAsia" w:ascii="宋体" w:hAnsi="宋体" w:eastAsia="宋体" w:cs="宋体"/>
                <w:color w:val="auto"/>
                <w:sz w:val="24"/>
                <w:highlight w:val="none"/>
              </w:rPr>
              <w:t>解决方案的可行性</w:t>
            </w:r>
            <w:r>
              <w:rPr>
                <w:rFonts w:hint="eastAsia" w:ascii="宋体" w:hAnsi="宋体" w:cs="宋体"/>
                <w:color w:val="auto"/>
                <w:sz w:val="24"/>
                <w:highlight w:val="none"/>
                <w:lang w:val="en-US" w:eastAsia="zh-CN"/>
              </w:rPr>
              <w:t>差</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资料、信息及管理方案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资料、信息管理方案内容完善、科学合理、可行性强</w:t>
            </w:r>
            <w:r>
              <w:rPr>
                <w:rFonts w:hint="eastAsia" w:ascii="宋体" w:hAnsi="宋体" w:cs="宋体"/>
                <w:color w:val="auto"/>
                <w:sz w:val="24"/>
                <w:highlight w:val="none"/>
                <w:lang w:val="en-US" w:eastAsia="zh-CN"/>
              </w:rPr>
              <w:t>的得2（含）-3分</w:t>
            </w:r>
            <w:r>
              <w:rPr>
                <w:rFonts w:hint="eastAsia" w:ascii="宋体" w:hAnsi="宋体" w:eastAsia="宋体" w:cs="宋体"/>
                <w:color w:val="auto"/>
                <w:sz w:val="24"/>
                <w:highlight w:val="none"/>
              </w:rPr>
              <w:t>；</w:t>
            </w:r>
          </w:p>
          <w:p>
            <w:pPr>
              <w:spacing w:line="400" w:lineRule="exact"/>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资料、信息管理方案满足项目需求，可行性一般</w:t>
            </w:r>
            <w:r>
              <w:rPr>
                <w:rFonts w:hint="eastAsia" w:ascii="宋体" w:hAnsi="宋体" w:cs="宋体"/>
                <w:color w:val="auto"/>
                <w:sz w:val="24"/>
                <w:highlight w:val="none"/>
                <w:lang w:val="en-US" w:eastAsia="zh-CN"/>
              </w:rPr>
              <w:t>的得1（含）-2分；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资料、信息管理方案</w:t>
            </w:r>
            <w:r>
              <w:rPr>
                <w:rFonts w:hint="eastAsia" w:ascii="宋体" w:hAnsi="宋体" w:cs="宋体"/>
                <w:color w:val="auto"/>
                <w:sz w:val="24"/>
                <w:highlight w:val="none"/>
                <w:lang w:val="en-US" w:eastAsia="zh-CN"/>
              </w:rPr>
              <w:t>未</w:t>
            </w:r>
            <w:r>
              <w:rPr>
                <w:rFonts w:hint="eastAsia" w:ascii="宋体" w:hAnsi="宋体" w:eastAsia="宋体" w:cs="宋体"/>
                <w:color w:val="auto"/>
                <w:sz w:val="24"/>
                <w:highlight w:val="none"/>
              </w:rPr>
              <w:t>满足项目需求，可行性</w:t>
            </w:r>
            <w:r>
              <w:rPr>
                <w:rFonts w:hint="eastAsia" w:ascii="宋体" w:hAnsi="宋体" w:cs="宋体"/>
                <w:color w:val="auto"/>
                <w:sz w:val="24"/>
                <w:highlight w:val="none"/>
                <w:lang w:val="en-US" w:eastAsia="zh-CN"/>
              </w:rPr>
              <w:t>差的得0-1分</w:t>
            </w:r>
            <w:r>
              <w:rPr>
                <w:rFonts w:hint="eastAsia" w:ascii="宋体" w:hAnsi="宋体" w:eastAsia="宋体" w:cs="宋体"/>
                <w:color w:val="auto"/>
                <w:sz w:val="24"/>
                <w:highlight w:val="none"/>
              </w:rPr>
              <w:t>。</w:t>
            </w:r>
          </w:p>
        </w:tc>
      </w:tr>
    </w:tbl>
    <w:p>
      <w:pPr>
        <w:numPr>
          <w:ilvl w:val="0"/>
          <w:numId w:val="0"/>
        </w:numPr>
        <w:spacing w:line="360" w:lineRule="auto"/>
        <w:ind w:left="559" w:hanging="559" w:hangingChars="232"/>
        <w:rPr>
          <w:rFonts w:hint="eastAsia"/>
          <w:b/>
          <w:bCs/>
          <w:color w:val="auto"/>
          <w:sz w:val="24"/>
          <w:highlight w:val="none"/>
        </w:rPr>
      </w:pPr>
    </w:p>
    <w:p>
      <w:pPr>
        <w:numPr>
          <w:ilvl w:val="0"/>
          <w:numId w:val="0"/>
        </w:numPr>
        <w:spacing w:line="360" w:lineRule="auto"/>
        <w:ind w:left="559" w:hanging="559" w:hangingChars="232"/>
        <w:rPr>
          <w:rFonts w:hint="eastAsia"/>
          <w:b/>
          <w:bCs/>
          <w:color w:val="auto"/>
          <w:sz w:val="24"/>
          <w:highlight w:val="none"/>
        </w:rPr>
      </w:pPr>
    </w:p>
    <w:p>
      <w:pPr>
        <w:numPr>
          <w:ilvl w:val="0"/>
          <w:numId w:val="0"/>
        </w:numPr>
        <w:spacing w:line="360" w:lineRule="auto"/>
        <w:ind w:left="559" w:hanging="559" w:hangingChars="232"/>
        <w:rPr>
          <w:rFonts w:hint="eastAsia"/>
          <w:b/>
          <w:bCs/>
          <w:color w:val="auto"/>
          <w:sz w:val="24"/>
          <w:highlight w:val="none"/>
          <w:lang w:eastAsia="zh-CN"/>
        </w:rPr>
      </w:pPr>
    </w:p>
    <w:p>
      <w:pPr>
        <w:adjustRightInd w:val="0"/>
        <w:snapToGrid w:val="0"/>
        <w:spacing w:line="360" w:lineRule="auto"/>
        <w:rPr>
          <w:color w:val="auto"/>
          <w:sz w:val="24"/>
          <w:szCs w:val="21"/>
          <w:highlight w:val="none"/>
        </w:rPr>
      </w:pPr>
    </w:p>
    <w:p>
      <w:pPr>
        <w:adjustRightInd w:val="0"/>
        <w:snapToGrid w:val="0"/>
        <w:spacing w:line="360" w:lineRule="auto"/>
        <w:rPr>
          <w:color w:val="auto"/>
          <w:sz w:val="24"/>
          <w:szCs w:val="21"/>
          <w:highlight w:val="none"/>
        </w:rPr>
      </w:pPr>
      <w:r>
        <w:rPr>
          <w:color w:val="auto"/>
          <w:sz w:val="24"/>
          <w:szCs w:val="21"/>
          <w:highlight w:val="none"/>
        </w:rPr>
        <w:t xml:space="preserve"> 说明：</w:t>
      </w:r>
    </w:p>
    <w:p>
      <w:pPr>
        <w:spacing w:after="120" w:line="360" w:lineRule="auto"/>
        <w:ind w:firstLine="600" w:firstLineChars="250"/>
        <w:rPr>
          <w:color w:val="auto"/>
          <w:sz w:val="24"/>
          <w:szCs w:val="21"/>
          <w:highlight w:val="none"/>
        </w:rPr>
      </w:pPr>
      <w:r>
        <w:rPr>
          <w:color w:val="auto"/>
          <w:sz w:val="24"/>
          <w:szCs w:val="21"/>
          <w:highlight w:val="none"/>
        </w:rPr>
        <w:t>1、公式中的投标报价及其个数是指通过评标委员会初步评审的有效投标人投标报价及其个数。</w:t>
      </w:r>
    </w:p>
    <w:p>
      <w:pPr>
        <w:spacing w:after="120" w:line="360" w:lineRule="auto"/>
        <w:ind w:firstLine="600" w:firstLineChars="250"/>
        <w:rPr>
          <w:color w:val="auto"/>
          <w:sz w:val="24"/>
          <w:szCs w:val="28"/>
          <w:highlight w:val="none"/>
        </w:rPr>
      </w:pPr>
      <w:r>
        <w:rPr>
          <w:color w:val="auto"/>
          <w:sz w:val="24"/>
          <w:szCs w:val="21"/>
          <w:highlight w:val="none"/>
        </w:rPr>
        <w:t>2、</w:t>
      </w:r>
      <w:r>
        <w:rPr>
          <w:rFonts w:hint="eastAsia"/>
          <w:color w:val="auto"/>
          <w:spacing w:val="12"/>
          <w:sz w:val="24"/>
          <w:szCs w:val="24"/>
          <w:highlight w:val="none"/>
        </w:rPr>
        <w:t>本项目采用综合评分法评标，不保证最低报价中标。</w:t>
      </w:r>
    </w:p>
    <w:p>
      <w:pPr>
        <w:rPr>
          <w:color w:val="auto"/>
          <w:highlight w:val="none"/>
        </w:rPr>
      </w:pPr>
    </w:p>
    <w:sectPr>
      <w:headerReference r:id="rId16" w:type="default"/>
      <w:pgSz w:w="11906" w:h="16838"/>
      <w:pgMar w:top="1134" w:right="1033" w:bottom="1134" w:left="993"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23</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7"/>
                            <w:pBdr>
                              <w:top w:val="none" w:color="auto" w:sz="0" w:space="1"/>
                            </w:pBdr>
                            <w:rPr>
                              <w:sz w:val="21"/>
                            </w:rPr>
                          </w:pPr>
                          <w:r>
                            <w:rPr>
                              <w:rFonts w:hint="eastAsia"/>
                              <w:sz w:val="21"/>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rPr>
                            <w:t xml:space="preserve"> -</w:t>
                          </w:r>
                        </w:p>
                      </w:txbxContent>
                    </wps:txbx>
                    <wps:bodyPr wrap="none" lIns="0" tIns="0" rIns="0" bIns="0" upright="1">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ZNDuHEAQAAkAMAAA4AAAAAAAAAAQAgAAAAHwEAAGRycy9lMm9Eb2MueG1s&#10;UEsFBgAAAAAGAAYAWQEAAFUFAAAAAA==&#10;">
              <v:fill on="f" focussize="0,0"/>
              <v:stroke on="f"/>
              <v:imagedata o:title=""/>
              <o:lock v:ext="edit" aspectratio="f"/>
              <v:textbox inset="0mm,0mm,0mm,0mm" style="mso-fit-shape-to-text:t;">
                <w:txbxContent>
                  <w:p>
                    <w:pPr>
                      <w:pStyle w:val="17"/>
                      <w:pBdr>
                        <w:top w:val="none" w:color="auto" w:sz="0" w:space="1"/>
                      </w:pBdr>
                      <w:rPr>
                        <w:sz w:val="21"/>
                      </w:rPr>
                    </w:pPr>
                    <w:r>
                      <w:rPr>
                        <w:rFonts w:hint="eastAsia"/>
                        <w:sz w:val="21"/>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8B42"/>
    <w:multiLevelType w:val="singleLevel"/>
    <w:tmpl w:val="88998B42"/>
    <w:lvl w:ilvl="0" w:tentative="0">
      <w:start w:val="1"/>
      <w:numFmt w:val="decimal"/>
      <w:lvlText w:val="%1."/>
      <w:lvlJc w:val="left"/>
      <w:pPr>
        <w:tabs>
          <w:tab w:val="left" w:pos="312"/>
        </w:tabs>
      </w:pPr>
    </w:lvl>
  </w:abstractNum>
  <w:abstractNum w:abstractNumId="1">
    <w:nsid w:val="F6BBB48B"/>
    <w:multiLevelType w:val="singleLevel"/>
    <w:tmpl w:val="F6BBB48B"/>
    <w:lvl w:ilvl="0" w:tentative="0">
      <w:start w:val="3"/>
      <w:numFmt w:val="decimal"/>
      <w:suff w:val="nothing"/>
      <w:lvlText w:val="%1、"/>
      <w:lvlJc w:val="left"/>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default"/>
        <w:color w:val="auto"/>
      </w:rPr>
    </w:lvl>
    <w:lvl w:ilvl="1" w:tentative="0">
      <w:start w:val="1"/>
      <w:numFmt w:val="decimal"/>
      <w:lvlText w:val="（%2）"/>
      <w:lvlJc w:val="left"/>
      <w:pPr>
        <w:tabs>
          <w:tab w:val="left" w:pos="1560"/>
        </w:tabs>
        <w:ind w:left="1560" w:hanging="720"/>
      </w:pPr>
      <w:rPr>
        <w:rFonts w:hint="default"/>
      </w:rPr>
    </w:lvl>
    <w:lvl w:ilvl="2" w:tentative="0">
      <w:start w:val="1"/>
      <w:numFmt w:val="decimalEnclosedCircle"/>
      <w:lvlText w:val="%3"/>
      <w:lvlJc w:val="left"/>
      <w:pPr>
        <w:tabs>
          <w:tab w:val="left" w:pos="1620"/>
        </w:tabs>
        <w:ind w:left="1620" w:hanging="360"/>
      </w:pPr>
      <w:rPr>
        <w:rFonts w:hint="default"/>
        <w:u w:val="none"/>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0"/>
    <w:multiLevelType w:val="multilevel"/>
    <w:tmpl w:val="00000010"/>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00000019"/>
    <w:multiLevelType w:val="multilevel"/>
    <w:tmpl w:val="00000019"/>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34"/>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5">
    <w:nsid w:val="00000020"/>
    <w:multiLevelType w:val="multilevel"/>
    <w:tmpl w:val="00000020"/>
    <w:lvl w:ilvl="0" w:tentative="0">
      <w:start w:val="1"/>
      <w:numFmt w:val="japaneseCounting"/>
      <w:lvlText w:val="%1、"/>
      <w:lvlJc w:val="left"/>
      <w:pPr>
        <w:ind w:left="1361" w:hanging="510"/>
      </w:pPr>
      <w:rPr>
        <w:rFonts w:hint="default"/>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6">
    <w:nsid w:val="0000002A"/>
    <w:multiLevelType w:val="multilevel"/>
    <w:tmpl w:val="0000002A"/>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D"/>
    <w:multiLevelType w:val="multilevel"/>
    <w:tmpl w:val="0000002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31"/>
    <w:multiLevelType w:val="multilevel"/>
    <w:tmpl w:val="00000031"/>
    <w:lvl w:ilvl="0" w:tentative="0">
      <w:start w:val="1"/>
      <w:numFmt w:val="chineseCountingThousand"/>
      <w:lvlText w:val="第%1条"/>
      <w:lvlJc w:val="left"/>
      <w:pPr>
        <w:tabs>
          <w:tab w:val="left" w:pos="1828"/>
        </w:tabs>
        <w:ind w:left="2242"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6FE5E1F"/>
    <w:multiLevelType w:val="multilevel"/>
    <w:tmpl w:val="06FE5E1F"/>
    <w:lvl w:ilvl="0" w:tentative="0">
      <w:start w:val="1"/>
      <w:numFmt w:val="decimal"/>
      <w:lvlText w:val="%1."/>
      <w:lvlJc w:val="left"/>
      <w:pPr>
        <w:ind w:left="630" w:hanging="420"/>
      </w:pPr>
      <w:rPr>
        <w:b w:val="0"/>
        <w:color w:val="auto"/>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10">
    <w:nsid w:val="18F26DC8"/>
    <w:multiLevelType w:val="singleLevel"/>
    <w:tmpl w:val="18F26DC8"/>
    <w:lvl w:ilvl="0" w:tentative="0">
      <w:start w:val="3"/>
      <w:numFmt w:val="chineseCounting"/>
      <w:suff w:val="nothing"/>
      <w:lvlText w:val="%1、"/>
      <w:lvlJc w:val="left"/>
      <w:rPr>
        <w:rFonts w:hint="eastAsia"/>
      </w:rPr>
    </w:lvl>
  </w:abstractNum>
  <w:abstractNum w:abstractNumId="11">
    <w:nsid w:val="1CBB62B9"/>
    <w:multiLevelType w:val="multilevel"/>
    <w:tmpl w:val="1CBB62B9"/>
    <w:lvl w:ilvl="0" w:tentative="0">
      <w:start w:val="1"/>
      <w:numFmt w:val="decimal"/>
      <w:lvlText w:val="4.%1"/>
      <w:lvlJc w:val="left"/>
      <w:pPr>
        <w:ind w:left="782" w:hanging="420"/>
      </w:pPr>
      <w:rPr>
        <w:rFonts w:hint="eastAsia"/>
      </w:rPr>
    </w:lvl>
    <w:lvl w:ilvl="1" w:tentative="0">
      <w:start w:val="1"/>
      <w:numFmt w:val="lowerLetter"/>
      <w:lvlText w:val="%2)"/>
      <w:lvlJc w:val="left"/>
      <w:pPr>
        <w:ind w:left="1202" w:hanging="420"/>
      </w:pPr>
    </w:lvl>
    <w:lvl w:ilvl="2" w:tentative="0">
      <w:start w:val="1"/>
      <w:numFmt w:val="lowerRoman"/>
      <w:lvlText w:val="%3."/>
      <w:lvlJc w:val="right"/>
      <w:pPr>
        <w:ind w:left="1622" w:hanging="420"/>
      </w:pPr>
    </w:lvl>
    <w:lvl w:ilvl="3" w:tentative="0">
      <w:start w:val="1"/>
      <w:numFmt w:val="decimal"/>
      <w:lvlText w:val="%4."/>
      <w:lvlJc w:val="left"/>
      <w:pPr>
        <w:ind w:left="2042" w:hanging="420"/>
      </w:pPr>
    </w:lvl>
    <w:lvl w:ilvl="4" w:tentative="0">
      <w:start w:val="1"/>
      <w:numFmt w:val="lowerLetter"/>
      <w:lvlText w:val="%5)"/>
      <w:lvlJc w:val="left"/>
      <w:pPr>
        <w:ind w:left="2462" w:hanging="420"/>
      </w:pPr>
    </w:lvl>
    <w:lvl w:ilvl="5" w:tentative="0">
      <w:start w:val="1"/>
      <w:numFmt w:val="lowerRoman"/>
      <w:lvlText w:val="%6."/>
      <w:lvlJc w:val="right"/>
      <w:pPr>
        <w:ind w:left="2882" w:hanging="420"/>
      </w:pPr>
    </w:lvl>
    <w:lvl w:ilvl="6" w:tentative="0">
      <w:start w:val="1"/>
      <w:numFmt w:val="decimal"/>
      <w:lvlText w:val="%7."/>
      <w:lvlJc w:val="left"/>
      <w:pPr>
        <w:ind w:left="3302" w:hanging="420"/>
      </w:pPr>
    </w:lvl>
    <w:lvl w:ilvl="7" w:tentative="0">
      <w:start w:val="1"/>
      <w:numFmt w:val="lowerLetter"/>
      <w:lvlText w:val="%8)"/>
      <w:lvlJc w:val="left"/>
      <w:pPr>
        <w:ind w:left="3722" w:hanging="420"/>
      </w:pPr>
    </w:lvl>
    <w:lvl w:ilvl="8" w:tentative="0">
      <w:start w:val="1"/>
      <w:numFmt w:val="lowerRoman"/>
      <w:lvlText w:val="%9."/>
      <w:lvlJc w:val="right"/>
      <w:pPr>
        <w:ind w:left="4142" w:hanging="420"/>
      </w:pPr>
    </w:lvl>
  </w:abstractNum>
  <w:abstractNum w:abstractNumId="12">
    <w:nsid w:val="218347B7"/>
    <w:multiLevelType w:val="multilevel"/>
    <w:tmpl w:val="218347B7"/>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7A8AC4"/>
    <w:multiLevelType w:val="singleLevel"/>
    <w:tmpl w:val="2E7A8AC4"/>
    <w:lvl w:ilvl="0" w:tentative="0">
      <w:start w:val="1"/>
      <w:numFmt w:val="decimal"/>
      <w:suff w:val="nothing"/>
      <w:lvlText w:val="（%1）"/>
      <w:lvlJc w:val="left"/>
    </w:lvl>
  </w:abstractNum>
  <w:abstractNum w:abstractNumId="14">
    <w:nsid w:val="37C37DCC"/>
    <w:multiLevelType w:val="singleLevel"/>
    <w:tmpl w:val="37C37DCC"/>
    <w:lvl w:ilvl="0" w:tentative="0">
      <w:start w:val="8"/>
      <w:numFmt w:val="decimal"/>
      <w:suff w:val="nothing"/>
      <w:lvlText w:val="%1、"/>
      <w:lvlJc w:val="left"/>
    </w:lvl>
  </w:abstractNum>
  <w:abstractNum w:abstractNumId="15">
    <w:nsid w:val="5E0716B7"/>
    <w:multiLevelType w:val="singleLevel"/>
    <w:tmpl w:val="5E0716B7"/>
    <w:lvl w:ilvl="0" w:tentative="0">
      <w:start w:val="1"/>
      <w:numFmt w:val="decimal"/>
      <w:lvlText w:val="%1."/>
      <w:lvlJc w:val="left"/>
      <w:pPr>
        <w:tabs>
          <w:tab w:val="left" w:pos="312"/>
        </w:tabs>
      </w:pPr>
    </w:lvl>
  </w:abstractNum>
  <w:num w:numId="1">
    <w:abstractNumId w:val="4"/>
  </w:num>
  <w:num w:numId="2">
    <w:abstractNumId w:val="6"/>
  </w:num>
  <w:num w:numId="3">
    <w:abstractNumId w:val="5"/>
  </w:num>
  <w:num w:numId="4">
    <w:abstractNumId w:val="2"/>
  </w:num>
  <w:num w:numId="5">
    <w:abstractNumId w:val="9"/>
  </w:num>
  <w:num w:numId="6">
    <w:abstractNumId w:val="0"/>
  </w:num>
  <w:num w:numId="7">
    <w:abstractNumId w:val="12"/>
  </w:num>
  <w:num w:numId="8">
    <w:abstractNumId w:val="11"/>
  </w:num>
  <w:num w:numId="9">
    <w:abstractNumId w:val="7"/>
  </w:num>
  <w:num w:numId="10">
    <w:abstractNumId w:val="13"/>
  </w:num>
  <w:num w:numId="11">
    <w:abstractNumId w:val="1"/>
  </w:num>
  <w:num w:numId="12">
    <w:abstractNumId w:val="14"/>
  </w:num>
  <w:num w:numId="13">
    <w:abstractNumId w:val="8"/>
  </w:num>
  <w:num w:numId="14">
    <w:abstractNumId w:val="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GQyNGE5ODk2MWU1ZmE0MjAxNjIxNjcxZTI4NDgifQ=="/>
  </w:docVars>
  <w:rsids>
    <w:rsidRoot w:val="00AE64D3"/>
    <w:rsid w:val="00010344"/>
    <w:rsid w:val="000663F0"/>
    <w:rsid w:val="000B41C3"/>
    <w:rsid w:val="00121F82"/>
    <w:rsid w:val="00176CBA"/>
    <w:rsid w:val="00177F72"/>
    <w:rsid w:val="002A354C"/>
    <w:rsid w:val="002F7026"/>
    <w:rsid w:val="00367C43"/>
    <w:rsid w:val="0039615C"/>
    <w:rsid w:val="00442C41"/>
    <w:rsid w:val="004435F9"/>
    <w:rsid w:val="00540125"/>
    <w:rsid w:val="00584E5C"/>
    <w:rsid w:val="005935A7"/>
    <w:rsid w:val="005D60D2"/>
    <w:rsid w:val="00786E84"/>
    <w:rsid w:val="007B29DF"/>
    <w:rsid w:val="00871538"/>
    <w:rsid w:val="00896CEB"/>
    <w:rsid w:val="00A541B9"/>
    <w:rsid w:val="00AD4A14"/>
    <w:rsid w:val="00AE64D3"/>
    <w:rsid w:val="00C11415"/>
    <w:rsid w:val="00C83DD2"/>
    <w:rsid w:val="00CA4C04"/>
    <w:rsid w:val="00CB59C6"/>
    <w:rsid w:val="00E219CD"/>
    <w:rsid w:val="00F606B4"/>
    <w:rsid w:val="03635063"/>
    <w:rsid w:val="03753E0E"/>
    <w:rsid w:val="037656C3"/>
    <w:rsid w:val="0387309A"/>
    <w:rsid w:val="043C2667"/>
    <w:rsid w:val="047B14FB"/>
    <w:rsid w:val="048B1228"/>
    <w:rsid w:val="04F33787"/>
    <w:rsid w:val="05BE103C"/>
    <w:rsid w:val="05C24FBA"/>
    <w:rsid w:val="06171DB1"/>
    <w:rsid w:val="06A03E0E"/>
    <w:rsid w:val="09652EA6"/>
    <w:rsid w:val="096864F2"/>
    <w:rsid w:val="09F744F6"/>
    <w:rsid w:val="0A4147F6"/>
    <w:rsid w:val="0A8C7FBE"/>
    <w:rsid w:val="0B6A70A6"/>
    <w:rsid w:val="0B8E5FB8"/>
    <w:rsid w:val="0C766B55"/>
    <w:rsid w:val="0DC84989"/>
    <w:rsid w:val="0EF17189"/>
    <w:rsid w:val="0F9943B8"/>
    <w:rsid w:val="10895214"/>
    <w:rsid w:val="11500D7B"/>
    <w:rsid w:val="123516E6"/>
    <w:rsid w:val="13422696"/>
    <w:rsid w:val="139D323C"/>
    <w:rsid w:val="13C50D8E"/>
    <w:rsid w:val="1402050F"/>
    <w:rsid w:val="14791775"/>
    <w:rsid w:val="150E176A"/>
    <w:rsid w:val="151825EE"/>
    <w:rsid w:val="161C557C"/>
    <w:rsid w:val="165D2F38"/>
    <w:rsid w:val="167E55A7"/>
    <w:rsid w:val="175651FE"/>
    <w:rsid w:val="17671A41"/>
    <w:rsid w:val="179D622A"/>
    <w:rsid w:val="17EA71B3"/>
    <w:rsid w:val="18890DA1"/>
    <w:rsid w:val="19E323B6"/>
    <w:rsid w:val="19E57F4B"/>
    <w:rsid w:val="19EE6FFC"/>
    <w:rsid w:val="1B8B526B"/>
    <w:rsid w:val="1B8F067A"/>
    <w:rsid w:val="1BCB3937"/>
    <w:rsid w:val="1C2978AE"/>
    <w:rsid w:val="1D28626C"/>
    <w:rsid w:val="1D741422"/>
    <w:rsid w:val="1E1670E3"/>
    <w:rsid w:val="1E4A1F7E"/>
    <w:rsid w:val="1E531AEB"/>
    <w:rsid w:val="201B39D1"/>
    <w:rsid w:val="20CA3E6F"/>
    <w:rsid w:val="214D058A"/>
    <w:rsid w:val="22121FE4"/>
    <w:rsid w:val="227C5A5D"/>
    <w:rsid w:val="22D01030"/>
    <w:rsid w:val="24F01543"/>
    <w:rsid w:val="25ED2C6C"/>
    <w:rsid w:val="25EE7927"/>
    <w:rsid w:val="263C4B36"/>
    <w:rsid w:val="26BE19EF"/>
    <w:rsid w:val="26C25326"/>
    <w:rsid w:val="2768144C"/>
    <w:rsid w:val="27703C04"/>
    <w:rsid w:val="27A80CF0"/>
    <w:rsid w:val="29F85218"/>
    <w:rsid w:val="2B76574D"/>
    <w:rsid w:val="2BD33389"/>
    <w:rsid w:val="2C0131B2"/>
    <w:rsid w:val="2D207911"/>
    <w:rsid w:val="2D792BDB"/>
    <w:rsid w:val="2E81625F"/>
    <w:rsid w:val="313604A2"/>
    <w:rsid w:val="317B2342"/>
    <w:rsid w:val="31F9050F"/>
    <w:rsid w:val="32CC7B3D"/>
    <w:rsid w:val="33237E79"/>
    <w:rsid w:val="33727DEA"/>
    <w:rsid w:val="33953AD8"/>
    <w:rsid w:val="34C85E7D"/>
    <w:rsid w:val="34D4037C"/>
    <w:rsid w:val="3557388E"/>
    <w:rsid w:val="36AF165F"/>
    <w:rsid w:val="37070849"/>
    <w:rsid w:val="37FE0710"/>
    <w:rsid w:val="396C7089"/>
    <w:rsid w:val="398372C4"/>
    <w:rsid w:val="39E375B3"/>
    <w:rsid w:val="3AFC5754"/>
    <w:rsid w:val="3AFD62E1"/>
    <w:rsid w:val="3D850359"/>
    <w:rsid w:val="3DF023C2"/>
    <w:rsid w:val="3EB017C6"/>
    <w:rsid w:val="41087697"/>
    <w:rsid w:val="425C1958"/>
    <w:rsid w:val="429B4FBF"/>
    <w:rsid w:val="42EE005E"/>
    <w:rsid w:val="42F20076"/>
    <w:rsid w:val="431C44AA"/>
    <w:rsid w:val="441D16AC"/>
    <w:rsid w:val="44AC6E9D"/>
    <w:rsid w:val="44E973C4"/>
    <w:rsid w:val="45344EFF"/>
    <w:rsid w:val="46B75DE7"/>
    <w:rsid w:val="475950F1"/>
    <w:rsid w:val="481E59F2"/>
    <w:rsid w:val="48682AEA"/>
    <w:rsid w:val="48B06F92"/>
    <w:rsid w:val="48C32B5A"/>
    <w:rsid w:val="48D9088B"/>
    <w:rsid w:val="497D7EF4"/>
    <w:rsid w:val="498E69BD"/>
    <w:rsid w:val="4A0F6993"/>
    <w:rsid w:val="4A985226"/>
    <w:rsid w:val="4A996C84"/>
    <w:rsid w:val="4D5325E2"/>
    <w:rsid w:val="4D954C96"/>
    <w:rsid w:val="4E31544E"/>
    <w:rsid w:val="4E7F4223"/>
    <w:rsid w:val="4F28338B"/>
    <w:rsid w:val="4F4628B7"/>
    <w:rsid w:val="4F5D3E1E"/>
    <w:rsid w:val="4F6E3BE4"/>
    <w:rsid w:val="4FCD667C"/>
    <w:rsid w:val="51FE5AB3"/>
    <w:rsid w:val="545215E6"/>
    <w:rsid w:val="54E104D3"/>
    <w:rsid w:val="55050666"/>
    <w:rsid w:val="555C79B5"/>
    <w:rsid w:val="561035FF"/>
    <w:rsid w:val="56965D53"/>
    <w:rsid w:val="579B7A19"/>
    <w:rsid w:val="586839F3"/>
    <w:rsid w:val="59EC76FE"/>
    <w:rsid w:val="5A3B0FD1"/>
    <w:rsid w:val="5ACB7ABF"/>
    <w:rsid w:val="5C3D6E73"/>
    <w:rsid w:val="5C9B5997"/>
    <w:rsid w:val="5CFA723A"/>
    <w:rsid w:val="5E744166"/>
    <w:rsid w:val="5F5F4E16"/>
    <w:rsid w:val="5FD929F7"/>
    <w:rsid w:val="61DA69D6"/>
    <w:rsid w:val="63B51422"/>
    <w:rsid w:val="63BA1E5D"/>
    <w:rsid w:val="64275148"/>
    <w:rsid w:val="64C00108"/>
    <w:rsid w:val="64E26FB9"/>
    <w:rsid w:val="65165F77"/>
    <w:rsid w:val="656C2017"/>
    <w:rsid w:val="65F6176D"/>
    <w:rsid w:val="65FC516D"/>
    <w:rsid w:val="663F0739"/>
    <w:rsid w:val="66EB68F2"/>
    <w:rsid w:val="674E19F8"/>
    <w:rsid w:val="682B1E55"/>
    <w:rsid w:val="687D7267"/>
    <w:rsid w:val="68A00192"/>
    <w:rsid w:val="6970641B"/>
    <w:rsid w:val="699D27C3"/>
    <w:rsid w:val="69D27390"/>
    <w:rsid w:val="6A323A09"/>
    <w:rsid w:val="6A7A6FA8"/>
    <w:rsid w:val="6AAE1B03"/>
    <w:rsid w:val="6AEA5EC8"/>
    <w:rsid w:val="6B0654F6"/>
    <w:rsid w:val="6BB41110"/>
    <w:rsid w:val="6BEB1F0C"/>
    <w:rsid w:val="6CBA368C"/>
    <w:rsid w:val="6CD307EA"/>
    <w:rsid w:val="6D33746F"/>
    <w:rsid w:val="6D5B79DA"/>
    <w:rsid w:val="6E5F17B5"/>
    <w:rsid w:val="703025E3"/>
    <w:rsid w:val="71243816"/>
    <w:rsid w:val="71CF77BE"/>
    <w:rsid w:val="72423AB7"/>
    <w:rsid w:val="7355707C"/>
    <w:rsid w:val="73B8461C"/>
    <w:rsid w:val="74267A63"/>
    <w:rsid w:val="74352082"/>
    <w:rsid w:val="7460720F"/>
    <w:rsid w:val="75377F70"/>
    <w:rsid w:val="756C39EA"/>
    <w:rsid w:val="75A06921"/>
    <w:rsid w:val="76404B70"/>
    <w:rsid w:val="76617D87"/>
    <w:rsid w:val="769259CF"/>
    <w:rsid w:val="774162E2"/>
    <w:rsid w:val="77B96FB2"/>
    <w:rsid w:val="78CF2108"/>
    <w:rsid w:val="7B964DA8"/>
    <w:rsid w:val="7BB07DA1"/>
    <w:rsid w:val="7C634BC2"/>
    <w:rsid w:val="7C766A67"/>
    <w:rsid w:val="7C81239A"/>
    <w:rsid w:val="7CA55B4F"/>
    <w:rsid w:val="7CED4112"/>
    <w:rsid w:val="7D5671AF"/>
    <w:rsid w:val="7DCF3D34"/>
    <w:rsid w:val="7E0155BF"/>
    <w:rsid w:val="7EE47566"/>
    <w:rsid w:val="7F01514B"/>
    <w:rsid w:val="7F6B382F"/>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qFormat/>
    <w:uiPriority w:val="0"/>
    <w:pPr>
      <w:keepNext/>
      <w:keepLines/>
      <w:spacing w:line="576" w:lineRule="auto"/>
      <w:outlineLvl w:val="0"/>
    </w:pPr>
    <w:rPr>
      <w:b/>
      <w:bCs/>
      <w:kern w:val="44"/>
      <w:sz w:val="44"/>
      <w:szCs w:val="44"/>
    </w:rPr>
  </w:style>
  <w:style w:type="paragraph" w:styleId="3">
    <w:name w:val="heading 2"/>
    <w:basedOn w:val="1"/>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unhideWhenUsed/>
    <w:qFormat/>
    <w:uiPriority w:val="0"/>
    <w:pPr>
      <w:keepNext/>
      <w:keepLines/>
      <w:spacing w:line="413" w:lineRule="auto"/>
      <w:outlineLvl w:val="2"/>
    </w:pPr>
    <w:rPr>
      <w:b/>
      <w:bCs/>
      <w:sz w:val="32"/>
      <w:szCs w:val="32"/>
    </w:rPr>
  </w:style>
  <w:style w:type="paragraph" w:styleId="5">
    <w:name w:val="heading 4"/>
    <w:basedOn w:val="1"/>
    <w:unhideWhenUsed/>
    <w:qFormat/>
    <w:uiPriority w:val="0"/>
    <w:pPr>
      <w:keepNext/>
      <w:keepLines/>
      <w:widowControl/>
      <w:spacing w:line="360" w:lineRule="auto"/>
      <w:jc w:val="center"/>
      <w:outlineLvl w:val="3"/>
    </w:pPr>
    <w:rPr>
      <w:rFonts w:ascii="Arial" w:hAnsi="Arial" w:eastAsia="黑体"/>
      <w:kern w:val="0"/>
      <w:sz w:val="28"/>
    </w:rPr>
  </w:style>
  <w:style w:type="paragraph" w:styleId="6">
    <w:name w:val="heading 5"/>
    <w:basedOn w:val="1"/>
    <w:unhideWhenUsed/>
    <w:qFormat/>
    <w:uiPriority w:val="0"/>
    <w:pPr>
      <w:keepNext/>
      <w:keepLines/>
      <w:widowControl/>
      <w:spacing w:line="360" w:lineRule="auto"/>
      <w:ind w:firstLine="499"/>
      <w:jc w:val="left"/>
      <w:outlineLvl w:val="4"/>
    </w:pPr>
    <w:rPr>
      <w:rFonts w:ascii="宋体" w:hAnsi="宋体"/>
      <w:b/>
      <w:kern w:val="0"/>
      <w:sz w:val="24"/>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jc w:val="center"/>
    </w:pPr>
    <w:rPr>
      <w:szCs w:val="21"/>
    </w:rPr>
  </w:style>
  <w:style w:type="paragraph" w:styleId="8">
    <w:name w:val="caption"/>
    <w:basedOn w:val="1"/>
    <w:unhideWhenUsed/>
    <w:qFormat/>
    <w:uiPriority w:val="0"/>
    <w:pPr>
      <w:spacing w:line="480" w:lineRule="auto"/>
    </w:pPr>
    <w:rPr>
      <w:rFonts w:ascii="华文中宋" w:hAnsi="华文中宋" w:eastAsia="华文中宋"/>
      <w:sz w:val="36"/>
    </w:rPr>
  </w:style>
  <w:style w:type="paragraph" w:styleId="9">
    <w:name w:val="annotation text"/>
    <w:basedOn w:val="1"/>
    <w:link w:val="46"/>
    <w:autoRedefine/>
    <w:qFormat/>
    <w:uiPriority w:val="0"/>
    <w:pPr>
      <w:jc w:val="left"/>
    </w:pPr>
  </w:style>
  <w:style w:type="paragraph" w:styleId="10">
    <w:name w:val="Body Text"/>
    <w:basedOn w:val="1"/>
    <w:autoRedefine/>
    <w:qFormat/>
    <w:uiPriority w:val="0"/>
    <w:pPr>
      <w:spacing w:line="360" w:lineRule="auto"/>
    </w:pPr>
    <w:rPr>
      <w:spacing w:val="10"/>
      <w:sz w:val="28"/>
    </w:rPr>
  </w:style>
  <w:style w:type="paragraph" w:styleId="11">
    <w:name w:val="Body Text Indent"/>
    <w:basedOn w:val="1"/>
    <w:autoRedefine/>
    <w:qFormat/>
    <w:uiPriority w:val="99"/>
    <w:pPr>
      <w:autoSpaceDE w:val="0"/>
      <w:autoSpaceDN w:val="0"/>
      <w:adjustRightInd w:val="0"/>
      <w:spacing w:line="312" w:lineRule="auto"/>
      <w:ind w:firstLine="680"/>
    </w:pPr>
    <w:rPr>
      <w:rFonts w:ascii="宋体"/>
      <w:spacing w:val="6"/>
      <w:kern w:val="0"/>
      <w:sz w:val="28"/>
    </w:rPr>
  </w:style>
  <w:style w:type="paragraph" w:styleId="12">
    <w:name w:val="toc 3"/>
    <w:basedOn w:val="1"/>
    <w:autoRedefine/>
    <w:qFormat/>
    <w:uiPriority w:val="39"/>
    <w:pPr>
      <w:tabs>
        <w:tab w:val="right" w:leader="dot" w:pos="9628"/>
      </w:tabs>
      <w:ind w:left="567" w:leftChars="270"/>
    </w:pPr>
  </w:style>
  <w:style w:type="paragraph" w:styleId="13">
    <w:name w:val="Plain Text"/>
    <w:basedOn w:val="1"/>
    <w:autoRedefine/>
    <w:qFormat/>
    <w:uiPriority w:val="0"/>
    <w:rPr>
      <w:rFonts w:ascii="宋体" w:hAnsi="Courier New" w:cs="Courier New"/>
      <w:szCs w:val="21"/>
    </w:rPr>
  </w:style>
  <w:style w:type="paragraph" w:styleId="14">
    <w:name w:val="Date"/>
    <w:basedOn w:val="1"/>
    <w:autoRedefine/>
    <w:qFormat/>
    <w:uiPriority w:val="0"/>
  </w:style>
  <w:style w:type="paragraph" w:styleId="15">
    <w:name w:val="Body Text Indent 2"/>
    <w:basedOn w:val="1"/>
    <w:autoRedefine/>
    <w:qFormat/>
    <w:uiPriority w:val="0"/>
    <w:pPr>
      <w:widowControl/>
      <w:overflowPunct w:val="0"/>
      <w:autoSpaceDE w:val="0"/>
      <w:autoSpaceDN w:val="0"/>
      <w:adjustRightInd w:val="0"/>
      <w:spacing w:line="360" w:lineRule="auto"/>
      <w:ind w:firstLine="555"/>
    </w:pPr>
    <w:rPr>
      <w:rFonts w:ascii="宋体" w:hAnsi="MS Sans Serif"/>
      <w:spacing w:val="12"/>
      <w:kern w:val="0"/>
      <w:sz w:val="24"/>
    </w:rPr>
  </w:style>
  <w:style w:type="paragraph" w:styleId="16">
    <w:name w:val="Balloon Text"/>
    <w:basedOn w:val="1"/>
    <w:link w:val="44"/>
    <w:autoRedefine/>
    <w:qFormat/>
    <w:uiPriority w:val="0"/>
    <w:rPr>
      <w:sz w:val="18"/>
      <w:szCs w:val="18"/>
    </w:rPr>
  </w:style>
  <w:style w:type="paragraph" w:styleId="17">
    <w:name w:val="footer"/>
    <w:basedOn w:val="1"/>
    <w:link w:val="45"/>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Body Text Indent 3"/>
    <w:basedOn w:val="1"/>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rPr>
  </w:style>
  <w:style w:type="paragraph" w:styleId="21">
    <w:name w:val="toc 2"/>
    <w:basedOn w:val="22"/>
    <w:next w:val="22"/>
    <w:autoRedefine/>
    <w:qFormat/>
    <w:uiPriority w:val="0"/>
    <w:pPr>
      <w:ind w:left="420" w:leftChars="200"/>
    </w:pPr>
  </w:style>
  <w:style w:type="paragraph" w:customStyle="1" w:styleId="22">
    <w:name w:val="Normal_0"/>
    <w:qFormat/>
    <w:uiPriority w:val="0"/>
    <w:rPr>
      <w:rFonts w:ascii="Times New Roman" w:hAnsi="Times New Roman" w:eastAsia="宋体" w:cs="Times New Roman"/>
      <w:sz w:val="24"/>
      <w:szCs w:val="24"/>
      <w:lang w:val="en-US" w:eastAsia="zh-CN" w:bidi="ar-SA"/>
    </w:rPr>
  </w:style>
  <w:style w:type="paragraph" w:styleId="23">
    <w:name w:val="Normal (Web)"/>
    <w:basedOn w:val="1"/>
    <w:qFormat/>
    <w:uiPriority w:val="0"/>
    <w:rPr>
      <w:sz w:val="24"/>
      <w:szCs w:val="24"/>
    </w:rPr>
  </w:style>
  <w:style w:type="paragraph" w:styleId="24">
    <w:name w:val="annotation subject"/>
    <w:basedOn w:val="9"/>
    <w:link w:val="47"/>
    <w:qFormat/>
    <w:uiPriority w:val="0"/>
    <w:rPr>
      <w:b/>
      <w:bCs/>
    </w:rPr>
  </w:style>
  <w:style w:type="paragraph" w:styleId="25">
    <w:name w:val="Body Text First Indent 2"/>
    <w:basedOn w:val="11"/>
    <w:qFormat/>
    <w:uiPriority w:val="99"/>
    <w:pPr>
      <w:spacing w:after="120" w:line="360" w:lineRule="atLeast"/>
      <w:ind w:left="420" w:firstLine="210"/>
      <w:jc w:val="left"/>
    </w:pPr>
    <w:rPr>
      <w:rFonts w:ascii="Times New Roman"/>
      <w:spacing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qFormat/>
    <w:uiPriority w:val="99"/>
    <w:rPr>
      <w:rFonts w:ascii="Times New Roman" w:hAnsi="Times New Roman" w:eastAsia="宋体" w:cs="Times New Roman"/>
      <w:color w:val="0000FF"/>
      <w:u w:val="single"/>
    </w:rPr>
  </w:style>
  <w:style w:type="character" w:styleId="30">
    <w:name w:val="annotation reference"/>
    <w:autoRedefine/>
    <w:qFormat/>
    <w:uiPriority w:val="0"/>
    <w:rPr>
      <w:sz w:val="21"/>
      <w:szCs w:val="21"/>
    </w:rPr>
  </w:style>
  <w:style w:type="paragraph" w:customStyle="1" w:styleId="31">
    <w:name w:val="样式 标题 3 + (中文) 黑体 小四 非加粗 段前: 7.8 磅 段后: 0 磅 行距: 固定值 20 磅"/>
    <w:basedOn w:val="4"/>
    <w:autoRedefine/>
    <w:qFormat/>
    <w:uiPriority w:val="0"/>
    <w:pPr>
      <w:spacing w:line="400" w:lineRule="exact"/>
    </w:pPr>
    <w:rPr>
      <w:rFonts w:eastAsia="黑体" w:cs="宋体"/>
      <w:b w:val="0"/>
      <w:szCs w:val="20"/>
    </w:rPr>
  </w:style>
  <w:style w:type="paragraph" w:customStyle="1" w:styleId="32">
    <w:name w:val="font7"/>
    <w:basedOn w:val="3"/>
    <w:qFormat/>
    <w:uiPriority w:val="0"/>
    <w:pPr>
      <w:widowControl/>
      <w:spacing w:before="280" w:after="280" w:line="240" w:lineRule="auto"/>
      <w:ind w:left="3584" w:firstLine="4"/>
      <w:outlineLvl w:val="0"/>
    </w:pPr>
  </w:style>
  <w:style w:type="paragraph" w:customStyle="1" w:styleId="33">
    <w:name w:val="_Style 151"/>
    <w:basedOn w:val="1"/>
    <w:qFormat/>
    <w:uiPriority w:val="0"/>
    <w:pPr>
      <w:ind w:firstLine="420" w:firstLineChars="200"/>
    </w:pPr>
    <w:rPr>
      <w:szCs w:val="24"/>
    </w:rPr>
  </w:style>
  <w:style w:type="paragraph" w:customStyle="1" w:styleId="34">
    <w:name w:val="123"/>
    <w:basedOn w:val="1"/>
    <w:autoRedefine/>
    <w:qFormat/>
    <w:uiPriority w:val="0"/>
    <w:pPr>
      <w:numPr>
        <w:ilvl w:val="1"/>
        <w:numId w:val="1"/>
      </w:numPr>
      <w:tabs>
        <w:tab w:val="left" w:pos="735"/>
      </w:tabs>
    </w:pPr>
    <w:rPr>
      <w:bCs/>
      <w:szCs w:val="24"/>
    </w:rPr>
  </w:style>
  <w:style w:type="paragraph" w:customStyle="1" w:styleId="35">
    <w:name w:val="_Style 1"/>
    <w:basedOn w:val="1"/>
    <w:qFormat/>
    <w:uiPriority w:val="0"/>
    <w:pPr>
      <w:ind w:firstLine="420" w:firstLineChars="200"/>
    </w:pPr>
    <w:rPr>
      <w:szCs w:val="24"/>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表头"/>
    <w:basedOn w:val="1"/>
    <w:qFormat/>
    <w:uiPriority w:val="0"/>
    <w:pPr>
      <w:adjustRightInd w:val="0"/>
      <w:snapToGrid w:val="0"/>
      <w:spacing w:line="312" w:lineRule="auto"/>
      <w:jc w:val="center"/>
    </w:pPr>
    <w:rPr>
      <w:rFonts w:ascii="黑体" w:eastAsia="黑体"/>
      <w:b/>
      <w:color w:val="000000"/>
      <w:spacing w:val="6"/>
      <w:kern w:val="0"/>
      <w:sz w:val="32"/>
    </w:rPr>
  </w:style>
  <w:style w:type="paragraph" w:customStyle="1" w:styleId="39">
    <w:name w:val="无间隔1"/>
    <w:qFormat/>
    <w:uiPriority w:val="1"/>
    <w:rPr>
      <w:rFonts w:ascii="Calibri" w:hAnsi="Calibri" w:eastAsia="宋体" w:cs="Times New Roman"/>
      <w:sz w:val="22"/>
      <w:szCs w:val="22"/>
      <w:lang w:val="en-US" w:eastAsia="zh-CN" w:bidi="ar-SA"/>
    </w:rPr>
  </w:style>
  <w:style w:type="paragraph" w:customStyle="1" w:styleId="40">
    <w:name w:val="yzh-正文段落"/>
    <w:basedOn w:val="10"/>
    <w:autoRedefine/>
    <w:qFormat/>
    <w:uiPriority w:val="0"/>
    <w:pPr>
      <w:adjustRightInd w:val="0"/>
      <w:snapToGrid w:val="0"/>
      <w:ind w:left="735" w:leftChars="350" w:firstLine="480" w:firstLineChars="200"/>
    </w:pPr>
    <w:rPr>
      <w:rFonts w:ascii="宋体" w:hAnsi="宋体"/>
      <w:spacing w:val="0"/>
      <w:sz w:val="24"/>
      <w:szCs w:val="24"/>
    </w:rPr>
  </w:style>
  <w:style w:type="paragraph" w:customStyle="1" w:styleId="41">
    <w:name w:val="yzh-款"/>
    <w:basedOn w:val="1"/>
    <w:qFormat/>
    <w:uiPriority w:val="0"/>
    <w:pPr>
      <w:adjustRightInd w:val="0"/>
      <w:snapToGrid w:val="0"/>
      <w:spacing w:line="480" w:lineRule="auto"/>
      <w:jc w:val="left"/>
      <w:outlineLvl w:val="3"/>
    </w:pPr>
    <w:rPr>
      <w:rFonts w:ascii="宋体" w:hAnsi="宋体" w:eastAsia="黑体"/>
      <w:b/>
      <w:kern w:val="0"/>
      <w:sz w:val="24"/>
      <w:szCs w:val="24"/>
      <w:shd w:val="clear" w:color="auto" w:fill="FFFFFF"/>
    </w:rPr>
  </w:style>
  <w:style w:type="paragraph" w:customStyle="1" w:styleId="42">
    <w:name w:val="Table Paragraph"/>
    <w:basedOn w:val="22"/>
    <w:qFormat/>
    <w:uiPriority w:val="1"/>
    <w:pPr>
      <w:autoSpaceDE w:val="0"/>
      <w:autoSpaceDN w:val="0"/>
    </w:pPr>
    <w:rPr>
      <w:rFonts w:ascii="宋体" w:hAnsi="宋体" w:cs="宋体"/>
      <w:sz w:val="22"/>
      <w:szCs w:val="22"/>
      <w:lang w:eastAsia="en-US"/>
    </w:rPr>
  </w:style>
  <w:style w:type="paragraph" w:customStyle="1" w:styleId="43">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44">
    <w:name w:val="批注框文本 字符"/>
    <w:link w:val="16"/>
    <w:qFormat/>
    <w:uiPriority w:val="0"/>
    <w:rPr>
      <w:kern w:val="2"/>
      <w:sz w:val="18"/>
      <w:szCs w:val="18"/>
    </w:rPr>
  </w:style>
  <w:style w:type="character" w:customStyle="1" w:styleId="45">
    <w:name w:val="页脚 字符"/>
    <w:link w:val="17"/>
    <w:autoRedefine/>
    <w:qFormat/>
    <w:uiPriority w:val="0"/>
    <w:rPr>
      <w:kern w:val="2"/>
      <w:sz w:val="18"/>
      <w:szCs w:val="18"/>
    </w:rPr>
  </w:style>
  <w:style w:type="character" w:customStyle="1" w:styleId="46">
    <w:name w:val="批注文字 字符"/>
    <w:link w:val="9"/>
    <w:qFormat/>
    <w:uiPriority w:val="0"/>
    <w:rPr>
      <w:kern w:val="2"/>
      <w:sz w:val="21"/>
    </w:rPr>
  </w:style>
  <w:style w:type="character" w:customStyle="1" w:styleId="47">
    <w:name w:val="批注主题 字符"/>
    <w:link w:val="24"/>
    <w:qFormat/>
    <w:uiPriority w:val="0"/>
    <w:rPr>
      <w:b/>
      <w:bCs/>
      <w:kern w:val="2"/>
      <w:sz w:val="21"/>
    </w:rPr>
  </w:style>
  <w:style w:type="paragraph" w:customStyle="1" w:styleId="48">
    <w:name w:val="修订2"/>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24657</Words>
  <Characters>26565</Characters>
  <Lines>234</Lines>
  <Paragraphs>65</Paragraphs>
  <TotalTime>0</TotalTime>
  <ScaleCrop>false</ScaleCrop>
  <LinksUpToDate>false</LinksUpToDate>
  <CharactersWithSpaces>28477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2022-11-01T09:02:00Z</dcterms:created>
  <dc:creator>Administrator</dc:creator>
  <cp:lastModifiedBy>Administrator</cp:lastModifiedBy>
  <dcterms:modified xsi:type="dcterms:W3CDTF">2024-07-09T06:25:47Z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1D7C140BD9784E949516D12EE7C7043A_13</vt:lpwstr>
  </property>
</Properties>
</file>