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20" w:hanging="720" w:hangingChars="200"/>
        <w:rPr>
          <w:rFonts w:hint="eastAsia" w:ascii="宋体" w:hAnsi="宋体" w:eastAsia="宋体" w:cs="宋体"/>
          <w:b/>
          <w:bCs/>
          <w:color w:val="auto"/>
          <w:sz w:val="84"/>
          <w:highlight w:val="none"/>
        </w:rPr>
      </w:pPr>
      <w:r>
        <w:rPr>
          <w:rFonts w:hint="eastAsia" w:ascii="宋体" w:hAnsi="宋体" w:eastAsia="宋体" w:cs="宋体"/>
          <w:color w:val="auto"/>
          <w:sz w:val="36"/>
          <w:highlight w:val="none"/>
        </w:rPr>
        <w:t xml:space="preserve"> </w:t>
      </w:r>
    </w:p>
    <w:p>
      <w:pPr>
        <w:pStyle w:val="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jc w:val="center"/>
        <w:rPr>
          <w:rFonts w:hint="eastAsia" w:ascii="宋体" w:hAnsi="宋体" w:eastAsia="宋体" w:cs="宋体"/>
          <w:b/>
          <w:bCs/>
          <w:color w:val="auto"/>
          <w:sz w:val="44"/>
          <w:highlight w:val="none"/>
        </w:rPr>
      </w:pPr>
    </w:p>
    <w:p>
      <w:pPr>
        <w:spacing w:line="360" w:lineRule="auto"/>
        <w:jc w:val="center"/>
        <w:rPr>
          <w:rFonts w:hint="eastAsia" w:ascii="宋体" w:hAnsi="宋体" w:eastAsia="宋体" w:cs="宋体"/>
          <w:b/>
          <w:bCs/>
          <w:color w:val="auto"/>
          <w:sz w:val="44"/>
          <w:highlight w:val="none"/>
        </w:rPr>
      </w:pPr>
    </w:p>
    <w:p>
      <w:pPr>
        <w:spacing w:line="360" w:lineRule="auto"/>
        <w:jc w:val="center"/>
        <w:rPr>
          <w:rFonts w:hint="eastAsia" w:ascii="宋体" w:hAnsi="宋体" w:eastAsia="宋体" w:cs="宋体"/>
          <w:b/>
          <w:bCs/>
          <w:color w:val="auto"/>
          <w:sz w:val="84"/>
          <w:highlight w:val="none"/>
        </w:rPr>
      </w:pPr>
      <w:r>
        <w:rPr>
          <w:rFonts w:hint="eastAsia" w:ascii="宋体" w:hAnsi="宋体" w:eastAsia="宋体" w:cs="宋体"/>
          <w:b/>
          <w:bCs/>
          <w:color w:val="auto"/>
          <w:sz w:val="84"/>
          <w:highlight w:val="none"/>
        </w:rPr>
        <w:t>招 标 文 件</w:t>
      </w:r>
    </w:p>
    <w:p>
      <w:pPr>
        <w:tabs>
          <w:tab w:val="left" w:pos="5408"/>
        </w:tabs>
        <w:spacing w:line="360" w:lineRule="auto"/>
        <w:jc w:val="left"/>
        <w:rPr>
          <w:rFonts w:hint="eastAsia" w:ascii="宋体" w:hAnsi="宋体" w:eastAsia="宋体" w:cs="宋体"/>
          <w:b/>
          <w:bCs/>
          <w:color w:val="auto"/>
          <w:sz w:val="84"/>
          <w:highlight w:val="none"/>
        </w:rPr>
      </w:pPr>
      <w:r>
        <w:rPr>
          <w:rFonts w:hint="eastAsia" w:ascii="宋体" w:hAnsi="宋体" w:eastAsia="宋体" w:cs="宋体"/>
          <w:b/>
          <w:bCs/>
          <w:color w:val="auto"/>
          <w:sz w:val="84"/>
          <w:highlight w:val="none"/>
        </w:rPr>
        <w:tab/>
      </w:r>
    </w:p>
    <w:p>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cs="宋体"/>
          <w:b/>
          <w:bCs/>
          <w:color w:val="auto"/>
          <w:sz w:val="32"/>
          <w:szCs w:val="32"/>
          <w:highlight w:val="none"/>
          <w:lang w:eastAsia="zh-CN"/>
        </w:rPr>
        <w:t>LNGX-2403009</w:t>
      </w:r>
    </w:p>
    <w:p>
      <w:pPr>
        <w:spacing w:line="360" w:lineRule="auto"/>
        <w:ind w:right="1016" w:rightChars="484"/>
        <w:rPr>
          <w:rFonts w:hint="eastAsia" w:ascii="宋体" w:hAnsi="宋体" w:eastAsia="宋体" w:cs="宋体"/>
          <w:b/>
          <w:bCs/>
          <w:color w:val="auto"/>
          <w:sz w:val="32"/>
          <w:szCs w:val="32"/>
          <w:highlight w:val="none"/>
        </w:rPr>
      </w:pPr>
      <w:bookmarkStart w:id="330" w:name="_GoBack"/>
      <w:bookmarkEnd w:id="330"/>
    </w:p>
    <w:p>
      <w:pPr>
        <w:spacing w:line="360" w:lineRule="auto"/>
        <w:ind w:left="1417" w:right="42" w:rightChars="20" w:hanging="1417" w:hangingChars="441"/>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2"/>
          <w:szCs w:val="32"/>
          <w:highlight w:val="none"/>
        </w:rPr>
        <w:t>项目名称：</w:t>
      </w:r>
      <w:r>
        <w:rPr>
          <w:rFonts w:hint="eastAsia" w:ascii="宋体" w:hAnsi="宋体" w:cs="宋体"/>
          <w:b/>
          <w:color w:val="auto"/>
          <w:kern w:val="0"/>
          <w:sz w:val="30"/>
          <w:szCs w:val="30"/>
          <w:highlight w:val="none"/>
          <w:lang w:eastAsia="zh-CN"/>
        </w:rPr>
        <w:t>辽宁省营口市海洋生态保护修复工程项目全过程工程造价咨询服务</w:t>
      </w:r>
    </w:p>
    <w:p>
      <w:pPr>
        <w:spacing w:line="360" w:lineRule="auto"/>
        <w:jc w:val="center"/>
        <w:rPr>
          <w:rFonts w:hint="eastAsia" w:ascii="宋体" w:hAnsi="宋体" w:eastAsia="宋体" w:cs="宋体"/>
          <w:b/>
          <w:color w:val="auto"/>
          <w:sz w:val="28"/>
          <w:szCs w:val="28"/>
          <w:highlight w:val="none"/>
        </w:rPr>
      </w:pPr>
    </w:p>
    <w:p>
      <w:pPr>
        <w:spacing w:line="360" w:lineRule="auto"/>
        <w:ind w:left="1417" w:right="42" w:rightChars="20" w:hanging="1417" w:hangingChars="441"/>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招标人：</w:t>
      </w:r>
      <w:r>
        <w:rPr>
          <w:rFonts w:hint="eastAsia" w:ascii="宋体" w:hAnsi="宋体" w:eastAsia="宋体" w:cs="宋体"/>
          <w:b/>
          <w:color w:val="auto"/>
          <w:kern w:val="0"/>
          <w:sz w:val="32"/>
          <w:szCs w:val="32"/>
          <w:highlight w:val="none"/>
          <w:lang w:eastAsia="zh-CN"/>
        </w:rPr>
        <w:t>营口市自然资源局</w:t>
      </w:r>
    </w:p>
    <w:p>
      <w:pPr>
        <w:spacing w:line="360" w:lineRule="auto"/>
        <w:ind w:left="1417" w:right="42" w:rightChars="20" w:hanging="1417" w:hangingChars="44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招标代理机构：辽宁国信建设工程管理有限公司</w:t>
      </w:r>
    </w:p>
    <w:p>
      <w:pPr>
        <w:spacing w:line="360" w:lineRule="auto"/>
        <w:rPr>
          <w:rFonts w:hint="eastAsia" w:ascii="宋体" w:hAnsi="宋体" w:eastAsia="宋体" w:cs="宋体"/>
          <w:color w:val="auto"/>
          <w:szCs w:val="24"/>
          <w:highlight w:val="none"/>
        </w:rPr>
      </w:pPr>
    </w:p>
    <w:p>
      <w:pPr>
        <w:spacing w:line="360" w:lineRule="auto"/>
        <w:rPr>
          <w:rFonts w:hint="eastAsia" w:ascii="宋体" w:hAnsi="宋体" w:eastAsia="宋体" w:cs="宋体"/>
          <w:color w:val="auto"/>
          <w:szCs w:val="24"/>
          <w:highlight w:val="none"/>
        </w:rPr>
      </w:pPr>
    </w:p>
    <w:p>
      <w:pPr>
        <w:spacing w:line="360" w:lineRule="auto"/>
        <w:jc w:val="center"/>
        <w:rPr>
          <w:rFonts w:hint="eastAsia" w:ascii="宋体" w:hAnsi="宋体" w:eastAsia="宋体" w:cs="宋体"/>
          <w:b/>
          <w:color w:val="auto"/>
          <w:sz w:val="36"/>
          <w:szCs w:val="28"/>
          <w:highlight w:val="none"/>
          <w:lang w:eastAsia="zh-CN"/>
        </w:rPr>
      </w:pPr>
      <w:r>
        <w:rPr>
          <w:rFonts w:hint="eastAsia" w:ascii="宋体" w:hAnsi="宋体" w:eastAsia="宋体" w:cs="宋体"/>
          <w:b/>
          <w:color w:val="auto"/>
          <w:sz w:val="28"/>
          <w:szCs w:val="28"/>
          <w:highlight w:val="none"/>
          <w:lang w:eastAsia="zh-CN"/>
        </w:rPr>
        <w:t>2024年</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eastAsia="zh-CN"/>
        </w:rPr>
        <w:t>月</w:t>
      </w:r>
    </w:p>
    <w:p>
      <w:pPr>
        <w:spacing w:line="360" w:lineRule="auto"/>
        <w:jc w:val="center"/>
        <w:rPr>
          <w:rFonts w:hint="eastAsia" w:ascii="宋体" w:hAnsi="宋体" w:eastAsia="宋体" w:cs="宋体"/>
          <w:b/>
          <w:color w:val="auto"/>
          <w:sz w:val="36"/>
          <w:szCs w:val="28"/>
          <w:highlight w:val="none"/>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p>
    <w:p>
      <w:pPr>
        <w:autoSpaceDE w:val="0"/>
        <w:autoSpaceDN w:val="0"/>
        <w:adjustRightIn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 录</w:t>
      </w:r>
    </w:p>
    <w:p>
      <w:pPr>
        <w:autoSpaceDE w:val="0"/>
        <w:autoSpaceDN w:val="0"/>
        <w:adjustRightInd w:val="0"/>
        <w:spacing w:line="360" w:lineRule="auto"/>
        <w:jc w:val="center"/>
        <w:rPr>
          <w:rFonts w:hint="eastAsia" w:ascii="宋体" w:hAnsi="宋体" w:eastAsia="宋体" w:cs="宋体"/>
          <w:b/>
          <w:color w:val="auto"/>
          <w:sz w:val="32"/>
          <w:highlight w:val="none"/>
        </w:rPr>
      </w:pPr>
    </w:p>
    <w:p>
      <w:pPr>
        <w:spacing w:line="360" w:lineRule="auto"/>
        <w:rPr>
          <w:rFonts w:hint="eastAsia" w:ascii="宋体" w:hAnsi="宋体" w:eastAsia="宋体" w:cs="宋体"/>
          <w:color w:val="auto"/>
          <w:highlight w:val="none"/>
        </w:rPr>
      </w:pPr>
    </w:p>
    <w:p>
      <w:pPr>
        <w:pStyle w:val="19"/>
        <w:tabs>
          <w:tab w:val="right" w:leader="dot" w:pos="9355"/>
        </w:tabs>
        <w:rPr>
          <w:color w:val="auto"/>
          <w:highlight w:val="none"/>
        </w:rPr>
      </w:pPr>
      <w:r>
        <w:rPr>
          <w:rFonts w:hint="eastAsia" w:ascii="宋体" w:hAnsi="宋体" w:eastAsia="宋体" w:cs="宋体"/>
          <w:color w:val="auto"/>
          <w:sz w:val="28"/>
          <w:szCs w:val="28"/>
          <w:highlight w:val="none"/>
        </w:rPr>
        <w:fldChar w:fldCharType="begin"/>
      </w:r>
      <w:r>
        <w:rPr>
          <w:rStyle w:val="29"/>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_Toc25087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第一章 </w:t>
      </w:r>
      <w:r>
        <w:rPr>
          <w:rFonts w:hint="eastAsia" w:ascii="宋体" w:hAnsi="宋体" w:eastAsia="宋体" w:cs="宋体"/>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_Toc25087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8"/>
          <w:highlight w:val="none"/>
        </w:rPr>
        <w:fldChar w:fldCharType="end"/>
      </w:r>
    </w:p>
    <w:p>
      <w:pPr>
        <w:pStyle w:val="19"/>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_Toc26728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第二章 </w:t>
      </w:r>
      <w:r>
        <w:rPr>
          <w:rFonts w:hint="eastAsia" w:ascii="宋体" w:hAnsi="宋体" w:eastAsia="宋体" w:cs="宋体"/>
          <w:color w:val="auto"/>
          <w:szCs w:val="24"/>
          <w:highlight w:val="none"/>
        </w:rPr>
        <w:t>投标人须知</w:t>
      </w:r>
      <w:r>
        <w:rPr>
          <w:rFonts w:hint="eastAsia" w:ascii="宋体" w:hAnsi="宋体" w:eastAsia="宋体" w:cs="宋体"/>
          <w:color w:val="auto"/>
          <w:w w:val="90"/>
          <w:highlight w:val="none"/>
        </w:rPr>
        <w:t>前附表</w:t>
      </w:r>
      <w:r>
        <w:rPr>
          <w:color w:val="auto"/>
          <w:highlight w:val="none"/>
        </w:rPr>
        <w:tab/>
      </w:r>
      <w:r>
        <w:rPr>
          <w:color w:val="auto"/>
          <w:highlight w:val="none"/>
        </w:rPr>
        <w:fldChar w:fldCharType="begin"/>
      </w:r>
      <w:r>
        <w:rPr>
          <w:color w:val="auto"/>
          <w:highlight w:val="none"/>
        </w:rPr>
        <w:instrText xml:space="preserve"> PAGEREF _Toc26728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8"/>
          <w:highlight w:val="none"/>
        </w:rPr>
        <w:fldChar w:fldCharType="end"/>
      </w:r>
    </w:p>
    <w:p>
      <w:pPr>
        <w:pStyle w:val="19"/>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_Toc29742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第三章 </w:t>
      </w:r>
      <w:r>
        <w:rPr>
          <w:rFonts w:hint="eastAsia" w:ascii="宋体" w:hAnsi="宋体" w:eastAsia="宋体" w:cs="宋体"/>
          <w:color w:val="auto"/>
          <w:szCs w:val="24"/>
          <w:highlight w:val="none"/>
        </w:rPr>
        <w:t>投标人须知</w:t>
      </w:r>
      <w:r>
        <w:rPr>
          <w:color w:val="auto"/>
          <w:highlight w:val="none"/>
        </w:rPr>
        <w:tab/>
      </w:r>
      <w:r>
        <w:rPr>
          <w:color w:val="auto"/>
          <w:highlight w:val="none"/>
        </w:rPr>
        <w:fldChar w:fldCharType="begin"/>
      </w:r>
      <w:r>
        <w:rPr>
          <w:color w:val="auto"/>
          <w:highlight w:val="none"/>
        </w:rPr>
        <w:instrText xml:space="preserve"> PAGEREF _Toc29742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8"/>
          <w:highlight w:val="none"/>
        </w:rPr>
        <w:fldChar w:fldCharType="end"/>
      </w:r>
    </w:p>
    <w:p>
      <w:pPr>
        <w:pStyle w:val="19"/>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_Toc14284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第四章 </w:t>
      </w:r>
      <w:r>
        <w:rPr>
          <w:rFonts w:hint="eastAsia" w:ascii="宋体" w:hAnsi="宋体" w:eastAsia="宋体" w:cs="宋体"/>
          <w:color w:val="auto"/>
          <w:w w:val="90"/>
          <w:highlight w:val="none"/>
        </w:rPr>
        <w:t>合同主要条款</w:t>
      </w:r>
      <w:r>
        <w:rPr>
          <w:color w:val="auto"/>
          <w:highlight w:val="none"/>
        </w:rPr>
        <w:tab/>
      </w:r>
      <w:r>
        <w:rPr>
          <w:color w:val="auto"/>
          <w:highlight w:val="none"/>
        </w:rPr>
        <w:fldChar w:fldCharType="begin"/>
      </w:r>
      <w:r>
        <w:rPr>
          <w:color w:val="auto"/>
          <w:highlight w:val="none"/>
        </w:rPr>
        <w:instrText xml:space="preserve"> PAGEREF _Toc14284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8"/>
          <w:highlight w:val="none"/>
        </w:rPr>
        <w:fldChar w:fldCharType="end"/>
      </w:r>
    </w:p>
    <w:p>
      <w:pPr>
        <w:pStyle w:val="19"/>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_Toc17075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第五章 </w:t>
      </w:r>
      <w:r>
        <w:rPr>
          <w:rFonts w:hint="eastAsia" w:ascii="宋体" w:hAnsi="宋体" w:eastAsia="宋体" w:cs="宋体"/>
          <w:color w:val="auto"/>
          <w:w w:val="90"/>
          <w:highlight w:val="none"/>
          <w:lang w:val="en-US" w:eastAsia="zh-CN"/>
        </w:rPr>
        <w:t>项目情况及服务需求</w:t>
      </w:r>
      <w:r>
        <w:rPr>
          <w:color w:val="auto"/>
          <w:highlight w:val="none"/>
        </w:rPr>
        <w:tab/>
      </w:r>
      <w:r>
        <w:rPr>
          <w:color w:val="auto"/>
          <w:highlight w:val="none"/>
        </w:rPr>
        <w:fldChar w:fldCharType="begin"/>
      </w:r>
      <w:r>
        <w:rPr>
          <w:color w:val="auto"/>
          <w:highlight w:val="none"/>
        </w:rPr>
        <w:instrText xml:space="preserve"> PAGEREF _Toc17075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8"/>
          <w:highlight w:val="none"/>
        </w:rPr>
        <w:fldChar w:fldCharType="end"/>
      </w:r>
    </w:p>
    <w:p>
      <w:pPr>
        <w:pStyle w:val="19"/>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_Toc25650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第六章 </w:t>
      </w:r>
      <w:r>
        <w:rPr>
          <w:rFonts w:hint="eastAsia" w:ascii="宋体" w:hAnsi="宋体" w:eastAsia="宋体" w:cs="宋体"/>
          <w:color w:val="auto"/>
          <w:w w:val="90"/>
          <w:highlight w:val="none"/>
        </w:rPr>
        <w:t>附件（投标文件格式）</w:t>
      </w:r>
      <w:r>
        <w:rPr>
          <w:color w:val="auto"/>
          <w:highlight w:val="none"/>
        </w:rPr>
        <w:tab/>
      </w:r>
      <w:r>
        <w:rPr>
          <w:color w:val="auto"/>
          <w:highlight w:val="none"/>
        </w:rPr>
        <w:fldChar w:fldCharType="begin"/>
      </w:r>
      <w:r>
        <w:rPr>
          <w:color w:val="auto"/>
          <w:highlight w:val="none"/>
        </w:rPr>
        <w:instrText xml:space="preserve"> PAGEREF _Toc25650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_Toc6784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第一部分 投标函部分</w:t>
      </w:r>
      <w:r>
        <w:rPr>
          <w:color w:val="auto"/>
          <w:highlight w:val="none"/>
        </w:rPr>
        <w:tab/>
      </w:r>
      <w:r>
        <w:rPr>
          <w:color w:val="auto"/>
          <w:highlight w:val="none"/>
        </w:rPr>
        <w:fldChar w:fldCharType="begin"/>
      </w:r>
      <w:r>
        <w:rPr>
          <w:color w:val="auto"/>
          <w:highlight w:val="none"/>
        </w:rPr>
        <w:instrText xml:space="preserve"> PAGEREF _Toc6784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_Toc7590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1、投标函(格式)</w:t>
      </w:r>
      <w:r>
        <w:rPr>
          <w:color w:val="auto"/>
          <w:highlight w:val="none"/>
        </w:rPr>
        <w:tab/>
      </w:r>
      <w:r>
        <w:rPr>
          <w:color w:val="auto"/>
          <w:highlight w:val="none"/>
        </w:rPr>
        <w:fldChar w:fldCharType="begin"/>
      </w:r>
      <w:r>
        <w:rPr>
          <w:color w:val="auto"/>
          <w:highlight w:val="none"/>
        </w:rPr>
        <w:instrText xml:space="preserve"> PAGEREF _Toc7590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_Toc32436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2、投标函附录格式</w:t>
      </w:r>
      <w:r>
        <w:rPr>
          <w:color w:val="auto"/>
          <w:highlight w:val="none"/>
        </w:rPr>
        <w:tab/>
      </w:r>
      <w:r>
        <w:rPr>
          <w:color w:val="auto"/>
          <w:highlight w:val="none"/>
        </w:rPr>
        <w:fldChar w:fldCharType="begin"/>
      </w:r>
      <w:r>
        <w:rPr>
          <w:color w:val="auto"/>
          <w:highlight w:val="none"/>
        </w:rPr>
        <w:instrText xml:space="preserve"> PAGEREF _Toc32436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_Toc17911 </w:instrText>
      </w:r>
      <w:r>
        <w:rPr>
          <w:rFonts w:hint="eastAsia" w:ascii="宋体" w:hAnsi="宋体" w:eastAsia="宋体" w:cs="宋体"/>
          <w:color w:val="auto"/>
          <w:szCs w:val="28"/>
          <w:highlight w:val="none"/>
        </w:rPr>
        <w:fldChar w:fldCharType="separate"/>
      </w: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二</w:t>
      </w:r>
      <w:r>
        <w:rPr>
          <w:rFonts w:hint="eastAsia" w:ascii="宋体" w:hAnsi="宋体" w:eastAsia="宋体" w:cs="宋体"/>
          <w:bCs w:val="0"/>
          <w:color w:val="auto"/>
          <w:highlight w:val="none"/>
        </w:rPr>
        <w:t>部分 资格审查部分</w:t>
      </w:r>
      <w:r>
        <w:rPr>
          <w:color w:val="auto"/>
          <w:highlight w:val="none"/>
        </w:rPr>
        <w:tab/>
      </w:r>
      <w:r>
        <w:rPr>
          <w:color w:val="auto"/>
          <w:highlight w:val="none"/>
        </w:rPr>
        <w:fldChar w:fldCharType="begin"/>
      </w:r>
      <w:r>
        <w:rPr>
          <w:color w:val="auto"/>
          <w:highlight w:val="none"/>
        </w:rPr>
        <w:instrText xml:space="preserve"> PAGEREF _Toc17911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_Toc29469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1</w:t>
      </w:r>
      <w:r>
        <w:rPr>
          <w:rFonts w:hint="eastAsia" w:ascii="宋体" w:hAnsi="宋体" w:eastAsia="宋体" w:cs="宋体"/>
          <w:color w:val="auto"/>
          <w:szCs w:val="28"/>
          <w:highlight w:val="none"/>
        </w:rPr>
        <w:t>、投标人一般情况（格式）</w:t>
      </w:r>
      <w:r>
        <w:rPr>
          <w:color w:val="auto"/>
          <w:highlight w:val="none"/>
        </w:rPr>
        <w:tab/>
      </w:r>
      <w:r>
        <w:rPr>
          <w:color w:val="auto"/>
          <w:highlight w:val="none"/>
        </w:rPr>
        <w:fldChar w:fldCharType="begin"/>
      </w:r>
      <w:r>
        <w:rPr>
          <w:color w:val="auto"/>
          <w:highlight w:val="none"/>
        </w:rPr>
        <w:instrText xml:space="preserve"> PAGEREF _Toc29469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_Toc23629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2</w:t>
      </w:r>
      <w:r>
        <w:rPr>
          <w:rFonts w:hint="eastAsia" w:ascii="宋体" w:hAnsi="宋体" w:eastAsia="宋体" w:cs="宋体"/>
          <w:color w:val="auto"/>
          <w:szCs w:val="28"/>
          <w:highlight w:val="none"/>
        </w:rPr>
        <w:t>、法定代表人身份证明书</w:t>
      </w:r>
      <w:r>
        <w:rPr>
          <w:rFonts w:hint="eastAsia" w:ascii="宋体" w:hAnsi="宋体" w:eastAsia="宋体" w:cs="宋体"/>
          <w:bCs w:val="0"/>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_Toc23629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_Toc8840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、法定代表人授权书</w:t>
      </w:r>
      <w:r>
        <w:rPr>
          <w:rFonts w:hint="eastAsia" w:ascii="宋体" w:hAnsi="宋体" w:eastAsia="宋体" w:cs="宋体"/>
          <w:bCs w:val="0"/>
          <w:color w:val="auto"/>
          <w:szCs w:val="28"/>
          <w:highlight w:val="none"/>
        </w:rPr>
        <w:t>（格式）（如法定代表人投标不需此项）</w:t>
      </w:r>
      <w:r>
        <w:rPr>
          <w:color w:val="auto"/>
          <w:highlight w:val="none"/>
        </w:rPr>
        <w:tab/>
      </w:r>
      <w:r>
        <w:rPr>
          <w:color w:val="auto"/>
          <w:highlight w:val="none"/>
        </w:rPr>
        <w:fldChar w:fldCharType="begin"/>
      </w:r>
      <w:r>
        <w:rPr>
          <w:color w:val="auto"/>
          <w:highlight w:val="none"/>
        </w:rPr>
        <w:instrText xml:space="preserve"> PAGEREF _Toc8840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_Toc3939 </w:instrText>
      </w:r>
      <w:r>
        <w:rPr>
          <w:rFonts w:hint="eastAsia" w:ascii="宋体" w:hAnsi="宋体" w:eastAsia="宋体" w:cs="宋体"/>
          <w:color w:val="auto"/>
          <w:szCs w:val="28"/>
          <w:highlight w:val="none"/>
        </w:rPr>
        <w:fldChar w:fldCharType="separate"/>
      </w:r>
      <w:r>
        <w:rPr>
          <w:rFonts w:hint="eastAsia"/>
          <w:color w:val="auto"/>
          <w:highlight w:val="none"/>
          <w:lang w:val="en-US" w:eastAsia="zh-CN"/>
        </w:rPr>
        <w:t>4、项目负责人</w:t>
      </w:r>
      <w:r>
        <w:rPr>
          <w:color w:val="auto"/>
          <w:highlight w:val="none"/>
        </w:rPr>
        <w:tab/>
      </w:r>
      <w:r>
        <w:rPr>
          <w:color w:val="auto"/>
          <w:highlight w:val="none"/>
        </w:rPr>
        <w:fldChar w:fldCharType="begin"/>
      </w:r>
      <w:r>
        <w:rPr>
          <w:color w:val="auto"/>
          <w:highlight w:val="none"/>
        </w:rPr>
        <w:instrText xml:space="preserve"> PAGEREF _Toc3939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_Toc31585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、投标保证书格式</w:t>
      </w:r>
      <w:r>
        <w:rPr>
          <w:color w:val="auto"/>
          <w:highlight w:val="none"/>
        </w:rPr>
        <w:tab/>
      </w:r>
      <w:r>
        <w:rPr>
          <w:color w:val="auto"/>
          <w:highlight w:val="none"/>
        </w:rPr>
        <w:fldChar w:fldCharType="begin"/>
      </w:r>
      <w:r>
        <w:rPr>
          <w:color w:val="auto"/>
          <w:highlight w:val="none"/>
        </w:rPr>
        <w:instrText xml:space="preserve"> PAGEREF _Toc31585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_Toc3109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、投标保证金付款凭证</w:t>
      </w:r>
      <w:r>
        <w:rPr>
          <w:rFonts w:hint="eastAsia" w:ascii="宋体" w:hAnsi="宋体" w:cs="宋体"/>
          <w:color w:val="auto"/>
          <w:szCs w:val="28"/>
          <w:highlight w:val="none"/>
          <w:lang w:val="en-US" w:eastAsia="zh-CN"/>
        </w:rPr>
        <w:t>或保函扫描件</w:t>
      </w:r>
      <w:r>
        <w:rPr>
          <w:color w:val="auto"/>
          <w:highlight w:val="none"/>
        </w:rPr>
        <w:tab/>
      </w:r>
      <w:r>
        <w:rPr>
          <w:color w:val="auto"/>
          <w:highlight w:val="none"/>
        </w:rPr>
        <w:fldChar w:fldCharType="begin"/>
      </w:r>
      <w:r>
        <w:rPr>
          <w:color w:val="auto"/>
          <w:highlight w:val="none"/>
        </w:rPr>
        <w:instrText xml:space="preserve"> PAGEREF _Toc3109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_Toc22093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第三部分 技术部分</w:t>
      </w:r>
      <w:r>
        <w:rPr>
          <w:color w:val="auto"/>
          <w:highlight w:val="none"/>
        </w:rPr>
        <w:tab/>
      </w:r>
      <w:r>
        <w:rPr>
          <w:color w:val="auto"/>
          <w:highlight w:val="none"/>
        </w:rPr>
        <w:fldChar w:fldCharType="begin"/>
      </w:r>
      <w:r>
        <w:rPr>
          <w:color w:val="auto"/>
          <w:highlight w:val="none"/>
        </w:rPr>
        <w:instrText xml:space="preserve"> PAGEREF _Toc22093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_Toc21099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部分 商务部分</w:t>
      </w:r>
      <w:r>
        <w:rPr>
          <w:color w:val="auto"/>
          <w:highlight w:val="none"/>
        </w:rPr>
        <w:tab/>
      </w:r>
      <w:r>
        <w:rPr>
          <w:color w:val="auto"/>
          <w:highlight w:val="none"/>
        </w:rPr>
        <w:fldChar w:fldCharType="begin"/>
      </w:r>
      <w:r>
        <w:rPr>
          <w:color w:val="auto"/>
          <w:highlight w:val="none"/>
        </w:rPr>
        <w:instrText xml:space="preserve"> PAGEREF _Toc21099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_Toc7807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w:t>
      </w:r>
      <w:r>
        <w:rPr>
          <w:rFonts w:hint="eastAsia" w:ascii="宋体" w:hAnsi="宋体" w:eastAsia="宋体" w:cs="宋体"/>
          <w:bCs w:val="0"/>
          <w:color w:val="auto"/>
          <w:szCs w:val="28"/>
          <w:highlight w:val="none"/>
          <w:lang w:val="en-US" w:eastAsia="zh-CN"/>
        </w:rPr>
        <w:t>服务</w:t>
      </w:r>
      <w:r>
        <w:rPr>
          <w:rFonts w:hint="eastAsia" w:ascii="宋体" w:hAnsi="宋体" w:eastAsia="宋体" w:cs="宋体"/>
          <w:bCs w:val="0"/>
          <w:color w:val="auto"/>
          <w:szCs w:val="28"/>
          <w:highlight w:val="none"/>
        </w:rPr>
        <w:t>说明</w:t>
      </w:r>
      <w:r>
        <w:rPr>
          <w:color w:val="auto"/>
          <w:highlight w:val="none"/>
        </w:rPr>
        <w:tab/>
      </w:r>
      <w:r>
        <w:rPr>
          <w:color w:val="auto"/>
          <w:highlight w:val="none"/>
        </w:rPr>
        <w:fldChar w:fldCharType="begin"/>
      </w:r>
      <w:r>
        <w:rPr>
          <w:color w:val="auto"/>
          <w:highlight w:val="none"/>
        </w:rPr>
        <w:instrText xml:space="preserve"> PAGEREF _Toc7807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_Toc18539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2</w:t>
      </w: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eastAsia="zh-CN"/>
        </w:rPr>
        <w:t>拟投入本项目的人员情况</w:t>
      </w:r>
      <w:r>
        <w:rPr>
          <w:rFonts w:hint="eastAsia" w:ascii="宋体" w:hAnsi="宋体" w:eastAsia="宋体" w:cs="宋体"/>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_Toc18539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_Toc29149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2019</w:t>
      </w:r>
      <w:r>
        <w:rPr>
          <w:rFonts w:hint="eastAsia" w:ascii="宋体" w:hAnsi="宋体" w:eastAsia="宋体" w:cs="宋体"/>
          <w:color w:val="auto"/>
          <w:szCs w:val="28"/>
          <w:highlight w:val="none"/>
        </w:rPr>
        <w:t>年1月1日至今类似</w:t>
      </w:r>
      <w:r>
        <w:rPr>
          <w:rFonts w:hint="eastAsia" w:ascii="宋体" w:hAnsi="宋体" w:cs="宋体"/>
          <w:color w:val="auto"/>
          <w:szCs w:val="28"/>
          <w:highlight w:val="none"/>
          <w:lang w:eastAsia="zh-CN"/>
        </w:rPr>
        <w:t>服务</w:t>
      </w:r>
      <w:r>
        <w:rPr>
          <w:rFonts w:hint="eastAsia" w:ascii="宋体" w:hAnsi="宋体" w:eastAsia="宋体" w:cs="宋体"/>
          <w:color w:val="auto"/>
          <w:szCs w:val="28"/>
          <w:highlight w:val="none"/>
        </w:rPr>
        <w:t>业绩（如有）</w:t>
      </w:r>
      <w:r>
        <w:rPr>
          <w:color w:val="auto"/>
          <w:highlight w:val="none"/>
        </w:rPr>
        <w:tab/>
      </w:r>
      <w:r>
        <w:rPr>
          <w:color w:val="auto"/>
          <w:highlight w:val="none"/>
        </w:rPr>
        <w:fldChar w:fldCharType="begin"/>
      </w:r>
      <w:r>
        <w:rPr>
          <w:color w:val="auto"/>
          <w:highlight w:val="none"/>
        </w:rPr>
        <w:instrText xml:space="preserve"> PAGEREF _Toc29149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_Toc19157 </w:instrText>
      </w:r>
      <w:r>
        <w:rPr>
          <w:rFonts w:hint="eastAsia" w:ascii="宋体" w:hAnsi="宋体" w:eastAsia="宋体" w:cs="宋体"/>
          <w:color w:val="auto"/>
          <w:szCs w:val="28"/>
          <w:highlight w:val="none"/>
        </w:rPr>
        <w:fldChar w:fldCharType="separate"/>
      </w: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五</w:t>
      </w:r>
      <w:r>
        <w:rPr>
          <w:rFonts w:hint="eastAsia" w:ascii="宋体" w:hAnsi="宋体" w:eastAsia="宋体" w:cs="宋体"/>
          <w:bCs w:val="0"/>
          <w:color w:val="auto"/>
          <w:highlight w:val="none"/>
        </w:rPr>
        <w:t xml:space="preserve">部分 </w:t>
      </w:r>
      <w:r>
        <w:rPr>
          <w:rFonts w:hint="eastAsia" w:ascii="宋体" w:hAnsi="宋体" w:eastAsia="宋体" w:cs="宋体"/>
          <w:bCs w:val="0"/>
          <w:color w:val="auto"/>
          <w:highlight w:val="none"/>
          <w:lang w:val="en-US" w:eastAsia="zh-CN"/>
        </w:rPr>
        <w:t>其他资料</w:t>
      </w:r>
      <w:r>
        <w:rPr>
          <w:color w:val="auto"/>
          <w:highlight w:val="none"/>
        </w:rPr>
        <w:tab/>
      </w:r>
      <w:r>
        <w:rPr>
          <w:color w:val="auto"/>
          <w:highlight w:val="none"/>
        </w:rPr>
        <w:fldChar w:fldCharType="begin"/>
      </w:r>
      <w:r>
        <w:rPr>
          <w:color w:val="auto"/>
          <w:highlight w:val="none"/>
        </w:rPr>
        <w:instrText xml:space="preserve"> PAGEREF _Toc19157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_Toc7987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1、承诺书</w:t>
      </w:r>
      <w:r>
        <w:rPr>
          <w:rFonts w:hint="eastAsia" w:ascii="宋体" w:hAnsi="宋体" w:eastAsia="宋体" w:cs="宋体"/>
          <w:bCs w:val="0"/>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_Toc7987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_Toc9912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2</w:t>
      </w:r>
      <w:r>
        <w:rPr>
          <w:rFonts w:hint="eastAsia" w:ascii="宋体" w:hAnsi="宋体" w:eastAsia="宋体" w:cs="宋体"/>
          <w:color w:val="auto"/>
          <w:szCs w:val="28"/>
          <w:highlight w:val="none"/>
        </w:rPr>
        <w:t>、待解决的诉讼</w:t>
      </w:r>
      <w:r>
        <w:rPr>
          <w:rFonts w:hint="eastAsia" w:ascii="宋体" w:hAnsi="宋体" w:eastAsia="宋体" w:cs="宋体"/>
          <w:bCs w:val="0"/>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_Toc9912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_Toc23294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、投标人未处于被责令停业，财产被接管、冻结破产状态承诺书（格式）</w:t>
      </w:r>
      <w:r>
        <w:rPr>
          <w:color w:val="auto"/>
          <w:highlight w:val="none"/>
        </w:rPr>
        <w:tab/>
      </w:r>
      <w:r>
        <w:rPr>
          <w:color w:val="auto"/>
          <w:highlight w:val="none"/>
        </w:rPr>
        <w:fldChar w:fldCharType="begin"/>
      </w:r>
      <w:r>
        <w:rPr>
          <w:color w:val="auto"/>
          <w:highlight w:val="none"/>
        </w:rPr>
        <w:instrText xml:space="preserve"> PAGEREF _Toc23294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_Toc5021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lang w:val="en-US" w:eastAsia="zh-CN"/>
        </w:rPr>
        <w:t>4、投标人认为所需要的其他材料</w:t>
      </w:r>
      <w:r>
        <w:rPr>
          <w:color w:val="auto"/>
          <w:highlight w:val="none"/>
        </w:rPr>
        <w:tab/>
      </w:r>
      <w:r>
        <w:rPr>
          <w:color w:val="auto"/>
          <w:highlight w:val="none"/>
        </w:rPr>
        <w:fldChar w:fldCharType="begin"/>
      </w:r>
      <w:r>
        <w:rPr>
          <w:color w:val="auto"/>
          <w:highlight w:val="none"/>
        </w:rPr>
        <w:instrText xml:space="preserve"> PAGEREF _Toc5021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color w:val="auto"/>
          <w:szCs w:val="28"/>
          <w:highlight w:val="none"/>
        </w:rPr>
        <w:fldChar w:fldCharType="end"/>
      </w:r>
    </w:p>
    <w:p>
      <w:pPr>
        <w:pStyle w:val="19"/>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_Toc1946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第七章 </w:t>
      </w:r>
      <w:r>
        <w:rPr>
          <w:rFonts w:hint="eastAsia" w:ascii="宋体" w:hAnsi="宋体" w:eastAsia="宋体" w:cs="宋体"/>
          <w:color w:val="auto"/>
          <w:w w:val="90"/>
          <w:highlight w:val="none"/>
        </w:rPr>
        <w:t>评标办法</w:t>
      </w:r>
      <w:r>
        <w:rPr>
          <w:color w:val="auto"/>
          <w:highlight w:val="none"/>
        </w:rPr>
        <w:tab/>
      </w:r>
      <w:r>
        <w:rPr>
          <w:color w:val="auto"/>
          <w:highlight w:val="none"/>
        </w:rPr>
        <w:fldChar w:fldCharType="begin"/>
      </w:r>
      <w:r>
        <w:rPr>
          <w:color w:val="auto"/>
          <w:highlight w:val="none"/>
        </w:rPr>
        <w:instrText xml:space="preserve"> PAGEREF _Toc1946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color w:val="auto"/>
          <w:szCs w:val="28"/>
          <w:highlight w:val="none"/>
        </w:rPr>
        <w:fldChar w:fldCharType="end"/>
      </w:r>
    </w:p>
    <w:p>
      <w:pPr>
        <w:tabs>
          <w:tab w:val="right" w:leader="dot" w:pos="9628"/>
        </w:tabs>
        <w:snapToGrid w:val="0"/>
        <w:spacing w:line="360" w:lineRule="auto"/>
        <w:rPr>
          <w:rFonts w:hint="eastAsia" w:ascii="宋体" w:hAnsi="宋体" w:eastAsia="宋体" w:cs="宋体"/>
          <w:color w:val="auto"/>
          <w:sz w:val="30"/>
          <w:highlight w:val="none"/>
        </w:rPr>
        <w:sectPr>
          <w:headerReference r:id="rId6" w:type="first"/>
          <w:pgSz w:w="11906" w:h="16838"/>
          <w:pgMar w:top="1134" w:right="1133" w:bottom="1134" w:left="1418" w:header="454" w:footer="454" w:gutter="0"/>
          <w:cols w:space="720" w:num="1"/>
          <w:titlePg/>
          <w:docGrid w:type="lines" w:linePitch="312" w:charSpace="0"/>
        </w:sectPr>
      </w:pPr>
      <w:r>
        <w:rPr>
          <w:rFonts w:hint="eastAsia" w:ascii="宋体" w:hAnsi="宋体" w:eastAsia="宋体" w:cs="宋体"/>
          <w:color w:val="auto"/>
          <w:szCs w:val="28"/>
          <w:highlight w:val="none"/>
        </w:rPr>
        <w:fldChar w:fldCharType="end"/>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0" w:name="_Toc343510551"/>
      <w:bookmarkStart w:id="1" w:name="_Toc25087"/>
      <w:bookmarkStart w:id="2" w:name="_Toc30943"/>
      <w:bookmarkStart w:id="3" w:name="_Toc344394137"/>
      <w:bookmarkStart w:id="4" w:name="_Toc349568709"/>
      <w:bookmarkStart w:id="5" w:name="_Toc350515646"/>
      <w:bookmarkStart w:id="6" w:name="_Toc349568450"/>
      <w:r>
        <w:rPr>
          <w:rFonts w:hint="eastAsia" w:ascii="宋体" w:hAnsi="宋体" w:eastAsia="宋体" w:cs="宋体"/>
          <w:color w:val="auto"/>
          <w:highlight w:val="none"/>
        </w:rPr>
        <w:t>招标公告</w:t>
      </w:r>
      <w:bookmarkEnd w:id="0"/>
      <w:bookmarkEnd w:id="1"/>
      <w:bookmarkEnd w:id="2"/>
      <w:bookmarkEnd w:id="3"/>
      <w:bookmarkEnd w:id="4"/>
      <w:bookmarkEnd w:id="5"/>
      <w:bookmarkEnd w:id="6"/>
    </w:p>
    <w:p>
      <w:pPr>
        <w:spacing w:line="360" w:lineRule="auto"/>
        <w:rPr>
          <w:rFonts w:hint="eastAsia" w:ascii="宋体" w:hAnsi="宋体" w:eastAsia="宋体" w:cs="宋体"/>
          <w:color w:val="auto"/>
          <w:highlight w:val="none"/>
        </w:rPr>
      </w:pPr>
    </w:p>
    <w:p>
      <w:pPr>
        <w:pStyle w:val="14"/>
        <w:spacing w:line="360" w:lineRule="auto"/>
        <w:jc w:val="center"/>
        <w:rPr>
          <w:rFonts w:hint="eastAsia" w:ascii="宋体" w:hAnsi="宋体" w:eastAsia="宋体" w:cs="宋体"/>
          <w:b/>
          <w:color w:val="auto"/>
          <w:sz w:val="30"/>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8"/>
          <w:szCs w:val="24"/>
          <w:highlight w:val="none"/>
          <w:lang w:eastAsia="zh-CN"/>
        </w:rPr>
      </w:pPr>
      <w:r>
        <w:rPr>
          <w:rFonts w:hint="eastAsia" w:ascii="宋体" w:hAnsi="宋体" w:eastAsia="宋体" w:cs="宋体"/>
          <w:b/>
          <w:bCs/>
          <w:color w:val="auto"/>
          <w:sz w:val="32"/>
          <w:szCs w:val="24"/>
          <w:highlight w:val="none"/>
        </w:rPr>
        <w:br w:type="page"/>
      </w:r>
      <w:r>
        <w:rPr>
          <w:rFonts w:hint="eastAsia" w:ascii="宋体" w:hAnsi="宋体" w:cs="宋体"/>
          <w:b/>
          <w:bCs/>
          <w:color w:val="auto"/>
          <w:sz w:val="32"/>
          <w:szCs w:val="24"/>
          <w:highlight w:val="none"/>
          <w:lang w:eastAsia="zh-CN"/>
        </w:rPr>
        <w:t>辽宁省营口市海洋生态保护修复工程项目全过程工程造价咨询服务</w:t>
      </w:r>
    </w:p>
    <w:p>
      <w:pPr>
        <w:spacing w:line="360" w:lineRule="auto"/>
        <w:jc w:val="center"/>
        <w:rPr>
          <w:rFonts w:hint="eastAsia" w:ascii="宋体" w:hAnsi="宋体" w:eastAsia="宋体" w:cs="宋体"/>
          <w:b/>
          <w:bCs/>
          <w:color w:val="auto"/>
          <w:sz w:val="40"/>
          <w:szCs w:val="24"/>
          <w:highlight w:val="none"/>
        </w:rPr>
      </w:pPr>
      <w:bookmarkStart w:id="7" w:name="资格预审合格通知书"/>
      <w:bookmarkEnd w:id="7"/>
      <w:r>
        <w:rPr>
          <w:rFonts w:hint="eastAsia" w:ascii="宋体" w:hAnsi="宋体" w:eastAsia="宋体" w:cs="宋体"/>
          <w:b/>
          <w:bCs/>
          <w:color w:val="auto"/>
          <w:sz w:val="40"/>
          <w:szCs w:val="24"/>
          <w:highlight w:val="none"/>
        </w:rPr>
        <w:t>招标公告</w:t>
      </w:r>
    </w:p>
    <w:p>
      <w:pPr>
        <w:spacing w:after="120" w:line="360" w:lineRule="auto"/>
        <w:rPr>
          <w:rFonts w:hint="eastAsia" w:ascii="宋体" w:hAnsi="宋体" w:eastAsia="宋体" w:cs="宋体"/>
          <w:b/>
          <w:bCs/>
          <w:color w:val="auto"/>
          <w:sz w:val="20"/>
          <w:szCs w:val="24"/>
          <w:highlight w:val="none"/>
        </w:rPr>
      </w:pPr>
    </w:p>
    <w:p>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辽宁国信建设工程管理有限公司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u w:val="single"/>
          <w:lang w:eastAsia="zh-CN"/>
        </w:rPr>
        <w:t>营口市自然资源局</w:t>
      </w:r>
      <w:r>
        <w:rPr>
          <w:rFonts w:hint="eastAsia" w:ascii="宋体" w:hAnsi="宋体" w:eastAsia="宋体" w:cs="宋体"/>
          <w:color w:val="auto"/>
          <w:sz w:val="24"/>
          <w:szCs w:val="24"/>
          <w:highlight w:val="none"/>
        </w:rPr>
        <w:t>委托对</w:t>
      </w:r>
      <w:r>
        <w:rPr>
          <w:rFonts w:hint="eastAsia" w:ascii="宋体" w:hAnsi="宋体" w:cs="宋体"/>
          <w:color w:val="auto"/>
          <w:sz w:val="24"/>
          <w:szCs w:val="24"/>
          <w:highlight w:val="none"/>
          <w:u w:val="single"/>
          <w:lang w:eastAsia="zh-CN"/>
        </w:rPr>
        <w:t>辽宁省营口市海洋生态保护修复工程项目全过程工程造价咨询服务</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eastAsia="zh-CN"/>
        </w:rPr>
        <w:t>LNGX-2403009</w:t>
      </w:r>
      <w:r>
        <w:rPr>
          <w:rFonts w:hint="eastAsia" w:ascii="宋体" w:hAnsi="宋体" w:eastAsia="宋体" w:cs="宋体"/>
          <w:color w:val="auto"/>
          <w:sz w:val="24"/>
          <w:szCs w:val="24"/>
          <w:highlight w:val="none"/>
        </w:rPr>
        <w:t>）进行国内公开招标，欢迎有意愿、有合格资质条件的投标单位参加投标。</w:t>
      </w:r>
    </w:p>
    <w:p>
      <w:pPr>
        <w:numPr>
          <w:ilvl w:val="0"/>
          <w:numId w:val="3"/>
        </w:numPr>
        <w:tabs>
          <w:tab w:val="left" w:pos="709"/>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w:t>
      </w:r>
      <w:r>
        <w:rPr>
          <w:rFonts w:hint="eastAsia" w:ascii="宋体" w:hAnsi="宋体" w:cs="宋体"/>
          <w:color w:val="auto"/>
          <w:sz w:val="24"/>
          <w:szCs w:val="24"/>
          <w:highlight w:val="none"/>
          <w:lang w:eastAsia="zh-CN"/>
        </w:rPr>
        <w:t>辽宁省营口市海洋生态保护修复工程项目全过程工程造价咨询服务</w:t>
      </w:r>
      <w:r>
        <w:rPr>
          <w:rFonts w:hint="eastAsia" w:ascii="宋体" w:hAnsi="宋体" w:eastAsia="宋体" w:cs="宋体"/>
          <w:color w:val="auto"/>
          <w:sz w:val="24"/>
          <w:szCs w:val="24"/>
          <w:highlight w:val="none"/>
        </w:rPr>
        <w:t>。</w:t>
      </w:r>
    </w:p>
    <w:p>
      <w:pPr>
        <w:numPr>
          <w:ilvl w:val="0"/>
          <w:numId w:val="3"/>
        </w:numPr>
        <w:tabs>
          <w:tab w:val="left" w:pos="993"/>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rPr>
        <w:t>范围：</w:t>
      </w:r>
      <w:r>
        <w:rPr>
          <w:rFonts w:hint="eastAsia" w:ascii="宋体" w:hAnsi="宋体" w:cs="宋体"/>
          <w:b w:val="0"/>
          <w:bCs/>
          <w:color w:val="auto"/>
          <w:sz w:val="24"/>
          <w:szCs w:val="24"/>
          <w:highlight w:val="none"/>
          <w:lang w:eastAsia="zh-CN"/>
        </w:rPr>
        <w:t>本项目拟完成修复总面积 1630.34ha,整治修复岸线长度 2951.90m，其中修复砂质岸线 1287m、生态护岸 1664.90m；整治修复滨海湿地面积1555.22ha，其中保育和种植盐沼植被面积269.69ha、浒苔防治面积1006.83ha。</w:t>
      </w:r>
      <w:r>
        <w:rPr>
          <w:rFonts w:hint="eastAsia" w:ascii="宋体" w:hAnsi="宋体" w:cs="宋体"/>
          <w:bCs/>
          <w:color w:val="auto"/>
          <w:sz w:val="24"/>
          <w:szCs w:val="24"/>
          <w:highlight w:val="none"/>
          <w:lang w:val="en-US" w:eastAsia="zh-CN"/>
        </w:rPr>
        <w:t>拟委托1家服务机构提供上述工程内容</w:t>
      </w:r>
      <w:r>
        <w:rPr>
          <w:rFonts w:hint="eastAsia" w:ascii="宋体" w:hAnsi="宋体" w:cs="宋体"/>
          <w:color w:val="auto"/>
          <w:sz w:val="24"/>
          <w:szCs w:val="24"/>
          <w:highlight w:val="none"/>
          <w:lang w:eastAsia="zh-CN"/>
        </w:rPr>
        <w:t>全过程工程造价咨询服务</w:t>
      </w:r>
      <w:r>
        <w:rPr>
          <w:rFonts w:hint="eastAsia" w:ascii="宋体" w:hAnsi="宋体" w:cs="宋体"/>
          <w:bCs/>
          <w:color w:val="auto"/>
          <w:sz w:val="24"/>
          <w:szCs w:val="24"/>
          <w:highlight w:val="none"/>
          <w:lang w:val="en-US" w:eastAsia="zh-CN"/>
        </w:rPr>
        <w:t>。</w:t>
      </w:r>
    </w:p>
    <w:p>
      <w:pPr>
        <w:numPr>
          <w:ilvl w:val="0"/>
          <w:numId w:val="3"/>
        </w:numPr>
        <w:tabs>
          <w:tab w:val="left" w:pos="993"/>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服务地点</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p>
      <w:pPr>
        <w:numPr>
          <w:ilvl w:val="0"/>
          <w:numId w:val="3"/>
        </w:numPr>
        <w:tabs>
          <w:tab w:val="left" w:pos="993"/>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资金来源及落实情况：</w:t>
      </w:r>
      <w:r>
        <w:rPr>
          <w:rFonts w:hint="eastAsia" w:ascii="宋体" w:hAnsi="宋体" w:eastAsia="宋体" w:cs="宋体"/>
          <w:color w:val="auto"/>
          <w:sz w:val="24"/>
          <w:szCs w:val="24"/>
          <w:highlight w:val="none"/>
          <w:lang w:val="en-US" w:eastAsia="zh-CN"/>
        </w:rPr>
        <w:t>中央资金</w:t>
      </w:r>
      <w:r>
        <w:rPr>
          <w:rFonts w:hint="eastAsia" w:ascii="宋体" w:hAnsi="宋体" w:eastAsia="宋体" w:cs="宋体"/>
          <w:color w:val="auto"/>
          <w:sz w:val="24"/>
          <w:szCs w:val="24"/>
          <w:highlight w:val="none"/>
        </w:rPr>
        <w:t>，已落实。估算价：</w:t>
      </w:r>
      <w:r>
        <w:rPr>
          <w:rFonts w:hint="eastAsia" w:ascii="宋体" w:hAnsi="宋体" w:cs="宋体"/>
          <w:color w:val="auto"/>
          <w:sz w:val="24"/>
          <w:szCs w:val="24"/>
          <w:highlight w:val="none"/>
          <w:lang w:val="en-US" w:eastAsia="zh-CN"/>
        </w:rPr>
        <w:t>150</w:t>
      </w:r>
      <w:r>
        <w:rPr>
          <w:rFonts w:hint="eastAsia" w:ascii="宋体" w:hAnsi="宋体" w:eastAsia="宋体" w:cs="宋体"/>
          <w:color w:val="auto"/>
          <w:sz w:val="24"/>
          <w:szCs w:val="24"/>
          <w:highlight w:val="none"/>
        </w:rPr>
        <w:t>万元。</w:t>
      </w:r>
    </w:p>
    <w:p>
      <w:pPr>
        <w:numPr>
          <w:ilvl w:val="0"/>
          <w:numId w:val="3"/>
        </w:numPr>
        <w:tabs>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服务期限</w:t>
      </w:r>
      <w:r>
        <w:rPr>
          <w:rFonts w:hint="eastAsia" w:ascii="宋体" w:hAnsi="宋体" w:eastAsia="宋体" w:cs="宋体"/>
          <w:b/>
          <w:color w:val="auto"/>
          <w:sz w:val="24"/>
          <w:szCs w:val="24"/>
          <w:highlight w:val="none"/>
        </w:rPr>
        <w:t>：</w:t>
      </w:r>
      <w:r>
        <w:rPr>
          <w:rFonts w:hint="eastAsia" w:ascii="宋体" w:hAnsi="宋体" w:cs="宋体"/>
          <w:b w:val="0"/>
          <w:bCs/>
          <w:color w:val="auto"/>
          <w:sz w:val="24"/>
          <w:szCs w:val="24"/>
          <w:highlight w:val="none"/>
          <w:lang w:val="en-US" w:eastAsia="zh-CN"/>
        </w:rPr>
        <w:t>自合同签订之日起至2026年12月31日（具体时间以合同签订为准）。</w:t>
      </w:r>
    </w:p>
    <w:p>
      <w:pPr>
        <w:numPr>
          <w:ilvl w:val="0"/>
          <w:numId w:val="3"/>
        </w:numPr>
        <w:tabs>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投标资格</w:t>
      </w:r>
      <w:r>
        <w:rPr>
          <w:rFonts w:hint="eastAsia" w:ascii="宋体" w:hAnsi="宋体" w:cs="宋体"/>
          <w:b/>
          <w:color w:val="auto"/>
          <w:sz w:val="24"/>
          <w:szCs w:val="24"/>
          <w:highlight w:val="none"/>
          <w:lang w:val="en-US" w:eastAsia="zh-CN"/>
        </w:rPr>
        <w:t>要求</w:t>
      </w:r>
      <w:r>
        <w:rPr>
          <w:rFonts w:hint="eastAsia" w:ascii="宋体" w:hAnsi="宋体" w:eastAsia="宋体" w:cs="宋体"/>
          <w:b/>
          <w:color w:val="auto"/>
          <w:sz w:val="24"/>
          <w:szCs w:val="24"/>
          <w:highlight w:val="none"/>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sz w:val="24"/>
          <w:szCs w:val="24"/>
          <w:highlight w:val="none"/>
        </w:rPr>
        <w:t>投标人须</w:t>
      </w:r>
      <w:r>
        <w:rPr>
          <w:rFonts w:hint="eastAsia" w:ascii="宋体" w:hAnsi="宋体" w:eastAsia="宋体" w:cs="宋体"/>
          <w:color w:val="auto"/>
          <w:sz w:val="24"/>
          <w:highlight w:val="none"/>
        </w:rPr>
        <w:t>具有独立承担民事责任能力的在中华人民共和国境内注册的法人或其他组织，能够独立承担民事责任，具有从事本项目的能力</w:t>
      </w:r>
      <w:r>
        <w:rPr>
          <w:rFonts w:hint="eastAsia" w:ascii="宋体" w:hAnsi="宋体" w:eastAsia="宋体" w:cs="宋体"/>
          <w:color w:val="auto"/>
          <w:sz w:val="24"/>
          <w:szCs w:val="24"/>
          <w:highlight w:val="none"/>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val="en-US" w:eastAsia="zh-CN"/>
        </w:rPr>
        <w:t>项目负责人须具有有效的一级注册造价工程师资格；</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投标人</w:t>
      </w:r>
      <w:r>
        <w:rPr>
          <w:rFonts w:hint="eastAsia" w:ascii="宋体" w:hAnsi="宋体" w:eastAsia="宋体" w:cs="宋体"/>
          <w:color w:val="auto"/>
          <w:sz w:val="24"/>
          <w:highlight w:val="none"/>
        </w:rPr>
        <w:t>不得被列入“失信被执行人”或“失信惩戒对象”或“重大税收违法案件当事人”，以“信用中国”网站（www.creditchina.gov.cn）查询为准。（需在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公告发布后从“信用中国”网站打印查询结果并加盖公章）</w:t>
      </w:r>
      <w:r>
        <w:rPr>
          <w:rFonts w:hint="eastAsia" w:ascii="宋体" w:hAnsi="宋体" w:eastAsia="宋体" w:cs="宋体"/>
          <w:color w:val="auto"/>
          <w:sz w:val="24"/>
          <w:highlight w:val="none"/>
          <w:lang w:eastAsia="zh-CN"/>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本项目不接受联合体投标申请</w:t>
      </w:r>
      <w:r>
        <w:rPr>
          <w:rFonts w:hint="eastAsia" w:ascii="宋体" w:hAnsi="宋体" w:cs="宋体"/>
          <w:color w:val="auto"/>
          <w:kern w:val="0"/>
          <w:sz w:val="24"/>
          <w:szCs w:val="28"/>
          <w:highlight w:val="none"/>
          <w:lang w:eastAsia="zh-CN"/>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单位负责人为同一人或者存在控股、管理关系的不同单位，不得参加同一招标项目投标</w:t>
      </w:r>
      <w:r>
        <w:rPr>
          <w:rFonts w:hint="eastAsia" w:ascii="宋体" w:hAnsi="宋体" w:eastAsia="宋体" w:cs="宋体"/>
          <w:color w:val="auto"/>
          <w:kern w:val="0"/>
          <w:sz w:val="24"/>
          <w:szCs w:val="28"/>
          <w:highlight w:val="none"/>
          <w:lang w:eastAsia="zh-CN"/>
        </w:rPr>
        <w:t>。</w:t>
      </w:r>
    </w:p>
    <w:p>
      <w:pPr>
        <w:numPr>
          <w:ilvl w:val="0"/>
          <w:numId w:val="3"/>
        </w:numPr>
        <w:tabs>
          <w:tab w:val="left" w:pos="1134"/>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资格审查方式：资格后审。</w:t>
      </w:r>
    </w:p>
    <w:p>
      <w:pPr>
        <w:numPr>
          <w:ilvl w:val="0"/>
          <w:numId w:val="3"/>
        </w:numPr>
        <w:tabs>
          <w:tab w:val="left" w:pos="1134"/>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招标文件的获取：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1.凡有意参加投标者，</w:t>
      </w:r>
      <w:r>
        <w:rPr>
          <w:rFonts w:hint="eastAsia" w:ascii="宋体" w:hAnsi="宋体" w:eastAsia="宋体" w:cs="宋体"/>
          <w:color w:val="auto"/>
          <w:sz w:val="24"/>
          <w:szCs w:val="24"/>
          <w:highlight w:val="none"/>
          <w:lang w:val="en-US" w:eastAsia="zh-CN"/>
        </w:rPr>
        <w:t>在“辽宁省公共资源交易一张网电子化平台（https://www.lnsggzy.com/EpointSSO/login/oauth2login）”上进行投标确认，自行下载招标文件。投标人在投标的全过程中要随时关注辽宁省公共资源交易一张网电子化平台，及时获取相关信息，否则，由此造成的一切后果，由投标人自行负责。</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领取</w:t>
      </w:r>
      <w:r>
        <w:rPr>
          <w:rFonts w:hint="eastAsia" w:ascii="宋体" w:hAnsi="宋体" w:eastAsia="宋体" w:cs="宋体"/>
          <w:color w:val="auto"/>
          <w:sz w:val="24"/>
          <w:szCs w:val="24"/>
          <w:highlight w:val="none"/>
        </w:rPr>
        <w:t>招标文件时间：自</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16:00</w:t>
      </w:r>
      <w:r>
        <w:rPr>
          <w:rFonts w:hint="eastAsia" w:ascii="宋体" w:hAnsi="宋体" w:eastAsia="宋体" w:cs="宋体"/>
          <w:color w:val="auto"/>
          <w:sz w:val="24"/>
          <w:szCs w:val="24"/>
          <w:highlight w:val="none"/>
        </w:rPr>
        <w:t>起至</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17:00</w:t>
      </w:r>
      <w:r>
        <w:rPr>
          <w:rFonts w:hint="eastAsia" w:ascii="宋体" w:hAnsi="宋体" w:eastAsia="宋体" w:cs="宋体"/>
          <w:color w:val="auto"/>
          <w:sz w:val="24"/>
          <w:szCs w:val="24"/>
          <w:highlight w:val="none"/>
        </w:rPr>
        <w:t>止。</w:t>
      </w:r>
    </w:p>
    <w:p>
      <w:pPr>
        <w:numPr>
          <w:ilvl w:val="0"/>
          <w:numId w:val="3"/>
        </w:numPr>
        <w:tabs>
          <w:tab w:val="left" w:pos="1134"/>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投标文件的递交及开标：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1.投标文件递交的截止时间和开标时间：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日上午9时30分</w:t>
      </w:r>
      <w:r>
        <w:rPr>
          <w:rFonts w:hint="eastAsia" w:ascii="宋体" w:hAnsi="宋体" w:eastAsia="宋体" w:cs="宋体"/>
          <w:color w:val="auto"/>
          <w:sz w:val="24"/>
          <w:szCs w:val="24"/>
          <w:highlight w:val="none"/>
        </w:rPr>
        <w:t>（北京时间）。届时请参加投标的代表出席开标仪式。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2.投标文件递交</w:t>
      </w: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rPr>
        <w:t>：在“辽宁省公共资源交易一张网电子化平台（https://www.lnsggzy.com/EpointSSO/login/oauth2login）”上传投标文件。</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3.开标方式：</w:t>
      </w:r>
      <w:r>
        <w:rPr>
          <w:rFonts w:hint="eastAsia" w:ascii="宋体" w:hAnsi="宋体" w:eastAsia="宋体" w:cs="宋体"/>
          <w:color w:val="auto"/>
          <w:sz w:val="24"/>
          <w:szCs w:val="24"/>
          <w:highlight w:val="none"/>
        </w:rPr>
        <w:t>远程开标（不见面交易）</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开标网址：</w:t>
      </w:r>
      <w:r>
        <w:rPr>
          <w:rFonts w:hint="eastAsia" w:ascii="宋体" w:hAnsi="宋体" w:eastAsia="宋体" w:cs="宋体"/>
          <w:color w:val="auto"/>
          <w:sz w:val="24"/>
          <w:szCs w:val="24"/>
          <w:highlight w:val="none"/>
          <w:u w:val="single"/>
        </w:rPr>
        <w:t>https://www.lnsggzy.com/BidOpeningHall/bidhall/dqliaoning/login</w:t>
      </w:r>
      <w:r>
        <w:rPr>
          <w:rFonts w:hint="eastAsia" w:ascii="宋体" w:hAnsi="宋体" w:eastAsia="宋体" w:cs="宋体"/>
          <w:color w:val="auto"/>
          <w:sz w:val="24"/>
          <w:szCs w:val="24"/>
          <w:highlight w:val="none"/>
        </w:rPr>
        <w:t>。投标文件需要用实体CA数字证书或移动CA数字证书生成上传。并在递交投标文件截止时间起30分钟内（因开标系统发生不可抗力产生延误解密时间的，招标人将延长相应的解密时长，其他原因不予延长解密时间），登录交易系统进入所投开标项目，使用CA 数字证书解密投标文件，未在规定时间内完成解密的投标人，视为放弃本次投标。</w:t>
      </w:r>
    </w:p>
    <w:p>
      <w:pPr>
        <w:numPr>
          <w:ilvl w:val="0"/>
          <w:numId w:val="3"/>
        </w:numPr>
        <w:tabs>
          <w:tab w:val="left" w:pos="1418"/>
        </w:tabs>
        <w:spacing w:line="360" w:lineRule="auto"/>
        <w:ind w:left="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发布公告的媒介：</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次招标</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辽宁省招标投标监管网</w:t>
      </w:r>
      <w:r>
        <w:rPr>
          <w:rFonts w:hint="eastAsia" w:ascii="宋体" w:hAnsi="宋体" w:cs="宋体"/>
          <w:color w:val="auto"/>
          <w:sz w:val="24"/>
          <w:szCs w:val="24"/>
          <w:highlight w:val="none"/>
          <w:lang w:val="en-US" w:eastAsia="zh-CN"/>
        </w:rPr>
        <w:t>、</w:t>
      </w:r>
      <w:r>
        <w:rPr>
          <w:rFonts w:ascii="Helvetica" w:hAnsi="Helvetica" w:eastAsia="Helvetica" w:cs="Helvetica"/>
          <w:i w:val="0"/>
          <w:iCs w:val="0"/>
          <w:caps w:val="0"/>
          <w:color w:val="auto"/>
          <w:spacing w:val="0"/>
          <w:sz w:val="24"/>
          <w:szCs w:val="24"/>
          <w:highlight w:val="none"/>
          <w:shd w:val="clear" w:fill="FFFFFF"/>
        </w:rPr>
        <w:t>辽宁省公共资源交易网</w:t>
      </w:r>
      <w:r>
        <w:rPr>
          <w:rFonts w:hint="eastAsia" w:ascii="Helvetica" w:hAnsi="Helvetica" w:eastAsia="宋体" w:cs="Helvetica"/>
          <w:i w:val="0"/>
          <w:iCs w:val="0"/>
          <w:caps w:val="0"/>
          <w:color w:val="auto"/>
          <w:spacing w:val="0"/>
          <w:sz w:val="24"/>
          <w:szCs w:val="24"/>
          <w:highlight w:val="none"/>
          <w:shd w:val="clear" w:fill="FFFFFF"/>
          <w:lang w:val="en-US" w:eastAsia="zh-CN"/>
        </w:rPr>
        <w:t>及营口市公共资源交易网</w:t>
      </w:r>
      <w:r>
        <w:rPr>
          <w:rFonts w:hint="eastAsia" w:ascii="宋体" w:hAnsi="宋体" w:eastAsia="宋体" w:cs="宋体"/>
          <w:color w:val="auto"/>
          <w:sz w:val="24"/>
          <w:szCs w:val="24"/>
          <w:highlight w:val="none"/>
        </w:rPr>
        <w:t>上发布。</w:t>
      </w:r>
    </w:p>
    <w:p>
      <w:pPr>
        <w:numPr>
          <w:ilvl w:val="0"/>
          <w:numId w:val="3"/>
        </w:numPr>
        <w:tabs>
          <w:tab w:val="left" w:pos="1418"/>
        </w:tabs>
        <w:spacing w:line="360" w:lineRule="auto"/>
        <w:ind w:left="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联系方式</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营口市自然资源局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地址：营口市站前区辽河大街东14-5号</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鲍</w:t>
      </w:r>
      <w:r>
        <w:rPr>
          <w:rFonts w:hint="eastAsia" w:ascii="宋体" w:hAnsi="宋体" w:eastAsia="宋体" w:cs="宋体"/>
          <w:color w:val="auto"/>
          <w:sz w:val="24"/>
          <w:highlight w:val="none"/>
          <w:lang w:val="en-US" w:eastAsia="zh-CN"/>
        </w:rPr>
        <w:t>先生</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招标代理机构：辽宁国信建设工程管理有限公司</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联系地址：营口市站前区东新路7-12号</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魏先生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联系电话：0417-3355086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传真：0417-3355059</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lang w:eastAsia="zh-CN"/>
        </w:rPr>
        <w:t>gxzbscb@163.com</w:t>
      </w: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right="120"/>
        <w:jc w:val="righ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8" w:name="_Toc343510552"/>
      <w:bookmarkStart w:id="9" w:name="_Toc19585"/>
      <w:bookmarkStart w:id="10" w:name="_Toc344394138"/>
      <w:bookmarkStart w:id="11" w:name="_Toc349568451"/>
      <w:bookmarkStart w:id="12" w:name="_Toc349568710"/>
      <w:bookmarkStart w:id="13" w:name="_Toc350515647"/>
      <w:bookmarkStart w:id="14" w:name="_Toc26728"/>
      <w:r>
        <w:rPr>
          <w:rFonts w:hint="eastAsia" w:ascii="宋体" w:hAnsi="宋体" w:eastAsia="宋体" w:cs="宋体"/>
          <w:color w:val="auto"/>
          <w:szCs w:val="24"/>
          <w:highlight w:val="none"/>
        </w:rPr>
        <w:t>投标人须知</w:t>
      </w:r>
      <w:r>
        <w:rPr>
          <w:rFonts w:hint="eastAsia" w:ascii="宋体" w:hAnsi="宋体" w:eastAsia="宋体" w:cs="宋体"/>
          <w:color w:val="auto"/>
          <w:w w:val="90"/>
          <w:highlight w:val="none"/>
        </w:rPr>
        <w:t>前附表</w:t>
      </w:r>
      <w:bookmarkEnd w:id="8"/>
      <w:bookmarkEnd w:id="9"/>
      <w:bookmarkEnd w:id="10"/>
      <w:bookmarkEnd w:id="11"/>
      <w:bookmarkEnd w:id="12"/>
      <w:bookmarkEnd w:id="13"/>
      <w:bookmarkEnd w:id="14"/>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spacing w:afterLines="50" w:line="360" w:lineRule="auto"/>
        <w:ind w:firstLine="442"/>
        <w:jc w:val="center"/>
        <w:rPr>
          <w:rFonts w:hint="eastAsia" w:ascii="宋体" w:hAnsi="宋体" w:eastAsia="宋体" w:cs="宋体"/>
          <w:b/>
          <w:color w:val="auto"/>
          <w:w w:val="90"/>
          <w:sz w:val="36"/>
          <w:highlight w:val="none"/>
        </w:rPr>
      </w:pPr>
      <w:r>
        <w:rPr>
          <w:rFonts w:hint="eastAsia" w:ascii="宋体" w:hAnsi="宋体" w:eastAsia="宋体" w:cs="宋体"/>
          <w:b/>
          <w:color w:val="auto"/>
          <w:w w:val="90"/>
          <w:sz w:val="36"/>
          <w:highlight w:val="none"/>
        </w:rPr>
        <w:br w:type="page"/>
      </w:r>
      <w:r>
        <w:rPr>
          <w:rFonts w:hint="eastAsia" w:ascii="宋体" w:hAnsi="宋体" w:eastAsia="宋体" w:cs="宋体"/>
          <w:b/>
          <w:color w:val="auto"/>
          <w:w w:val="90"/>
          <w:sz w:val="36"/>
          <w:highlight w:val="none"/>
        </w:rPr>
        <w:t>一、投标人须知前附表</w:t>
      </w:r>
    </w:p>
    <w:p>
      <w:pPr>
        <w:tabs>
          <w:tab w:val="left" w:pos="7770"/>
        </w:tabs>
        <w:autoSpaceDE w:val="0"/>
        <w:autoSpaceDN w:val="0"/>
        <w:spacing w:line="360" w:lineRule="auto"/>
        <w:rPr>
          <w:rFonts w:hint="eastAsia" w:ascii="宋体" w:hAnsi="宋体" w:eastAsia="宋体" w:cs="宋体"/>
          <w:color w:val="auto"/>
          <w:highlight w:val="none"/>
        </w:rPr>
      </w:pPr>
    </w:p>
    <w:tbl>
      <w:tblPr>
        <w:tblStyle w:val="26"/>
        <w:tblW w:w="100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815"/>
        <w:gridCol w:w="86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blHeader/>
          <w:jc w:val="center"/>
        </w:trPr>
        <w:tc>
          <w:tcPr>
            <w:tcW w:w="560" w:type="dxa"/>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项号</w:t>
            </w:r>
          </w:p>
        </w:tc>
        <w:tc>
          <w:tcPr>
            <w:tcW w:w="815" w:type="dxa"/>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647" w:type="dxa"/>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atLeast"/>
          <w:jc w:val="center"/>
        </w:trPr>
        <w:tc>
          <w:tcPr>
            <w:tcW w:w="10022" w:type="dxa"/>
            <w:gridSpan w:val="3"/>
            <w:shd w:val="clear" w:color="auto" w:fill="E6E6E6"/>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 和 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pPr>
              <w:pStyle w:val="31"/>
              <w:numPr>
                <w:ilvl w:val="0"/>
                <w:numId w:val="5"/>
              </w:numPr>
              <w:snapToGrid w:val="0"/>
              <w:spacing w:line="360" w:lineRule="auto"/>
              <w:ind w:firstLineChars="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p>
        </w:tc>
        <w:tc>
          <w:tcPr>
            <w:tcW w:w="815" w:type="dxa"/>
            <w:tcBorders>
              <w:bottom w:val="single" w:color="auto" w:sz="6" w:space="0"/>
            </w:tcBorders>
            <w:shd w:val="clear" w:color="auto" w:fill="FFFFFF"/>
            <w:vAlign w:val="center"/>
          </w:tcPr>
          <w:p>
            <w:pPr>
              <w:snapToGrid w:val="0"/>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val="0"/>
                <w:bCs/>
                <w:color w:val="auto"/>
                <w:sz w:val="24"/>
                <w:szCs w:val="24"/>
                <w:highlight w:val="none"/>
                <w:lang w:val="en-US" w:eastAsia="zh-CN"/>
              </w:rPr>
              <w:t>3.1</w:t>
            </w:r>
          </w:p>
        </w:tc>
        <w:tc>
          <w:tcPr>
            <w:tcW w:w="8647" w:type="dxa"/>
            <w:shd w:val="clear" w:color="auto" w:fill="FFFFFF"/>
            <w:vAlign w:val="center"/>
          </w:tcPr>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lang w:val="en-US" w:eastAsia="zh-CN"/>
              </w:rPr>
              <w:t>中央资金</w:t>
            </w:r>
            <w:r>
              <w:rPr>
                <w:rFonts w:hint="eastAsia" w:ascii="宋体" w:hAnsi="宋体" w:eastAsia="宋体" w:cs="宋体"/>
                <w:color w:val="auto"/>
                <w:sz w:val="24"/>
                <w:szCs w:val="24"/>
                <w:highlight w:val="none"/>
              </w:rPr>
              <w:t>，已落实。估算价：</w:t>
            </w:r>
            <w:r>
              <w:rPr>
                <w:rFonts w:hint="eastAsia" w:ascii="宋体" w:hAnsi="宋体" w:cs="宋体"/>
                <w:color w:val="auto"/>
                <w:sz w:val="24"/>
                <w:szCs w:val="24"/>
                <w:highlight w:val="none"/>
                <w:lang w:val="en-US" w:eastAsia="zh-CN"/>
              </w:rPr>
              <w:t>150</w:t>
            </w:r>
            <w:r>
              <w:rPr>
                <w:rFonts w:hint="eastAsia" w:ascii="宋体" w:hAnsi="宋体" w:eastAsia="宋体" w:cs="宋体"/>
                <w:color w:val="auto"/>
                <w:sz w:val="24"/>
                <w:szCs w:val="24"/>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pPr>
              <w:pStyle w:val="31"/>
              <w:numPr>
                <w:ilvl w:val="0"/>
                <w:numId w:val="5"/>
              </w:numPr>
              <w:snapToGrid w:val="0"/>
              <w:spacing w:line="360" w:lineRule="auto"/>
              <w:ind w:firstLineChars="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p>
        </w:tc>
        <w:tc>
          <w:tcPr>
            <w:tcW w:w="815" w:type="dxa"/>
            <w:tcBorders>
              <w:top w:val="single" w:color="auto" w:sz="6" w:space="0"/>
              <w:bottom w:val="single" w:color="auto" w:sz="6" w:space="0"/>
            </w:tcBorders>
            <w:shd w:val="clear" w:color="auto" w:fill="FFFFFF"/>
            <w:vAlign w:val="center"/>
          </w:tcPr>
          <w:p>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8647" w:type="dxa"/>
            <w:shd w:val="clear" w:color="auto" w:fill="FFFFFF"/>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招标方式：公开招标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8647" w:type="dxa"/>
            <w:vAlign w:val="center"/>
          </w:tcPr>
          <w:p>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highlight w:val="none"/>
                <w:lang w:eastAsia="zh-CN"/>
              </w:rPr>
              <w:t>辽宁省营口市海洋生态保护修复工程项目全过程工程造价咨询服务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8647" w:type="dxa"/>
            <w:vAlign w:val="center"/>
          </w:tcPr>
          <w:p>
            <w:pPr>
              <w:snapToGrid w:val="0"/>
              <w:spacing w:line="360" w:lineRule="auto"/>
              <w:rPr>
                <w:rFonts w:hint="eastAsia" w:ascii="宋体" w:hAnsi="宋体" w:eastAsia="宋体" w:cs="宋体"/>
                <w:bCs/>
                <w:color w:val="auto"/>
                <w:kern w:val="0"/>
                <w:sz w:val="24"/>
                <w:highlight w:val="none"/>
                <w:lang w:eastAsia="zh-CN"/>
              </w:rPr>
            </w:pPr>
            <w:r>
              <w:rPr>
                <w:rFonts w:hint="eastAsia" w:ascii="宋体" w:hAnsi="宋体" w:eastAsia="宋体" w:cs="宋体"/>
                <w:color w:val="auto"/>
                <w:sz w:val="24"/>
                <w:szCs w:val="24"/>
                <w:highlight w:val="none"/>
              </w:rPr>
              <w:t>招标人名称：</w:t>
            </w:r>
            <w:r>
              <w:rPr>
                <w:rFonts w:hint="eastAsia" w:ascii="宋体" w:hAnsi="宋体" w:eastAsia="宋体" w:cs="宋体"/>
                <w:bCs/>
                <w:color w:val="auto"/>
                <w:kern w:val="0"/>
                <w:sz w:val="24"/>
                <w:highlight w:val="none"/>
                <w:lang w:eastAsia="zh-CN"/>
              </w:rPr>
              <w:t>营口市自然资源局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8647" w:type="dxa"/>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招标代理机构名称：</w:t>
            </w:r>
            <w:r>
              <w:rPr>
                <w:rFonts w:hint="eastAsia" w:ascii="宋体" w:hAnsi="宋体" w:eastAsia="宋体" w:cs="宋体"/>
                <w:color w:val="auto"/>
                <w:sz w:val="24"/>
                <w:highlight w:val="none"/>
              </w:rPr>
              <w:t>辽宁国信建设工程管理有限公司</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highlight w:val="none"/>
              </w:rPr>
              <w:t>营口市站前区东新路7-12号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1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8647" w:type="dxa"/>
            <w:vAlign w:val="center"/>
          </w:tcPr>
          <w:p>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r>
              <w:rPr>
                <w:rFonts w:hint="eastAsia" w:ascii="宋体" w:hAnsi="宋体" w:eastAsia="宋体" w:cs="宋体"/>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1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8647" w:type="dxa"/>
            <w:vAlign w:val="center"/>
          </w:tcPr>
          <w:p>
            <w:pPr>
              <w:snapToGrid w:val="0"/>
              <w:spacing w:line="360" w:lineRule="auto"/>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质量要求：</w:t>
            </w:r>
            <w:r>
              <w:rPr>
                <w:rFonts w:hint="eastAsia" w:ascii="宋体" w:hAnsi="宋体" w:cs="宋体"/>
                <w:color w:val="auto"/>
                <w:sz w:val="24"/>
                <w:highlight w:val="none"/>
                <w:lang w:val="en-US" w:eastAsia="zh-CN"/>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1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2.1</w:t>
            </w:r>
          </w:p>
        </w:tc>
        <w:tc>
          <w:tcPr>
            <w:tcW w:w="8647" w:type="dxa"/>
            <w:vAlign w:val="center"/>
          </w:tcPr>
          <w:p>
            <w:pPr>
              <w:tabs>
                <w:tab w:val="left" w:pos="993"/>
                <w:tab w:val="left" w:pos="1134"/>
              </w:tabs>
              <w:spacing w:line="360" w:lineRule="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lang w:eastAsia="zh-CN"/>
              </w:rPr>
              <w:t>招标范围</w:t>
            </w:r>
            <w:r>
              <w:rPr>
                <w:rFonts w:hint="eastAsia" w:ascii="宋体" w:hAnsi="宋体" w:eastAsia="宋体" w:cs="宋体"/>
                <w:color w:val="auto"/>
                <w:sz w:val="24"/>
                <w:szCs w:val="24"/>
                <w:highlight w:val="none"/>
              </w:rPr>
              <w:t>：</w:t>
            </w:r>
            <w:r>
              <w:rPr>
                <w:rFonts w:hint="eastAsia" w:ascii="宋体" w:hAnsi="宋体" w:cs="宋体"/>
                <w:b w:val="0"/>
                <w:bCs/>
                <w:color w:val="auto"/>
                <w:sz w:val="24"/>
                <w:szCs w:val="24"/>
                <w:highlight w:val="none"/>
                <w:lang w:eastAsia="zh-CN"/>
              </w:rPr>
              <w:t>本项目拟完成修复总面积 1630.34ha,整治修复岸线长度 2951.90m，其中修复砂质岸线 1287m、生态护岸 1664.90m；整治修复滨海湿地面积1555.22ha，其中保育和种植盐沼植被面积269.69ha、浒苔防治面积1006.83ha。</w:t>
            </w:r>
            <w:r>
              <w:rPr>
                <w:rFonts w:hint="eastAsia" w:ascii="宋体" w:hAnsi="宋体" w:cs="宋体"/>
                <w:bCs/>
                <w:color w:val="auto"/>
                <w:sz w:val="24"/>
                <w:szCs w:val="24"/>
                <w:highlight w:val="none"/>
                <w:lang w:val="en-US" w:eastAsia="zh-CN"/>
              </w:rPr>
              <w:t>拟委托1家服务机构提供上述工程内容</w:t>
            </w:r>
            <w:r>
              <w:rPr>
                <w:rFonts w:hint="eastAsia" w:ascii="宋体" w:hAnsi="宋体" w:cs="宋体"/>
                <w:color w:val="auto"/>
                <w:sz w:val="24"/>
                <w:szCs w:val="24"/>
                <w:highlight w:val="none"/>
                <w:lang w:eastAsia="zh-CN"/>
              </w:rPr>
              <w:t>全过程工程造价咨询服务（</w:t>
            </w:r>
            <w:r>
              <w:rPr>
                <w:rFonts w:hint="eastAsia" w:ascii="宋体" w:hAnsi="宋体" w:cs="宋体"/>
                <w:color w:val="auto"/>
                <w:sz w:val="24"/>
                <w:szCs w:val="24"/>
                <w:highlight w:val="none"/>
                <w:lang w:val="en-US" w:eastAsia="zh-CN"/>
              </w:rPr>
              <w:t>包括但不限于工程量清单及招标控制价审核、竣工结算内部审核、决算编制、施工阶段全过程造价控制及根据招标人要求进行其他工作）</w:t>
            </w:r>
            <w:r>
              <w:rPr>
                <w:rFonts w:hint="eastAsia" w:ascii="宋体" w:hAnsi="宋体" w:cs="宋体"/>
                <w:bCs/>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1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2.2</w:t>
            </w:r>
          </w:p>
        </w:tc>
        <w:tc>
          <w:tcPr>
            <w:tcW w:w="8647" w:type="dxa"/>
            <w:vAlign w:val="center"/>
          </w:tcPr>
          <w:p>
            <w:pPr>
              <w:snapToGrid w:val="0"/>
              <w:spacing w:line="360" w:lineRule="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w:t>
            </w:r>
            <w:r>
              <w:rPr>
                <w:rFonts w:hint="eastAsia" w:ascii="宋体" w:hAnsi="宋体" w:cs="宋体"/>
                <w:b w:val="0"/>
                <w:bCs/>
                <w:color w:val="auto"/>
                <w:sz w:val="24"/>
                <w:szCs w:val="24"/>
                <w:highlight w:val="none"/>
                <w:lang w:val="en-US" w:eastAsia="zh-CN"/>
              </w:rPr>
              <w:t>自合同签订之日起至2026年12月31日（具体时间以合同签订为准）</w:t>
            </w:r>
            <w:r>
              <w:rPr>
                <w:rFonts w:hint="eastAsia" w:ascii="宋体" w:hAnsi="宋体" w:eastAsia="宋体" w:cs="宋体"/>
                <w:b w:val="0"/>
                <w:bCs/>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1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p>
        </w:tc>
        <w:tc>
          <w:tcPr>
            <w:tcW w:w="8647"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资格审查方式：资格后审。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投标人资格条件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647" w:type="dxa"/>
            <w:tcBorders>
              <w:top w:val="single" w:color="auto" w:sz="6" w:space="0"/>
              <w:bottom w:val="single" w:color="auto" w:sz="6"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本次招标实行资格后审，投标人的资格要求同本项目招标公告《投标资格</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现场踏勘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1"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8647" w:type="dxa"/>
            <w:tcBorders>
              <w:top w:val="single" w:color="auto" w:sz="6" w:space="0"/>
              <w:bottom w:val="single" w:color="auto" w:sz="6"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招标人不统一组织踏勘。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投标人对招标文件提出的异议及要求澄清的截止时间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647" w:type="dxa"/>
            <w:tcBorders>
              <w:top w:val="single" w:color="auto" w:sz="6"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1、投标人对招标文件提出异议的截止时间：各投标人应在投标截止时间十（10）天前以书面形式向招标代理提出（电话0417-3355086）。对各投标人提出的疑问，招标人以书面形式回答。</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2、投标人要求澄清招标文件的截止时间为投标截止时间15日前。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tcBorders>
            <w:shd w:val="clear" w:color="auto" w:fill="D9D9D9"/>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投  标  报  价  和  货  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8647" w:type="dxa"/>
            <w:tcBorders>
              <w:top w:val="single" w:color="auto" w:sz="6"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投标报价方式：投标报价应为</w:t>
            </w:r>
            <w:r>
              <w:rPr>
                <w:rFonts w:hint="eastAsia" w:ascii="宋体" w:hAnsi="宋体" w:eastAsia="宋体" w:cs="宋体"/>
                <w:color w:val="auto"/>
                <w:sz w:val="24"/>
                <w:highlight w:val="none"/>
                <w:lang w:eastAsia="zh-CN"/>
              </w:rPr>
              <w:t>固定总价</w:t>
            </w:r>
            <w:r>
              <w:rPr>
                <w:rFonts w:hint="eastAsia" w:ascii="宋体" w:hAnsi="宋体" w:eastAsia="宋体" w:cs="宋体"/>
                <w:color w:val="auto"/>
                <w:sz w:val="24"/>
                <w:highlight w:val="none"/>
              </w:rPr>
              <w:t>的报价方式，投标人根据招标人提供的资料自行填报</w:t>
            </w:r>
            <w:r>
              <w:rPr>
                <w:rFonts w:hint="eastAsia" w:ascii="宋体" w:hAnsi="宋体" w:eastAsia="宋体" w:cs="宋体"/>
                <w:color w:val="auto"/>
                <w:sz w:val="24"/>
                <w:highlight w:val="none"/>
                <w:lang w:eastAsia="zh-CN"/>
              </w:rPr>
              <w:t>固定总价</w:t>
            </w:r>
            <w:r>
              <w:rPr>
                <w:rFonts w:hint="eastAsia" w:ascii="宋体" w:hAnsi="宋体" w:eastAsia="宋体" w:cs="宋体"/>
                <w:color w:val="auto"/>
                <w:sz w:val="24"/>
                <w:highlight w:val="none"/>
              </w:rPr>
              <w:t>，其价格应包含完成所需的一切费用。按可调整价格报价的投标文件将被视为不响应招标文件。</w:t>
            </w:r>
          </w:p>
          <w:p>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本项目最高投标限价：</w:t>
            </w:r>
            <w:r>
              <w:rPr>
                <w:rFonts w:hint="eastAsia" w:ascii="宋体" w:hAnsi="宋体" w:cs="宋体"/>
                <w:color w:val="auto"/>
                <w:sz w:val="24"/>
                <w:highlight w:val="none"/>
                <w:lang w:val="en-US" w:eastAsia="zh-CN"/>
              </w:rPr>
              <w:t>150</w:t>
            </w:r>
            <w:r>
              <w:rPr>
                <w:rFonts w:hint="eastAsia" w:ascii="宋体" w:hAnsi="宋体" w:eastAsia="宋体" w:cs="宋体"/>
                <w:color w:val="auto"/>
                <w:sz w:val="24"/>
                <w:highlight w:val="none"/>
                <w:lang w:val="en-US" w:eastAsia="zh-CN"/>
              </w:rPr>
              <w:t>万元。投标人所填报价不得高于上述最高限价，否则按废标处理。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tcBorders>
            <w:vAlign w:val="center"/>
          </w:tcPr>
          <w:p>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15.1</w:t>
            </w:r>
          </w:p>
        </w:tc>
        <w:tc>
          <w:tcPr>
            <w:tcW w:w="8647" w:type="dxa"/>
            <w:tcBorders>
              <w:top w:val="single" w:color="auto" w:sz="6"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投标货币：人民币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6" w:hRule="atLeast"/>
          <w:jc w:val="center"/>
        </w:trPr>
        <w:tc>
          <w:tcPr>
            <w:tcW w:w="10022" w:type="dxa"/>
            <w:gridSpan w:val="3"/>
            <w:shd w:val="clear" w:color="auto" w:fill="E6E6E6"/>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 标 文 件 的 编 制 和 递 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3"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8647" w:type="dxa"/>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是否要求投标人递交投标保证金：</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不要求</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要求</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1.投标保证金有效期：与投标有效期一致。</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2.投标保证金的形式：</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电汇、☑ 保函：        </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3.投标保证金金额：人民币</w:t>
            </w:r>
            <w:r>
              <w:rPr>
                <w:rFonts w:hint="eastAsia" w:ascii="宋体" w:hAnsi="宋体" w:cs="宋体"/>
                <w:color w:val="auto"/>
                <w:sz w:val="24"/>
                <w:highlight w:val="none"/>
                <w:lang w:val="en-US" w:eastAsia="zh-CN"/>
              </w:rPr>
              <w:t>20000</w:t>
            </w:r>
            <w:r>
              <w:rPr>
                <w:rFonts w:hint="eastAsia" w:ascii="宋体" w:hAnsi="宋体" w:eastAsia="宋体" w:cs="宋体"/>
                <w:color w:val="auto"/>
                <w:sz w:val="24"/>
                <w:highlight w:val="none"/>
              </w:rPr>
              <w:t>.00元。</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（1）电汇、支票：投标保证金必须是从投标人单位的基本账户转入收取投标保证金的账户。</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（2）此账户仅为递交投标保证金的账户，汇款时请备注项目编号及款项。</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收取投标保证金账号：</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开户银行：辽宁国信建设工程管理有限公司</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账户名称：招商银行营口分行营业部</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号：417900156710302</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a.请将投标保证金在投标截止时间前转入收取投标保证金的账户，以到账时间为准。</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b.投标保证金退还时一律以银行转账方式退回，不退现金。</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c.投标保证金的退还事宜请与招标代理机构联系，电话：0417-3355086 。</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（2）保函（包括：银行业金融机构保函、担保公司担保保函等）</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递交要求：投标人须将有效的保函及投标人的基本账户开户许可证（或基本存款账户信息）的原件扫描件或截图编制在招标文件指定位置中。</w:t>
            </w:r>
          </w:p>
          <w:p>
            <w:pPr>
              <w:snapToGrid w:val="0"/>
              <w:spacing w:line="360" w:lineRule="auto"/>
              <w:ind w:firstLine="0" w:firstLineChars="0"/>
              <w:jc w:val="left"/>
              <w:rPr>
                <w:rFonts w:hint="eastAsia" w:ascii="宋体" w:hAnsi="宋体" w:eastAsia="宋体" w:cs="宋体"/>
                <w:i/>
                <w:color w:val="auto"/>
                <w:sz w:val="24"/>
                <w:szCs w:val="24"/>
                <w:highlight w:val="none"/>
              </w:rPr>
            </w:pPr>
            <w:r>
              <w:rPr>
                <w:rFonts w:hint="eastAsia" w:ascii="宋体" w:hAnsi="宋体" w:eastAsia="宋体" w:cs="宋体"/>
                <w:color w:val="auto"/>
                <w:sz w:val="24"/>
                <w:highlight w:val="none"/>
              </w:rPr>
              <w:t>4.其他：投标人须将有效的保函及投标人的基本账户开户许可证（或基本存款账户信息）的原件扫描件或截图，以PDF文件格式，在保证金（或保函）递交截止时间前发送到招标代理机构邮箱并通过电话确认（邮箱：gxzbscb@163.com，联系电话：0417-3355086，邮件主题和正文需注明投标单位名称和项目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647" w:type="dxa"/>
            <w:vAlign w:val="center"/>
          </w:tcPr>
          <w:p>
            <w:pPr>
              <w:snapToGrid w:val="0"/>
              <w:spacing w:line="360" w:lineRule="auto"/>
              <w:jc w:val="left"/>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投标有效期：</w:t>
            </w:r>
            <w:r>
              <w:rPr>
                <w:rFonts w:hint="eastAsia" w:ascii="宋体" w:hAnsi="宋体" w:eastAsia="宋体" w:cs="宋体"/>
                <w:color w:val="auto"/>
                <w:sz w:val="24"/>
                <w:szCs w:val="24"/>
                <w:highlight w:val="none"/>
                <w:u w:val="single"/>
              </w:rPr>
              <w:t>90日历</w:t>
            </w:r>
            <w:r>
              <w:rPr>
                <w:rFonts w:hint="eastAsia" w:ascii="宋体" w:hAnsi="宋体" w:eastAsia="宋体" w:cs="宋体"/>
                <w:color w:val="auto"/>
                <w:sz w:val="24"/>
                <w:szCs w:val="24"/>
                <w:highlight w:val="none"/>
              </w:rPr>
              <w:t>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p>
        </w:tc>
        <w:tc>
          <w:tcPr>
            <w:tcW w:w="8647" w:type="dxa"/>
            <w:vAlign w:val="center"/>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纸质版</w:t>
            </w:r>
            <w:r>
              <w:rPr>
                <w:rFonts w:hint="eastAsia" w:ascii="宋体" w:hAnsi="宋体" w:eastAsia="宋体" w:cs="宋体"/>
                <w:color w:val="auto"/>
                <w:sz w:val="24"/>
                <w:szCs w:val="24"/>
                <w:highlight w:val="none"/>
              </w:rPr>
              <w:t>投标文件份数：</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1、正本</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本，副本</w:t>
            </w:r>
            <w:r>
              <w:rPr>
                <w:rFonts w:hint="eastAsia" w:ascii="宋体" w:hAnsi="宋体" w:eastAsia="宋体" w:cs="宋体"/>
                <w:color w:val="auto"/>
                <w:sz w:val="24"/>
                <w:szCs w:val="24"/>
                <w:highlight w:val="none"/>
                <w:u w:val="single"/>
              </w:rPr>
              <w:t>肆</w:t>
            </w:r>
            <w:r>
              <w:rPr>
                <w:rFonts w:hint="eastAsia" w:ascii="宋体" w:hAnsi="宋体" w:eastAsia="宋体" w:cs="宋体"/>
                <w:color w:val="auto"/>
                <w:sz w:val="24"/>
                <w:szCs w:val="24"/>
                <w:highlight w:val="none"/>
              </w:rPr>
              <w:t>本，封面应分别注明正、副本字样。</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2、投标文件电子文档贰份（(U 盘word 版一份，加盖公章的PDF 版一份））。</w:t>
            </w:r>
          </w:p>
          <w:p>
            <w:pPr>
              <w:pStyle w:val="25"/>
              <w:ind w:left="0" w:leftChars="0" w:firstLine="0" w:firstLineChars="0"/>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3、仅由中标人提供。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8647" w:type="dxa"/>
            <w:vAlign w:val="center"/>
          </w:tcPr>
          <w:p>
            <w:pPr>
              <w:snapToGrid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投标文件递交截止时间：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日上午9时30分(北京时间)</w:t>
            </w:r>
          </w:p>
          <w:p>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投标文件递交</w:t>
            </w:r>
            <w:r>
              <w:rPr>
                <w:rFonts w:hint="eastAsia" w:ascii="宋体" w:hAnsi="宋体" w:cs="宋体"/>
                <w:color w:val="auto"/>
                <w:sz w:val="24"/>
                <w:szCs w:val="24"/>
                <w:highlight w:val="none"/>
                <w:lang w:val="en-US" w:eastAsia="zh-CN"/>
              </w:rPr>
              <w:t>地址</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在“辽宁省公共资源交易一张网电子化平台（https://www.lnsggzy.com/EpointSSO/login/oauth2login）”上传投标文件。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p>
        </w:tc>
        <w:tc>
          <w:tcPr>
            <w:tcW w:w="8647" w:type="dxa"/>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日上午9时30</w:t>
            </w:r>
            <w:r>
              <w:rPr>
                <w:rFonts w:hint="eastAsia" w:ascii="宋体" w:hAnsi="宋体" w:eastAsia="宋体" w:cs="宋体"/>
                <w:color w:val="auto"/>
                <w:sz w:val="24"/>
                <w:szCs w:val="24"/>
                <w:highlight w:val="none"/>
              </w:rPr>
              <w:t>分(北京时间)</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w:t>
            </w:r>
            <w:r>
              <w:rPr>
                <w:rFonts w:hint="eastAsia" w:ascii="宋体" w:hAnsi="宋体" w:cs="宋体"/>
                <w:color w:val="auto"/>
                <w:sz w:val="24"/>
                <w:szCs w:val="24"/>
                <w:highlight w:val="none"/>
                <w:lang w:val="en-US" w:eastAsia="zh-CN"/>
              </w:rPr>
              <w:t>方式：远程开标（不见</w:t>
            </w:r>
            <w:r>
              <w:rPr>
                <w:rFonts w:hint="eastAsia" w:ascii="宋体" w:hAnsi="宋体" w:eastAsia="宋体" w:cs="宋体"/>
                <w:color w:val="auto"/>
                <w:sz w:val="24"/>
                <w:szCs w:val="24"/>
                <w:highlight w:val="none"/>
                <w:lang w:val="en-US" w:eastAsia="zh-CN"/>
              </w:rPr>
              <w:t>面交易）</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解密时间：招标人发出解密提示后30分钟内。遇到投标人较多或其他特殊情况在30分钟内无法完成解密的，可报项目行政监督部门适当延长解密时间。</w:t>
            </w:r>
          </w:p>
          <w:p>
            <w:pPr>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注意：1.</w:t>
            </w:r>
            <w:r>
              <w:rPr>
                <w:rFonts w:hint="default" w:ascii="宋体" w:hAnsi="宋体" w:eastAsia="宋体" w:cs="宋体"/>
                <w:color w:val="auto"/>
                <w:sz w:val="24"/>
                <w:szCs w:val="24"/>
                <w:highlight w:val="none"/>
                <w:lang w:val="en-US" w:eastAsia="zh-CN"/>
              </w:rPr>
              <w:t>递交投标文件截止时间止到开标结束不得擅自离开开标大厅，否则影响到文件解密、质疑等环节的后果由投标人自行承担。</w:t>
            </w:r>
          </w:p>
          <w:p>
            <w:pPr>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投标人应在规定的投标文件解密时间内完成投标文件解密操作，若在规定时间内未完成解密操作或解密失败的，后果由投标人自行承担。</w:t>
            </w:r>
          </w:p>
          <w:p>
            <w:pPr>
              <w:snapToGrid w:val="0"/>
              <w:spacing w:line="360" w:lineRule="auto"/>
              <w:jc w:val="left"/>
              <w:rPr>
                <w:rFonts w:hint="default"/>
                <w:color w:val="auto"/>
                <w:highlight w:val="none"/>
                <w:lang w:val="en-US"/>
              </w:rPr>
            </w:pP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在开标记录生成并公布后的5分钟内完成在开标记录表确认的操作，未在规定时间内完成确认的视为认同开标结果。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8" w:hRule="atLeast"/>
          <w:jc w:val="center"/>
        </w:trPr>
        <w:tc>
          <w:tcPr>
            <w:tcW w:w="10022" w:type="dxa"/>
            <w:gridSpan w:val="3"/>
            <w:shd w:val="clear" w:color="auto" w:fill="E0E0E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right w:val="single" w:color="auto" w:sz="4"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815" w:type="dxa"/>
            <w:tcBorders>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w:t>
            </w:r>
          </w:p>
        </w:tc>
        <w:tc>
          <w:tcPr>
            <w:tcW w:w="8647" w:type="dxa"/>
            <w:tcBorders>
              <w:left w:val="single" w:color="auto" w:sz="4"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评标方法及标准：详见招标文件第七章《评标办法》。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p>
        </w:tc>
        <w:tc>
          <w:tcPr>
            <w:tcW w:w="8647" w:type="dxa"/>
            <w:tcBorders>
              <w:top w:val="single" w:color="auto" w:sz="6" w:space="0"/>
              <w:bottom w:val="single" w:color="auto" w:sz="6" w:space="0"/>
            </w:tcBorders>
            <w:vAlign w:val="center"/>
          </w:tcPr>
          <w:p>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lang w:eastAsia="zh-CN"/>
              </w:rPr>
              <w:t>以</w:t>
            </w:r>
            <w:r>
              <w:rPr>
                <w:rFonts w:hint="eastAsia" w:ascii="宋体" w:hAnsi="宋体" w:eastAsia="宋体" w:cs="宋体"/>
                <w:color w:val="auto"/>
                <w:sz w:val="24"/>
                <w:highlight w:val="none"/>
                <w:lang w:val="en-US" w:eastAsia="zh-CN"/>
              </w:rPr>
              <w:t>中标价为计算基数，</w:t>
            </w:r>
            <w:r>
              <w:rPr>
                <w:rFonts w:hint="eastAsia" w:ascii="宋体" w:hAnsi="宋体" w:eastAsia="宋体" w:cs="宋体"/>
                <w:color w:val="auto"/>
                <w:sz w:val="24"/>
                <w:highlight w:val="none"/>
              </w:rPr>
              <w:t>参照原国家发展计划委员会《招标代理服务收费管理暂行办法》(计价格[2002]1980号文)(</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val="en-US" w:eastAsia="zh-CN"/>
              </w:rPr>
              <w:t>标准收取</w:t>
            </w:r>
            <w:r>
              <w:rPr>
                <w:rFonts w:hint="eastAsia" w:ascii="宋体" w:hAnsi="宋体" w:eastAsia="宋体" w:cs="宋体"/>
                <w:color w:val="auto"/>
                <w:sz w:val="24"/>
                <w:highlight w:val="none"/>
              </w:rPr>
              <w:t>，由</w:t>
            </w:r>
            <w:r>
              <w:rPr>
                <w:rFonts w:hint="eastAsia" w:ascii="宋体" w:hAnsi="宋体" w:eastAsia="宋体" w:cs="宋体"/>
                <w:b/>
                <w:color w:val="auto"/>
                <w:sz w:val="24"/>
                <w:highlight w:val="none"/>
                <w:u w:val="single"/>
              </w:rPr>
              <w:t>中标人</w:t>
            </w:r>
            <w:r>
              <w:rPr>
                <w:rFonts w:hint="eastAsia" w:ascii="宋体" w:hAnsi="宋体" w:eastAsia="宋体" w:cs="宋体"/>
                <w:color w:val="auto"/>
                <w:sz w:val="24"/>
                <w:highlight w:val="none"/>
              </w:rPr>
              <w:t>在领取中标通知书的同时以现金或电汇向招标代理机构交纳招标代理服务费用。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公证服务费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022" w:type="dxa"/>
            <w:gridSpan w:val="3"/>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highlight w:val="none"/>
              </w:rPr>
              <w:t>招标代理机构服务质量监督电话：0417-3322810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pPr>
              <w:numPr>
                <w:ilvl w:val="0"/>
                <w:numId w:val="0"/>
              </w:numPr>
              <w:snapToGrid w:val="0"/>
              <w:spacing w:line="360" w:lineRule="auto"/>
              <w:jc w:val="left"/>
              <w:rPr>
                <w:color w:val="auto"/>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付款方式：分</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val="en-US" w:eastAsia="zh-CN"/>
              </w:rPr>
              <w:t>次支付。第一次付款：</w:t>
            </w:r>
            <w:r>
              <w:rPr>
                <w:rFonts w:hint="eastAsia" w:ascii="宋体" w:hAnsi="宋体" w:cs="宋体"/>
                <w:color w:val="auto"/>
                <w:sz w:val="24"/>
                <w:highlight w:val="none"/>
                <w:lang w:val="en-US" w:eastAsia="zh-CN"/>
              </w:rPr>
              <w:t>工程形象进度到总体30%</w:t>
            </w:r>
            <w:r>
              <w:rPr>
                <w:rFonts w:hint="eastAsia" w:ascii="宋体" w:hAnsi="宋体" w:eastAsia="宋体" w:cs="宋体"/>
                <w:color w:val="auto"/>
                <w:sz w:val="24"/>
                <w:highlight w:val="none"/>
                <w:lang w:val="en-US" w:eastAsia="zh-CN"/>
              </w:rPr>
              <w:t>，支付至合同价款的</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val="en-US" w:eastAsia="zh-CN"/>
              </w:rPr>
              <w:t>；第二次付款：</w:t>
            </w:r>
            <w:r>
              <w:rPr>
                <w:rFonts w:hint="eastAsia" w:ascii="宋体" w:hAnsi="宋体" w:cs="宋体"/>
                <w:color w:val="auto"/>
                <w:sz w:val="24"/>
                <w:highlight w:val="none"/>
                <w:lang w:val="en-US" w:eastAsia="zh-CN"/>
              </w:rPr>
              <w:t>工程形象进度到总体50%</w:t>
            </w:r>
            <w:r>
              <w:rPr>
                <w:rFonts w:hint="eastAsia" w:ascii="宋体" w:hAnsi="宋体" w:eastAsia="宋体" w:cs="宋体"/>
                <w:color w:val="auto"/>
                <w:sz w:val="24"/>
                <w:highlight w:val="none"/>
                <w:lang w:val="en-US" w:eastAsia="zh-CN"/>
              </w:rPr>
              <w:t>，支付至合同价款的</w:t>
            </w:r>
            <w:r>
              <w:rPr>
                <w:rFonts w:hint="eastAsia" w:ascii="宋体" w:hAnsi="宋体" w:cs="宋体"/>
                <w:color w:val="auto"/>
                <w:sz w:val="24"/>
                <w:highlight w:val="none"/>
                <w:lang w:val="en-US" w:eastAsia="zh-CN"/>
              </w:rPr>
              <w:t>50%；第三次付款：工程形象进度到100%，支付至合同价款的75%；第四次付款：工程验收合格后。支付至合同价款的100%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val="en-US" w:eastAsia="zh-CN"/>
              </w:rPr>
              <w:t>次付款均应提供有效发票。</w:t>
            </w:r>
          </w:p>
          <w:p>
            <w:pPr>
              <w:pStyle w:val="25"/>
              <w:numPr>
                <w:ilvl w:val="0"/>
                <w:numId w:val="0"/>
              </w:numPr>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交易中心服务费：按辽发改价格 (2023) 128 号规定执行。由中标人向营口市建设工程交易服务中心有限公司全额缴纳，此项费用不得在投标报价中单列。</w:t>
            </w:r>
          </w:p>
        </w:tc>
      </w:tr>
    </w:tbl>
    <w:p>
      <w:pPr>
        <w:tabs>
          <w:tab w:val="left" w:pos="7770"/>
        </w:tabs>
        <w:autoSpaceDE w:val="0"/>
        <w:autoSpaceDN w:val="0"/>
        <w:spacing w:line="360" w:lineRule="auto"/>
        <w:rPr>
          <w:rFonts w:hint="eastAsia" w:ascii="宋体" w:hAnsi="宋体" w:eastAsia="宋体" w:cs="宋体"/>
          <w:color w:val="auto"/>
          <w:highlight w:val="none"/>
        </w:rPr>
        <w:sectPr>
          <w:headerReference r:id="rId7" w:type="default"/>
          <w:pgSz w:w="11906" w:h="16838"/>
          <w:pgMar w:top="1134" w:right="1134" w:bottom="1134" w:left="1134" w:header="454" w:footer="454" w:gutter="0"/>
          <w:cols w:space="720" w:num="1"/>
          <w:docGrid w:linePitch="312" w:charSpace="0"/>
        </w:sect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15" w:name="_Toc349568452"/>
      <w:bookmarkStart w:id="16" w:name="_Toc349568711"/>
      <w:bookmarkStart w:id="17" w:name="_Toc350515648"/>
      <w:bookmarkStart w:id="18" w:name="_Toc344394139"/>
      <w:bookmarkStart w:id="19" w:name="_Toc7705"/>
      <w:bookmarkStart w:id="20" w:name="_Toc29742"/>
      <w:bookmarkStart w:id="21" w:name="_Toc343510553"/>
      <w:r>
        <w:rPr>
          <w:rFonts w:hint="eastAsia" w:ascii="宋体" w:hAnsi="宋体" w:eastAsia="宋体" w:cs="宋体"/>
          <w:color w:val="auto"/>
          <w:szCs w:val="24"/>
          <w:highlight w:val="none"/>
        </w:rPr>
        <w:t>投标人须知</w:t>
      </w:r>
      <w:bookmarkEnd w:id="15"/>
      <w:bookmarkEnd w:id="16"/>
      <w:bookmarkEnd w:id="17"/>
      <w:bookmarkEnd w:id="18"/>
      <w:bookmarkEnd w:id="19"/>
      <w:bookmarkEnd w:id="20"/>
      <w:bookmarkEnd w:id="21"/>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投标人须知</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（一）总   则</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1、项目说明</w:t>
      </w:r>
    </w:p>
    <w:p>
      <w:pPr>
        <w:spacing w:line="360" w:lineRule="auto"/>
        <w:ind w:left="2161" w:leftChars="229" w:hanging="1680" w:hangingChars="7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1.1招标方式：公开招标</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1.2项目名称：</w:t>
      </w:r>
      <w:r>
        <w:rPr>
          <w:rFonts w:hint="eastAsia" w:ascii="宋体" w:hAnsi="宋体" w:cs="宋体"/>
          <w:color w:val="auto"/>
          <w:sz w:val="24"/>
          <w:highlight w:val="none"/>
          <w:lang w:eastAsia="zh-CN"/>
        </w:rPr>
        <w:t>辽宁省营口市海洋生态保护修复工程项目全过程工程造价咨询服务</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1.3招标人名称：</w:t>
      </w:r>
      <w:r>
        <w:rPr>
          <w:rFonts w:hint="eastAsia" w:ascii="宋体" w:hAnsi="宋体" w:eastAsia="宋体" w:cs="宋体"/>
          <w:color w:val="auto"/>
          <w:sz w:val="24"/>
          <w:highlight w:val="none"/>
          <w:lang w:eastAsia="zh-CN"/>
        </w:rPr>
        <w:t>营口市自然资源局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1.4招标代理机构名称：辽宁国信建设工程管理有限公司</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1.6质量要求：</w:t>
      </w:r>
      <w:r>
        <w:rPr>
          <w:rFonts w:hint="eastAsia" w:ascii="宋体" w:hAnsi="宋体" w:cs="宋体"/>
          <w:color w:val="auto"/>
          <w:sz w:val="24"/>
          <w:highlight w:val="none"/>
          <w:lang w:val="en-US" w:eastAsia="zh-CN"/>
        </w:rPr>
        <w:t>合格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1.7本招标文件服从于国家、行业主管部门及地方的法律法规，本招标文件未能说明的部分，按照国家、行业主管部门及地方法律法规严格执行。</w:t>
      </w:r>
    </w:p>
    <w:p>
      <w:pPr>
        <w:pStyle w:val="6"/>
        <w:numPr>
          <w:ilvl w:val="0"/>
          <w:numId w:val="6"/>
        </w:numPr>
        <w:rPr>
          <w:rFonts w:hint="eastAsia" w:ascii="宋体" w:hAnsi="宋体" w:eastAsia="宋体" w:cs="宋体"/>
          <w:bCs/>
          <w:color w:val="auto"/>
          <w:highlight w:val="none"/>
        </w:rPr>
      </w:pPr>
      <w:r>
        <w:rPr>
          <w:rFonts w:hint="eastAsia" w:ascii="宋体" w:hAnsi="宋体" w:eastAsia="宋体" w:cs="宋体"/>
          <w:bCs/>
          <w:color w:val="auto"/>
          <w:highlight w:val="none"/>
        </w:rPr>
        <w:t>招标范围、交货期及合同期限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招标范围</w:t>
      </w:r>
      <w:r>
        <w:rPr>
          <w:rFonts w:hint="eastAsia" w:ascii="宋体" w:hAnsi="宋体" w:eastAsia="宋体" w:cs="宋体"/>
          <w:color w:val="auto"/>
          <w:sz w:val="24"/>
          <w:szCs w:val="24"/>
          <w:highlight w:val="none"/>
        </w:rPr>
        <w:t>：</w:t>
      </w:r>
      <w:r>
        <w:rPr>
          <w:rFonts w:hint="eastAsia" w:ascii="宋体" w:hAnsi="宋体" w:cs="宋体"/>
          <w:b w:val="0"/>
          <w:bCs/>
          <w:color w:val="auto"/>
          <w:sz w:val="24"/>
          <w:szCs w:val="24"/>
          <w:highlight w:val="none"/>
          <w:lang w:eastAsia="zh-CN"/>
        </w:rPr>
        <w:t>本项目拟完成修复总面积 1630.34ha,整治修复岸线长度 2951.90m，其中修复砂质岸线 1287m、生态护岸 1664.90m；整治修复滨海湿地面积1555.22ha，其中保育和种植盐沼植被面积269.69ha、浒苔防治面积1006.83ha。</w:t>
      </w:r>
      <w:r>
        <w:rPr>
          <w:rFonts w:hint="eastAsia" w:ascii="宋体" w:hAnsi="宋体" w:cs="宋体"/>
          <w:bCs/>
          <w:color w:val="auto"/>
          <w:sz w:val="24"/>
          <w:szCs w:val="24"/>
          <w:highlight w:val="none"/>
          <w:lang w:val="en-US" w:eastAsia="zh-CN"/>
        </w:rPr>
        <w:t>拟委托1家服务机构提供上述工程内容</w:t>
      </w:r>
      <w:r>
        <w:rPr>
          <w:rFonts w:hint="eastAsia" w:ascii="宋体" w:hAnsi="宋体" w:cs="宋体"/>
          <w:color w:val="auto"/>
          <w:sz w:val="24"/>
          <w:szCs w:val="24"/>
          <w:highlight w:val="none"/>
          <w:lang w:eastAsia="zh-CN"/>
        </w:rPr>
        <w:t>全过程工程造价咨询服务（</w:t>
      </w:r>
      <w:r>
        <w:rPr>
          <w:rFonts w:hint="eastAsia" w:ascii="宋体" w:hAnsi="宋体" w:cs="宋体"/>
          <w:color w:val="auto"/>
          <w:sz w:val="24"/>
          <w:szCs w:val="24"/>
          <w:highlight w:val="none"/>
          <w:lang w:val="en-US" w:eastAsia="zh-CN"/>
        </w:rPr>
        <w:t>包括但不限于工程量清单及招标控制价编制、竣工结算内部审核、决算编制、施工阶段全过程造价控制及根据招标人要求进行其他工作）</w:t>
      </w:r>
      <w:r>
        <w:rPr>
          <w:rFonts w:hint="eastAsia" w:ascii="宋体" w:hAnsi="宋体" w:cs="宋体"/>
          <w:bCs/>
          <w:color w:val="auto"/>
          <w:sz w:val="24"/>
          <w:szCs w:val="24"/>
          <w:highlight w:val="none"/>
          <w:lang w:val="en-US"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2.2本招标项目的</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：详见投标人须知前附表。</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3、资金来源</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3.1本招标项目资金来源详见本须知前附表第1项，其全部资金用于本项目</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合同项下的合格支付。</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4、投标人资质要求</w:t>
      </w:r>
    </w:p>
    <w:p>
      <w:pPr>
        <w:pStyle w:val="32"/>
        <w:numPr>
          <w:ilvl w:val="0"/>
          <w:numId w:val="7"/>
        </w:numPr>
        <w:tabs>
          <w:tab w:val="left" w:pos="150"/>
          <w:tab w:val="left" w:pos="993"/>
        </w:tabs>
        <w:autoSpaceDE w:val="0"/>
        <w:autoSpaceDN w:val="0"/>
        <w:adjustRightInd w:val="0"/>
        <w:snapToGrid w:val="0"/>
        <w:spacing w:line="360" w:lineRule="auto"/>
        <w:ind w:left="2" w:firstLine="36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详见</w:t>
      </w:r>
      <w:r>
        <w:rPr>
          <w:rFonts w:hint="eastAsia" w:ascii="宋体" w:hAnsi="宋体" w:eastAsia="宋体" w:cs="宋体"/>
          <w:color w:val="auto"/>
          <w:sz w:val="24"/>
          <w:highlight w:val="none"/>
        </w:rPr>
        <w:t>本须知前附表第12项。</w:t>
      </w:r>
    </w:p>
    <w:p>
      <w:pPr>
        <w:pStyle w:val="32"/>
        <w:numPr>
          <w:ilvl w:val="1"/>
          <w:numId w:val="0"/>
        </w:numPr>
        <w:tabs>
          <w:tab w:val="left" w:pos="150"/>
          <w:tab w:val="left" w:pos="709"/>
          <w:tab w:val="left" w:pos="993"/>
        </w:tabs>
        <w:autoSpaceDE w:val="0"/>
        <w:autoSpaceDN w:val="0"/>
        <w:adjustRightInd w:val="0"/>
        <w:snapToGrid w:val="0"/>
        <w:spacing w:line="360" w:lineRule="auto"/>
        <w:ind w:left="2" w:hanging="2" w:hangingChars="1"/>
        <w:rPr>
          <w:rFonts w:hint="eastAsia" w:ascii="宋体" w:hAnsi="宋体" w:eastAsia="宋体" w:cs="宋体"/>
          <w:bCs w:val="0"/>
          <w:color w:val="auto"/>
          <w:highlight w:val="none"/>
        </w:rPr>
      </w:pPr>
      <w:r>
        <w:rPr>
          <w:rFonts w:hint="eastAsia" w:ascii="宋体" w:hAnsi="宋体" w:eastAsia="宋体" w:cs="宋体"/>
          <w:bCs w:val="0"/>
          <w:color w:val="auto"/>
          <w:sz w:val="24"/>
          <w:highlight w:val="none"/>
        </w:rPr>
        <w:tab/>
      </w:r>
      <w:r>
        <w:rPr>
          <w:rFonts w:hint="eastAsia" w:ascii="宋体" w:hAnsi="宋体" w:eastAsia="宋体" w:cs="宋体"/>
          <w:bCs w:val="0"/>
          <w:color w:val="auto"/>
          <w:sz w:val="24"/>
          <w:highlight w:val="none"/>
        </w:rPr>
        <w:t xml:space="preserve">    </w:t>
      </w:r>
      <w:r>
        <w:rPr>
          <w:rFonts w:hint="eastAsia" w:ascii="宋体" w:hAnsi="宋体" w:eastAsia="宋体" w:cs="宋体"/>
          <w:b/>
          <w:color w:val="auto"/>
          <w:sz w:val="24"/>
          <w:highlight w:val="none"/>
        </w:rPr>
        <w:t>投标人发生合并、分立、破产等重大变化的，应当及时书面告知招标人。投标人不再具备招标文件规定的资格条件或者其投标影响招标公正性的，其投标无效。</w:t>
      </w:r>
    </w:p>
    <w:p>
      <w:pPr>
        <w:pStyle w:val="6"/>
        <w:numPr>
          <w:ilvl w:val="0"/>
          <w:numId w:val="8"/>
        </w:numPr>
        <w:rPr>
          <w:rFonts w:hint="eastAsia" w:ascii="宋体" w:hAnsi="宋体" w:eastAsia="宋体" w:cs="宋体"/>
          <w:bCs/>
          <w:color w:val="auto"/>
          <w:highlight w:val="none"/>
        </w:rPr>
      </w:pPr>
      <w:r>
        <w:rPr>
          <w:rFonts w:hint="eastAsia" w:ascii="宋体" w:hAnsi="宋体" w:eastAsia="宋体" w:cs="宋体"/>
          <w:bCs/>
          <w:color w:val="auto"/>
          <w:highlight w:val="none"/>
        </w:rPr>
        <w:t>资格审查方式</w:t>
      </w:r>
    </w:p>
    <w:p>
      <w:pPr>
        <w:pStyle w:val="32"/>
        <w:numPr>
          <w:ilvl w:val="1"/>
          <w:numId w:val="0"/>
        </w:numPr>
        <w:tabs>
          <w:tab w:val="left" w:pos="150"/>
          <w:tab w:val="left" w:pos="709"/>
          <w:tab w:val="left" w:pos="993"/>
        </w:tabs>
        <w:autoSpaceDE w:val="0"/>
        <w:autoSpaceDN w:val="0"/>
        <w:adjustRightInd w:val="0"/>
        <w:snapToGrid w:val="0"/>
        <w:spacing w:line="360" w:lineRule="auto"/>
        <w:ind w:left="426"/>
        <w:rPr>
          <w:rFonts w:hint="eastAsia" w:ascii="宋体" w:hAnsi="宋体" w:eastAsia="宋体" w:cs="宋体"/>
          <w:bCs w:val="0"/>
          <w:color w:val="auto"/>
          <w:highlight w:val="none"/>
        </w:rPr>
      </w:pPr>
      <w:r>
        <w:rPr>
          <w:rFonts w:hint="eastAsia" w:ascii="宋体" w:hAnsi="宋体" w:eastAsia="宋体" w:cs="宋体"/>
          <w:bCs w:val="0"/>
          <w:color w:val="auto"/>
          <w:sz w:val="24"/>
          <w:highlight w:val="none"/>
        </w:rPr>
        <w:t>5.1</w:t>
      </w:r>
      <w:r>
        <w:rPr>
          <w:rFonts w:hint="eastAsia" w:ascii="宋体" w:hAnsi="宋体" w:eastAsia="宋体" w:cs="宋体"/>
          <w:color w:val="auto"/>
          <w:sz w:val="24"/>
          <w:highlight w:val="none"/>
        </w:rPr>
        <w:t>本招标项目资格审查方式详见本须知前附表第11项。</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6、踏勘现场</w:t>
      </w:r>
    </w:p>
    <w:p>
      <w:pPr>
        <w:pStyle w:val="20"/>
        <w:ind w:firstLine="0"/>
        <w:rPr>
          <w:rFonts w:hint="eastAsia" w:ascii="宋体" w:hAnsi="宋体" w:eastAsia="宋体" w:cs="宋体"/>
          <w:color w:val="auto"/>
          <w:highlight w:val="none"/>
        </w:rPr>
      </w:pPr>
      <w:r>
        <w:rPr>
          <w:rFonts w:hint="eastAsia" w:ascii="宋体" w:hAnsi="宋体" w:eastAsia="宋体" w:cs="宋体"/>
          <w:color w:val="auto"/>
          <w:highlight w:val="none"/>
        </w:rPr>
        <w:t xml:space="preserve">    6.1 招标人不统一组织踏勘，投标人自行踏勘。投标人承担踏勘现场所发生的自身费用。</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6.2投标人及其代表必须承担在现场踏勘过程中，由于其的行为所造成的人身伤害（无论是否致命）、财产损失或损坏，以及其他任何原因造成的损失、损坏或费用。招标人在投标人及其代表踏勘中不负任何责任。</w:t>
      </w:r>
    </w:p>
    <w:p>
      <w:pPr>
        <w:pStyle w:val="20"/>
        <w:ind w:firstLine="532"/>
        <w:rPr>
          <w:rFonts w:hint="eastAsia" w:ascii="宋体" w:hAnsi="宋体" w:eastAsia="宋体" w:cs="宋体"/>
          <w:color w:val="auto"/>
          <w:highlight w:val="none"/>
        </w:rPr>
      </w:pPr>
      <w:r>
        <w:rPr>
          <w:rFonts w:hint="eastAsia" w:ascii="宋体" w:hAnsi="宋体" w:eastAsia="宋体" w:cs="宋体"/>
          <w:color w:val="auto"/>
          <w:highlight w:val="none"/>
        </w:rPr>
        <w:t>6.3 招标人向投标人提供的有关现场的数据和资料，是招标人现有的能被投标人利用的资料，招标人对投标人做出的任何推论、理解和结论均不负责任。</w:t>
      </w:r>
    </w:p>
    <w:p>
      <w:pPr>
        <w:pStyle w:val="20"/>
        <w:ind w:firstLine="532"/>
        <w:rPr>
          <w:rFonts w:hint="eastAsia" w:ascii="宋体" w:hAnsi="宋体" w:eastAsia="宋体" w:cs="宋体"/>
          <w:color w:val="auto"/>
          <w:highlight w:val="none"/>
        </w:rPr>
      </w:pPr>
      <w:r>
        <w:rPr>
          <w:rFonts w:hint="eastAsia" w:ascii="宋体" w:hAnsi="宋体" w:eastAsia="宋体" w:cs="宋体"/>
          <w:color w:val="auto"/>
          <w:highlight w:val="none"/>
        </w:rPr>
        <w:t>6.4 经招标人允许，投标人可为踏勘目的进入招标人的项目现场，但投标人不得因此使招标人承担有关的责任和蒙受损失。投标人应承担踏勘现场的责任和风险。</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7、投标费用</w:t>
      </w:r>
    </w:p>
    <w:p>
      <w:pPr>
        <w:pStyle w:val="20"/>
        <w:ind w:firstLine="532"/>
        <w:rPr>
          <w:rFonts w:hint="eastAsia" w:ascii="宋体" w:hAnsi="宋体" w:eastAsia="宋体" w:cs="宋体"/>
          <w:color w:val="auto"/>
          <w:highlight w:val="none"/>
        </w:rPr>
      </w:pPr>
      <w:r>
        <w:rPr>
          <w:rFonts w:hint="eastAsia" w:ascii="宋体" w:hAnsi="宋体" w:eastAsia="宋体" w:cs="宋体"/>
          <w:color w:val="auto"/>
          <w:highlight w:val="none"/>
        </w:rPr>
        <w:t>7.1招标人不承担投标人编制投标文件与递交投标文件所涉及的费用和应由投标人承担其参加本招标活动自身所发生的费用，</w:t>
      </w:r>
      <w:r>
        <w:rPr>
          <w:rFonts w:hint="eastAsia" w:hAnsi="宋体" w:cs="宋体"/>
          <w:color w:val="auto"/>
          <w:highlight w:val="none"/>
          <w:lang w:val="en-US" w:eastAsia="zh-CN"/>
        </w:rPr>
        <w:t>无</w:t>
      </w:r>
      <w:r>
        <w:rPr>
          <w:rFonts w:hint="eastAsia" w:ascii="宋体" w:hAnsi="宋体" w:eastAsia="宋体" w:cs="宋体"/>
          <w:color w:val="auto"/>
          <w:highlight w:val="none"/>
        </w:rPr>
        <w:t>论投标的结果如何，招标人均无义务和责任承担上述费用。</w:t>
      </w:r>
    </w:p>
    <w:p>
      <w:pPr>
        <w:pStyle w:val="20"/>
        <w:ind w:firstLine="532"/>
        <w:rPr>
          <w:rFonts w:hint="eastAsia" w:ascii="宋体" w:hAnsi="宋体" w:eastAsia="宋体" w:cs="宋体"/>
          <w:b/>
          <w:color w:val="auto"/>
          <w:highlight w:val="none"/>
        </w:rPr>
      </w:pPr>
      <w:r>
        <w:rPr>
          <w:rFonts w:hint="eastAsia" w:ascii="宋体" w:hAnsi="宋体" w:eastAsia="宋体" w:cs="宋体"/>
          <w:color w:val="auto"/>
          <w:highlight w:val="none"/>
        </w:rPr>
        <w:t>7.2</w:t>
      </w:r>
      <w:r>
        <w:rPr>
          <w:rFonts w:hint="eastAsia" w:ascii="宋体" w:hAnsi="宋体" w:eastAsia="宋体" w:cs="宋体"/>
          <w:b w:val="0"/>
          <w:bCs/>
          <w:color w:val="auto"/>
          <w:highlight w:val="none"/>
        </w:rPr>
        <w:t>招标代理服务费：向中标人收取招标代理服务费。</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（二） 招标文件</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8、招标文件的组成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8.1招标文件包括本招标文件目录和附件所示的全部内容。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除8.1内容外，招标人在提交投标文件截止时间15日前，以书面形式发出的对招标文件的澄清或修改、补充内容，均为招标文件的组成部分，对招标人和投标人起约束作用。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 投标人获取招标文件后，应仔细检查招标文件的所有内容，如有残缺等问题应在提交投标文件截止时间15日前以书面形式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9、投标人对招标文件提出异议及要求澄清的截止时间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9.1.投标人对招标文件提出异议的截止时间：各投标人应在投标截止时间十（10）天前以书面形式向招标代理提出（电话0417-3355086）。对各投标人提出的疑问，招标人以书面形式回答。</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9.2投标人要求澄清招标文件的截止时间为投标截止时间15日前。</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10、招标文件的修改</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10.1 在投标截止时间前，招标人无论出于自己的考虑，还是出于对投标人提问的澄清，均可对招标文件用补充文件的方式进行修改。</w:t>
      </w:r>
    </w:p>
    <w:p>
      <w:pPr>
        <w:spacing w:line="360" w:lineRule="auto"/>
        <w:ind w:firstLine="532"/>
        <w:rPr>
          <w:rFonts w:hint="eastAsia" w:ascii="宋体" w:hAnsi="宋体" w:eastAsia="宋体" w:cs="宋体"/>
          <w:b/>
          <w:color w:val="auto"/>
          <w:sz w:val="24"/>
          <w:highlight w:val="none"/>
        </w:rPr>
      </w:pPr>
      <w:r>
        <w:rPr>
          <w:rFonts w:hint="eastAsia" w:ascii="宋体" w:hAnsi="宋体" w:eastAsia="宋体" w:cs="宋体"/>
          <w:color w:val="auto"/>
          <w:sz w:val="24"/>
          <w:highlight w:val="none"/>
        </w:rPr>
        <w:t>10.2 对招标文件的修改，将以书面的形式通知每一投标人。补充文件将作为招标文件的组成部分，对所有投标人均有约束力。</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10.3为使投标人有足够的时间按招标文件的修改要求考虑修正投标文件，招标人可酌情推迟投标的截止日期和开标日期，并将此变更通知每一投标人。如果修改招标文件的时间距投标截止时间不足15日，并且修改内容影响投标文件编制的，将相应延长投标截止时间。</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10.4</w:t>
      </w:r>
      <w:r>
        <w:rPr>
          <w:rFonts w:hint="eastAsia" w:ascii="宋体" w:hAnsi="宋体" w:eastAsia="宋体" w:cs="宋体"/>
          <w:bCs/>
          <w:color w:val="auto"/>
          <w:kern w:val="0"/>
          <w:sz w:val="24"/>
          <w:highlight w:val="none"/>
        </w:rPr>
        <w:t>招标文件的澄清（招标答疑）、修改、补充等内容均以书面形式明确的内容为准。当招标文件、招标文件的澄清（招标答疑）、修改、补充等在同一内容的表述上不一致时，以最后发出的书面文件为准</w:t>
      </w:r>
      <w:r>
        <w:rPr>
          <w:rFonts w:hint="eastAsia" w:ascii="宋体" w:hAnsi="宋体" w:eastAsia="宋体" w:cs="宋体"/>
          <w:color w:val="auto"/>
          <w:sz w:val="24"/>
          <w:highlight w:val="none"/>
        </w:rPr>
        <w:t>。</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（三）投标文件的编制</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11、编制要求</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11.1投标人应认真阅读招标文件的所有内容，按招标文件的要求提供投标文件，并保证提供的全部资料的真实性，以使其投标对招标文件做出实质性响应，否则，其投标将被拒绝。</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11.2投标的语言：投标人提交的投标文件以及投标人与招标代理机构就有关投标的所有来往函电均应以中文书写。</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11.3除项目规范另有规定外，投标文件使用的度量衡单位，均采用中华人民共和国法定计量单位。</w:t>
      </w:r>
    </w:p>
    <w:p>
      <w:pPr>
        <w:pStyle w:val="6"/>
        <w:ind w:left="1008" w:hanging="1008"/>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12、投标文件的组成</w:t>
      </w:r>
      <w:r>
        <w:rPr>
          <w:rFonts w:hint="eastAsia" w:cs="宋体"/>
          <w:color w:val="auto"/>
          <w:highlight w:val="none"/>
          <w:lang w:eastAsia="zh-CN"/>
        </w:rPr>
        <w:t>（</w:t>
      </w:r>
      <w:r>
        <w:rPr>
          <w:rFonts w:hint="eastAsia" w:cs="宋体"/>
          <w:color w:val="auto"/>
          <w:highlight w:val="none"/>
          <w:lang w:val="en-US" w:eastAsia="zh-CN"/>
        </w:rPr>
        <w:t>仅中标人提供）</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投标文件由投标函部分、商务部分、技术部分和资格审查部分，共四部分组成。投标人的编排必须严格按照本招标文件第六章（附件）投标文件格式的顺序统一编排。</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 xml:space="preserve">13、投标文件内容及格式    </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13.1投标人应按招标文件第12.1条规定的全部内容（但不限于）与要求编制投标文件，投标人提交的投标文件应当使用招标文件所提供的投标文件全部格式（表格可以按同样格式扩展）。</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13.2投标人应将投标文件按第12.1条规定的顺序编排、并应编制目录、逐页标注连续页码。</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14、投标报价</w:t>
      </w:r>
    </w:p>
    <w:p>
      <w:pPr>
        <w:spacing w:line="360" w:lineRule="auto"/>
        <w:ind w:firstLine="525" w:firstLineChars="25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14.1投标报价方式：投标人根据市场价报</w:t>
      </w:r>
      <w:r>
        <w:rPr>
          <w:rFonts w:hint="eastAsia" w:ascii="宋体" w:hAnsi="宋体" w:eastAsia="宋体" w:cs="宋体"/>
          <w:color w:val="auto"/>
          <w:sz w:val="24"/>
          <w:highlight w:val="none"/>
          <w:lang w:val="en-US" w:eastAsia="zh-CN"/>
        </w:rPr>
        <w:t>固定总价</w:t>
      </w:r>
      <w:r>
        <w:rPr>
          <w:rFonts w:hint="eastAsia" w:ascii="宋体" w:hAnsi="宋体" w:eastAsia="宋体" w:cs="宋体"/>
          <w:color w:val="auto"/>
          <w:sz w:val="24"/>
          <w:highlight w:val="none"/>
        </w:rPr>
        <w:t>，市场价包括人工费、管理费、利润等所有应计费用及政策性文件规定及合同包含的所有风险、责任等各项应有费用及税金。</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14.2请各投标人在投标报价时必须自行考虑各种因素，认真分析、测算，作出合理报价参加投标。涉及到招标人新增或变更的内容，以双方协商确定的价格为依据据实结算。</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14.3</w:t>
      </w:r>
      <w:r>
        <w:rPr>
          <w:rFonts w:hint="eastAsia" w:ascii="宋体" w:hAnsi="宋体" w:eastAsia="宋体" w:cs="宋体"/>
          <w:b/>
          <w:color w:val="auto"/>
          <w:sz w:val="24"/>
          <w:highlight w:val="none"/>
        </w:rPr>
        <w:t>最终结算时：投标人根据招标人提供的资料自行填报</w:t>
      </w:r>
      <w:r>
        <w:rPr>
          <w:rFonts w:hint="eastAsia" w:ascii="宋体" w:hAnsi="宋体" w:eastAsia="宋体" w:cs="宋体"/>
          <w:b/>
          <w:color w:val="auto"/>
          <w:sz w:val="24"/>
          <w:highlight w:val="none"/>
          <w:lang w:eastAsia="zh-CN"/>
        </w:rPr>
        <w:t>固定总价</w:t>
      </w:r>
      <w:r>
        <w:rPr>
          <w:rFonts w:hint="eastAsia" w:ascii="宋体" w:hAnsi="宋体" w:eastAsia="宋体" w:cs="宋体"/>
          <w:b/>
          <w:color w:val="auto"/>
          <w:sz w:val="24"/>
          <w:highlight w:val="none"/>
        </w:rPr>
        <w:t>，其价格应包含完成所需的一切费用。按可调整价格报价的投标文件将被视为不响应招标文件。</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15、投标货币</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15.1投标人提供的服务一律用人民币结算及报价。</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16、证明投标人合格和资格的文件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16.1投标人应提交证明其有资格参加投标和中标后有能力履行合同的文件，并作为其投标文件的一部分。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投标人提交的合格性证明文件应达到招标人使用要求，即</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1）投标人参加投标的</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必须确保质量；</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2）投标人已具备履行合同所需的财务和技术能力。</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16.2投标人在投标时应符合本须知第5.1条的规定。</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17、证明</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的合格性和符合招标文件规定的文件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17.1投标人应提交证明文件证明其拟投标的</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的合格性符合招标文件规定。该证明文件作为投标文件的一部分。</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18、投标保证金</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18.1投标人应按投标须知前附表第16项规定提交投标保证</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金。</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18.2招标人与中标人签订合同后五日内,向未中标的投标人一次性退还投标保证金及银行同期利息。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18.3银行同期存款利息：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18.3.1投标保证金计息利率依照中国人民银行公布的同期活期存款利率；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18.3.2银行同期存款利息的计算公式为：金额x年利率/360 x计息天数；</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18.3.3起息日为该项目的投标截止日，结息日为辽宁国信建设工程管理有限公司中标通知书发出当日；</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18.3.4招标代理公司将按有关规定，按时退还投标保证金本金。在退还投标保证金利息前，招标代理公司将向投标人提供相应的计息清单，要求投标人据此提供保证金利息发票。招标代理公司收到保证金利息发票方可退还保证金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18.3.5以银行转账支票或银行电汇方式提交的投标保证金，其利息按照专用账户开户银行退款当日挂牌对公活期存款利率计算，在退还投标保证金的同时将利息划拨至投标保证金的原拨付账户；</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18.3.6以保函或其他担保形式提交的投标保证金无利息。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18.4中标人的投标担保，在中标人按本须知第36条规定签订合同后5日内予以退还。</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18.5如投标人发生下列情况之一时，投标担保将不予退还：</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18.5.1投标人在投标截止日后撤回投标书的；</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18.5.2中标人未能在规定期限内签订合同协议；</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18.5.3投标人在整个投标活动中有严重违反国家法律、法规并经查实。</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注：此账户仅为递交投标保证金的账户，</w:t>
      </w:r>
      <w:r>
        <w:rPr>
          <w:rFonts w:hint="eastAsia" w:ascii="宋体" w:hAnsi="宋体" w:cs="宋体"/>
          <w:color w:val="auto"/>
          <w:sz w:val="24"/>
          <w:highlight w:val="none"/>
          <w:lang w:val="en-US" w:eastAsia="zh-CN"/>
        </w:rPr>
        <w:t>汇款时请备注项目编号及款项</w:t>
      </w:r>
      <w:r>
        <w:rPr>
          <w:rFonts w:hint="eastAsia" w:ascii="宋体" w:hAnsi="宋体" w:eastAsia="宋体" w:cs="宋体"/>
          <w:color w:val="auto"/>
          <w:sz w:val="24"/>
          <w:highlight w:val="none"/>
        </w:rPr>
        <w:t>。</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投标保证金账户信息： </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开户银行：招商银行营口分行营业部 </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r>
        <w:rPr>
          <w:rFonts w:hint="eastAsia" w:ascii="宋体" w:hAnsi="宋体" w:eastAsia="宋体" w:cs="宋体"/>
          <w:color w:val="auto"/>
          <w:sz w:val="24"/>
          <w:szCs w:val="24"/>
          <w:highlight w:val="none"/>
          <w:lang w:val="en-US" w:eastAsia="zh-CN"/>
        </w:rPr>
        <w:t>417900156710302</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收款人：辽宁国信建设工程管理有限公司</w:t>
      </w:r>
    </w:p>
    <w:p>
      <w:pPr>
        <w:pStyle w:val="6"/>
        <w:ind w:left="0" w:leftChars="0" w:firstLine="482" w:firstLineChars="200"/>
        <w:rPr>
          <w:rFonts w:hint="eastAsia" w:ascii="宋体" w:hAnsi="宋体" w:eastAsia="宋体" w:cs="宋体"/>
          <w:b w:val="0"/>
          <w:bCs/>
          <w:color w:val="auto"/>
          <w:highlight w:val="none"/>
        </w:rPr>
      </w:pPr>
      <w:r>
        <w:rPr>
          <w:rFonts w:hint="eastAsia" w:ascii="宋体" w:hAnsi="宋体" w:eastAsia="宋体" w:cs="宋体"/>
          <w:color w:val="auto"/>
          <w:sz w:val="24"/>
          <w:highlight w:val="none"/>
        </w:rPr>
        <w:t>投标保证金退还：投标人需将代理公司开具的保证金收据（收据背面注明公司名称、原汇款账户开户行账号信息）送达至代理公司。经由代理公司财务部门审定合格后方可退款。清退保证金时间：每周周一、周三申请清退投标保证金。预计每周周二、周五投标保证金返还至投标单位银行账户中（特殊情况除外）。</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19、投标有效期</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19.1投标应自本须知第25.1条规定的开标日起，并在“投标人须知前附表”中所述期限内保持有效。投标有效期不足的投标将被视为非响应性投标而被否绝。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19.2特殊情况下，在原投标有效期截止之前，招标代理机构可要求投标人同意延长投标有效期。这种要求与答复均应以书面形式提交。投标人可拒绝招标代理机构的这种要求，其投标保证金将正常退还。接受延长投标有效期的投标人将不会被要求和允许修正其投标，而只会被要求相应地延长其投标保证金的有效期。在这种情况下，本须知第18条有关投标保证金的退还和不予退还的规定将在延长了的有效期内继续有效。</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20、投标文件的份数和签署</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20.1 投标人应按本须知前附表第19项规定的份数提交投标文件。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20.2 </w:t>
      </w:r>
      <w:r>
        <w:rPr>
          <w:rFonts w:hint="eastAsia" w:ascii="宋体" w:hAnsi="宋体" w:eastAsia="宋体" w:cs="宋体"/>
          <w:color w:val="auto"/>
          <w:sz w:val="24"/>
          <w:szCs w:val="24"/>
          <w:highlight w:val="none"/>
        </w:rPr>
        <w:t>投标文件封面、投标函均应加盖投标人印章并经法定代表人或负责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 xml:space="preserve"> 除投标人对错误处须修改外，全套投标文件应无涂改或行间插字和增删。如有修改，修改处应由投标人加盖投标人的印章或由投标文件签字人签字或盖章。</w:t>
      </w:r>
    </w:p>
    <w:p>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val="en-US" w:eastAsia="zh-CN"/>
        </w:rPr>
        <w:t>4</w:t>
      </w:r>
      <w:r>
        <w:rPr>
          <w:rFonts w:hint="eastAsia" w:ascii="宋体" w:hAnsi="宋体" w:eastAsia="宋体" w:cs="宋体"/>
          <w:color w:val="auto"/>
          <w:sz w:val="24"/>
          <w:szCs w:val="28"/>
          <w:highlight w:val="none"/>
        </w:rPr>
        <w:t xml:space="preserve"> 投标文件应按序打印页码，并在首页编印目录，投标文件的内容应按评标办法所列内容顺序编写，以便评审。</w:t>
      </w:r>
    </w:p>
    <w:p>
      <w:pPr>
        <w:spacing w:line="360" w:lineRule="auto"/>
        <w:ind w:firstLine="480" w:firstLineChars="200"/>
        <w:rPr>
          <w:rFonts w:hint="eastAsia" w:ascii="宋体" w:hAnsi="宋体" w:eastAsia="宋体" w:cs="宋体"/>
          <w:color w:val="auto"/>
          <w:sz w:val="24"/>
          <w:szCs w:val="28"/>
          <w:highlight w:val="none"/>
        </w:rPr>
      </w:pP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（四）投标文件的提交</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21、投标文件的</w:t>
      </w:r>
      <w:r>
        <w:rPr>
          <w:rFonts w:hint="eastAsia" w:cs="宋体"/>
          <w:color w:val="auto"/>
          <w:highlight w:val="none"/>
          <w:lang w:val="en-US" w:eastAsia="zh-CN"/>
        </w:rPr>
        <w:t>提交、</w:t>
      </w:r>
      <w:r>
        <w:rPr>
          <w:rFonts w:hint="eastAsia" w:ascii="宋体" w:hAnsi="宋体" w:eastAsia="宋体" w:cs="宋体"/>
          <w:color w:val="auto"/>
          <w:highlight w:val="none"/>
        </w:rPr>
        <w:t>密封与标记</w:t>
      </w:r>
    </w:p>
    <w:p>
      <w:pPr>
        <w:spacing w:line="360" w:lineRule="auto"/>
        <w:ind w:firstLine="630"/>
        <w:rPr>
          <w:rFonts w:hint="eastAsia" w:ascii="宋体" w:hAnsi="宋体" w:eastAsia="宋体" w:cs="宋体"/>
          <w:b/>
          <w:color w:val="auto"/>
          <w:sz w:val="24"/>
          <w:szCs w:val="28"/>
          <w:highlight w:val="none"/>
        </w:rPr>
      </w:pPr>
      <w:r>
        <w:rPr>
          <w:rFonts w:hint="eastAsia" w:ascii="宋体" w:hAnsi="宋体" w:eastAsia="宋体" w:cs="宋体"/>
          <w:color w:val="auto"/>
          <w:sz w:val="24"/>
          <w:szCs w:val="28"/>
          <w:highlight w:val="none"/>
        </w:rPr>
        <w:t xml:space="preserve">21.1 </w:t>
      </w:r>
      <w:r>
        <w:rPr>
          <w:rFonts w:ascii="sans-serif" w:hAnsi="sans-serif" w:eastAsia="sans-serif" w:cs="sans-serif"/>
          <w:i w:val="0"/>
          <w:iCs w:val="0"/>
          <w:caps w:val="0"/>
          <w:color w:val="auto"/>
          <w:spacing w:val="0"/>
          <w:sz w:val="24"/>
          <w:szCs w:val="24"/>
          <w:highlight w:val="none"/>
          <w:shd w:val="clear" w:fill="FFFFFF"/>
        </w:rPr>
        <w:t>投标人应当按照招标文件和电子招标投标交易平台的要求加密投标文件</w:t>
      </w:r>
      <w:r>
        <w:rPr>
          <w:rFonts w:hint="eastAsia" w:ascii="sans-serif" w:hAnsi="sans-serif" w:eastAsia="宋体" w:cs="sans-serif"/>
          <w:i w:val="0"/>
          <w:iCs w:val="0"/>
          <w:caps w:val="0"/>
          <w:color w:val="auto"/>
          <w:spacing w:val="0"/>
          <w:sz w:val="24"/>
          <w:szCs w:val="24"/>
          <w:highlight w:val="none"/>
          <w:shd w:val="clear" w:fill="FFFFFF"/>
          <w:lang w:eastAsia="zh-CN"/>
        </w:rPr>
        <w:t>。</w:t>
      </w:r>
    </w:p>
    <w:p>
      <w:pPr>
        <w:spacing w:line="360" w:lineRule="auto"/>
        <w:ind w:firstLine="63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21.</w:t>
      </w:r>
      <w:r>
        <w:rPr>
          <w:rFonts w:hint="eastAsia" w:ascii="宋体" w:hAnsi="宋体" w:cs="宋体"/>
          <w:color w:val="auto"/>
          <w:sz w:val="24"/>
          <w:szCs w:val="28"/>
          <w:highlight w:val="none"/>
          <w:lang w:val="en-US" w:eastAsia="zh-CN"/>
        </w:rPr>
        <w:t>2</w:t>
      </w:r>
      <w:r>
        <w:rPr>
          <w:rFonts w:hint="eastAsia" w:ascii="宋体" w:hAnsi="宋体" w:eastAsia="宋体" w:cs="宋体"/>
          <w:color w:val="auto"/>
          <w:sz w:val="24"/>
          <w:szCs w:val="28"/>
          <w:highlight w:val="none"/>
        </w:rPr>
        <w:t>投标文件在投标人须知前附表第20项所述截止时间之前递交至投标须知前附表第20项所述地点。</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22、投标文件提交的截止时间</w:t>
      </w:r>
    </w:p>
    <w:p>
      <w:pPr>
        <w:spacing w:line="360" w:lineRule="auto"/>
        <w:ind w:firstLine="500"/>
        <w:rPr>
          <w:rFonts w:hint="eastAsia" w:ascii="宋体" w:hAnsi="宋体" w:eastAsia="宋体" w:cs="宋体"/>
          <w:b/>
          <w:color w:val="auto"/>
          <w:sz w:val="24"/>
          <w:highlight w:val="none"/>
        </w:rPr>
      </w:pPr>
      <w:r>
        <w:rPr>
          <w:rFonts w:hint="eastAsia" w:ascii="宋体" w:hAnsi="宋体" w:eastAsia="宋体" w:cs="宋体"/>
          <w:color w:val="auto"/>
          <w:sz w:val="24"/>
          <w:highlight w:val="none"/>
        </w:rPr>
        <w:t>22.1 投标文件的截止时间见本项目须知前附表第20项规定。</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22.2 招标人可按本须知第10条规定以修改补充通知的方式，酌情延长提交投标文件的截止时间。在此情况下，投标人的所有权利和义务以及投标人受制约的截止时间，均以延长后新的投标截止时间为准。</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23、迟交的投标文件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23.1 招标人在本须知前附表第20项规定的投标截止时间以后收到的投标文件，将被拒</w:t>
      </w:r>
      <w:r>
        <w:rPr>
          <w:rFonts w:hint="eastAsia" w:ascii="宋体" w:hAnsi="宋体" w:cs="宋体"/>
          <w:color w:val="auto"/>
          <w:sz w:val="24"/>
          <w:highlight w:val="none"/>
          <w:lang w:val="en-US" w:eastAsia="zh-CN"/>
        </w:rPr>
        <w:t>收</w:t>
      </w:r>
      <w:r>
        <w:rPr>
          <w:rFonts w:hint="eastAsia" w:ascii="宋体" w:hAnsi="宋体" w:eastAsia="宋体" w:cs="宋体"/>
          <w:color w:val="auto"/>
          <w:sz w:val="24"/>
          <w:highlight w:val="none"/>
        </w:rPr>
        <w:t>。</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24、投标文件的补充、修改与撤回</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24.1 投标人在提交投标文件以后，在规定的投标截止时间之前，可以补充修改或撤回已提交的投标文件。补充、修改的内容为投标文件的组成部分。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 在投标截止时间之后，投标人不得补充、修改投标文件。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 xml:space="preserve"> 在投标截止时间至投标有效期满之前，投标人不得撤回其投标文件。</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（五）开    标</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25、开标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25.1招标代理机构在本须知前附表第</w:t>
      </w: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rPr>
        <w:t>项规定的日期、时间和地点组织公开开标。开标时邀请所有投标人代表参加。参加开标的代表应</w:t>
      </w:r>
      <w:r>
        <w:rPr>
          <w:rFonts w:hint="eastAsia" w:ascii="宋体" w:hAnsi="宋体" w:cs="宋体"/>
          <w:color w:val="auto"/>
          <w:sz w:val="24"/>
          <w:highlight w:val="none"/>
          <w:lang w:val="en-US" w:eastAsia="zh-CN"/>
        </w:rPr>
        <w:t>在电子开标系统中</w:t>
      </w:r>
      <w:r>
        <w:rPr>
          <w:rFonts w:hint="eastAsia" w:ascii="宋体" w:hAnsi="宋体" w:eastAsia="宋体" w:cs="宋体"/>
          <w:color w:val="auto"/>
          <w:sz w:val="24"/>
          <w:highlight w:val="none"/>
        </w:rPr>
        <w:t>签名报到以证明其出席。开标会由招标代理机构主持。</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25.2开标时，除了按照本须知第23条的规定原封退回迟到的投标之外，招标代理机构将当众宣读所有合格提交投标文件的投标人名称、以及招标人认为合适的其他内容。</w:t>
      </w:r>
    </w:p>
    <w:p>
      <w:pPr>
        <w:tabs>
          <w:tab w:val="left" w:pos="0"/>
        </w:tabs>
        <w:spacing w:line="360" w:lineRule="auto"/>
        <w:ind w:left="-2" w:leftChars="-1" w:right="40" w:righ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25.3在开标时没有读出的有关声明，在评标时将不予考虑。</w:t>
      </w:r>
    </w:p>
    <w:p>
      <w:pPr>
        <w:tabs>
          <w:tab w:val="left" w:pos="0"/>
        </w:tabs>
        <w:spacing w:line="360" w:lineRule="auto"/>
        <w:ind w:left="-2" w:leftChars="-1" w:right="40" w:righ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25.4招标代理机构将做开标记录，存档备查。</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25.5开标程序：</w:t>
      </w:r>
    </w:p>
    <w:p>
      <w:pPr>
        <w:pStyle w:val="14"/>
        <w:numPr>
          <w:ilvl w:val="0"/>
          <w:numId w:val="9"/>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宣布开标纪律；</w:t>
      </w:r>
    </w:p>
    <w:p>
      <w:pPr>
        <w:pStyle w:val="14"/>
        <w:numPr>
          <w:ilvl w:val="0"/>
          <w:numId w:val="9"/>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公布在投标截止时间前递交投标文件的投标人名称；</w:t>
      </w:r>
    </w:p>
    <w:p>
      <w:pPr>
        <w:pStyle w:val="14"/>
        <w:numPr>
          <w:ilvl w:val="0"/>
          <w:numId w:val="9"/>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宣布开标人、唱标人、记录人、监标人等有关人员姓名；</w:t>
      </w:r>
    </w:p>
    <w:p>
      <w:pPr>
        <w:pStyle w:val="14"/>
        <w:numPr>
          <w:ilvl w:val="0"/>
          <w:numId w:val="9"/>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投标人通过电子招标投标交易平台对已递交的电子投标文件进行解密，公布招标项目名称、投标人名称、投标保证金的递交情况、投标报价、设计服务期限及其他内容，并记录在案；</w:t>
      </w:r>
    </w:p>
    <w:p>
      <w:pPr>
        <w:pStyle w:val="14"/>
        <w:numPr>
          <w:ilvl w:val="0"/>
          <w:numId w:val="9"/>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（A）投标人代表、招标人代表、监标人、记录人等有关人员在开标记录上签字确认；（B）投标人代表、招标人代表、监标人、记录人等有关人员使用本人的电子印章在开标记录上签字确认；</w:t>
      </w:r>
    </w:p>
    <w:p>
      <w:pPr>
        <w:pStyle w:val="14"/>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（6）开标结束。</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25.5.</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若唱标人宣读的投标文件主要内容与投标文件不符时，投标人有权在开标现场提出异议，经行政监管人员当场核查后，唱标人将重新宣读其投标文件主要内容。若投标人在开标现场未提出异议，则认为投标人已确认唱标人宣读的投标文件主要内容，投标人的法定代表人或负责人或授权委托人应在开标记录上签字确认。</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25.6 招标人在招标文件要求提交投标文件的截止时间前收到的投标文件，开标时都应当众予以拆封、宣读。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25.7 招标代理机构工作人员对开标过程进行记录，并经纪检监察人员签字确认后存档备查。</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26、投标文件的有效性</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26.1 开标时，投标文件有下列情形之一的，招标人不予受理：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26.1.1逾期送达或未送达指定地点的；</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26.1.2投标文件</w:t>
      </w:r>
      <w:r>
        <w:rPr>
          <w:rFonts w:hint="eastAsia" w:ascii="宋体" w:hAnsi="宋体" w:cs="宋体"/>
          <w:color w:val="auto"/>
          <w:sz w:val="24"/>
          <w:highlight w:val="none"/>
          <w:lang w:val="en-US" w:eastAsia="zh-CN"/>
        </w:rPr>
        <w:t>在规定时间内未解密或解密失败的</w:t>
      </w:r>
      <w:r>
        <w:rPr>
          <w:rFonts w:hint="eastAsia" w:ascii="宋体" w:hAnsi="宋体" w:eastAsia="宋体" w:cs="宋体"/>
          <w:color w:val="auto"/>
          <w:sz w:val="24"/>
          <w:highlight w:val="none"/>
        </w:rPr>
        <w:t>；</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26.2开标结束后，所有开启并唱标完毕的投标文件将送达评标委员会进行评审、比较。</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（六）评   标</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27、评标委员会与评标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27.1评标委员会由招标人依法组建，负责评标活动。</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27.2开标结束后，开始评标，评标采用保密方式进行。</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28、评标过程的保密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28.1开标后，直至授予中标单位合同为止，凡属于对投标文件的审查、澄清、评价和比较的有关资料以及中标单位的推荐情况，与评标有关的其他任何情况均严格保密，评标委员会成员及相关工作人员必须严格遵守保密纪律。</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28.2 在投标文件的评审和比较、中标单位入选以及授予合同的过程中，投标人向招标人和评标委员会施加影响的任何行为，都将会导致其投标被拒绝。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28.3中标单位确定后，招标人不对未入选单位就评标过程以及未能入选原因作出任何解释。未中标单位不得向评标委员会组成人员或其他有关人员索问评标过程的情况和材料。</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29、投标文件的澄清</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29.1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27条规定，凡属于评标委员会在评标中发现的计算错误进行核实的修改不在此列。</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30、投标文件的评审</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30.1投标文件的评审分资格审查、初步评审和详细评审三步（详见《第七章 评标办法》）。</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31、投标文件的评审、比较和否决</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31.1评标委员会将按照本须知第26条规定，仅对在实质上响应招标文件要求的投标文件进行评估和比较。</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31.2 在评审过程中,评标委员会可以书面形式要求投标人就投标文件中含义不明确的内容进行书面说明并提供相关材料。</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31.3评标委员会依据本须知前附表第22项规定的评标标准和方法，对投标文件进行评审和比较，向招标人提出书面评标报告，中标单位须符合本须知第4款之规定。</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31.4 评标方法和标准</w:t>
      </w:r>
    </w:p>
    <w:p>
      <w:pPr>
        <w:spacing w:line="360" w:lineRule="auto"/>
        <w:ind w:firstLine="500"/>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详见本</w:t>
      </w:r>
      <w:r>
        <w:rPr>
          <w:rFonts w:hint="eastAsia" w:ascii="宋体" w:hAnsi="宋体" w:eastAsia="宋体" w:cs="宋体"/>
          <w:b/>
          <w:color w:val="auto"/>
          <w:sz w:val="24"/>
          <w:highlight w:val="none"/>
        </w:rPr>
        <w:t>招标文件《第七章 评标办法》</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31.5评分要求和统计分数原则</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31.5.1评标委员会评委应首先对各投标人投标书进行评审，并按招标文件规定分值评分，</w:t>
      </w:r>
      <w:r>
        <w:rPr>
          <w:rFonts w:hint="eastAsia" w:ascii="宋体" w:hAnsi="宋体" w:eastAsia="宋体" w:cs="宋体"/>
          <w:color w:val="auto"/>
          <w:spacing w:val="4"/>
          <w:sz w:val="24"/>
          <w:highlight w:val="none"/>
        </w:rPr>
        <w:t>中间用插入法确定分数</w:t>
      </w:r>
      <w:r>
        <w:rPr>
          <w:rFonts w:hint="eastAsia" w:ascii="宋体" w:hAnsi="宋体" w:eastAsia="宋体" w:cs="宋体"/>
          <w:color w:val="auto"/>
          <w:sz w:val="24"/>
          <w:szCs w:val="28"/>
          <w:highlight w:val="none"/>
        </w:rPr>
        <w:t>。</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31.5.2 技术部分、商务部分评分中，各评委应自主评分并签字确认。</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31.5.3 统计分数原则：评分后计算平均分值为投标人技术部分的得分（保留小数点后两位）。</w:t>
      </w:r>
    </w:p>
    <w:p>
      <w:pPr>
        <w:spacing w:line="360" w:lineRule="auto"/>
        <w:ind w:firstLine="525" w:firstLineChars="218"/>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31.6招标人在评标委员会推荐的中标候选人中，确定排名第一的为中标人。</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31.7中标候选人的经营、财务状况发生较大变化或者存在违法行为，招标人认为可能影响其履约能力的，应当在发出中标通知书前由原评标委员会按照招标文件规定的标准和方法审查确认。</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31.8招标人不向未中标的投标人解释未中标原因。</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31.9投标人或者其他利害关系人对本项目的评标结果有异议的，应当在中标候选人公示期间提出。招标人应当自收到异议之日起3日内作出答复；作出答复前，应当暂停招标投标活动。</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32、 评标结果的复核</w:t>
      </w:r>
    </w:p>
    <w:p>
      <w:pPr>
        <w:spacing w:line="360" w:lineRule="auto"/>
        <w:ind w:firstLine="56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32.1公布评标结果后，投标人如有质疑，应以书面形式在3日内分别向招标人和招标监督部门提出复核请求，招标人将会同监督部门进行复核。</w:t>
      </w:r>
    </w:p>
    <w:p>
      <w:pPr>
        <w:spacing w:line="360" w:lineRule="auto"/>
        <w:ind w:firstLine="56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32.2复核仅限于对数字计算、累加、平均和其它定量考核标准产生的错误，复核有误的按修正后的得分计算。评标委员会评委对投标文件中按招标文件所作的技术部分的分项打分不允许修改。</w:t>
      </w:r>
    </w:p>
    <w:p>
      <w:pPr>
        <w:spacing w:line="360" w:lineRule="auto"/>
        <w:ind w:firstLine="56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32.3复核后如出现投标人得分顺序排列变更，则以复核修正后的得分顺序为最终排序，复核结果通知所有投标单位。</w:t>
      </w:r>
    </w:p>
    <w:p>
      <w:pPr>
        <w:spacing w:line="360" w:lineRule="auto"/>
        <w:ind w:firstLine="56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32.4投标人的复核请求或质询均应以书面形式并加盖公章后送交，口头或其它形式的复核请求或质询，招标人均不组织进行复核。</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（七）合同的授予</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33、合同授予标准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33.1本招标项目的</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合同将授予按本须知第31.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款所确定的中标人，招标人与中标人签订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33.2非招标人原因中标人在中标通知书发出后30日内不与招标人签订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合同的，招标人将有充分理由取消中标资格，招标人有权按照评标推荐意见选择下一名中标候选人作为中标人或者重新招标。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33.3在招标人与中标人签订下一次合同之前，由中标人按招标人的相关规定对成交人上一次合同执行情况进行评定，评定结果合格的续签下一次合同，评定结果不合格的取消中标人下一次合同执行权利。</w:t>
      </w:r>
    </w:p>
    <w:p>
      <w:pPr>
        <w:spacing w:line="360" w:lineRule="auto"/>
        <w:ind w:firstLine="5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33.4招标人和中标人必须签定廉政责任书。</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34、招标人拒绝投标的权力</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s="宋体"/>
          <w:color w:val="auto"/>
          <w:spacing w:val="6"/>
          <w:kern w:val="0"/>
          <w:sz w:val="24"/>
          <w:highlight w:val="none"/>
        </w:rPr>
        <w:t>招标人在发出中标通知书前，有权依据评标委员会的评标报告拒绝不合格的投标。</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35、中标通知书</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35.1中标单位确定后招标人向中标单位发出中标通知书，并将中标结果告知所有未中标的投标人。</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35.2中标通知书是合同的一个组成部分。</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36、合同协议书的签订</w:t>
      </w:r>
    </w:p>
    <w:p>
      <w:pPr>
        <w:spacing w:line="360" w:lineRule="auto"/>
        <w:ind w:firstLine="5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36.1 合同签订前，招标人有权对中标人投标文件中提供材料的真实性进行核查，若被查实存在影响中标结果的违法行为等情形，不符合中标条件的，取消其中标资格，且已交纳的投标保证金不予退还，招标人可以按照评标委员会推荐的中标候选人名单排序依次确定其他中标候选人为中标人，或重新组织招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36.2招标人与中标人将于中标通知书发出之日起30日内，按照招标文件和中标人的投标文件订立书面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合同，招标人和中标人不得再行订立背离合同实质性内容的其他协议。</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36.3招标人如不按本投标须知第36.1款的规定与中标人订立合同，或者招标人、中标人订立背离合同实质性内容的协议，应改正并按规定处予罚款。</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36.4在确定中标人之前，招标人应遵守《中华人民共和国招标投标法》和其它有关规定，不得无故调整招标文件规定的有关条款，不得与投标人就投标价格、投标承诺、投标方案等实质性内容进行谈判。</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36.5招标人、中标人双方在签定</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合同时，不得随意变更招标文件和投标书的实质性条款。</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36.6投标人的投标报价应本着科学、合理的原则进行。投标人一旦中标，若因报价过低致使合同无法签订和履行的，或在合同签订、履行中无故要求变更投标承诺和变更投标报价（含单价、合价和总价）的，按下列规定执行：</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36.6.1不与招标人签订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的，或在合同签订时要求变更投标承诺和变更投标报价（含单价、合价和总价）的，招标人可取消其中标资格，其投标保证金不予退还；给招标人造成的损失超过投标保证金数额的，中标人应对超过部分予以赔偿；没有提交投标保证金的，应当对招标人的实际损失承担赔偿责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36.6.2不全面履行合同的，应承担由此造成招标人的实际损失。此外，招标人可将有关情况报行政主管部门，由行政主管部门依据有关法律、法规给予相应处罚，并作不良市场行为记录；</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36.6.3在合同履行中，中标人无故要求变更投标承诺和变更投标报价（含单价、合价和总价）的，招标人不得给予调整，可视情况终止合同，由此造成招标人的实际损失由中标人承担赔偿责任。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36.7中标人应当按照合同约定履行义务，完成中标项目</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，不得将中标项目转让（转包）给他人。</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37、履约担保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无。</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38、知识产权</w:t>
      </w:r>
    </w:p>
    <w:p>
      <w:pPr>
        <w:pStyle w:val="6"/>
        <w:ind w:left="8" w:firstLine="412"/>
        <w:rPr>
          <w:rFonts w:hint="eastAsia" w:ascii="宋体" w:hAnsi="宋体" w:eastAsia="宋体" w:cs="宋体"/>
          <w:b w:val="0"/>
          <w:color w:val="auto"/>
          <w:kern w:val="2"/>
          <w:highlight w:val="none"/>
        </w:rPr>
      </w:pPr>
      <w:bookmarkStart w:id="22" w:name="_Toc450901008"/>
      <w:bookmarkStart w:id="23" w:name="_Toc408414923"/>
      <w:bookmarkStart w:id="24" w:name="_Toc465340531"/>
      <w:bookmarkStart w:id="25" w:name="_Toc414893184"/>
      <w:bookmarkStart w:id="26" w:name="_Toc398284558"/>
      <w:bookmarkStart w:id="27" w:name="_Toc462772982"/>
      <w:bookmarkStart w:id="28" w:name="_Toc415068443"/>
      <w:bookmarkStart w:id="29" w:name="_Toc462956953"/>
      <w:bookmarkStart w:id="30" w:name="_Toc452968012"/>
      <w:bookmarkStart w:id="31" w:name="_Toc459115259"/>
      <w:bookmarkStart w:id="32" w:name="_Toc465195490"/>
      <w:bookmarkStart w:id="33" w:name="_Toc407575715"/>
      <w:bookmarkStart w:id="34" w:name="_Toc407017581"/>
      <w:bookmarkStart w:id="35" w:name="_Toc405841715"/>
      <w:bookmarkStart w:id="36" w:name="_Toc406050251"/>
      <w:bookmarkStart w:id="37" w:name="_Toc459193929"/>
      <w:bookmarkStart w:id="38" w:name="_Toc462750232"/>
      <w:bookmarkStart w:id="39" w:name="_Toc415066900"/>
      <w:bookmarkStart w:id="40" w:name="_Toc452732935"/>
      <w:r>
        <w:rPr>
          <w:rFonts w:hint="eastAsia" w:ascii="宋体" w:hAnsi="宋体" w:eastAsia="宋体" w:cs="宋体"/>
          <w:b w:val="0"/>
          <w:color w:val="auto"/>
          <w:kern w:val="2"/>
          <w:highlight w:val="none"/>
        </w:rPr>
        <w:t>中标人应保证招标人在使用该</w:t>
      </w:r>
      <w:r>
        <w:rPr>
          <w:rFonts w:hint="eastAsia" w:ascii="宋体" w:hAnsi="宋体" w:eastAsia="宋体" w:cs="宋体"/>
          <w:b w:val="0"/>
          <w:color w:val="auto"/>
          <w:kern w:val="2"/>
          <w:highlight w:val="none"/>
          <w:lang w:val="en-US" w:eastAsia="zh-CN"/>
        </w:rPr>
        <w:t>服务</w:t>
      </w:r>
      <w:r>
        <w:rPr>
          <w:rFonts w:hint="eastAsia" w:ascii="宋体" w:hAnsi="宋体" w:eastAsia="宋体" w:cs="宋体"/>
          <w:b w:val="0"/>
          <w:color w:val="auto"/>
          <w:kern w:val="2"/>
          <w:highlight w:val="none"/>
        </w:rPr>
        <w:t>或其任何一部分时不受第三方提出的侵犯专利权、商标权、著作权或其它知识产权的起诉。如果任何第三方提出侵权指控，中标人须与第三方交涉并承担可能发生的一切法律责任和费用。</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numPr>
          <w:ilvl w:val="0"/>
          <w:numId w:val="10"/>
        </w:numPr>
        <w:spacing w:line="360" w:lineRule="auto"/>
        <w:ind w:firstLine="0"/>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异议</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lang w:val="en-US" w:eastAsia="zh-CN"/>
        </w:rPr>
        <w:t>39.1</w:t>
      </w:r>
      <w:r>
        <w:rPr>
          <w:rFonts w:hint="eastAsia" w:ascii="宋体" w:hAnsi="宋体" w:cs="宋体"/>
          <w:color w:val="auto"/>
          <w:sz w:val="24"/>
          <w:highlight w:val="none"/>
        </w:rPr>
        <w:t>潜在投标人或者其他利害关系人对招标文件有异议的，应当在投标截止时间10日前提出。招标人应当自收到异议之日起3日内做出答复；做出答复前，应当暂停招标投标活动。</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lang w:val="en-US" w:eastAsia="zh-CN"/>
        </w:rPr>
        <w:t>39.2</w:t>
      </w:r>
      <w:r>
        <w:rPr>
          <w:rFonts w:hint="eastAsia" w:ascii="宋体" w:hAnsi="宋体" w:cs="宋体"/>
          <w:color w:val="auto"/>
          <w:sz w:val="24"/>
          <w:highlight w:val="none"/>
        </w:rPr>
        <w:t>投标人对开标有异议的，应当在开标现场提出，招标人应当当场做出答复，并制作记录。</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lang w:val="en-US" w:eastAsia="zh-CN"/>
        </w:rPr>
        <w:t>39.3</w:t>
      </w:r>
      <w:r>
        <w:rPr>
          <w:rFonts w:hint="eastAsia" w:ascii="宋体" w:hAnsi="宋体" w:cs="宋体"/>
          <w:color w:val="auto"/>
          <w:sz w:val="24"/>
          <w:highlight w:val="none"/>
        </w:rPr>
        <w:t>投标人或者其他利害关系人对依法必须招标项目的评标结果有异议的，应当在中标候选人公示期间提出。招标人应当自收到异议之日起3日内做出答复；做出答复前，应当暂停招标投标活动。</w:t>
      </w:r>
    </w:p>
    <w:p>
      <w:pPr>
        <w:spacing w:line="360" w:lineRule="auto"/>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39.4</w:t>
      </w:r>
      <w:r>
        <w:rPr>
          <w:rFonts w:hint="eastAsia" w:ascii="宋体" w:hAnsi="宋体" w:eastAsia="宋体" w:cs="宋体"/>
          <w:color w:val="auto"/>
          <w:sz w:val="24"/>
          <w:highlight w:val="none"/>
        </w:rPr>
        <w:t>提交异议函的方式：加盖单位公章的书面异议函，写明联系人、联系电话、通讯地址等信息，并附相关证明材料和依据，否则不予接收。</w:t>
      </w:r>
    </w:p>
    <w:p>
      <w:pPr>
        <w:spacing w:line="360" w:lineRule="auto"/>
        <w:ind w:firstLine="50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8"/>
          <w:szCs w:val="28"/>
          <w:highlight w:val="none"/>
        </w:rPr>
        <w:sectPr>
          <w:headerReference r:id="rId8" w:type="default"/>
          <w:pgSz w:w="11906" w:h="16838"/>
          <w:pgMar w:top="1134" w:right="1134" w:bottom="1134" w:left="1134" w:header="454" w:footer="454" w:gutter="0"/>
          <w:cols w:space="720" w:num="1"/>
          <w:docGrid w:linePitch="312" w:charSpace="0"/>
        </w:sect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41" w:name="_Toc349568453"/>
      <w:bookmarkStart w:id="42" w:name="_Toc344394140"/>
      <w:bookmarkStart w:id="43" w:name="_Toc343510554"/>
      <w:bookmarkStart w:id="44" w:name="_Toc349568712"/>
      <w:bookmarkStart w:id="45" w:name="_Toc14284"/>
      <w:bookmarkStart w:id="46" w:name="_Toc350515649"/>
      <w:bookmarkStart w:id="47" w:name="_Toc17991"/>
      <w:r>
        <w:rPr>
          <w:rFonts w:hint="eastAsia" w:ascii="宋体" w:hAnsi="宋体" w:eastAsia="宋体" w:cs="宋体"/>
          <w:color w:val="auto"/>
          <w:w w:val="90"/>
          <w:highlight w:val="none"/>
        </w:rPr>
        <w:t>合同</w:t>
      </w:r>
      <w:bookmarkEnd w:id="41"/>
      <w:bookmarkEnd w:id="42"/>
      <w:bookmarkEnd w:id="43"/>
      <w:bookmarkEnd w:id="44"/>
      <w:r>
        <w:rPr>
          <w:rFonts w:hint="eastAsia" w:ascii="宋体" w:hAnsi="宋体" w:eastAsia="宋体" w:cs="宋体"/>
          <w:color w:val="auto"/>
          <w:w w:val="90"/>
          <w:highlight w:val="none"/>
        </w:rPr>
        <w:t>主要条款</w:t>
      </w:r>
      <w:bookmarkEnd w:id="45"/>
      <w:bookmarkEnd w:id="46"/>
      <w:bookmarkEnd w:id="47"/>
    </w:p>
    <w:p>
      <w:pPr>
        <w:pStyle w:val="2"/>
        <w:spacing w:line="360" w:lineRule="auto"/>
        <w:jc w:val="center"/>
        <w:rPr>
          <w:rFonts w:hint="eastAsia" w:ascii="宋体" w:hAnsi="宋体" w:eastAsia="宋体" w:cs="宋体"/>
          <w:color w:val="auto"/>
          <w:w w:val="90"/>
          <w:sz w:val="28"/>
          <w:szCs w:val="28"/>
          <w:highlight w:val="none"/>
        </w:rPr>
      </w:pPr>
      <w:bookmarkStart w:id="48" w:name="_Toc13064"/>
      <w:bookmarkStart w:id="49" w:name="_Toc14503"/>
      <w:bookmarkStart w:id="50" w:name="_Toc11346"/>
      <w:bookmarkStart w:id="51" w:name="_Toc12009"/>
      <w:bookmarkStart w:id="52" w:name="_Toc23351"/>
      <w:bookmarkStart w:id="53" w:name="_Toc20137"/>
      <w:bookmarkStart w:id="54" w:name="_Toc19053"/>
      <w:r>
        <w:rPr>
          <w:rFonts w:hint="eastAsia" w:ascii="宋体" w:hAnsi="宋体" w:eastAsia="宋体" w:cs="宋体"/>
          <w:color w:val="auto"/>
          <w:w w:val="90"/>
          <w:sz w:val="28"/>
          <w:szCs w:val="28"/>
          <w:highlight w:val="none"/>
        </w:rPr>
        <w:t>（以实际签订为准）</w:t>
      </w:r>
      <w:bookmarkEnd w:id="48"/>
      <w:bookmarkEnd w:id="49"/>
      <w:bookmarkEnd w:id="50"/>
      <w:bookmarkEnd w:id="51"/>
      <w:bookmarkEnd w:id="52"/>
      <w:bookmarkEnd w:id="53"/>
      <w:bookmarkEnd w:id="54"/>
    </w:p>
    <w:p>
      <w:pPr>
        <w:spacing w:line="360" w:lineRule="auto"/>
        <w:rPr>
          <w:rFonts w:hint="eastAsia" w:ascii="宋体" w:hAnsi="宋体" w:eastAsia="宋体" w:cs="宋体"/>
          <w:color w:val="auto"/>
          <w:highlight w:val="none"/>
        </w:rPr>
      </w:pPr>
    </w:p>
    <w:p>
      <w:pPr>
        <w:rPr>
          <w:rFonts w:hint="eastAsia" w:ascii="宋体" w:hAnsi="宋体" w:eastAsia="宋体" w:cs="宋体"/>
          <w:b/>
          <w:color w:val="auto"/>
          <w:sz w:val="30"/>
          <w:szCs w:val="30"/>
          <w:highlight w:val="none"/>
          <w:u w:val="single"/>
        </w:rPr>
      </w:pPr>
      <w:r>
        <w:rPr>
          <w:rFonts w:hint="eastAsia" w:ascii="宋体" w:hAnsi="宋体" w:eastAsia="宋体" w:cs="宋体"/>
          <w:color w:val="auto"/>
          <w:highlight w:val="none"/>
        </w:rPr>
        <w:br w:type="page"/>
      </w:r>
      <w:r>
        <w:rPr>
          <w:rFonts w:hint="eastAsia" w:ascii="宋体" w:hAnsi="宋体" w:eastAsia="宋体" w:cs="宋体"/>
          <w:b/>
          <w:color w:val="auto"/>
          <w:sz w:val="30"/>
          <w:szCs w:val="30"/>
          <w:highlight w:val="none"/>
        </w:rPr>
        <w:t>合同编号：</w:t>
      </w:r>
    </w:p>
    <w:p>
      <w:pPr>
        <w:spacing w:line="160" w:lineRule="atLeast"/>
        <w:rPr>
          <w:rFonts w:hint="eastAsia" w:ascii="宋体" w:hAnsi="宋体" w:eastAsia="宋体" w:cs="宋体"/>
          <w:b/>
          <w:color w:val="auto"/>
          <w:sz w:val="72"/>
          <w:szCs w:val="72"/>
          <w:highlight w:val="none"/>
        </w:rPr>
      </w:pPr>
    </w:p>
    <w:p>
      <w:pPr>
        <w:spacing w:line="160" w:lineRule="atLeast"/>
        <w:jc w:val="center"/>
        <w:rPr>
          <w:rFonts w:hint="eastAsia" w:ascii="宋体" w:hAnsi="宋体" w:eastAsia="宋体" w:cs="宋体"/>
          <w:b/>
          <w:color w:val="auto"/>
          <w:sz w:val="52"/>
          <w:szCs w:val="52"/>
          <w:highlight w:val="none"/>
        </w:rPr>
      </w:pPr>
    </w:p>
    <w:p>
      <w:pPr>
        <w:spacing w:line="160" w:lineRule="atLeast"/>
        <w:jc w:val="center"/>
        <w:rPr>
          <w:rFonts w:hint="eastAsia" w:ascii="宋体" w:hAnsi="宋体" w:eastAsia="宋体" w:cs="宋体"/>
          <w:b/>
          <w:color w:val="auto"/>
          <w:sz w:val="52"/>
          <w:szCs w:val="52"/>
          <w:highlight w:val="none"/>
        </w:rPr>
      </w:pPr>
    </w:p>
    <w:p>
      <w:pPr>
        <w:spacing w:line="160" w:lineRule="atLeast"/>
        <w:jc w:val="center"/>
        <w:rPr>
          <w:rFonts w:hint="eastAsia" w:ascii="宋体" w:hAnsi="宋体" w:eastAsia="宋体" w:cs="宋体"/>
          <w:b/>
          <w:color w:val="auto"/>
          <w:sz w:val="110"/>
          <w:szCs w:val="110"/>
          <w:highlight w:val="none"/>
        </w:rPr>
      </w:pPr>
      <w:r>
        <w:rPr>
          <w:rFonts w:hint="eastAsia" w:ascii="宋体" w:hAnsi="宋体" w:eastAsia="宋体" w:cs="宋体"/>
          <w:b/>
          <w:color w:val="auto"/>
          <w:sz w:val="110"/>
          <w:szCs w:val="110"/>
          <w:highlight w:val="none"/>
        </w:rPr>
        <w:t>合  同  书</w:t>
      </w: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ind w:firstLine="1044" w:firstLineChars="495"/>
        <w:rPr>
          <w:rFonts w:hint="eastAsia" w:ascii="宋体" w:hAnsi="宋体" w:eastAsia="宋体" w:cs="宋体"/>
          <w:b/>
          <w:color w:val="auto"/>
          <w:highlight w:val="none"/>
        </w:rPr>
      </w:pPr>
    </w:p>
    <w:p>
      <w:pPr>
        <w:spacing w:line="160" w:lineRule="atLeast"/>
        <w:rPr>
          <w:rFonts w:hint="eastAsia" w:ascii="宋体" w:hAnsi="宋体" w:eastAsia="宋体" w:cs="宋体"/>
          <w:b/>
          <w:color w:val="auto"/>
          <w:highlight w:val="none"/>
        </w:rPr>
      </w:pPr>
    </w:p>
    <w:p>
      <w:pPr>
        <w:tabs>
          <w:tab w:val="left" w:pos="1260"/>
          <w:tab w:val="left" w:pos="1620"/>
          <w:tab w:val="left" w:pos="6840"/>
          <w:tab w:val="left" w:pos="7020"/>
          <w:tab w:val="left" w:pos="7200"/>
        </w:tabs>
        <w:spacing w:line="160" w:lineRule="atLeast"/>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甲方： </w:t>
      </w:r>
    </w:p>
    <w:p>
      <w:pPr>
        <w:tabs>
          <w:tab w:val="left" w:pos="1260"/>
          <w:tab w:val="left" w:pos="1620"/>
          <w:tab w:val="left" w:pos="6840"/>
          <w:tab w:val="left" w:pos="7020"/>
          <w:tab w:val="left" w:pos="7200"/>
        </w:tabs>
        <w:spacing w:line="160" w:lineRule="atLeast"/>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乙方： </w:t>
      </w:r>
    </w:p>
    <w:p>
      <w:pPr>
        <w:spacing w:line="560" w:lineRule="exact"/>
        <w:ind w:right="640"/>
        <w:jc w:val="center"/>
        <w:rPr>
          <w:rFonts w:hint="eastAsia" w:ascii="宋体" w:hAnsi="宋体" w:eastAsia="宋体" w:cs="宋体"/>
          <w:b/>
          <w:color w:val="auto"/>
          <w:sz w:val="36"/>
          <w:szCs w:val="36"/>
          <w:highlight w:val="none"/>
        </w:rPr>
      </w:pPr>
    </w:p>
    <w:p>
      <w:pPr>
        <w:spacing w:line="560" w:lineRule="exact"/>
        <w:ind w:right="640"/>
        <w:jc w:val="center"/>
        <w:rPr>
          <w:rFonts w:hint="eastAsia" w:ascii="宋体" w:hAnsi="宋体" w:eastAsia="宋体" w:cs="宋体"/>
          <w:b/>
          <w:color w:val="auto"/>
          <w:sz w:val="36"/>
          <w:szCs w:val="36"/>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br w:type="page"/>
      </w:r>
      <w:r>
        <w:rPr>
          <w:rFonts w:hint="eastAsia" w:ascii="宋体" w:hAnsi="宋体" w:eastAsia="宋体" w:cs="宋体"/>
          <w:color w:val="auto"/>
          <w:sz w:val="24"/>
          <w:highlight w:val="none"/>
        </w:rPr>
        <w:t>甲乙双方根据《中华人民共和国民法典》和有关法律法规，遵循平等、自愿、公平和诚实信用原则，同意按照下面的条款和条件订立本合同，共同信守。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b/>
          <w:color w:val="auto"/>
          <w:sz w:val="24"/>
          <w:highlight w:val="none"/>
        </w:rPr>
        <w:t>合同标的</w:t>
      </w:r>
    </w:p>
    <w:p>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color w:val="auto"/>
          <w:sz w:val="24"/>
          <w:highlight w:val="none"/>
        </w:rPr>
        <w:t>甲方委托乙方按照本合同约定，为甲方提供</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服务。</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二.合同金额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合同的总金额为人民币（大写）：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元，小写: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三.付款条件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分四次支付。第一次付款：工程形象进度到总体30%，支付至合同价款的30%；第二次付款：工程形象进度到总体50%，支付至合同价款的50%；第三次付款：工程形象进度到100%，支付至合同价款的75%；第四次付款：工程验收合格后。支付至合同价款的100%。四次付款均应提供有效发票。</w:t>
      </w:r>
    </w:p>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四.</w:t>
      </w:r>
      <w:r>
        <w:rPr>
          <w:rFonts w:hint="eastAsia" w:ascii="宋体" w:hAnsi="宋体" w:eastAsia="宋体" w:cs="宋体"/>
          <w:b/>
          <w:color w:val="auto"/>
          <w:sz w:val="24"/>
          <w:highlight w:val="none"/>
          <w:lang w:val="en-US" w:eastAsia="zh-CN"/>
        </w:rPr>
        <w:t>服务期限</w:t>
      </w: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服务期限：</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，共计</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日历天。</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五.双方权利和义务</w:t>
      </w:r>
    </w:p>
    <w:p>
      <w:pPr>
        <w:pStyle w:val="21"/>
        <w:shd w:val="clear" w:color="auto" w:fill="FFFFFF"/>
        <w:spacing w:before="0" w:beforeAutospacing="0" w:after="0" w:afterAutospacing="0" w:line="450" w:lineRule="atLeast"/>
        <w:ind w:right="300" w:firstLine="480" w:firstLineChars="2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(一)甲方的权利和义务</w:t>
      </w:r>
    </w:p>
    <w:p>
      <w:pPr>
        <w:pStyle w:val="21"/>
        <w:shd w:val="clear" w:color="auto" w:fill="FFFFFF"/>
        <w:spacing w:before="0" w:beforeAutospacing="0" w:after="0" w:afterAutospacing="0" w:line="450" w:lineRule="atLeast"/>
        <w:ind w:right="300" w:firstLine="480" w:firstLineChars="2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1.甲方有权向乙方询问工作进展情况及相关的内容，有权阐述对具体问题的</w:t>
      </w:r>
      <w:r>
        <w:rPr>
          <w:rFonts w:hint="eastAsia" w:ascii="宋体" w:hAnsi="宋体" w:eastAsia="宋体" w:cs="宋体"/>
          <w:color w:val="auto"/>
          <w:kern w:val="2"/>
          <w:szCs w:val="32"/>
          <w:highlight w:val="none"/>
        </w:rPr>
        <w:fldChar w:fldCharType="begin"/>
      </w:r>
      <w:r>
        <w:rPr>
          <w:rFonts w:hint="eastAsia" w:ascii="宋体" w:hAnsi="宋体" w:eastAsia="宋体" w:cs="宋体"/>
          <w:color w:val="auto"/>
          <w:kern w:val="2"/>
          <w:szCs w:val="32"/>
          <w:highlight w:val="none"/>
        </w:rPr>
        <w:instrText xml:space="preserve">HYPERLINK "http://www.xuexila.com/fanwen/yijian/" \t "_blank"</w:instrText>
      </w:r>
      <w:r>
        <w:rPr>
          <w:rFonts w:hint="eastAsia" w:ascii="宋体" w:hAnsi="宋体" w:eastAsia="宋体" w:cs="宋体"/>
          <w:color w:val="auto"/>
          <w:kern w:val="2"/>
          <w:szCs w:val="32"/>
          <w:highlight w:val="none"/>
        </w:rPr>
        <w:fldChar w:fldCharType="separate"/>
      </w:r>
      <w:r>
        <w:rPr>
          <w:rFonts w:hint="eastAsia" w:ascii="宋体" w:hAnsi="宋体" w:eastAsia="宋体" w:cs="宋体"/>
          <w:color w:val="auto"/>
          <w:kern w:val="2"/>
          <w:szCs w:val="32"/>
          <w:highlight w:val="none"/>
        </w:rPr>
        <w:t>意见</w:t>
      </w:r>
      <w:r>
        <w:rPr>
          <w:rFonts w:hint="eastAsia" w:ascii="宋体" w:hAnsi="宋体" w:eastAsia="宋体" w:cs="宋体"/>
          <w:color w:val="auto"/>
          <w:kern w:val="2"/>
          <w:szCs w:val="32"/>
          <w:highlight w:val="none"/>
        </w:rPr>
        <w:fldChar w:fldCharType="end"/>
      </w:r>
      <w:r>
        <w:rPr>
          <w:rFonts w:hint="eastAsia" w:ascii="宋体" w:hAnsi="宋体" w:eastAsia="宋体" w:cs="宋体"/>
          <w:color w:val="auto"/>
          <w:kern w:val="2"/>
          <w:szCs w:val="32"/>
          <w:highlight w:val="none"/>
        </w:rPr>
        <w:t>和建议。</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2.若乙方专业人员不按服务合同履行其职责，有权要求更换乙方专业人员，直至终止合同。</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3.配合乙方工作，向乙方提供相关资料，并保证所提供资料真实、准确、完整、有效。</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4.甲方应配合乙方现场访谈、勘察等事宜，并提供相关工作便利。</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5.甲方应承担保密义务，未经乙方许可，甲方不得向第三方提供(包括但不限于披露、转载等)乙方提交给甲方的任何材料、文件、和乙方网站所提供的资料，及其上述材料、文件、资料所包含的任何信息。</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6.依据本合同规定，向乙方支付服务费用 。</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(二)乙方的权利和义务</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1.根据甲方服务需要，乙方有权了解相关情况。</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2.乙方在提供服务过程中有权要求甲方提供所需的资料。</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3.乙方在提供服务过程中有到现场访谈、勘察的权利。</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4.乙方在提供服务过程中有权对第三人提出的与本服务相关的问题进行核对和查问。</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5.乙方在我国现行法律、政策允许的范围内，遵循诚实、勤勉、尽职的原则，按合同约定为甲方提供服务。</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6.服务形式根据甲方需要而定，乙方可以为甲方提供书面的服务方案、建议、报告、信息服务等，也可以为甲方提供现场服务等形式的服务。</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7.乙方应承担保密义务，未经甲方许可，乙方不得向第三方提供(披露)甲方提交乙方使用的、乙方通过其他渠道无法获得且尚未进入公共信息领域的材料与文件。</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8.依据本合同约定，向甲方收取服务费用。</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 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如果乙方未按照合同规定的要求提供服务或乙方在收到甲方对服务存在问题的通知后10日内或在乙方在签署整改意见书后10日内，没有整改或整改仍不符合甲方要求，甲方有权向乙方发出违约通知书，乙方应按照甲方选择的下列一种或多种方式承担赔偿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1.在服务期限内因乙方管理或其它自身问题造成的服务期限内影响甲方正常工作，乙方承担由此给甲方造成的一切损失。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2.在甲方规定的服务期限内，按照合同约定的范围、内容、要求，乙方应承担由此发生的一切费用和风险。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3.根据甲方所遭受的损失，经双方商定降低标的的价格或赔偿甲方所遭受的损失。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4.因乙方原因不能提供约定服务的，甲方有权要求乙方在一定期限内解决，逾期未解决的且严重违约的，甲方有权提前解除合同。造成甲方经济损失的，乙方应给予经济赔偿。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5.乙方在服务期限内，由于管理、人为等因素造成的损失，经甲方认定后对乙方追究其责任，造成经济损失的，乙方应承担全部由此发生的一切费用及后果。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6.甲方有权部分或全部解除合同并要求乙方赔偿由此造成的损失。此时甲方可采取必要的补救措施，相关费用由乙方承担。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如果乙方在收到甲方的违约通知书后10日内未作答复也没有按照甲方选择的方式承担违约责任，则甲方有权从尚未支付的合同价款中扣回索赔金额。如果这些金额不足以补偿，甲方有权向乙方提出不足部分的赔偿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（三）服务延误的违约责任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未按合同规定的服务期限向甲方提供服务时，则每逾期一日，乙方应按逾期交付标的价款总值的2%计算，向甲方支付逾期提供服务的违约金，但不超过合同总金额的10%。乙方支付逾期提供服务的违约金并不免除乙方违约的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2.如乙方在合同规定的服务期限后10天内仍未能提供服务，则视为乙方不能提供服务，甲方有权解除合同，乙方除退还已收取的服务费用，还应向甲方偿付全部服务款10%的违约金。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（四）以上各项交付的违约金并不影响违约方履行合同的其他义务。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（五）因本合同产生的争议，双方应协商解决，如协商不成，应提交甲方所在地有管辖权的人民法院诉讼解决。</w:t>
      </w:r>
    </w:p>
    <w:p>
      <w:pPr>
        <w:widowControl/>
        <w:shd w:val="clear" w:color="auto" w:fill="FFFFFF"/>
        <w:tabs>
          <w:tab w:val="left" w:pos="420"/>
        </w:tabs>
        <w:spacing w:line="360" w:lineRule="auto"/>
        <w:ind w:firstLine="482" w:firstLineChars="200"/>
        <w:jc w:val="left"/>
        <w:outlineLvl w:val="0"/>
        <w:rPr>
          <w:rFonts w:hint="eastAsia" w:ascii="宋体" w:hAnsi="宋体" w:eastAsia="宋体" w:cs="宋体"/>
          <w:b/>
          <w:color w:val="auto"/>
          <w:sz w:val="24"/>
          <w:highlight w:val="none"/>
        </w:rPr>
      </w:pPr>
      <w:bookmarkStart w:id="55" w:name="_Toc10926"/>
      <w:bookmarkStart w:id="56" w:name="_Toc6970"/>
      <w:bookmarkStart w:id="57" w:name="_Toc31673"/>
      <w:bookmarkStart w:id="58" w:name="_Toc2434"/>
      <w:bookmarkStart w:id="59" w:name="_Toc26018"/>
      <w:bookmarkStart w:id="60" w:name="_Toc11512"/>
      <w:bookmarkStart w:id="61" w:name="_Toc29707"/>
      <w:r>
        <w:rPr>
          <w:rFonts w:hint="eastAsia" w:ascii="宋体" w:hAnsi="宋体" w:eastAsia="宋体" w:cs="宋体"/>
          <w:b/>
          <w:color w:val="auto"/>
          <w:sz w:val="24"/>
          <w:highlight w:val="none"/>
        </w:rPr>
        <w:t>七、合同生效</w:t>
      </w:r>
      <w:bookmarkEnd w:id="55"/>
      <w:bookmarkEnd w:id="56"/>
      <w:bookmarkEnd w:id="57"/>
      <w:bookmarkEnd w:id="58"/>
      <w:bookmarkEnd w:id="59"/>
      <w:bookmarkEnd w:id="60"/>
      <w:bookmarkEnd w:id="61"/>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本合同经双方法人代表或授权代表签字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盖章后生效。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本合同一式四份，甲乙双方各</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份。</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甲方（公章）:                           乙方(公章):</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法定代表人(签字)：                      法定代表人(签字)：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                       委托代理人(签字):</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                              联系电话：</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                     开户行：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账号：</w:t>
      </w:r>
    </w:p>
    <w:p>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日期：   年  月  日</w:t>
      </w:r>
    </w:p>
    <w:p>
      <w:pPr>
        <w:pStyle w:val="3"/>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right="-1233" w:rightChars="-587"/>
        <w:rPr>
          <w:rFonts w:hint="eastAsia" w:ascii="宋体" w:hAnsi="宋体" w:eastAsia="宋体" w:cs="宋体"/>
          <w:color w:val="auto"/>
          <w:sz w:val="20"/>
          <w:highlight w:val="none"/>
        </w:rPr>
        <w:sectPr>
          <w:headerReference r:id="rId10" w:type="first"/>
          <w:headerReference r:id="rId9" w:type="default"/>
          <w:footerReference r:id="rId11" w:type="default"/>
          <w:pgSz w:w="11906" w:h="16838"/>
          <w:pgMar w:top="1134" w:right="1091" w:bottom="1134" w:left="1418" w:header="454" w:footer="454" w:gutter="0"/>
          <w:cols w:space="720" w:num="1"/>
          <w:titlePg/>
          <w:docGrid w:linePitch="312" w:charSpace="0"/>
        </w:sectPr>
      </w:pPr>
      <w:r>
        <w:rPr>
          <w:rFonts w:hint="eastAsia" w:ascii="宋体" w:hAnsi="宋体" w:eastAsia="宋体" w:cs="宋体"/>
          <w:color w:val="auto"/>
          <w:highlight w:val="none"/>
        </w:rPr>
        <w:br w:type="page"/>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ab/>
      </w:r>
      <w:bookmarkStart w:id="62" w:name="_Toc1908"/>
      <w:bookmarkStart w:id="63" w:name="_Toc350515653"/>
      <w:r>
        <w:rPr>
          <w:rFonts w:hint="eastAsia" w:ascii="宋体" w:hAnsi="宋体" w:eastAsia="宋体" w:cs="宋体"/>
          <w:color w:val="auto"/>
          <w:w w:val="90"/>
          <w:highlight w:val="none"/>
        </w:rPr>
        <w:t xml:space="preserve"> </w:t>
      </w:r>
      <w:bookmarkEnd w:id="62"/>
      <w:bookmarkEnd w:id="63"/>
      <w:bookmarkStart w:id="64" w:name="_Toc17075"/>
      <w:r>
        <w:rPr>
          <w:rFonts w:hint="eastAsia" w:ascii="宋体" w:hAnsi="宋体" w:eastAsia="宋体" w:cs="宋体"/>
          <w:color w:val="auto"/>
          <w:w w:val="90"/>
          <w:highlight w:val="none"/>
          <w:lang w:val="en-US" w:eastAsia="zh-CN"/>
        </w:rPr>
        <w:t>项目情况及服务需求</w:t>
      </w:r>
      <w:bookmarkEnd w:id="64"/>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b/>
          <w:color w:val="auto"/>
          <w:kern w:val="0"/>
          <w:highlight w:val="none"/>
        </w:rPr>
        <w:br w:type="page"/>
      </w:r>
      <w:r>
        <w:rPr>
          <w:rFonts w:hint="eastAsia" w:ascii="宋体" w:hAnsi="宋体" w:eastAsia="宋体" w:cs="宋体"/>
          <w:color w:val="auto"/>
          <w:kern w:val="2"/>
          <w:sz w:val="32"/>
          <w:szCs w:val="32"/>
          <w:highlight w:val="none"/>
          <w:lang w:val="en-US" w:eastAsia="zh-CN" w:bidi="ar-SA"/>
        </w:rPr>
        <w:t>辽宁省营口市海洋生态保护修复工程</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项目基本情况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项目名称：辽宁省营口市海洋生态保护修复工程项目</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建设单位：营口市自然资源局</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建设地点：辽宁省营口市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范围：北起大辽河口湿地，南至熊岳河口。围绕“一带、一滩、一湾”总体布局，拟开展大辽河口滨海湿地带保护修复、团山国家级自然保护地生态修复、月亮湾综合治理，实施滨海湿地保护修复、生态护岸建设、沙滩侵蚀修复、水动力环境改善、浒苔防治等保护修复措施。</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内容：“一带”为大辽河口滨海湿地带保护修复，以大辽河口盐沼湿地为主要保护修复对象，开展盐沼保育修复、生态护岸建设、水动力条件改善等措施，保护候鸟迁飞生态廊道重要节点，构建基于自然解决方案（NbS）的海岸带防灾减灾能力，巩固提升盐沼生态系统碳汇功能；“一滩”为团山国家级海洋自然保护地修复，通过沙滩修复、沙生植被种植、生态缓冲带建设，修复保护地受侵蚀自然岸线，提升团山国家级自然保护地整体生态功能；“一湾”为月亮湾综合治理，通过实施浒苔防治、熊岳河河口水动力改善、熊岳河滨海湿地修复等措施恢复海湾生态健康和陆海生态廊道。</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default"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工程规模：本项目拟完成修复总面积 1630.34ha,整治修复岸线长度 2951.90m，其中修复砂质岸线 1287m、生态护岸 1664.90m；整治修复滨海湿地面积1555.22ha，其中保育和种植盐沼植被面积269.69ha、浒苔防治面积1006.83ha。</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招标范围：拟委托1家服务机构提供上述工程内容全过程工程造价咨询服务（包括但不限于工程量清单及招标控制价编制、竣工结算内部审核、决算编制、施工阶段全过程造价控制及根据招标人要求进行其他工作）。</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最高限价：</w:t>
      </w:r>
      <w:r>
        <w:rPr>
          <w:rFonts w:hint="eastAsia" w:ascii="宋体" w:hAnsi="宋体" w:cs="宋体"/>
          <w:color w:val="auto"/>
          <w:kern w:val="2"/>
          <w:sz w:val="32"/>
          <w:szCs w:val="32"/>
          <w:highlight w:val="none"/>
          <w:lang w:val="en-US" w:eastAsia="zh-CN" w:bidi="ar-SA"/>
        </w:rPr>
        <w:t>150</w:t>
      </w:r>
      <w:r>
        <w:rPr>
          <w:rFonts w:hint="eastAsia" w:ascii="宋体" w:hAnsi="宋体" w:eastAsia="宋体" w:cs="宋体"/>
          <w:color w:val="auto"/>
          <w:kern w:val="2"/>
          <w:sz w:val="32"/>
          <w:szCs w:val="32"/>
          <w:highlight w:val="none"/>
          <w:lang w:val="en-US" w:eastAsia="zh-CN" w:bidi="ar-SA"/>
        </w:rPr>
        <w:t>万元，高于此限价的投标无效。</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服务期限：</w:t>
      </w:r>
      <w:r>
        <w:rPr>
          <w:rFonts w:hint="eastAsia" w:ascii="宋体" w:hAnsi="宋体" w:cs="宋体"/>
          <w:color w:val="auto"/>
          <w:kern w:val="2"/>
          <w:sz w:val="32"/>
          <w:szCs w:val="32"/>
          <w:highlight w:val="none"/>
          <w:lang w:val="en-US" w:eastAsia="zh-CN" w:bidi="ar-SA"/>
        </w:rPr>
        <w:t>自合同签订之日起至2026年12月31日（具体时间以合同签订为准）</w:t>
      </w:r>
      <w:r>
        <w:rPr>
          <w:rFonts w:hint="eastAsia" w:ascii="宋体" w:hAnsi="宋体" w:eastAsia="宋体" w:cs="宋体"/>
          <w:color w:val="auto"/>
          <w:kern w:val="2"/>
          <w:sz w:val="32"/>
          <w:szCs w:val="32"/>
          <w:highlight w:val="none"/>
          <w:lang w:val="en-US" w:eastAsia="zh-CN" w:bidi="ar-SA"/>
        </w:rPr>
        <w:t>。</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质量要求：</w:t>
      </w:r>
      <w:r>
        <w:rPr>
          <w:rFonts w:hint="eastAsia" w:ascii="宋体" w:hAnsi="宋体" w:cs="宋体"/>
          <w:color w:val="auto"/>
          <w:kern w:val="2"/>
          <w:sz w:val="32"/>
          <w:szCs w:val="32"/>
          <w:highlight w:val="none"/>
          <w:lang w:val="en-US" w:eastAsia="zh-CN" w:bidi="ar-SA"/>
        </w:rPr>
        <w:t>合格</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付款方式：分四次支付。第一次付款：工程形象进度到总体30%，支付至合同价款的30%；第二次付款：工程形象进度到总体50%，支付至合同价款的50%；第三次付款：工程形象进度到100%，支付至合同价款的75%；第四次付款：工程验收合格后。支付至合同价款的100%。四次付款均应提供有效发票。</w:t>
      </w:r>
    </w:p>
    <w:p>
      <w:pPr>
        <w:pStyle w:val="31"/>
        <w:widowControl/>
        <w:spacing w:line="360" w:lineRule="auto"/>
        <w:ind w:firstLine="0" w:firstLineChars="0"/>
        <w:jc w:val="left"/>
        <w:rPr>
          <w:rFonts w:hint="eastAsia" w:ascii="宋体" w:hAnsi="宋体" w:eastAsia="宋体" w:cs="宋体"/>
          <w:color w:val="auto"/>
          <w:sz w:val="24"/>
          <w:szCs w:val="20"/>
          <w:highlight w:val="none"/>
        </w:rPr>
      </w:pPr>
    </w:p>
    <w:p>
      <w:pPr>
        <w:rPr>
          <w:rFonts w:hint="eastAsia" w:ascii="宋体" w:hAnsi="宋体" w:eastAsia="宋体" w:cs="宋体"/>
          <w:color w:val="auto"/>
          <w:w w:val="90"/>
          <w:highlight w:val="none"/>
        </w:rPr>
      </w:pPr>
      <w:r>
        <w:rPr>
          <w:rFonts w:hint="eastAsia" w:ascii="宋体" w:hAnsi="宋体" w:eastAsia="宋体" w:cs="宋体"/>
          <w:color w:val="auto"/>
          <w:w w:val="90"/>
          <w:highlight w:val="none"/>
        </w:rPr>
        <w:br w:type="page"/>
      </w: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65" w:name="_Toc344394210"/>
      <w:bookmarkStart w:id="66" w:name="_Toc28352"/>
      <w:bookmarkStart w:id="67" w:name="_Toc350515663"/>
      <w:bookmarkStart w:id="68" w:name="_Toc25650"/>
      <w:bookmarkStart w:id="69" w:name="_Toc343510609"/>
      <w:bookmarkStart w:id="70" w:name="_Toc349568733"/>
      <w:r>
        <w:rPr>
          <w:rFonts w:hint="eastAsia" w:ascii="宋体" w:hAnsi="宋体" w:eastAsia="宋体" w:cs="宋体"/>
          <w:color w:val="auto"/>
          <w:w w:val="90"/>
          <w:highlight w:val="none"/>
        </w:rPr>
        <w:t>附件（投标文件格式）</w:t>
      </w:r>
      <w:bookmarkEnd w:id="65"/>
      <w:bookmarkEnd w:id="66"/>
      <w:bookmarkEnd w:id="67"/>
      <w:bookmarkEnd w:id="68"/>
      <w:bookmarkEnd w:id="69"/>
      <w:bookmarkEnd w:id="70"/>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p>
    <w:p>
      <w:pPr>
        <w:spacing w:line="360" w:lineRule="auto"/>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0"/>
          <w:szCs w:val="30"/>
          <w:highlight w:val="none"/>
        </w:rPr>
        <w:t>封面格式：</w:t>
      </w:r>
    </w:p>
    <w:p>
      <w:pPr>
        <w:tabs>
          <w:tab w:val="left" w:pos="720"/>
          <w:tab w:val="left" w:pos="8295"/>
        </w:tabs>
        <w:spacing w:before="240" w:line="360" w:lineRule="auto"/>
        <w:jc w:val="center"/>
        <w:rPr>
          <w:rFonts w:hint="eastAsia" w:ascii="宋体" w:hAnsi="宋体" w:eastAsia="宋体" w:cs="宋体"/>
          <w:b/>
          <w:color w:val="auto"/>
          <w:kern w:val="0"/>
          <w:sz w:val="84"/>
          <w:szCs w:val="84"/>
          <w:highlight w:val="none"/>
        </w:rPr>
      </w:pPr>
    </w:p>
    <w:p>
      <w:pPr>
        <w:tabs>
          <w:tab w:val="left" w:pos="720"/>
          <w:tab w:val="left" w:pos="8295"/>
        </w:tabs>
        <w:spacing w:before="240"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p>
    <w:p>
      <w:pPr>
        <w:spacing w:before="100" w:beforeAutospacing="1" w:after="100" w:afterAutospacing="1" w:line="360" w:lineRule="auto"/>
        <w:jc w:val="center"/>
        <w:rPr>
          <w:rFonts w:hint="eastAsia" w:ascii="宋体" w:hAnsi="宋体" w:eastAsia="宋体" w:cs="宋体"/>
          <w:b/>
          <w:bCs/>
          <w:color w:val="auto"/>
          <w:sz w:val="32"/>
          <w:szCs w:val="32"/>
          <w:highlight w:val="none"/>
        </w:rPr>
      </w:pPr>
    </w:p>
    <w:p>
      <w:pPr>
        <w:spacing w:line="360" w:lineRule="auto"/>
        <w:ind w:firstLine="1108" w:firstLineChars="345"/>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w:t>
      </w:r>
    </w:p>
    <w:p>
      <w:pPr>
        <w:spacing w:line="360" w:lineRule="auto"/>
        <w:ind w:firstLine="1108" w:firstLineChars="345"/>
        <w:rPr>
          <w:rFonts w:hint="eastAsia" w:ascii="宋体" w:hAnsi="宋体" w:eastAsia="宋体" w:cs="宋体"/>
          <w:b/>
          <w:bCs/>
          <w:color w:val="auto"/>
          <w:sz w:val="32"/>
          <w:szCs w:val="32"/>
          <w:highlight w:val="none"/>
        </w:rPr>
      </w:pPr>
    </w:p>
    <w:p>
      <w:pPr>
        <w:spacing w:line="360" w:lineRule="auto"/>
        <w:ind w:firstLine="1108" w:firstLineChars="34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项目名称：</w:t>
      </w:r>
    </w:p>
    <w:p>
      <w:pPr>
        <w:spacing w:line="360" w:lineRule="auto"/>
        <w:ind w:firstLine="1108" w:firstLineChars="345"/>
        <w:rPr>
          <w:rFonts w:hint="eastAsia" w:ascii="宋体" w:hAnsi="宋体" w:eastAsia="宋体" w:cs="宋体"/>
          <w:b/>
          <w:color w:val="auto"/>
          <w:kern w:val="0"/>
          <w:sz w:val="32"/>
          <w:szCs w:val="32"/>
          <w:highlight w:val="none"/>
        </w:rPr>
      </w:pPr>
    </w:p>
    <w:p>
      <w:pPr>
        <w:spacing w:line="360" w:lineRule="auto"/>
        <w:ind w:firstLine="1108" w:firstLineChars="345"/>
        <w:rPr>
          <w:rFonts w:hint="eastAsia" w:ascii="宋体" w:hAnsi="宋体" w:eastAsia="宋体" w:cs="宋体"/>
          <w:b/>
          <w:color w:val="auto"/>
          <w:kern w:val="0"/>
          <w:sz w:val="32"/>
          <w:szCs w:val="32"/>
          <w:highlight w:val="none"/>
        </w:rPr>
      </w:pP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投标人名称：</w:t>
      </w:r>
      <w:r>
        <w:rPr>
          <w:rFonts w:hint="eastAsia" w:ascii="宋体" w:hAnsi="宋体" w:eastAsia="宋体" w:cs="宋体"/>
          <w:b/>
          <w:color w:val="auto"/>
          <w:kern w:val="0"/>
          <w:sz w:val="32"/>
          <w:szCs w:val="32"/>
          <w:highlight w:val="none"/>
          <w:u w:val="single"/>
        </w:rPr>
        <w:t xml:space="preserve">                             （盖公章） </w:t>
      </w: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法定代表人或负责人或授权委托人：</w:t>
      </w:r>
      <w:r>
        <w:rPr>
          <w:rFonts w:hint="eastAsia" w:ascii="宋体" w:hAnsi="宋体" w:eastAsia="宋体" w:cs="宋体"/>
          <w:b/>
          <w:color w:val="auto"/>
          <w:kern w:val="0"/>
          <w:sz w:val="32"/>
          <w:szCs w:val="32"/>
          <w:highlight w:val="none"/>
          <w:u w:val="single"/>
        </w:rPr>
        <w:t xml:space="preserve">           （签字或盖章） </w:t>
      </w:r>
    </w:p>
    <w:p>
      <w:pPr>
        <w:spacing w:line="360" w:lineRule="auto"/>
        <w:ind w:firstLine="141" w:firstLineChars="44"/>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公司地址：</w:t>
      </w:r>
      <w:r>
        <w:rPr>
          <w:rFonts w:hint="eastAsia" w:ascii="宋体" w:hAnsi="宋体" w:eastAsia="宋体" w:cs="宋体"/>
          <w:b/>
          <w:color w:val="auto"/>
          <w:kern w:val="0"/>
          <w:sz w:val="32"/>
          <w:szCs w:val="32"/>
          <w:highlight w:val="none"/>
          <w:u w:val="single"/>
        </w:rPr>
        <w:t xml:space="preserve">                                        </w:t>
      </w: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日      期：</w:t>
      </w:r>
      <w:r>
        <w:rPr>
          <w:rFonts w:hint="eastAsia" w:ascii="宋体" w:hAnsi="宋体" w:eastAsia="宋体" w:cs="宋体"/>
          <w:b/>
          <w:color w:val="auto"/>
          <w:kern w:val="0"/>
          <w:sz w:val="32"/>
          <w:szCs w:val="32"/>
          <w:highlight w:val="none"/>
          <w:u w:val="single"/>
        </w:rPr>
        <w:t xml:space="preserve">                                      </w:t>
      </w:r>
    </w:p>
    <w:p>
      <w:pPr>
        <w:spacing w:line="360" w:lineRule="auto"/>
        <w:rPr>
          <w:rFonts w:hint="eastAsia" w:ascii="宋体" w:hAnsi="宋体" w:eastAsia="宋体" w:cs="宋体"/>
          <w:b/>
          <w:color w:val="auto"/>
          <w:spacing w:val="60"/>
          <w:sz w:val="24"/>
          <w:szCs w:val="24"/>
          <w:highlight w:val="none"/>
          <w:u w:val="single"/>
        </w:rPr>
      </w:pPr>
    </w:p>
    <w:p>
      <w:pPr>
        <w:pStyle w:val="4"/>
        <w:spacing w:line="360" w:lineRule="auto"/>
        <w:jc w:val="center"/>
        <w:rPr>
          <w:rFonts w:hint="eastAsia" w:ascii="宋体" w:hAnsi="宋体" w:eastAsia="宋体" w:cs="宋体"/>
          <w:color w:val="auto"/>
          <w:sz w:val="28"/>
          <w:szCs w:val="28"/>
          <w:highlight w:val="none"/>
        </w:rPr>
      </w:pPr>
      <w:bookmarkStart w:id="71" w:name="_Toc47262062"/>
      <w:bookmarkStart w:id="72" w:name="_Toc47261683"/>
      <w:bookmarkStart w:id="73" w:name="_Toc48995844"/>
      <w:bookmarkStart w:id="74" w:name="_Toc49019229"/>
      <w:bookmarkStart w:id="75" w:name="_Toc47418931"/>
      <w:bookmarkStart w:id="76" w:name="_Toc47418724"/>
      <w:bookmarkStart w:id="77" w:name="_Toc198021513"/>
      <w:bookmarkStart w:id="78" w:name="_Toc48791228"/>
      <w:bookmarkStart w:id="79" w:name="_Toc47261878"/>
      <w:bookmarkStart w:id="80" w:name="_Toc47418248"/>
      <w:r>
        <w:rPr>
          <w:rFonts w:hint="eastAsia" w:ascii="宋体" w:hAnsi="宋体" w:eastAsia="宋体" w:cs="宋体"/>
          <w:color w:val="auto"/>
          <w:sz w:val="28"/>
          <w:szCs w:val="28"/>
          <w:highlight w:val="none"/>
        </w:rPr>
        <w:br w:type="page"/>
      </w:r>
      <w:bookmarkStart w:id="81" w:name="_Toc24222"/>
      <w:bookmarkStart w:id="82" w:name="_Toc344394211"/>
      <w:bookmarkStart w:id="83" w:name="_Toc350515664"/>
      <w:bookmarkStart w:id="84" w:name="_Toc349914539"/>
      <w:bookmarkStart w:id="85" w:name="_Toc349568734"/>
      <w:bookmarkStart w:id="86" w:name="_Toc369353506"/>
      <w:bookmarkStart w:id="87" w:name="_Toc330342807"/>
      <w:bookmarkStart w:id="88" w:name="_Toc350516678"/>
      <w:bookmarkStart w:id="89" w:name="_Toc8520"/>
      <w:bookmarkStart w:id="90" w:name="_Toc16092"/>
      <w:bookmarkStart w:id="91" w:name="_Toc344397377"/>
      <w:bookmarkStart w:id="92" w:name="_Toc343510610"/>
      <w:bookmarkStart w:id="93" w:name="_Toc6784"/>
      <w:r>
        <w:rPr>
          <w:rFonts w:hint="eastAsia" w:ascii="宋体" w:hAnsi="宋体" w:eastAsia="宋体" w:cs="宋体"/>
          <w:color w:val="auto"/>
          <w:highlight w:val="none"/>
        </w:rPr>
        <w:t>第一部分 投标函部分</w:t>
      </w:r>
      <w:bookmarkEnd w:id="81"/>
      <w:bookmarkEnd w:id="82"/>
      <w:bookmarkEnd w:id="83"/>
      <w:bookmarkEnd w:id="84"/>
      <w:bookmarkEnd w:id="85"/>
      <w:bookmarkEnd w:id="86"/>
      <w:bookmarkEnd w:id="87"/>
      <w:bookmarkEnd w:id="88"/>
      <w:bookmarkEnd w:id="89"/>
      <w:bookmarkEnd w:id="90"/>
      <w:bookmarkEnd w:id="91"/>
      <w:bookmarkEnd w:id="92"/>
      <w:bookmarkEnd w:id="93"/>
    </w:p>
    <w:p>
      <w:pPr>
        <w:pStyle w:val="4"/>
        <w:spacing w:line="360" w:lineRule="auto"/>
        <w:rPr>
          <w:rFonts w:hint="eastAsia" w:ascii="宋体" w:hAnsi="宋体" w:eastAsia="宋体" w:cs="宋体"/>
          <w:color w:val="auto"/>
          <w:sz w:val="28"/>
          <w:szCs w:val="28"/>
          <w:highlight w:val="none"/>
        </w:rPr>
      </w:pPr>
      <w:bookmarkStart w:id="94" w:name="_Toc343510611"/>
      <w:bookmarkStart w:id="95" w:name="_Toc10045"/>
      <w:bookmarkStart w:id="96" w:name="_Toc344394212"/>
      <w:bookmarkStart w:id="97" w:name="_Toc330342808"/>
      <w:bookmarkStart w:id="98" w:name="_Toc330342557"/>
      <w:bookmarkStart w:id="99" w:name="_Toc344397378"/>
      <w:bookmarkStart w:id="100" w:name="_Toc25016"/>
      <w:bookmarkStart w:id="101" w:name="_Toc349568735"/>
      <w:bookmarkStart w:id="102" w:name="_Toc32757"/>
      <w:bookmarkStart w:id="103" w:name="_Toc350515665"/>
      <w:bookmarkStart w:id="104" w:name="_Toc7590"/>
      <w:bookmarkStart w:id="105" w:name="_Toc349914540"/>
      <w:bookmarkStart w:id="106" w:name="_Toc369353507"/>
      <w:bookmarkStart w:id="107" w:name="_Toc350516679"/>
      <w:r>
        <w:rPr>
          <w:rFonts w:hint="eastAsia" w:ascii="宋体" w:hAnsi="宋体" w:eastAsia="宋体" w:cs="宋体"/>
          <w:color w:val="auto"/>
          <w:sz w:val="28"/>
          <w:szCs w:val="28"/>
          <w:highlight w:val="none"/>
        </w:rPr>
        <w:t>1、投标函(格式</w:t>
      </w:r>
      <w:bookmarkEnd w:id="71"/>
      <w:bookmarkEnd w:id="72"/>
      <w:bookmarkEnd w:id="73"/>
      <w:bookmarkEnd w:id="74"/>
      <w:bookmarkEnd w:id="75"/>
      <w:bookmarkEnd w:id="76"/>
      <w:bookmarkEnd w:id="77"/>
      <w:bookmarkEnd w:id="78"/>
      <w:bookmarkEnd w:id="79"/>
      <w:bookmarkEnd w:id="80"/>
      <w:bookmarkEnd w:id="94"/>
      <w:bookmarkEnd w:id="95"/>
      <w:bookmarkEnd w:id="96"/>
      <w:bookmarkEnd w:id="97"/>
      <w:bookmarkEnd w:id="98"/>
      <w:bookmarkEnd w:id="99"/>
      <w:bookmarkEnd w:id="100"/>
      <w:bookmarkEnd w:id="101"/>
      <w:r>
        <w:rPr>
          <w:rFonts w:hint="eastAsia" w:ascii="宋体" w:hAnsi="宋体" w:eastAsia="宋体" w:cs="宋体"/>
          <w:color w:val="auto"/>
          <w:sz w:val="28"/>
          <w:szCs w:val="28"/>
          <w:highlight w:val="none"/>
        </w:rPr>
        <w:t>)</w:t>
      </w:r>
      <w:bookmarkEnd w:id="102"/>
      <w:bookmarkEnd w:id="103"/>
      <w:bookmarkEnd w:id="104"/>
      <w:bookmarkEnd w:id="105"/>
      <w:bookmarkEnd w:id="106"/>
      <w:bookmarkEnd w:id="107"/>
    </w:p>
    <w:p>
      <w:pPr>
        <w:spacing w:line="360" w:lineRule="auto"/>
        <w:jc w:val="center"/>
        <w:rPr>
          <w:rFonts w:hint="eastAsia" w:ascii="宋体" w:hAnsi="宋体" w:eastAsia="宋体" w:cs="宋体"/>
          <w:b/>
          <w:color w:val="auto"/>
          <w:sz w:val="32"/>
          <w:highlight w:val="none"/>
        </w:rPr>
      </w:pPr>
      <w:bookmarkStart w:id="108" w:name="_Toc48995846"/>
      <w:bookmarkStart w:id="109" w:name="_Toc47418250"/>
      <w:bookmarkStart w:id="110" w:name="_Toc198021515"/>
      <w:bookmarkStart w:id="111" w:name="_Toc47262064"/>
      <w:bookmarkStart w:id="112" w:name="_Toc47261685"/>
      <w:bookmarkStart w:id="113" w:name="_Toc48791230"/>
      <w:bookmarkStart w:id="114" w:name="_Toc49019231"/>
      <w:bookmarkStart w:id="115" w:name="_Toc47418726"/>
      <w:bookmarkStart w:id="116" w:name="_Toc47418933"/>
      <w:bookmarkStart w:id="117" w:name="_Toc47261880"/>
      <w:r>
        <w:rPr>
          <w:rFonts w:hint="eastAsia" w:ascii="宋体" w:hAnsi="宋体" w:eastAsia="宋体" w:cs="宋体"/>
          <w:b/>
          <w:color w:val="auto"/>
          <w:sz w:val="42"/>
          <w:highlight w:val="none"/>
        </w:rPr>
        <w:t>投  标  函</w:t>
      </w:r>
      <w:r>
        <w:rPr>
          <w:rFonts w:hint="eastAsia" w:ascii="宋体" w:hAnsi="宋体" w:eastAsia="宋体" w:cs="宋体"/>
          <w:b/>
          <w:color w:val="auto"/>
          <w:sz w:val="32"/>
          <w:highlight w:val="none"/>
        </w:rPr>
        <w:t xml:space="preserve"> </w:t>
      </w:r>
    </w:p>
    <w:p>
      <w:pPr>
        <w:spacing w:after="120" w:line="360" w:lineRule="auto"/>
        <w:rPr>
          <w:rFonts w:hint="eastAsia" w:ascii="宋体" w:hAnsi="宋体" w:eastAsia="宋体" w:cs="宋体"/>
          <w:color w:val="auto"/>
          <w:sz w:val="24"/>
          <w:highlight w:val="none"/>
        </w:rPr>
      </w:pPr>
      <w:r>
        <w:rPr>
          <w:rFonts w:hint="eastAsia" w:ascii="宋体" w:hAnsi="宋体" w:eastAsia="宋体" w:cs="宋体"/>
          <w:b/>
          <w:color w:val="auto"/>
          <w:spacing w:val="10"/>
          <w:sz w:val="24"/>
          <w:highlight w:val="none"/>
        </w:rPr>
        <w:t xml:space="preserve">致 </w:t>
      </w:r>
      <w:r>
        <w:rPr>
          <w:rFonts w:hint="eastAsia" w:ascii="宋体" w:hAnsi="宋体" w:eastAsia="宋体" w:cs="宋体"/>
          <w:b/>
          <w:color w:val="auto"/>
          <w:spacing w:val="10"/>
          <w:sz w:val="24"/>
          <w:highlight w:val="none"/>
          <w:lang w:eastAsia="zh-CN"/>
        </w:rPr>
        <w:t>营口市自然资源局</w:t>
      </w:r>
      <w:r>
        <w:rPr>
          <w:rFonts w:hint="eastAsia" w:ascii="宋体" w:hAnsi="宋体" w:eastAsia="宋体" w:cs="宋体"/>
          <w:b/>
          <w:color w:val="auto"/>
          <w:spacing w:val="10"/>
          <w:sz w:val="24"/>
          <w:highlight w:val="none"/>
        </w:rPr>
        <w:t>:</w:t>
      </w:r>
    </w:p>
    <w:p>
      <w:pPr>
        <w:spacing w:after="120" w:line="360" w:lineRule="auto"/>
        <w:ind w:firstLine="391" w:firstLineChars="150"/>
        <w:rPr>
          <w:rFonts w:hint="eastAsia" w:ascii="宋体" w:hAnsi="宋体" w:eastAsia="宋体" w:cs="宋体"/>
          <w:b/>
          <w:color w:val="auto"/>
          <w:spacing w:val="10"/>
          <w:sz w:val="24"/>
          <w:highlight w:val="none"/>
        </w:rPr>
      </w:pPr>
      <w:r>
        <w:rPr>
          <w:rFonts w:hint="eastAsia" w:ascii="宋体" w:hAnsi="宋体" w:eastAsia="宋体" w:cs="宋体"/>
          <w:b/>
          <w:color w:val="auto"/>
          <w:spacing w:val="10"/>
          <w:sz w:val="24"/>
          <w:highlight w:val="none"/>
        </w:rPr>
        <w:t>辽宁国信建设工程管理有限公司：</w:t>
      </w:r>
    </w:p>
    <w:p>
      <w:pPr>
        <w:tabs>
          <w:tab w:val="left" w:pos="0"/>
          <w:tab w:val="left" w:pos="1155"/>
        </w:tabs>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根据贵公司“</w:t>
      </w:r>
      <w:r>
        <w:rPr>
          <w:rFonts w:hint="eastAsia" w:ascii="宋体" w:hAnsi="宋体" w:cs="宋体"/>
          <w:color w:val="auto"/>
          <w:sz w:val="24"/>
          <w:highlight w:val="none"/>
          <w:lang w:eastAsia="zh-CN"/>
        </w:rPr>
        <w:t>辽宁省营口市海洋生态保护修复工程项目全过程工程造价咨询服务</w:t>
      </w:r>
      <w:r>
        <w:rPr>
          <w:rFonts w:hint="eastAsia" w:ascii="宋体" w:hAnsi="宋体" w:eastAsia="宋体" w:cs="宋体"/>
          <w:color w:val="auto"/>
          <w:sz w:val="24"/>
          <w:highlight w:val="none"/>
        </w:rPr>
        <w:t>”的招标文件，我单位（公司）决定参加本项目的投标，我单位（或公司）同意以下事项：</w:t>
      </w:r>
    </w:p>
    <w:p>
      <w:pPr>
        <w:snapToGrid w:val="0"/>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1.我方愿以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元</w:t>
      </w:r>
      <w:r>
        <w:rPr>
          <w:rFonts w:hint="eastAsia" w:ascii="宋体" w:hAnsi="宋体" w:eastAsia="宋体" w:cs="宋体"/>
          <w:color w:val="auto"/>
          <w:sz w:val="24"/>
          <w:highlight w:val="none"/>
        </w:rPr>
        <w:t>承包上述项目的</w:t>
      </w:r>
      <w:r>
        <w:rPr>
          <w:rFonts w:hint="eastAsia" w:ascii="宋体" w:hAnsi="宋体" w:eastAsia="宋体" w:cs="宋体"/>
          <w:color w:val="auto"/>
          <w:sz w:val="24"/>
          <w:highlight w:val="none"/>
          <w:lang w:val="en-US" w:eastAsia="zh-CN"/>
        </w:rPr>
        <w:t>服务工作</w:t>
      </w:r>
      <w:r>
        <w:rPr>
          <w:rFonts w:hint="eastAsia" w:ascii="宋体" w:hAnsi="宋体" w:eastAsia="宋体" w:cs="宋体"/>
          <w:color w:val="auto"/>
          <w:sz w:val="24"/>
          <w:highlight w:val="none"/>
        </w:rPr>
        <w:t>，并承担任何质量缺陷保障责任：</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w:t>
      </w:r>
      <w:r>
        <w:rPr>
          <w:rFonts w:hint="eastAsia" w:ascii="宋体" w:hAnsi="宋体" w:eastAsia="宋体" w:cs="宋体"/>
          <w:color w:val="auto"/>
          <w:sz w:val="24"/>
          <w:highlight w:val="none"/>
        </w:rPr>
        <w:t>遵守招标文件的各项条款及一切有关规定，同时</w:t>
      </w:r>
      <w:r>
        <w:rPr>
          <w:rFonts w:hint="eastAsia" w:ascii="宋体" w:hAnsi="宋体" w:eastAsia="宋体" w:cs="宋体"/>
          <w:color w:val="auto"/>
          <w:sz w:val="24"/>
          <w:szCs w:val="24"/>
          <w:highlight w:val="none"/>
        </w:rPr>
        <w:t>将按招标文件的规定履行合同责任和义务。</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服务地点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质量要求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6.向贵方提供所有与投标项有关的真实有效的数据、情况和技术资料。</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7.投标人已详细审查全部招标文件。我们完全理解并同意放弃对这方面有不明及误解的权力。</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8.本投标文件自贵方收到之日生效，有效期至开标后90个日历天，在此期间本投标文件之规定对我方具有约束力。</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9.如果我方投标被接受，则至合同履行完成和质量保证期满为止，本投标文件保持有效。</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电  话：</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传  真：</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法定代表人或负责人或授权委托代理人（签字或盖章）：</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bookmarkStart w:id="118" w:name="_Toc349568736"/>
      <w:bookmarkStart w:id="119" w:name="_Toc344397379"/>
      <w:bookmarkStart w:id="120" w:name="_Toc330342558"/>
      <w:bookmarkStart w:id="121" w:name="_Toc343510612"/>
      <w:bookmarkStart w:id="122" w:name="_Toc19626"/>
      <w:bookmarkStart w:id="123" w:name="_Toc344394213"/>
      <w:bookmarkStart w:id="124" w:name="_Toc21492"/>
      <w:bookmarkStart w:id="125" w:name="_Toc330342809"/>
    </w:p>
    <w:bookmarkEnd w:id="118"/>
    <w:bookmarkEnd w:id="119"/>
    <w:bookmarkEnd w:id="120"/>
    <w:bookmarkEnd w:id="121"/>
    <w:bookmarkEnd w:id="122"/>
    <w:bookmarkEnd w:id="123"/>
    <w:bookmarkEnd w:id="124"/>
    <w:bookmarkEnd w:id="125"/>
    <w:p>
      <w:pPr>
        <w:rPr>
          <w:rFonts w:hint="eastAsia" w:ascii="宋体" w:hAnsi="宋体" w:eastAsia="宋体" w:cs="宋体"/>
          <w:color w:val="auto"/>
          <w:sz w:val="28"/>
          <w:szCs w:val="28"/>
          <w:highlight w:val="none"/>
        </w:rPr>
      </w:pPr>
      <w:bookmarkStart w:id="126" w:name="_Toc344397383"/>
      <w:bookmarkStart w:id="127" w:name="_Toc361385972"/>
      <w:bookmarkStart w:id="128" w:name="_Toc349568740"/>
      <w:bookmarkStart w:id="129" w:name="_Toc349914544"/>
      <w:bookmarkStart w:id="130" w:name="_Toc344397380"/>
      <w:bookmarkStart w:id="131" w:name="_Toc2175"/>
      <w:bookmarkStart w:id="132" w:name="_Toc330342813"/>
      <w:bookmarkStart w:id="133" w:name="_Toc431929799"/>
      <w:bookmarkStart w:id="134" w:name="_Toc350516683"/>
      <w:bookmarkStart w:id="135" w:name="_Toc369353508"/>
      <w:bookmarkStart w:id="136" w:name="_Toc330342559"/>
      <w:bookmarkStart w:id="137" w:name="_Toc349568737"/>
      <w:bookmarkStart w:id="138" w:name="_Toc343510613"/>
      <w:bookmarkStart w:id="139" w:name="_Toc350515669"/>
      <w:bookmarkStart w:id="140" w:name="_Toc344394217"/>
      <w:bookmarkStart w:id="141" w:name="_Toc330342810"/>
      <w:bookmarkStart w:id="142" w:name="_Toc30056"/>
      <w:bookmarkStart w:id="143" w:name="_Toc5685"/>
      <w:bookmarkStart w:id="144" w:name="_Toc343510616"/>
      <w:bookmarkStart w:id="145" w:name="_Toc429748310"/>
      <w:bookmarkStart w:id="146" w:name="_Toc769"/>
      <w:bookmarkStart w:id="147" w:name="_Toc361242555"/>
      <w:bookmarkStart w:id="148" w:name="_Toc344394214"/>
      <w:bookmarkStart w:id="149" w:name="_Toc24818"/>
      <w:r>
        <w:rPr>
          <w:rFonts w:hint="eastAsia" w:ascii="宋体" w:hAnsi="宋体" w:eastAsia="宋体" w:cs="宋体"/>
          <w:color w:val="auto"/>
          <w:sz w:val="28"/>
          <w:szCs w:val="28"/>
          <w:highlight w:val="none"/>
        </w:rPr>
        <w:br w:type="page"/>
      </w:r>
    </w:p>
    <w:p>
      <w:pPr>
        <w:pStyle w:val="4"/>
        <w:spacing w:line="360" w:lineRule="auto"/>
        <w:rPr>
          <w:rFonts w:hint="eastAsia" w:ascii="宋体" w:hAnsi="宋体" w:eastAsia="宋体" w:cs="宋体"/>
          <w:color w:val="auto"/>
          <w:sz w:val="28"/>
          <w:szCs w:val="28"/>
          <w:highlight w:val="none"/>
        </w:rPr>
      </w:pPr>
      <w:bookmarkStart w:id="150" w:name="_Toc32436"/>
      <w:r>
        <w:rPr>
          <w:rFonts w:hint="eastAsia" w:ascii="宋体" w:hAnsi="宋体" w:eastAsia="宋体" w:cs="宋体"/>
          <w:color w:val="auto"/>
          <w:sz w:val="28"/>
          <w:szCs w:val="28"/>
          <w:highlight w:val="none"/>
        </w:rPr>
        <w:t>2、投标函附录格式</w:t>
      </w:r>
      <w:bookmarkEnd w:id="150"/>
    </w:p>
    <w:p>
      <w:pPr>
        <w:spacing w:line="360" w:lineRule="auto"/>
        <w:jc w:val="center"/>
        <w:rPr>
          <w:rFonts w:hint="eastAsia" w:ascii="宋体" w:hAnsi="宋体" w:eastAsia="宋体" w:cs="宋体"/>
          <w:b/>
          <w:color w:val="auto"/>
          <w:sz w:val="42"/>
          <w:highlight w:val="none"/>
        </w:rPr>
      </w:pPr>
      <w:r>
        <w:rPr>
          <w:rFonts w:hint="eastAsia" w:ascii="宋体" w:hAnsi="宋体" w:eastAsia="宋体" w:cs="宋体"/>
          <w:b/>
          <w:color w:val="auto"/>
          <w:sz w:val="42"/>
          <w:highlight w:val="none"/>
        </w:rPr>
        <w:t>投 标 函 附 录</w:t>
      </w:r>
    </w:p>
    <w:tbl>
      <w:tblPr>
        <w:tblStyle w:val="2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78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招标编号</w:t>
            </w:r>
          </w:p>
        </w:tc>
        <w:tc>
          <w:tcPr>
            <w:tcW w:w="7176" w:type="dxa"/>
            <w:noWrap w:val="0"/>
            <w:vAlign w:val="center"/>
          </w:tcPr>
          <w:p>
            <w:pPr>
              <w:snapToGrid w:val="0"/>
              <w:spacing w:before="62" w:beforeLines="20" w:line="560" w:lineRule="exact"/>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78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7176" w:type="dxa"/>
            <w:noWrap w:val="0"/>
            <w:vAlign w:val="center"/>
          </w:tcPr>
          <w:p>
            <w:pPr>
              <w:snapToGrid w:val="0"/>
              <w:spacing w:before="62" w:beforeLines="20" w:line="560" w:lineRule="exact"/>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78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总</w:t>
            </w:r>
            <w:r>
              <w:rPr>
                <w:rFonts w:hint="eastAsia" w:ascii="宋体" w:hAnsi="宋体" w:cs="宋体"/>
                <w:color w:val="auto"/>
                <w:sz w:val="24"/>
                <w:highlight w:val="none"/>
              </w:rPr>
              <w:t>价</w:t>
            </w:r>
          </w:p>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（单位：元）</w:t>
            </w:r>
          </w:p>
        </w:tc>
        <w:tc>
          <w:tcPr>
            <w:tcW w:w="7176" w:type="dxa"/>
            <w:noWrap w:val="0"/>
            <w:vAlign w:val="center"/>
          </w:tcPr>
          <w:p>
            <w:pPr>
              <w:snapToGrid w:val="0"/>
              <w:spacing w:before="62" w:beforeLines="20" w:line="560" w:lineRule="exact"/>
              <w:jc w:val="left"/>
              <w:rPr>
                <w:rFonts w:ascii="宋体" w:hAnsi="宋体" w:cs="宋体"/>
                <w:color w:val="auto"/>
                <w:sz w:val="24"/>
                <w:highlight w:val="non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napToGrid w:val="0"/>
              <w:spacing w:before="62" w:beforeLines="20" w:line="560" w:lineRule="exact"/>
              <w:jc w:val="left"/>
              <w:rPr>
                <w:color w:val="auto"/>
                <w:highlight w:val="none"/>
              </w:rPr>
            </w:pPr>
            <w:r>
              <w:rPr>
                <w:rFonts w:hint="eastAsia" w:ascii="宋体" w:hAnsi="宋体" w:cs="宋体"/>
                <w:color w:val="auto"/>
                <w:sz w:val="24"/>
                <w:highlight w:val="none"/>
              </w:rPr>
              <w:t xml:space="preserve">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86" w:type="dxa"/>
            <w:noWrap w:val="0"/>
            <w:vAlign w:val="center"/>
          </w:tcPr>
          <w:p>
            <w:pPr>
              <w:snapToGrid w:val="0"/>
              <w:spacing w:before="62" w:beforeLines="20" w:line="5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期限</w:t>
            </w:r>
          </w:p>
        </w:tc>
        <w:tc>
          <w:tcPr>
            <w:tcW w:w="717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合同签订之日起至2026年12月31日。（具体时间以合同签订为准）。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8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服务地点</w:t>
            </w:r>
          </w:p>
        </w:tc>
        <w:tc>
          <w:tcPr>
            <w:tcW w:w="717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786" w:type="dxa"/>
            <w:noWrap w:val="0"/>
            <w:vAlign w:val="center"/>
          </w:tcPr>
          <w:p>
            <w:pPr>
              <w:snapToGrid w:val="0"/>
              <w:spacing w:before="62" w:beforeLines="20" w:line="5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质量要求</w:t>
            </w:r>
          </w:p>
        </w:tc>
        <w:tc>
          <w:tcPr>
            <w:tcW w:w="7176" w:type="dxa"/>
            <w:noWrap w:val="0"/>
            <w:vAlign w:val="center"/>
          </w:tcPr>
          <w:p>
            <w:pPr>
              <w:snapToGrid w:val="0"/>
              <w:spacing w:before="62" w:beforeLines="20" w:line="5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78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c>
          <w:tcPr>
            <w:tcW w:w="7176" w:type="dxa"/>
            <w:noWrap w:val="0"/>
            <w:vAlign w:val="center"/>
          </w:tcPr>
          <w:p>
            <w:pPr>
              <w:snapToGrid w:val="0"/>
              <w:spacing w:before="62" w:beforeLines="20" w:line="560" w:lineRule="exact"/>
              <w:jc w:val="center"/>
              <w:rPr>
                <w:rFonts w:hint="eastAsia" w:ascii="宋体" w:hAnsi="宋体" w:cs="宋体"/>
                <w:color w:val="auto"/>
                <w:sz w:val="24"/>
                <w:highlight w:val="none"/>
              </w:rPr>
            </w:pPr>
          </w:p>
        </w:tc>
      </w:tr>
    </w:tbl>
    <w:p>
      <w:pPr>
        <w:spacing w:line="360" w:lineRule="auto"/>
        <w:ind w:firstLine="510"/>
        <w:rPr>
          <w:rFonts w:hint="eastAsia" w:ascii="宋体" w:hAnsi="宋体" w:eastAsia="宋体" w:cs="宋体"/>
          <w:color w:val="auto"/>
          <w:highlight w:val="none"/>
        </w:rPr>
      </w:pPr>
    </w:p>
    <w:p>
      <w:pPr>
        <w:spacing w:line="360" w:lineRule="auto"/>
        <w:ind w:firstLine="510"/>
        <w:rPr>
          <w:rFonts w:hint="eastAsia" w:ascii="宋体" w:hAnsi="宋体" w:eastAsia="宋体" w:cs="宋体"/>
          <w:color w:val="auto"/>
          <w:highlight w:val="none"/>
        </w:rPr>
      </w:pPr>
    </w:p>
    <w:p>
      <w:pPr>
        <w:spacing w:line="360" w:lineRule="auto"/>
        <w:ind w:firstLine="510"/>
        <w:rPr>
          <w:rFonts w:hint="eastAsia" w:ascii="宋体" w:hAnsi="宋体" w:eastAsia="宋体" w:cs="宋体"/>
          <w:color w:val="auto"/>
          <w:highlight w:val="none"/>
        </w:rPr>
      </w:pP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投标人全称（盖公章）：________________________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法定代表人或负责人或授权委托代理人（签字或盖章）：__________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日期：_______年____月_____日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108"/>
    <w:bookmarkEnd w:id="109"/>
    <w:bookmarkEnd w:id="110"/>
    <w:bookmarkEnd w:id="111"/>
    <w:bookmarkEnd w:id="112"/>
    <w:bookmarkEnd w:id="113"/>
    <w:bookmarkEnd w:id="114"/>
    <w:bookmarkEnd w:id="115"/>
    <w:bookmarkEnd w:id="116"/>
    <w:bookmarkEnd w:id="11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Pr>
        <w:pStyle w:val="4"/>
        <w:spacing w:line="360" w:lineRule="auto"/>
        <w:jc w:val="center"/>
        <w:rPr>
          <w:rFonts w:hint="eastAsia" w:ascii="宋体" w:hAnsi="宋体" w:eastAsia="宋体" w:cs="宋体"/>
          <w:color w:val="auto"/>
          <w:sz w:val="24"/>
          <w:szCs w:val="20"/>
          <w:highlight w:val="none"/>
        </w:rPr>
      </w:pPr>
      <w:bookmarkStart w:id="151" w:name="_Toc8914"/>
      <w:bookmarkStart w:id="152" w:name="_Toc344397393"/>
      <w:bookmarkStart w:id="153" w:name="_Toc17911"/>
      <w:bookmarkStart w:id="154" w:name="_Toc20714"/>
      <w:bookmarkStart w:id="155" w:name="_Toc349914551"/>
      <w:bookmarkStart w:id="156" w:name="_Toc330342823"/>
      <w:bookmarkStart w:id="157" w:name="_Toc15703"/>
      <w:bookmarkStart w:id="158" w:name="_Toc25856"/>
      <w:bookmarkStart w:id="159" w:name="_Toc349568751"/>
      <w:bookmarkStart w:id="160" w:name="_Toc343510626"/>
      <w:bookmarkStart w:id="161" w:name="_Toc344394227"/>
      <w:bookmarkStart w:id="162" w:name="_Toc350515676"/>
      <w:bookmarkStart w:id="163" w:name="_Toc369353514"/>
      <w:bookmarkStart w:id="164" w:name="_Toc350516690"/>
      <w:bookmarkStart w:id="165" w:name="_Toc47261690"/>
      <w:bookmarkStart w:id="166" w:name="_Toc47262069"/>
      <w:bookmarkStart w:id="167" w:name="_Toc198021519"/>
      <w:bookmarkStart w:id="168" w:name="_Toc48791235"/>
      <w:bookmarkStart w:id="169" w:name="_Toc47261885"/>
      <w:bookmarkStart w:id="170" w:name="_Toc49019236"/>
      <w:bookmarkStart w:id="171" w:name="_Toc48995851"/>
      <w:bookmarkStart w:id="172" w:name="_Toc47418938"/>
      <w:bookmarkStart w:id="173" w:name="_Toc47418255"/>
      <w:bookmarkStart w:id="174" w:name="_Toc47418731"/>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二</w:t>
      </w:r>
      <w:r>
        <w:rPr>
          <w:rFonts w:hint="eastAsia" w:ascii="宋体" w:hAnsi="宋体" w:eastAsia="宋体" w:cs="宋体"/>
          <w:bCs w:val="0"/>
          <w:color w:val="auto"/>
          <w:highlight w:val="none"/>
        </w:rPr>
        <w:t>部分 资格审查部分</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4"/>
        <w:spacing w:line="360" w:lineRule="auto"/>
        <w:rPr>
          <w:rFonts w:hint="eastAsia" w:ascii="宋体" w:hAnsi="宋体" w:eastAsia="宋体" w:cs="宋体"/>
          <w:color w:val="auto"/>
          <w:sz w:val="28"/>
          <w:szCs w:val="28"/>
          <w:highlight w:val="none"/>
        </w:rPr>
      </w:pPr>
      <w:bookmarkStart w:id="175" w:name="_Toc369353516"/>
      <w:bookmarkStart w:id="176" w:name="_Toc343510628"/>
      <w:bookmarkStart w:id="177" w:name="_Toc344394229"/>
      <w:bookmarkStart w:id="178" w:name="_Toc13827"/>
      <w:bookmarkStart w:id="179" w:name="_Toc10088"/>
      <w:bookmarkStart w:id="180" w:name="_Toc29469"/>
      <w:bookmarkStart w:id="181" w:name="_Toc344397395"/>
      <w:bookmarkStart w:id="182" w:name="_Toc349914553"/>
      <w:bookmarkStart w:id="183" w:name="_Toc29974"/>
      <w:bookmarkStart w:id="184" w:name="_Toc350516692"/>
      <w:bookmarkStart w:id="185" w:name="_Toc24996"/>
      <w:bookmarkStart w:id="186" w:name="_Toc330342574"/>
      <w:bookmarkStart w:id="187" w:name="_Toc349568753"/>
      <w:bookmarkStart w:id="188" w:name="_Toc330342825"/>
      <w:bookmarkStart w:id="189" w:name="_Toc350515678"/>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w:t>
      </w:r>
      <w:bookmarkStart w:id="190" w:name="_Toc256765556"/>
      <w:bookmarkStart w:id="191" w:name="_Toc296292781"/>
      <w:bookmarkStart w:id="192" w:name="_Toc255559500"/>
      <w:bookmarkStart w:id="193" w:name="_Toc255161212"/>
      <w:r>
        <w:rPr>
          <w:rFonts w:hint="eastAsia" w:ascii="宋体" w:hAnsi="宋体" w:eastAsia="宋体" w:cs="宋体"/>
          <w:color w:val="auto"/>
          <w:sz w:val="28"/>
          <w:szCs w:val="28"/>
          <w:highlight w:val="none"/>
        </w:rPr>
        <w:t>投标人一般情况</w:t>
      </w:r>
      <w:bookmarkEnd w:id="190"/>
      <w:bookmarkEnd w:id="191"/>
      <w:bookmarkEnd w:id="192"/>
      <w:bookmarkEnd w:id="193"/>
      <w:r>
        <w:rPr>
          <w:rFonts w:hint="eastAsia" w:ascii="宋体" w:hAnsi="宋体" w:eastAsia="宋体" w:cs="宋体"/>
          <w:color w:val="auto"/>
          <w:sz w:val="28"/>
          <w:szCs w:val="28"/>
          <w:highlight w:val="none"/>
        </w:rPr>
        <w:t>（格式）</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sz w:val="28"/>
          <w:szCs w:val="28"/>
          <w:highlight w:val="none"/>
        </w:rPr>
        <w:t>投标人一般情况</w:t>
      </w:r>
    </w:p>
    <w:tbl>
      <w:tblPr>
        <w:tblStyle w:val="2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4233"/>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注册</w:t>
            </w:r>
            <w:r>
              <w:rPr>
                <w:rFonts w:hint="eastAsia" w:ascii="宋体" w:hAnsi="宋体" w:eastAsia="宋体" w:cs="宋体"/>
                <w:color w:val="auto"/>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33"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822"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33"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822"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233"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w:t>
            </w:r>
          </w:p>
        </w:tc>
        <w:tc>
          <w:tcPr>
            <w:tcW w:w="4822"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注册年份（请附营业执照</w:t>
            </w:r>
            <w:r>
              <w:rPr>
                <w:rFonts w:hint="eastAsia" w:ascii="宋体" w:hAnsi="宋体" w:cs="宋体"/>
                <w:color w:val="auto"/>
                <w:sz w:val="24"/>
                <w:szCs w:val="24"/>
                <w:highlight w:val="none"/>
                <w:lang w:val="en-US" w:eastAsia="zh-CN"/>
              </w:rPr>
              <w:t>扫描</w:t>
            </w:r>
            <w:r>
              <w:rPr>
                <w:rFonts w:hint="eastAsia" w:ascii="宋体" w:hAnsi="宋体" w:eastAsia="宋体" w:cs="宋体"/>
                <w:color w:val="auto"/>
                <w:sz w:val="24"/>
                <w:szCs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公司有关证书            （请附有关证书的</w:t>
            </w:r>
            <w:r>
              <w:rPr>
                <w:rFonts w:hint="eastAsia" w:ascii="宋体" w:hAnsi="宋体" w:cs="宋体"/>
                <w:color w:val="auto"/>
                <w:sz w:val="24"/>
                <w:szCs w:val="24"/>
                <w:highlight w:val="none"/>
                <w:lang w:val="en-US" w:eastAsia="zh-CN"/>
              </w:rPr>
              <w:t>扫描</w:t>
            </w:r>
            <w:r>
              <w:rPr>
                <w:rFonts w:hint="eastAsia" w:ascii="宋体" w:hAnsi="宋体" w:eastAsia="宋体" w:cs="宋体"/>
                <w:color w:val="auto"/>
                <w:sz w:val="24"/>
                <w:szCs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公司（是否通过，何种） 质量保证体系认证（如通过请附相关证书</w:t>
            </w:r>
            <w:r>
              <w:rPr>
                <w:rFonts w:hint="eastAsia" w:ascii="宋体" w:hAnsi="宋体" w:cs="宋体"/>
                <w:color w:val="auto"/>
                <w:sz w:val="24"/>
                <w:szCs w:val="24"/>
                <w:highlight w:val="none"/>
                <w:lang w:val="en-US" w:eastAsia="zh-CN"/>
              </w:rPr>
              <w:t>扫描</w:t>
            </w:r>
            <w:r>
              <w:rPr>
                <w:rFonts w:hint="eastAsia" w:ascii="宋体" w:hAnsi="宋体" w:eastAsia="宋体" w:cs="宋体"/>
                <w:color w:val="auto"/>
                <w:sz w:val="24"/>
                <w:szCs w:val="24"/>
                <w:highlight w:val="none"/>
              </w:rPr>
              <w:t>件，并提供认证机构年审监督报告（如有时）。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主营范围</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其他要求说明的情况</w:t>
            </w:r>
          </w:p>
        </w:tc>
      </w:tr>
    </w:tbl>
    <w:p>
      <w:pPr>
        <w:spacing w:line="360" w:lineRule="auto"/>
        <w:rPr>
          <w:rFonts w:hint="eastAsia" w:ascii="宋体" w:hAnsi="宋体" w:eastAsia="宋体" w:cs="宋体"/>
          <w:b/>
          <w:color w:val="auto"/>
          <w:kern w:val="0"/>
          <w:szCs w:val="21"/>
          <w:highlight w:val="none"/>
          <w:lang w:val="en-US" w:eastAsia="zh-CN"/>
        </w:rPr>
      </w:pPr>
      <w:r>
        <w:rPr>
          <w:rFonts w:hint="eastAsia" w:ascii="宋体" w:hAnsi="宋体" w:eastAsia="宋体" w:cs="宋体"/>
          <w:color w:val="auto"/>
          <w:sz w:val="24"/>
          <w:highlight w:val="none"/>
        </w:rPr>
        <w:t>附：</w:t>
      </w:r>
      <w:r>
        <w:rPr>
          <w:rFonts w:hint="eastAsia" w:ascii="宋体" w:hAnsi="宋体" w:eastAsia="宋体" w:cs="宋体"/>
          <w:b/>
          <w:color w:val="auto"/>
          <w:kern w:val="0"/>
          <w:szCs w:val="21"/>
          <w:highlight w:val="none"/>
        </w:rPr>
        <w:t>附企业营业执照、组织机构代码证、税务登记证（已登记办理“三证合一”的企业仅须提供印有统一社会信用代码的营业执照）</w:t>
      </w:r>
    </w:p>
    <w:p>
      <w:pPr>
        <w:autoSpaceDE w:val="0"/>
        <w:autoSpaceDN w:val="0"/>
        <w:adjustRightInd w:val="0"/>
        <w:spacing w:line="360" w:lineRule="auto"/>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投标人(盖公章)：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法定代表人或授权委托人(签字或盖章)：</w:t>
      </w:r>
      <w:r>
        <w:rPr>
          <w:rFonts w:hint="eastAsia" w:ascii="宋体" w:hAnsi="宋体" w:eastAsia="宋体" w:cs="宋体"/>
          <w:color w:val="auto"/>
          <w:kern w:val="0"/>
          <w:sz w:val="24"/>
          <w:highlight w:val="none"/>
          <w:u w:val="single"/>
          <w:lang w:val="zh-CN"/>
        </w:rPr>
        <w:t xml:space="preserve">                          </w:t>
      </w:r>
    </w:p>
    <w:p>
      <w:pPr>
        <w:pStyle w:val="15"/>
        <w:ind w:firstLine="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日期：      年   月   日</w:t>
      </w:r>
      <w:bookmarkStart w:id="194" w:name="_Toc344394231"/>
      <w:bookmarkStart w:id="195" w:name="_Toc330342827"/>
      <w:bookmarkStart w:id="196" w:name="_Toc344397397"/>
      <w:bookmarkStart w:id="197" w:name="_Toc29165"/>
      <w:bookmarkStart w:id="198" w:name="_Toc29778"/>
      <w:bookmarkStart w:id="199" w:name="_Toc350515680"/>
      <w:bookmarkStart w:id="200" w:name="_Toc349568755"/>
      <w:bookmarkStart w:id="201" w:name="_Toc369353518"/>
      <w:bookmarkStart w:id="202" w:name="_Toc349914555"/>
      <w:bookmarkStart w:id="203" w:name="_Toc27209"/>
      <w:bookmarkStart w:id="204" w:name="_Toc330342576"/>
      <w:bookmarkStart w:id="205" w:name="_Toc343510630"/>
      <w:bookmarkStart w:id="206" w:name="_Toc350516694"/>
    </w:p>
    <w:p>
      <w:pPr>
        <w:pStyle w:val="15"/>
        <w:ind w:firstLine="0"/>
        <w:rPr>
          <w:rFonts w:hint="eastAsia" w:ascii="宋体" w:hAnsi="宋体" w:eastAsia="宋体" w:cs="宋体"/>
          <w:color w:val="auto"/>
          <w:highlight w:val="none"/>
          <w:lang w:val="zh-CN"/>
        </w:rPr>
      </w:pPr>
    </w:p>
    <w:p>
      <w:pPr>
        <w:pStyle w:val="15"/>
        <w:ind w:firstLine="0"/>
        <w:rPr>
          <w:rFonts w:hint="eastAsia" w:ascii="宋体" w:hAnsi="宋体" w:eastAsia="宋体" w:cs="宋体"/>
          <w:color w:val="auto"/>
          <w:highlight w:val="none"/>
          <w:lang w:val="zh-CN"/>
        </w:rPr>
      </w:pPr>
    </w:p>
    <w:bookmarkEnd w:id="194"/>
    <w:bookmarkEnd w:id="195"/>
    <w:bookmarkEnd w:id="196"/>
    <w:bookmarkEnd w:id="197"/>
    <w:bookmarkEnd w:id="198"/>
    <w:bookmarkEnd w:id="199"/>
    <w:bookmarkEnd w:id="200"/>
    <w:bookmarkEnd w:id="201"/>
    <w:bookmarkEnd w:id="202"/>
    <w:bookmarkEnd w:id="203"/>
    <w:bookmarkEnd w:id="204"/>
    <w:bookmarkEnd w:id="205"/>
    <w:bookmarkEnd w:id="206"/>
    <w:p>
      <w:pPr>
        <w:autoSpaceDE w:val="0"/>
        <w:autoSpaceDN w:val="0"/>
        <w:adjustRightInd w:val="0"/>
        <w:spacing w:line="360" w:lineRule="auto"/>
        <w:rPr>
          <w:rFonts w:hint="eastAsia" w:ascii="宋体" w:hAnsi="宋体" w:eastAsia="宋体" w:cs="宋体"/>
          <w:color w:val="auto"/>
          <w:kern w:val="0"/>
          <w:sz w:val="24"/>
          <w:highlight w:val="none"/>
          <w:u w:val="single"/>
          <w:lang w:val="zh-CN"/>
        </w:rPr>
      </w:pPr>
    </w:p>
    <w:p>
      <w:pPr>
        <w:autoSpaceDE w:val="0"/>
        <w:autoSpaceDN w:val="0"/>
        <w:adjustRightInd w:val="0"/>
        <w:spacing w:line="360" w:lineRule="auto"/>
        <w:rPr>
          <w:rFonts w:hint="eastAsia" w:ascii="宋体" w:hAnsi="宋体" w:eastAsia="宋体" w:cs="宋体"/>
          <w:color w:val="auto"/>
          <w:kern w:val="0"/>
          <w:sz w:val="24"/>
          <w:highlight w:val="none"/>
          <w:lang w:val="zh-CN"/>
        </w:rPr>
        <w:sectPr>
          <w:headerReference r:id="rId12" w:type="default"/>
          <w:footerReference r:id="rId13" w:type="default"/>
          <w:pgSz w:w="11906" w:h="16838"/>
          <w:pgMar w:top="1134" w:right="1134" w:bottom="993" w:left="1134" w:header="454" w:footer="454" w:gutter="0"/>
          <w:cols w:space="720" w:num="1"/>
          <w:docGrid w:linePitch="312" w:charSpace="0"/>
        </w:sectPr>
      </w:pPr>
    </w:p>
    <w:p>
      <w:pPr>
        <w:pStyle w:val="4"/>
        <w:spacing w:line="360" w:lineRule="auto"/>
        <w:rPr>
          <w:rFonts w:hint="eastAsia" w:ascii="宋体" w:hAnsi="宋体" w:eastAsia="宋体" w:cs="宋体"/>
          <w:b w:val="0"/>
          <w:bCs w:val="0"/>
          <w:color w:val="auto"/>
          <w:sz w:val="28"/>
          <w:highlight w:val="none"/>
        </w:rPr>
      </w:pPr>
      <w:bookmarkStart w:id="207" w:name="_Toc350516697"/>
      <w:bookmarkStart w:id="208" w:name="_Toc343510633"/>
      <w:bookmarkStart w:id="209" w:name="_Toc19970"/>
      <w:bookmarkStart w:id="210" w:name="_Toc330342580"/>
      <w:bookmarkStart w:id="211" w:name="_Toc349914558"/>
      <w:bookmarkStart w:id="212" w:name="_Toc330342831"/>
      <w:bookmarkStart w:id="213" w:name="_Toc350515683"/>
      <w:bookmarkStart w:id="214" w:name="_Toc12848"/>
      <w:bookmarkStart w:id="215" w:name="_Toc23629"/>
      <w:bookmarkStart w:id="216" w:name="_Toc344397400"/>
      <w:bookmarkStart w:id="217" w:name="_Toc25660"/>
      <w:bookmarkStart w:id="218" w:name="_Toc344394234"/>
      <w:bookmarkStart w:id="219" w:name="_Toc369353521"/>
      <w:bookmarkStart w:id="220" w:name="_Toc349568758"/>
      <w:bookmarkStart w:id="221" w:name="_Toc31473"/>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、法定代表人身份证明书</w:t>
      </w:r>
      <w:r>
        <w:rPr>
          <w:rFonts w:hint="eastAsia" w:ascii="宋体" w:hAnsi="宋体" w:eastAsia="宋体" w:cs="宋体"/>
          <w:bCs w:val="0"/>
          <w:color w:val="auto"/>
          <w:sz w:val="28"/>
          <w:szCs w:val="28"/>
          <w:highlight w:val="none"/>
        </w:rPr>
        <w:t>（格式）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spacing w:before="240" w:line="360" w:lineRule="auto"/>
        <w:jc w:val="center"/>
        <w:rPr>
          <w:rFonts w:hint="eastAsia" w:ascii="宋体" w:hAnsi="宋体" w:eastAsia="宋体" w:cs="宋体"/>
          <w:b/>
          <w:color w:val="auto"/>
          <w:kern w:val="0"/>
          <w:sz w:val="28"/>
          <w:highlight w:val="none"/>
        </w:rPr>
      </w:pPr>
      <w:r>
        <w:rPr>
          <w:rFonts w:hint="eastAsia" w:ascii="宋体" w:hAnsi="宋体" w:eastAsia="宋体" w:cs="宋体"/>
          <w:b/>
          <w:bCs/>
          <w:color w:val="auto"/>
          <w:sz w:val="28"/>
          <w:szCs w:val="32"/>
          <w:highlight w:val="none"/>
        </w:rPr>
        <w:t>法定代表人身份证明书</w:t>
      </w:r>
    </w:p>
    <w:p>
      <w:pPr>
        <w:autoSpaceDE w:val="0"/>
        <w:autoSpaceDN w:val="0"/>
        <w:adjustRightInd w:val="0"/>
        <w:spacing w:before="240" w:line="360" w:lineRule="auto"/>
        <w:jc w:val="center"/>
        <w:rPr>
          <w:rFonts w:hint="eastAsia" w:ascii="宋体" w:hAnsi="宋体" w:eastAsia="宋体" w:cs="宋体"/>
          <w:color w:val="auto"/>
          <w:spacing w:val="6"/>
          <w:kern w:val="0"/>
          <w:sz w:val="26"/>
          <w:highlight w:val="none"/>
        </w:rPr>
      </w:pP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单位名称：</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单位性质：</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地    址：</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成立时间：</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经营期限：</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姓名：</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性别：</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年龄：</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职务：</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系</w:t>
      </w:r>
      <w:r>
        <w:rPr>
          <w:rFonts w:hint="eastAsia" w:ascii="宋体" w:hAnsi="宋体" w:eastAsia="宋体" w:cs="宋体"/>
          <w:bCs/>
          <w:color w:val="auto"/>
          <w:sz w:val="28"/>
          <w:szCs w:val="32"/>
          <w:highlight w:val="none"/>
          <w:u w:val="single"/>
        </w:rPr>
        <w:t xml:space="preserve">        （投标人单位名称）         </w:t>
      </w:r>
      <w:r>
        <w:rPr>
          <w:rFonts w:hint="eastAsia" w:ascii="宋体" w:hAnsi="宋体" w:eastAsia="宋体" w:cs="宋体"/>
          <w:bCs/>
          <w:color w:val="auto"/>
          <w:sz w:val="28"/>
          <w:szCs w:val="32"/>
          <w:highlight w:val="none"/>
        </w:rPr>
        <w:t>的法定代表人。</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特此证明。</w:t>
      </w:r>
    </w:p>
    <w:p>
      <w:pPr>
        <w:spacing w:line="360" w:lineRule="auto"/>
        <w:ind w:right="600"/>
        <w:jc w:val="left"/>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 xml:space="preserve">                                      投标人：</w:t>
      </w:r>
      <w:r>
        <w:rPr>
          <w:rFonts w:hint="eastAsia" w:ascii="宋体" w:hAnsi="宋体" w:eastAsia="宋体" w:cs="宋体"/>
          <w:bCs/>
          <w:color w:val="auto"/>
          <w:sz w:val="28"/>
          <w:szCs w:val="32"/>
          <w:highlight w:val="none"/>
          <w:u w:val="single"/>
        </w:rPr>
        <w:t xml:space="preserve">（盖公章）              </w:t>
      </w:r>
    </w:p>
    <w:p>
      <w:pPr>
        <w:spacing w:line="360" w:lineRule="auto"/>
        <w:ind w:right="600"/>
        <w:jc w:val="center"/>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 xml:space="preserve">                                  日期：  年    月     日</w:t>
      </w:r>
    </w:p>
    <w:p>
      <w:pPr>
        <w:spacing w:line="360" w:lineRule="auto"/>
        <w:ind w:right="600"/>
        <w:jc w:val="center"/>
        <w:rPr>
          <w:rFonts w:hint="eastAsia" w:ascii="宋体" w:hAnsi="宋体" w:eastAsia="宋体" w:cs="宋体"/>
          <w:bCs/>
          <w:color w:val="auto"/>
          <w:sz w:val="28"/>
          <w:szCs w:val="32"/>
          <w:highlight w:val="none"/>
        </w:rPr>
      </w:pPr>
    </w:p>
    <w:p>
      <w:pPr>
        <w:spacing w:line="360" w:lineRule="auto"/>
        <w:ind w:right="600"/>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备注:附法定代表人身份证</w:t>
      </w:r>
      <w:r>
        <w:rPr>
          <w:rFonts w:hint="eastAsia" w:ascii="宋体" w:hAnsi="宋体" w:cs="宋体"/>
          <w:bCs/>
          <w:color w:val="auto"/>
          <w:sz w:val="28"/>
          <w:szCs w:val="32"/>
          <w:highlight w:val="none"/>
          <w:lang w:val="en-US" w:eastAsia="zh-CN"/>
        </w:rPr>
        <w:t>扫描</w:t>
      </w:r>
      <w:r>
        <w:rPr>
          <w:rFonts w:hint="eastAsia" w:ascii="宋体" w:hAnsi="宋体" w:eastAsia="宋体" w:cs="宋体"/>
          <w:bCs/>
          <w:color w:val="auto"/>
          <w:sz w:val="28"/>
          <w:szCs w:val="32"/>
          <w:highlight w:val="none"/>
        </w:rPr>
        <w:t>件（正、反面）</w:t>
      </w:r>
    </w:p>
    <w:p>
      <w:pPr>
        <w:pStyle w:val="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222" w:name="_Toc344394235"/>
      <w:bookmarkStart w:id="223" w:name="_Toc330342832"/>
      <w:bookmarkStart w:id="224" w:name="_Toc349568759"/>
      <w:bookmarkStart w:id="225" w:name="_Toc369353522"/>
      <w:bookmarkStart w:id="226" w:name="_Toc8017"/>
      <w:bookmarkStart w:id="227" w:name="_Toc349914559"/>
      <w:bookmarkStart w:id="228" w:name="_Toc16122"/>
      <w:bookmarkStart w:id="229" w:name="_Toc5113"/>
      <w:bookmarkStart w:id="230" w:name="_Toc350515684"/>
      <w:bookmarkStart w:id="231" w:name="_Toc343510634"/>
      <w:bookmarkStart w:id="232" w:name="_Toc350516698"/>
      <w:bookmarkStart w:id="233" w:name="_Toc344397401"/>
      <w:bookmarkStart w:id="234" w:name="_Toc330342581"/>
      <w:bookmarkStart w:id="235" w:name="_Toc27450"/>
      <w:bookmarkStart w:id="236" w:name="_Toc8840"/>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、法定代表人授权书</w:t>
      </w:r>
      <w:bookmarkEnd w:id="165"/>
      <w:bookmarkEnd w:id="166"/>
      <w:bookmarkEnd w:id="167"/>
      <w:bookmarkEnd w:id="168"/>
      <w:bookmarkEnd w:id="169"/>
      <w:bookmarkEnd w:id="170"/>
      <w:bookmarkEnd w:id="171"/>
      <w:bookmarkEnd w:id="172"/>
      <w:bookmarkEnd w:id="173"/>
      <w:bookmarkEnd w:id="174"/>
      <w:r>
        <w:rPr>
          <w:rFonts w:hint="eastAsia" w:ascii="宋体" w:hAnsi="宋体" w:eastAsia="宋体" w:cs="宋体"/>
          <w:bCs w:val="0"/>
          <w:color w:val="auto"/>
          <w:sz w:val="28"/>
          <w:szCs w:val="28"/>
          <w:highlight w:val="none"/>
        </w:rPr>
        <w:t>（格式）</w:t>
      </w:r>
      <w:bookmarkEnd w:id="222"/>
      <w:bookmarkEnd w:id="223"/>
      <w:bookmarkEnd w:id="224"/>
      <w:bookmarkEnd w:id="225"/>
      <w:bookmarkEnd w:id="226"/>
      <w:bookmarkEnd w:id="227"/>
      <w:bookmarkEnd w:id="228"/>
      <w:bookmarkEnd w:id="229"/>
      <w:bookmarkEnd w:id="230"/>
      <w:bookmarkEnd w:id="231"/>
      <w:bookmarkEnd w:id="232"/>
      <w:bookmarkEnd w:id="233"/>
      <w:bookmarkEnd w:id="234"/>
      <w:r>
        <w:rPr>
          <w:rFonts w:hint="eastAsia" w:ascii="宋体" w:hAnsi="宋体" w:eastAsia="宋体" w:cs="宋体"/>
          <w:bCs w:val="0"/>
          <w:color w:val="auto"/>
          <w:sz w:val="28"/>
          <w:szCs w:val="28"/>
          <w:highlight w:val="none"/>
        </w:rPr>
        <w:t>（如法定代表人投标不需此项）</w:t>
      </w:r>
      <w:bookmarkEnd w:id="235"/>
      <w:bookmarkEnd w:id="236"/>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法定代表人授权书</w:t>
      </w:r>
    </w:p>
    <w:p>
      <w:pPr>
        <w:spacing w:line="360" w:lineRule="auto"/>
        <w:rPr>
          <w:rFonts w:hint="eastAsia" w:ascii="宋体" w:hAnsi="宋体" w:eastAsia="宋体" w:cs="宋体"/>
          <w:color w:val="auto"/>
          <w:sz w:val="24"/>
          <w:szCs w:val="24"/>
          <w:highlight w:val="none"/>
        </w:rPr>
      </w:pPr>
    </w:p>
    <w:p>
      <w:pPr>
        <w:spacing w:line="360" w:lineRule="auto"/>
        <w:ind w:right="142" w:firstLine="560" w:firstLineChars="200"/>
        <w:rPr>
          <w:rFonts w:hint="eastAsia" w:ascii="宋体" w:hAnsi="宋体" w:eastAsia="宋体" w:cs="宋体"/>
          <w:bCs/>
          <w:color w:val="auto"/>
          <w:sz w:val="28"/>
          <w:szCs w:val="32"/>
          <w:highlight w:val="none"/>
        </w:rPr>
      </w:pPr>
      <w:bookmarkStart w:id="237" w:name="_Toc247230322"/>
      <w:bookmarkStart w:id="238" w:name="_Toc235331336"/>
      <w:r>
        <w:rPr>
          <w:rFonts w:hint="eastAsia" w:ascii="宋体" w:hAnsi="宋体" w:eastAsia="宋体" w:cs="宋体"/>
          <w:bCs/>
          <w:color w:val="auto"/>
          <w:sz w:val="28"/>
          <w:szCs w:val="32"/>
          <w:highlight w:val="none"/>
        </w:rPr>
        <w:t>本授权委托书声明，我</w:t>
      </w:r>
      <w:r>
        <w:rPr>
          <w:rFonts w:hint="eastAsia" w:ascii="宋体" w:hAnsi="宋体" w:eastAsia="宋体" w:cs="宋体"/>
          <w:bCs/>
          <w:color w:val="auto"/>
          <w:sz w:val="28"/>
          <w:szCs w:val="32"/>
          <w:highlight w:val="none"/>
          <w:u w:val="single"/>
        </w:rPr>
        <w:t xml:space="preserve">         （姓名）         </w:t>
      </w:r>
      <w:r>
        <w:rPr>
          <w:rFonts w:hint="eastAsia" w:ascii="宋体" w:hAnsi="宋体" w:eastAsia="宋体" w:cs="宋体"/>
          <w:bCs/>
          <w:color w:val="auto"/>
          <w:sz w:val="28"/>
          <w:szCs w:val="32"/>
          <w:highlight w:val="none"/>
        </w:rPr>
        <w:t>系</w:t>
      </w:r>
      <w:r>
        <w:rPr>
          <w:rFonts w:hint="eastAsia" w:ascii="宋体" w:hAnsi="宋体" w:eastAsia="宋体" w:cs="宋体"/>
          <w:bCs/>
          <w:color w:val="auto"/>
          <w:sz w:val="28"/>
          <w:szCs w:val="32"/>
          <w:highlight w:val="none"/>
          <w:u w:val="single"/>
        </w:rPr>
        <w:t xml:space="preserve">        （投标人名称）            </w:t>
      </w:r>
      <w:r>
        <w:rPr>
          <w:rFonts w:hint="eastAsia" w:ascii="宋体" w:hAnsi="宋体" w:eastAsia="宋体" w:cs="宋体"/>
          <w:bCs/>
          <w:color w:val="auto"/>
          <w:sz w:val="28"/>
          <w:szCs w:val="32"/>
          <w:highlight w:val="none"/>
        </w:rPr>
        <w:t>的法定代表人，现授权委托</w:t>
      </w:r>
      <w:r>
        <w:rPr>
          <w:rFonts w:hint="eastAsia" w:ascii="宋体" w:hAnsi="宋体" w:eastAsia="宋体" w:cs="宋体"/>
          <w:bCs/>
          <w:color w:val="auto"/>
          <w:sz w:val="28"/>
          <w:szCs w:val="32"/>
          <w:highlight w:val="none"/>
          <w:u w:val="single"/>
        </w:rPr>
        <w:t xml:space="preserve">      （姓名）   </w:t>
      </w:r>
      <w:r>
        <w:rPr>
          <w:rFonts w:hint="eastAsia" w:ascii="宋体" w:hAnsi="宋体" w:eastAsia="宋体" w:cs="宋体"/>
          <w:bCs/>
          <w:color w:val="auto"/>
          <w:sz w:val="28"/>
          <w:szCs w:val="32"/>
          <w:highlight w:val="none"/>
        </w:rPr>
        <w:t>为我公司签署</w:t>
      </w:r>
      <w:r>
        <w:rPr>
          <w:rFonts w:hint="eastAsia" w:ascii="宋体" w:hAnsi="宋体" w:eastAsia="宋体" w:cs="宋体"/>
          <w:bCs/>
          <w:color w:val="auto"/>
          <w:sz w:val="28"/>
          <w:szCs w:val="32"/>
          <w:highlight w:val="none"/>
          <w:u w:val="single"/>
        </w:rPr>
        <w:t xml:space="preserve">           （项目名称，招标编号）         </w:t>
      </w:r>
      <w:r>
        <w:rPr>
          <w:rFonts w:hint="eastAsia" w:ascii="宋体" w:hAnsi="宋体" w:eastAsia="宋体" w:cs="宋体"/>
          <w:bCs/>
          <w:color w:val="auto"/>
          <w:sz w:val="28"/>
          <w:szCs w:val="32"/>
          <w:highlight w:val="none"/>
        </w:rPr>
        <w:t>投标的法定代表人授权委托代理人，我承认代理人全权代表我所签署的本项目的文件的内容。</w:t>
      </w:r>
    </w:p>
    <w:p>
      <w:pPr>
        <w:spacing w:line="360" w:lineRule="auto"/>
        <w:ind w:right="142"/>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代理人无转委托权，特此委托。</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代理人：</w:t>
      </w:r>
      <w:r>
        <w:rPr>
          <w:rFonts w:hint="eastAsia" w:ascii="宋体" w:hAnsi="宋体" w:eastAsia="宋体" w:cs="宋体"/>
          <w:bCs/>
          <w:color w:val="auto"/>
          <w:sz w:val="28"/>
          <w:szCs w:val="32"/>
          <w:highlight w:val="none"/>
          <w:u w:val="single"/>
        </w:rPr>
        <w:t xml:space="preserve">  (签字或盖章)          </w:t>
      </w:r>
      <w:r>
        <w:rPr>
          <w:rFonts w:hint="eastAsia" w:ascii="宋体" w:hAnsi="宋体" w:eastAsia="宋体" w:cs="宋体"/>
          <w:bCs/>
          <w:color w:val="auto"/>
          <w:sz w:val="28"/>
          <w:szCs w:val="32"/>
          <w:highlight w:val="none"/>
        </w:rPr>
        <w:t>性别：</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年龄：</w:t>
      </w:r>
      <w:r>
        <w:rPr>
          <w:rFonts w:hint="eastAsia" w:ascii="宋体" w:hAnsi="宋体" w:eastAsia="宋体" w:cs="宋体"/>
          <w:bCs/>
          <w:color w:val="auto"/>
          <w:sz w:val="28"/>
          <w:szCs w:val="32"/>
          <w:highlight w:val="none"/>
          <w:u w:val="single"/>
        </w:rPr>
        <w:t xml:space="preserve">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身份证号码：</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职务：</w:t>
      </w:r>
      <w:r>
        <w:rPr>
          <w:rFonts w:hint="eastAsia" w:ascii="宋体" w:hAnsi="宋体" w:eastAsia="宋体" w:cs="宋体"/>
          <w:bCs/>
          <w:color w:val="auto"/>
          <w:sz w:val="28"/>
          <w:szCs w:val="32"/>
          <w:highlight w:val="none"/>
          <w:u w:val="single"/>
        </w:rPr>
        <w:t xml:space="preserve">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投标人：</w:t>
      </w:r>
      <w:r>
        <w:rPr>
          <w:rFonts w:hint="eastAsia" w:ascii="宋体" w:hAnsi="宋体" w:eastAsia="宋体" w:cs="宋体"/>
          <w:bCs/>
          <w:color w:val="auto"/>
          <w:sz w:val="28"/>
          <w:szCs w:val="32"/>
          <w:highlight w:val="none"/>
          <w:u w:val="single"/>
        </w:rPr>
        <w:t xml:space="preserve">        （盖公章）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法定代表人：</w:t>
      </w:r>
      <w:r>
        <w:rPr>
          <w:rFonts w:hint="eastAsia" w:ascii="宋体" w:hAnsi="宋体" w:eastAsia="宋体" w:cs="宋体"/>
          <w:bCs/>
          <w:color w:val="auto"/>
          <w:sz w:val="28"/>
          <w:szCs w:val="32"/>
          <w:highlight w:val="none"/>
          <w:u w:val="single"/>
        </w:rPr>
        <w:t xml:space="preserve">    （签字或盖章）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授权委托日期：</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年</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月</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日</w:t>
      </w:r>
    </w:p>
    <w:p>
      <w:pPr>
        <w:spacing w:line="360" w:lineRule="auto"/>
        <w:ind w:right="142"/>
        <w:rPr>
          <w:rFonts w:hint="eastAsia" w:ascii="宋体" w:hAnsi="宋体" w:eastAsia="宋体" w:cs="宋体"/>
          <w:bCs/>
          <w:color w:val="auto"/>
          <w:sz w:val="28"/>
          <w:szCs w:val="32"/>
          <w:highlight w:val="none"/>
        </w:rPr>
      </w:pPr>
    </w:p>
    <w:p>
      <w:pPr>
        <w:spacing w:line="360" w:lineRule="auto"/>
        <w:ind w:right="142"/>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备注:附代理人身份证</w:t>
      </w:r>
      <w:r>
        <w:rPr>
          <w:rFonts w:hint="eastAsia" w:ascii="宋体" w:hAnsi="宋体" w:cs="宋体"/>
          <w:bCs/>
          <w:color w:val="auto"/>
          <w:sz w:val="28"/>
          <w:szCs w:val="32"/>
          <w:highlight w:val="none"/>
          <w:lang w:val="en-US" w:eastAsia="zh-CN"/>
        </w:rPr>
        <w:t>扫描</w:t>
      </w:r>
      <w:r>
        <w:rPr>
          <w:rFonts w:hint="eastAsia" w:ascii="宋体" w:hAnsi="宋体" w:eastAsia="宋体" w:cs="宋体"/>
          <w:bCs/>
          <w:color w:val="auto"/>
          <w:sz w:val="28"/>
          <w:szCs w:val="32"/>
          <w:highlight w:val="none"/>
        </w:rPr>
        <w:t>件</w:t>
      </w:r>
      <w:bookmarkEnd w:id="237"/>
      <w:bookmarkEnd w:id="238"/>
      <w:bookmarkStart w:id="239" w:name="_Toc247230326"/>
      <w:r>
        <w:rPr>
          <w:rFonts w:hint="eastAsia" w:ascii="宋体" w:hAnsi="宋体" w:eastAsia="宋体" w:cs="宋体"/>
          <w:bCs/>
          <w:color w:val="auto"/>
          <w:sz w:val="28"/>
          <w:szCs w:val="32"/>
          <w:highlight w:val="none"/>
        </w:rPr>
        <w:t>（正、反面）</w:t>
      </w:r>
    </w:p>
    <w:p>
      <w:pPr>
        <w:rPr>
          <w:rFonts w:hint="eastAsia" w:ascii="宋体" w:hAnsi="宋体" w:eastAsia="宋体" w:cs="宋体"/>
          <w:color w:val="auto"/>
          <w:sz w:val="28"/>
          <w:szCs w:val="28"/>
          <w:highlight w:val="none"/>
        </w:rPr>
      </w:pPr>
      <w:bookmarkStart w:id="240" w:name="_Toc330342833"/>
      <w:bookmarkStart w:id="241" w:name="_Toc369353523"/>
      <w:bookmarkStart w:id="242" w:name="_Toc349914564"/>
      <w:bookmarkStart w:id="243" w:name="_Toc6655"/>
      <w:bookmarkStart w:id="244" w:name="_Toc15410"/>
      <w:bookmarkStart w:id="245" w:name="_Toc343510635"/>
      <w:bookmarkStart w:id="246" w:name="_Toc5577"/>
      <w:bookmarkStart w:id="247" w:name="_Toc349568760"/>
      <w:bookmarkStart w:id="248" w:name="_Toc344397402"/>
      <w:bookmarkStart w:id="249" w:name="_Toc330342582"/>
      <w:bookmarkStart w:id="250" w:name="_Toc350516699"/>
      <w:bookmarkStart w:id="251" w:name="_Toc344394236"/>
      <w:bookmarkStart w:id="252" w:name="_Toc350515685"/>
      <w:r>
        <w:rPr>
          <w:rFonts w:hint="eastAsia" w:ascii="宋体" w:hAnsi="宋体" w:eastAsia="宋体" w:cs="宋体"/>
          <w:color w:val="auto"/>
          <w:sz w:val="28"/>
          <w:szCs w:val="28"/>
          <w:highlight w:val="none"/>
        </w:rPr>
        <w:br w:type="page"/>
      </w:r>
    </w:p>
    <w:p>
      <w:pPr>
        <w:pStyle w:val="4"/>
        <w:bidi w:val="0"/>
        <w:rPr>
          <w:rFonts w:hint="eastAsia"/>
          <w:color w:val="auto"/>
          <w:highlight w:val="none"/>
          <w:lang w:val="en-US" w:eastAsia="zh-CN"/>
        </w:rPr>
      </w:pPr>
      <w:bookmarkStart w:id="253" w:name="_Toc3939"/>
      <w:r>
        <w:rPr>
          <w:rFonts w:hint="eastAsia"/>
          <w:color w:val="auto"/>
          <w:highlight w:val="none"/>
          <w:lang w:val="en-US" w:eastAsia="zh-CN"/>
        </w:rPr>
        <w:t>4、项目负责人</w:t>
      </w:r>
      <w:bookmarkEnd w:id="253"/>
    </w:p>
    <w:p>
      <w:pPr>
        <w:rPr>
          <w:rFonts w:hint="eastAsia" w:ascii="宋体" w:hAnsi="宋体" w:eastAsia="宋体" w:cs="宋体"/>
          <w:color w:val="auto"/>
          <w:highlight w:val="none"/>
        </w:rPr>
      </w:pPr>
    </w:p>
    <w:p>
      <w:pPr>
        <w:pStyle w:val="39"/>
        <w:spacing w:line="400" w:lineRule="exact"/>
        <w:ind w:firstLine="480" w:firstLineChars="200"/>
        <w:rPr>
          <w:rStyle w:val="28"/>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rPr>
        <w:t>项目</w:t>
      </w:r>
      <w:r>
        <w:rPr>
          <w:rStyle w:val="28"/>
          <w:rFonts w:hint="eastAsia" w:ascii="宋体" w:hAnsi="宋体" w:eastAsia="宋体" w:cs="宋体"/>
          <w:color w:val="auto"/>
          <w:sz w:val="24"/>
          <w:szCs w:val="24"/>
          <w:highlight w:val="none"/>
          <w:lang w:val="en-US" w:eastAsia="zh-CN"/>
        </w:rPr>
        <w:t>负责人</w:t>
      </w:r>
      <w:r>
        <w:rPr>
          <w:rStyle w:val="28"/>
          <w:rFonts w:hint="eastAsia" w:ascii="宋体" w:hAnsi="宋体" w:eastAsia="宋体" w:cs="宋体"/>
          <w:color w:val="auto"/>
          <w:sz w:val="24"/>
          <w:szCs w:val="24"/>
          <w:highlight w:val="none"/>
        </w:rPr>
        <w:t>应附注册证书、身份证、职称证、学历证</w:t>
      </w:r>
      <w:r>
        <w:rPr>
          <w:rStyle w:val="28"/>
          <w:rFonts w:hint="eastAsia" w:ascii="宋体" w:hAnsi="宋体" w:eastAsia="宋体" w:cs="宋体"/>
          <w:color w:val="auto"/>
          <w:sz w:val="24"/>
          <w:szCs w:val="24"/>
          <w:highlight w:val="none"/>
          <w:lang w:val="en-US" w:eastAsia="zh-CN"/>
        </w:rPr>
        <w:t>等</w:t>
      </w:r>
      <w:r>
        <w:rPr>
          <w:rStyle w:val="28"/>
          <w:rFonts w:hint="eastAsia" w:ascii="宋体" w:hAnsi="宋体" w:eastAsia="宋体" w:cs="宋体"/>
          <w:color w:val="auto"/>
          <w:sz w:val="24"/>
          <w:szCs w:val="24"/>
          <w:highlight w:val="none"/>
        </w:rPr>
        <w:t>。</w:t>
      </w:r>
    </w:p>
    <w:p>
      <w:pPr>
        <w:pStyle w:val="39"/>
        <w:spacing w:line="400" w:lineRule="exact"/>
        <w:rPr>
          <w:rStyle w:val="28"/>
          <w:rFonts w:hint="eastAsia" w:ascii="宋体" w:hAnsi="宋体" w:eastAsia="宋体" w:cs="宋体"/>
          <w:color w:val="auto"/>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079"/>
        <w:gridCol w:w="927"/>
        <w:gridCol w:w="1065"/>
        <w:gridCol w:w="1969"/>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姓  名</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年 龄</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学 历</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职  称</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职 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拟在本工程任职</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毕业学校</w:t>
            </w:r>
          </w:p>
        </w:tc>
        <w:tc>
          <w:tcPr>
            <w:tcW w:w="7336" w:type="dxa"/>
            <w:gridSpan w:val="6"/>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时  间</w:t>
            </w: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参加过的类似项目名称</w:t>
            </w: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概况说明</w:t>
            </w: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spacing w:line="360" w:lineRule="auto"/>
        <w:rPr>
          <w:rFonts w:hint="eastAsia" w:ascii="宋体" w:hAnsi="宋体" w:eastAsia="宋体" w:cs="宋体"/>
          <w:color w:val="auto"/>
          <w:sz w:val="28"/>
          <w:szCs w:val="28"/>
          <w:highlight w:val="none"/>
        </w:rPr>
      </w:pPr>
      <w:bookmarkStart w:id="254" w:name="_Toc8382"/>
      <w:bookmarkStart w:id="255" w:name="_Toc31585"/>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、投标保证书格式</w:t>
      </w:r>
      <w:bookmarkEnd w:id="254"/>
      <w:bookmarkEnd w:id="255"/>
    </w:p>
    <w:p>
      <w:pPr>
        <w:spacing w:line="360" w:lineRule="auto"/>
        <w:jc w:val="center"/>
        <w:rPr>
          <w:rFonts w:hint="eastAsia" w:ascii="宋体" w:hAnsi="宋体" w:eastAsia="宋体" w:cs="宋体"/>
          <w:b/>
          <w:color w:val="auto"/>
          <w:sz w:val="42"/>
          <w:highlight w:val="none"/>
        </w:rPr>
      </w:pPr>
      <w:r>
        <w:rPr>
          <w:rFonts w:hint="eastAsia" w:ascii="宋体" w:hAnsi="宋体" w:eastAsia="宋体" w:cs="宋体"/>
          <w:b/>
          <w:color w:val="auto"/>
          <w:sz w:val="42"/>
          <w:highlight w:val="none"/>
        </w:rPr>
        <w:t>投 标 保 证 书</w:t>
      </w:r>
    </w:p>
    <w:p>
      <w:pPr>
        <w:spacing w:line="360" w:lineRule="auto"/>
        <w:rPr>
          <w:rFonts w:hint="eastAsia" w:ascii="宋体" w:hAnsi="宋体" w:eastAsia="宋体" w:cs="宋体"/>
          <w:color w:val="auto"/>
          <w:sz w:val="24"/>
          <w:highlight w:val="none"/>
        </w:rPr>
      </w:pPr>
    </w:p>
    <w:p>
      <w:pPr>
        <w:spacing w:after="12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致：</w:t>
      </w:r>
      <w:r>
        <w:rPr>
          <w:rFonts w:hint="eastAsia" w:ascii="宋体" w:hAnsi="宋体" w:eastAsia="宋体" w:cs="宋体"/>
          <w:b/>
          <w:color w:val="auto"/>
          <w:spacing w:val="10"/>
          <w:sz w:val="24"/>
          <w:highlight w:val="none"/>
        </w:rPr>
        <w:t>辽宁国信建设工程管理有限公司</w:t>
      </w:r>
      <w:r>
        <w:rPr>
          <w:rFonts w:hint="eastAsia" w:ascii="宋体" w:hAnsi="宋体" w:eastAsia="宋体" w:cs="宋体"/>
          <w:b/>
          <w:color w:val="auto"/>
          <w:sz w:val="24"/>
          <w:highlight w:val="none"/>
        </w:rPr>
        <w:t>：</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本保证书作为</w:t>
      </w:r>
      <w:r>
        <w:rPr>
          <w:rFonts w:hint="eastAsia" w:ascii="宋体" w:hAnsi="宋体" w:eastAsia="宋体" w:cs="宋体"/>
          <w:color w:val="auto"/>
          <w:sz w:val="24"/>
          <w:highlight w:val="none"/>
          <w:u w:val="single"/>
        </w:rPr>
        <w:t xml:space="preserve">      （投标人）      </w:t>
      </w:r>
      <w:r>
        <w:rPr>
          <w:rFonts w:hint="eastAsia" w:ascii="宋体" w:hAnsi="宋体" w:eastAsia="宋体" w:cs="宋体"/>
          <w:color w:val="auto"/>
          <w:sz w:val="24"/>
          <w:highlight w:val="none"/>
        </w:rPr>
        <w:t>对贵公司“</w:t>
      </w:r>
      <w:r>
        <w:rPr>
          <w:rFonts w:hint="eastAsia" w:ascii="宋体" w:hAnsi="宋体" w:eastAsia="宋体" w:cs="宋体"/>
          <w:color w:val="auto"/>
          <w:sz w:val="24"/>
          <w:highlight w:val="none"/>
          <w:u w:val="single"/>
        </w:rPr>
        <w:t xml:space="preserve"> （项目名称）   （项目编号）  </w:t>
      </w:r>
      <w:r>
        <w:rPr>
          <w:rFonts w:hint="eastAsia" w:ascii="宋体" w:hAnsi="宋体" w:eastAsia="宋体" w:cs="宋体"/>
          <w:color w:val="auto"/>
          <w:sz w:val="24"/>
          <w:highlight w:val="none"/>
        </w:rPr>
        <w:t>” 的提供投标保证金的保证。</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由我单位（公司）提供的</w:t>
      </w:r>
      <w:r>
        <w:rPr>
          <w:rFonts w:hint="eastAsia" w:ascii="宋体" w:hAnsi="宋体" w:eastAsia="宋体" w:cs="宋体"/>
          <w:color w:val="auto"/>
          <w:sz w:val="24"/>
          <w:highlight w:val="none"/>
          <w:u w:val="single"/>
        </w:rPr>
        <w:t xml:space="preserve">     （投标保证金形式）     </w:t>
      </w:r>
      <w:r>
        <w:rPr>
          <w:rFonts w:hint="eastAsia" w:ascii="宋体" w:hAnsi="宋体" w:eastAsia="宋体" w:cs="宋体"/>
          <w:color w:val="auto"/>
          <w:sz w:val="24"/>
          <w:highlight w:val="none"/>
        </w:rPr>
        <w:t>总额为___________________（人民币______________万元）。</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一旦发生下述行为，我单位（公司）将放弃要求退还投标保证金的权利：</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1、从开标日起到投标文件有效期满前，我单位撤回投标；</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2、开标、评标到定标期间发生违反招标文件规定的行为；</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本保证书自开标日起90日历天内有效，除非贵方提前终止或解除本保证书。</w:t>
      </w:r>
    </w:p>
    <w:p>
      <w:pPr>
        <w:spacing w:before="60" w:after="60" w:line="360" w:lineRule="auto"/>
        <w:rPr>
          <w:rFonts w:hint="eastAsia" w:ascii="宋体" w:hAnsi="宋体" w:eastAsia="宋体" w:cs="宋体"/>
          <w:color w:val="auto"/>
          <w:sz w:val="24"/>
          <w:highlight w:val="none"/>
        </w:rPr>
      </w:pPr>
    </w:p>
    <w:p>
      <w:pPr>
        <w:spacing w:before="60" w:after="60" w:line="360" w:lineRule="auto"/>
        <w:rPr>
          <w:rFonts w:hint="eastAsia" w:ascii="宋体" w:hAnsi="宋体" w:eastAsia="宋体" w:cs="宋体"/>
          <w:color w:val="auto"/>
          <w:sz w:val="24"/>
          <w:highlight w:val="none"/>
        </w:rPr>
      </w:pP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投标人全称（盖公章）：________________________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法定代表人或授权委托代理人（签字或盖章）：__________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日期：_______年____月_____日</w:t>
      </w:r>
    </w:p>
    <w:p>
      <w:pPr>
        <w:spacing w:before="60" w:after="60" w:line="360" w:lineRule="auto"/>
        <w:ind w:firstLine="510"/>
        <w:rPr>
          <w:rFonts w:hint="eastAsia" w:ascii="宋体" w:hAnsi="宋体" w:eastAsia="宋体" w:cs="宋体"/>
          <w:color w:val="auto"/>
          <w:highlight w:val="none"/>
        </w:rPr>
      </w:pPr>
    </w:p>
    <w:p>
      <w:pPr>
        <w:pStyle w:val="4"/>
        <w:spacing w:line="360" w:lineRule="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highlight w:val="none"/>
        </w:rPr>
        <w:br w:type="page"/>
      </w:r>
      <w:bookmarkStart w:id="256" w:name="_Toc431929800"/>
      <w:bookmarkStart w:id="257" w:name="_Toc408756326"/>
      <w:bookmarkStart w:id="258" w:name="_Toc421711544"/>
      <w:bookmarkStart w:id="259" w:name="_Toc428352860"/>
      <w:bookmarkStart w:id="260" w:name="_Toc2349"/>
      <w:bookmarkStart w:id="261" w:name="_Toc3109"/>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、投标保证金</w:t>
      </w:r>
      <w:bookmarkEnd w:id="256"/>
      <w:bookmarkEnd w:id="257"/>
      <w:bookmarkEnd w:id="258"/>
      <w:bookmarkEnd w:id="259"/>
      <w:r>
        <w:rPr>
          <w:rFonts w:hint="eastAsia" w:ascii="宋体" w:hAnsi="宋体" w:eastAsia="宋体" w:cs="宋体"/>
          <w:color w:val="auto"/>
          <w:sz w:val="28"/>
          <w:szCs w:val="28"/>
          <w:highlight w:val="none"/>
        </w:rPr>
        <w:t>付款凭证</w:t>
      </w:r>
      <w:bookmarkEnd w:id="260"/>
      <w:r>
        <w:rPr>
          <w:rFonts w:hint="eastAsia" w:ascii="宋体" w:hAnsi="宋体" w:cs="宋体"/>
          <w:color w:val="auto"/>
          <w:sz w:val="28"/>
          <w:szCs w:val="28"/>
          <w:highlight w:val="none"/>
          <w:lang w:val="en-US" w:eastAsia="zh-CN"/>
        </w:rPr>
        <w:t>或保函扫描件</w:t>
      </w:r>
      <w:bookmarkEnd w:id="261"/>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7、投标人不得被列入“失信被执行人”或“失信惩戒对象”或“重大税收违法案件当事人”，以“信用中国”网站（www.creditchina.gov.cn）查询为准。（需在招标公告发布后从“信用中国”网站打印查询结果并加盖公章）</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numPr>
          <w:ilvl w:val="0"/>
          <w:numId w:val="11"/>
        </w:num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投标人告知承诺函</w:t>
      </w:r>
    </w:p>
    <w:p>
      <w:pPr>
        <w:spacing w:line="600" w:lineRule="exact"/>
        <w:jc w:val="center"/>
        <w:rPr>
          <w:rFonts w:hint="eastAsia" w:ascii="宋体" w:hAnsi="宋体" w:eastAsia="宋体" w:cs="宋体"/>
          <w:color w:val="auto"/>
          <w:szCs w:val="32"/>
          <w:highlight w:val="none"/>
        </w:rPr>
      </w:pPr>
      <w:r>
        <w:rPr>
          <w:rFonts w:hint="eastAsia" w:ascii="宋体" w:hAnsi="宋体" w:eastAsia="宋体" w:cs="宋体"/>
          <w:color w:val="auto"/>
          <w:sz w:val="32"/>
          <w:szCs w:val="32"/>
          <w:highlight w:val="none"/>
        </w:rPr>
        <w:t>投标人告知承诺函</w:t>
      </w:r>
    </w:p>
    <w:p>
      <w:pPr>
        <w:spacing w:line="600" w:lineRule="exact"/>
        <w:rPr>
          <w:rFonts w:hint="eastAsia" w:ascii="宋体" w:hAnsi="宋体" w:eastAsia="宋体" w:cs="宋体"/>
          <w:color w:val="auto"/>
          <w:sz w:val="30"/>
          <w:szCs w:val="30"/>
          <w:highlight w:val="none"/>
          <w:u w:val="single"/>
        </w:rPr>
      </w:pPr>
    </w:p>
    <w:p>
      <w:pPr>
        <w:spacing w:line="6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营口市自然资源局、</w:t>
      </w:r>
      <w:r>
        <w:rPr>
          <w:rFonts w:hint="eastAsia" w:ascii="宋体" w:hAnsi="宋体" w:cs="宋体"/>
          <w:color w:val="auto"/>
          <w:sz w:val="24"/>
          <w:szCs w:val="24"/>
          <w:highlight w:val="none"/>
          <w:u w:val="single"/>
          <w:lang w:val="en-US" w:eastAsia="zh-CN"/>
        </w:rPr>
        <w:t>营口市自然资源事务中心</w:t>
      </w:r>
      <w:r>
        <w:rPr>
          <w:rFonts w:hint="eastAsia" w:ascii="宋体" w:hAnsi="宋体" w:eastAsia="宋体" w:cs="宋体"/>
          <w:color w:val="auto"/>
          <w:sz w:val="24"/>
          <w:szCs w:val="24"/>
          <w:highlight w:val="none"/>
          <w:u w:val="single"/>
        </w:rPr>
        <w:t>：</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辽宁省营口市海洋生态保护修复工程项目全过程工程造价咨询服务</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一、我单位和我本人遵循公开、公平、公正、诚实守信的原则，依法依规参与本项目投标。</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二、我单位具有参与本次投标的资质和能力，公司运营状况良好，不存在挂靠投标、不受让、租借、出租、出借资格或资质证书，无处罚期内的不良行为。</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三、我单位在本项目投标过程中从招标公告/投标邀请书列明的渠道获取招标文件，没有通过其他不正当渠道获取招标文件。</w:t>
      </w:r>
    </w:p>
    <w:p>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四、我单位承诺投标文件由本单位员工独立编制，严格遵守保密义务。所提供的一切投标相关材料都是真实、有效、合法的。</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五、我单位不与其他投标人相互串通投标报价，不恶意压低或抬高投标报价，不排挤其他投标人的公平竞争，不损害招标人或其他投标人的合法权益。</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六、我单位不与招标人或招标代理机构串通投标，损害国家利益、社会公共利益或者他人的合法权益。</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七、我单位不向招标人或者评标委员会成员行贿以牟取中标，不在开标后进行虚假恶意投诉。</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九、我单位如在本项目招标投标活动评标工作中存在串通投标、弄虚作假等行为的，本单位及本人自愿承担法律责任，接受相应刑事、纪律和行政处罚以及失信惩戒。</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十、本承诺函由我单位盖章及法定代表人（授权委托人）签字（或盖章）确认。</w:t>
      </w:r>
    </w:p>
    <w:p>
      <w:pPr>
        <w:spacing w:line="600" w:lineRule="exact"/>
        <w:ind w:firstLine="480" w:firstLineChars="200"/>
        <w:rPr>
          <w:rFonts w:hint="eastAsia" w:ascii="宋体" w:hAnsi="宋体" w:eastAsia="宋体" w:cs="宋体"/>
          <w:color w:val="auto"/>
          <w:sz w:val="24"/>
          <w:szCs w:val="24"/>
          <w:highlight w:val="none"/>
          <w:shd w:val="clear" w:color="auto" w:fill="FFFFFF"/>
        </w:rPr>
      </w:pPr>
    </w:p>
    <w:p>
      <w:pPr>
        <w:spacing w:line="600" w:lineRule="exact"/>
        <w:ind w:firstLine="480" w:firstLineChars="200"/>
        <w:rPr>
          <w:rFonts w:hint="eastAsia" w:ascii="宋体" w:hAnsi="宋体" w:eastAsia="宋体" w:cs="宋体"/>
          <w:color w:val="auto"/>
          <w:sz w:val="24"/>
          <w:szCs w:val="24"/>
          <w:highlight w:val="none"/>
          <w:shd w:val="clear" w:color="auto" w:fill="FFFFFF"/>
        </w:rPr>
      </w:pPr>
    </w:p>
    <w:p>
      <w:pPr>
        <w:spacing w:line="6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承诺单位：     （盖单位公章）</w:t>
      </w:r>
    </w:p>
    <w:p>
      <w:pPr>
        <w:spacing w:line="600" w:lineRule="exact"/>
        <w:rPr>
          <w:rFonts w:hint="eastAsia" w:ascii="宋体" w:hAnsi="宋体" w:eastAsia="宋体" w:cs="宋体"/>
          <w:color w:val="auto"/>
          <w:sz w:val="24"/>
          <w:szCs w:val="24"/>
          <w:highlight w:val="none"/>
        </w:rPr>
      </w:pPr>
    </w:p>
    <w:p>
      <w:pPr>
        <w:spacing w:line="6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法定代表人（授权委托人）：        （签字或盖章）</w:t>
      </w:r>
    </w:p>
    <w:p>
      <w:pPr>
        <w:spacing w:line="600" w:lineRule="exact"/>
        <w:rPr>
          <w:rFonts w:hint="eastAsia" w:ascii="宋体" w:hAnsi="宋体" w:eastAsia="宋体" w:cs="宋体"/>
          <w:color w:val="auto"/>
          <w:sz w:val="24"/>
          <w:szCs w:val="24"/>
          <w:highlight w:val="none"/>
        </w:rPr>
      </w:pPr>
    </w:p>
    <w:p>
      <w:pPr>
        <w:spacing w:line="600" w:lineRule="exact"/>
        <w:rPr>
          <w:rFonts w:hint="eastAsia" w:ascii="宋体" w:hAnsi="宋体" w:eastAsia="宋体" w:cs="宋体"/>
          <w:color w:val="auto"/>
          <w:sz w:val="24"/>
          <w:szCs w:val="24"/>
          <w:highlight w:val="none"/>
        </w:rPr>
      </w:pPr>
    </w:p>
    <w:p>
      <w:pPr>
        <w:numPr>
          <w:ilvl w:val="0"/>
          <w:numId w:val="0"/>
        </w:numPr>
        <w:jc w:val="righ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承诺时间：    年   月  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Cs w:val="0"/>
          <w:color w:val="auto"/>
          <w:highlight w:val="none"/>
        </w:rPr>
      </w:pPr>
      <w:bookmarkStart w:id="262" w:name="_Toc13728"/>
      <w:r>
        <w:rPr>
          <w:rFonts w:hint="eastAsia" w:ascii="宋体" w:hAnsi="宋体" w:eastAsia="宋体" w:cs="宋体"/>
          <w:bCs w:val="0"/>
          <w:color w:val="auto"/>
          <w:highlight w:val="none"/>
        </w:rPr>
        <w:br w:type="page"/>
      </w:r>
    </w:p>
    <w:p>
      <w:pPr>
        <w:pStyle w:val="4"/>
        <w:spacing w:line="360" w:lineRule="auto"/>
        <w:jc w:val="center"/>
        <w:rPr>
          <w:rFonts w:hint="eastAsia" w:ascii="宋体" w:hAnsi="宋体" w:eastAsia="宋体" w:cs="宋体"/>
          <w:color w:val="auto"/>
          <w:highlight w:val="none"/>
        </w:rPr>
      </w:pPr>
      <w:bookmarkStart w:id="263" w:name="_Toc22093"/>
      <w:bookmarkStart w:id="264" w:name="_Toc330342816"/>
      <w:bookmarkStart w:id="265" w:name="_Toc344397386"/>
      <w:bookmarkStart w:id="266" w:name="_Toc19864"/>
      <w:bookmarkStart w:id="267" w:name="_Toc16811"/>
      <w:bookmarkStart w:id="268" w:name="_Toc369353510"/>
      <w:bookmarkStart w:id="269" w:name="_Toc349914547"/>
      <w:bookmarkStart w:id="270" w:name="_Toc7715"/>
      <w:bookmarkStart w:id="271" w:name="_Toc350515672"/>
      <w:bookmarkStart w:id="272" w:name="_Toc344394220"/>
      <w:bookmarkStart w:id="273" w:name="_Toc350516686"/>
      <w:bookmarkStart w:id="274" w:name="_Toc343510619"/>
      <w:bookmarkStart w:id="275" w:name="_Toc14571"/>
      <w:bookmarkStart w:id="276" w:name="_Toc349568743"/>
      <w:r>
        <w:rPr>
          <w:rFonts w:hint="eastAsia" w:ascii="宋体" w:hAnsi="宋体" w:eastAsia="宋体" w:cs="宋体"/>
          <w:color w:val="auto"/>
          <w:highlight w:val="none"/>
        </w:rPr>
        <w:t>第三部分 技术部分</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spacing w:before="240" w:after="60" w:line="360" w:lineRule="auto"/>
        <w:ind w:firstLine="510"/>
        <w:rPr>
          <w:rFonts w:hint="eastAsia" w:ascii="宋体" w:hAnsi="宋体" w:eastAsia="宋体" w:cs="宋体"/>
          <w:color w:val="auto"/>
          <w:sz w:val="24"/>
          <w:highlight w:val="none"/>
        </w:rPr>
      </w:pP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投标人根据招标文件的要求对所投</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的以下方面进行技术说明，格式自拟：</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全过程造价咨询服务方案；</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机构设置及岗位职责；</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质量承诺及保证措施；</w:t>
      </w:r>
    </w:p>
    <w:p>
      <w:pPr>
        <w:spacing w:before="240" w:after="60" w:line="360" w:lineRule="auto"/>
        <w:ind w:firstLine="51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实施进度计划及保障措施</w:t>
      </w:r>
      <w:r>
        <w:rPr>
          <w:rFonts w:hint="eastAsia" w:ascii="宋体" w:hAnsi="宋体" w:eastAsia="宋体" w:cs="宋体"/>
          <w:color w:val="auto"/>
          <w:sz w:val="24"/>
          <w:highlight w:val="none"/>
          <w:lang w:eastAsia="zh-CN"/>
        </w:rPr>
        <w:t>；</w:t>
      </w:r>
    </w:p>
    <w:p>
      <w:pPr>
        <w:spacing w:before="240" w:after="60" w:line="360" w:lineRule="auto"/>
        <w:ind w:firstLine="51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投资控制造价咨询措施</w:t>
      </w:r>
      <w:r>
        <w:rPr>
          <w:rFonts w:hint="eastAsia" w:ascii="宋体" w:hAnsi="宋体" w:eastAsia="宋体" w:cs="宋体"/>
          <w:color w:val="auto"/>
          <w:sz w:val="24"/>
          <w:highlight w:val="none"/>
          <w:lang w:eastAsia="zh-CN"/>
        </w:rPr>
        <w:t>；</w:t>
      </w:r>
    </w:p>
    <w:p>
      <w:pPr>
        <w:spacing w:before="240" w:after="60" w:line="360" w:lineRule="auto"/>
        <w:ind w:firstLine="51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针对本项目的合理化建议</w:t>
      </w:r>
      <w:r>
        <w:rPr>
          <w:rFonts w:hint="eastAsia" w:ascii="宋体" w:hAnsi="宋体" w:eastAsia="宋体" w:cs="宋体"/>
          <w:color w:val="auto"/>
          <w:sz w:val="24"/>
          <w:highlight w:val="none"/>
          <w:lang w:eastAsia="zh-CN"/>
        </w:rPr>
        <w:t>；</w:t>
      </w:r>
    </w:p>
    <w:p>
      <w:pPr>
        <w:spacing w:before="240" w:after="60" w:line="360" w:lineRule="auto"/>
        <w:ind w:firstLine="5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资料、信息收集及管理方案</w:t>
      </w:r>
      <w:r>
        <w:rPr>
          <w:rFonts w:hint="eastAsia" w:ascii="宋体" w:hAnsi="宋体" w:eastAsia="宋体" w:cs="宋体"/>
          <w:color w:val="auto"/>
          <w:sz w:val="24"/>
          <w:highlight w:val="none"/>
          <w:lang w:eastAsia="zh-CN"/>
        </w:rPr>
        <w:t>。</w:t>
      </w:r>
    </w:p>
    <w:p>
      <w:pPr>
        <w:rPr>
          <w:rFonts w:hint="eastAsia" w:ascii="宋体" w:hAnsi="宋体" w:eastAsia="宋体" w:cs="宋体"/>
          <w:bCs w:val="0"/>
          <w:color w:val="auto"/>
          <w:highlight w:val="none"/>
        </w:rPr>
      </w:pPr>
    </w:p>
    <w:p>
      <w:pPr>
        <w:rPr>
          <w:rFonts w:hint="eastAsia" w:ascii="宋体" w:hAnsi="宋体" w:eastAsia="宋体" w:cs="宋体"/>
          <w:bCs w:val="0"/>
          <w:color w:val="auto"/>
          <w:highlight w:val="none"/>
        </w:rPr>
      </w:pPr>
      <w:r>
        <w:rPr>
          <w:rFonts w:hint="eastAsia" w:ascii="宋体" w:hAnsi="宋体" w:eastAsia="宋体" w:cs="宋体"/>
          <w:bCs w:val="0"/>
          <w:color w:val="auto"/>
          <w:highlight w:val="none"/>
        </w:rPr>
        <w:br w:type="page"/>
      </w:r>
    </w:p>
    <w:p>
      <w:pPr>
        <w:pStyle w:val="4"/>
        <w:spacing w:line="360" w:lineRule="auto"/>
        <w:jc w:val="center"/>
        <w:rPr>
          <w:rFonts w:hint="eastAsia" w:ascii="宋体" w:hAnsi="宋体" w:eastAsia="宋体" w:cs="宋体"/>
          <w:color w:val="auto"/>
          <w:highlight w:val="none"/>
        </w:rPr>
      </w:pPr>
      <w:bookmarkStart w:id="277" w:name="_Toc21099"/>
      <w:bookmarkStart w:id="278" w:name="_Toc23478"/>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部分 商务部分</w:t>
      </w:r>
      <w:bookmarkEnd w:id="277"/>
      <w:bookmarkEnd w:id="278"/>
    </w:p>
    <w:p>
      <w:pPr>
        <w:pStyle w:val="4"/>
        <w:spacing w:line="360" w:lineRule="auto"/>
        <w:rPr>
          <w:rFonts w:hint="eastAsia" w:ascii="宋体" w:hAnsi="宋体" w:eastAsia="宋体" w:cs="宋体"/>
          <w:color w:val="auto"/>
          <w:sz w:val="28"/>
          <w:szCs w:val="28"/>
          <w:highlight w:val="none"/>
        </w:rPr>
      </w:pPr>
      <w:bookmarkStart w:id="279" w:name="_Toc343510614"/>
      <w:bookmarkStart w:id="280" w:name="_Toc344394215"/>
      <w:bookmarkStart w:id="281" w:name="_Toc330342560"/>
      <w:bookmarkStart w:id="282" w:name="_Toc9488"/>
      <w:bookmarkStart w:id="283" w:name="_Toc25097"/>
      <w:bookmarkStart w:id="284" w:name="_Toc344397381"/>
      <w:bookmarkStart w:id="285" w:name="_Toc349568738"/>
      <w:bookmarkStart w:id="286" w:name="_Toc330342811"/>
      <w:bookmarkStart w:id="287" w:name="_Toc350515671"/>
      <w:bookmarkStart w:id="288" w:name="_Toc369353509"/>
      <w:bookmarkStart w:id="289" w:name="_Toc268"/>
      <w:bookmarkStart w:id="290" w:name="_Toc7807"/>
      <w:bookmarkStart w:id="291" w:name="_Toc349914546"/>
      <w:bookmarkStart w:id="292" w:name="_Toc18123"/>
      <w:bookmarkStart w:id="293" w:name="_Toc350516685"/>
      <w:r>
        <w:rPr>
          <w:rFonts w:hint="eastAsia" w:ascii="宋体" w:hAnsi="宋体" w:eastAsia="宋体" w:cs="宋体"/>
          <w:color w:val="auto"/>
          <w:sz w:val="28"/>
          <w:szCs w:val="28"/>
          <w:highlight w:val="none"/>
        </w:rPr>
        <w:t>1、</w:t>
      </w:r>
      <w:bookmarkEnd w:id="279"/>
      <w:bookmarkEnd w:id="280"/>
      <w:bookmarkEnd w:id="281"/>
      <w:bookmarkEnd w:id="282"/>
      <w:bookmarkEnd w:id="283"/>
      <w:bookmarkEnd w:id="284"/>
      <w:bookmarkEnd w:id="285"/>
      <w:bookmarkEnd w:id="286"/>
      <w:r>
        <w:rPr>
          <w:rFonts w:hint="eastAsia" w:ascii="宋体" w:hAnsi="宋体" w:eastAsia="宋体" w:cs="宋体"/>
          <w:bCs w:val="0"/>
          <w:color w:val="auto"/>
          <w:sz w:val="28"/>
          <w:szCs w:val="28"/>
          <w:highlight w:val="none"/>
          <w:lang w:val="en-US" w:eastAsia="zh-CN"/>
        </w:rPr>
        <w:t>服务</w:t>
      </w:r>
      <w:r>
        <w:rPr>
          <w:rFonts w:hint="eastAsia" w:ascii="宋体" w:hAnsi="宋体" w:eastAsia="宋体" w:cs="宋体"/>
          <w:bCs w:val="0"/>
          <w:color w:val="auto"/>
          <w:sz w:val="28"/>
          <w:szCs w:val="28"/>
          <w:highlight w:val="none"/>
        </w:rPr>
        <w:t>说明</w:t>
      </w:r>
      <w:bookmarkEnd w:id="287"/>
      <w:bookmarkEnd w:id="288"/>
      <w:bookmarkEnd w:id="289"/>
      <w:bookmarkEnd w:id="290"/>
      <w:bookmarkEnd w:id="291"/>
      <w:bookmarkEnd w:id="292"/>
      <w:bookmarkEnd w:id="293"/>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我单位所提供的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 xml:space="preserve">质量完全响应“第五章 </w:t>
      </w:r>
      <w:r>
        <w:rPr>
          <w:rFonts w:hint="eastAsia" w:ascii="宋体" w:hAnsi="宋体" w:eastAsia="宋体" w:cs="宋体"/>
          <w:color w:val="auto"/>
          <w:sz w:val="24"/>
          <w:szCs w:val="24"/>
          <w:highlight w:val="none"/>
          <w:lang w:val="en-US" w:eastAsia="zh-CN"/>
        </w:rPr>
        <w:t>项目情况及服务需求</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u w:val="single"/>
        </w:rPr>
      </w:pPr>
    </w:p>
    <w:p>
      <w:pPr>
        <w:spacing w:before="240" w:after="60" w:line="360" w:lineRule="auto"/>
        <w:rPr>
          <w:rFonts w:hint="eastAsia" w:ascii="宋体" w:hAnsi="宋体" w:eastAsia="宋体" w:cs="宋体"/>
          <w:color w:val="auto"/>
          <w:sz w:val="24"/>
          <w:highlight w:val="none"/>
        </w:rPr>
      </w:pP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日期：________年_____月_____日</w:t>
      </w:r>
    </w:p>
    <w:p>
      <w:pPr>
        <w:spacing w:line="360" w:lineRule="auto"/>
        <w:rPr>
          <w:rFonts w:hint="eastAsia" w:ascii="宋体" w:hAnsi="宋体" w:eastAsia="宋体" w:cs="宋体"/>
          <w:b/>
          <w:bCs/>
          <w:color w:val="auto"/>
          <w:sz w:val="24"/>
          <w:szCs w:val="24"/>
          <w:highlight w:val="none"/>
        </w:rPr>
      </w:pPr>
    </w:p>
    <w:p>
      <w:pPr>
        <w:pStyle w:val="4"/>
        <w:spacing w:line="360" w:lineRule="auto"/>
        <w:rPr>
          <w:rFonts w:hint="eastAsia" w:ascii="宋体" w:hAnsi="宋体" w:eastAsia="宋体" w:cs="宋体"/>
          <w:color w:val="auto"/>
          <w:sz w:val="28"/>
          <w:szCs w:val="28"/>
          <w:highlight w:val="none"/>
        </w:rPr>
        <w:sectPr>
          <w:headerReference r:id="rId14" w:type="default"/>
          <w:pgSz w:w="11906" w:h="16838"/>
          <w:pgMar w:top="1134" w:right="1274" w:bottom="993" w:left="1276" w:header="454" w:footer="454" w:gutter="0"/>
          <w:cols w:space="720" w:num="1"/>
          <w:docGrid w:linePitch="312" w:charSpace="0"/>
        </w:sectPr>
      </w:pPr>
    </w:p>
    <w:p>
      <w:pPr>
        <w:pStyle w:val="4"/>
        <w:spacing w:line="360" w:lineRule="auto"/>
        <w:rPr>
          <w:rFonts w:hint="eastAsia" w:ascii="宋体" w:hAnsi="宋体" w:eastAsia="宋体" w:cs="宋体"/>
          <w:color w:val="auto"/>
          <w:sz w:val="28"/>
          <w:szCs w:val="28"/>
          <w:highlight w:val="none"/>
        </w:rPr>
      </w:pPr>
      <w:bookmarkStart w:id="294" w:name="_Toc369353511"/>
      <w:bookmarkStart w:id="295" w:name="_Toc7616"/>
      <w:bookmarkStart w:id="296" w:name="_Toc350515673"/>
      <w:bookmarkStart w:id="297" w:name="_Toc350516687"/>
      <w:bookmarkStart w:id="298" w:name="_Toc18539"/>
      <w:bookmarkStart w:id="299" w:name="_Toc349914548"/>
      <w:bookmarkStart w:id="300" w:name="_Toc23964"/>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拟投入本项目的人员情况</w:t>
      </w:r>
      <w:r>
        <w:rPr>
          <w:rFonts w:hint="eastAsia" w:ascii="宋体" w:hAnsi="宋体" w:eastAsia="宋体" w:cs="宋体"/>
          <w:color w:val="auto"/>
          <w:sz w:val="28"/>
          <w:szCs w:val="28"/>
          <w:highlight w:val="none"/>
        </w:rPr>
        <w:t>（格式）</w:t>
      </w:r>
      <w:bookmarkEnd w:id="294"/>
      <w:bookmarkEnd w:id="295"/>
      <w:bookmarkEnd w:id="296"/>
      <w:bookmarkEnd w:id="297"/>
      <w:bookmarkEnd w:id="298"/>
      <w:bookmarkEnd w:id="299"/>
      <w:bookmarkEnd w:id="300"/>
    </w:p>
    <w:p>
      <w:pPr>
        <w:spacing w:line="360" w:lineRule="auto"/>
        <w:jc w:val="center"/>
        <w:rPr>
          <w:rFonts w:hint="eastAsia" w:ascii="宋体" w:hAnsi="宋体" w:eastAsia="宋体" w:cs="宋体"/>
          <w:b/>
          <w:color w:val="auto"/>
          <w:highlight w:val="none"/>
          <w:lang w:eastAsia="zh-CN"/>
        </w:rPr>
      </w:pPr>
      <w:r>
        <w:rPr>
          <w:rFonts w:hint="eastAsia" w:ascii="宋体" w:hAnsi="宋体" w:eastAsia="宋体" w:cs="宋体"/>
          <w:b/>
          <w:color w:val="auto"/>
          <w:sz w:val="28"/>
          <w:szCs w:val="28"/>
          <w:highlight w:val="none"/>
          <w:lang w:eastAsia="zh-CN"/>
        </w:rPr>
        <w:t>拟投入本项目的人员情况</w:t>
      </w:r>
    </w:p>
    <w:tbl>
      <w:tblPr>
        <w:tblStyle w:val="26"/>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3188"/>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人员姓名</w:t>
            </w:r>
          </w:p>
        </w:tc>
        <w:tc>
          <w:tcPr>
            <w:tcW w:w="3188" w:type="dxa"/>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专业工作年限</w:t>
            </w:r>
          </w:p>
        </w:tc>
        <w:tc>
          <w:tcPr>
            <w:tcW w:w="3197" w:type="dxa"/>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bl>
    <w:p>
      <w:pPr>
        <w:spacing w:before="240" w:after="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注：后</w:t>
      </w:r>
      <w:r>
        <w:rPr>
          <w:rFonts w:hint="eastAsia" w:ascii="宋体" w:hAnsi="宋体" w:eastAsia="宋体" w:cs="宋体"/>
          <w:color w:val="auto"/>
          <w:sz w:val="24"/>
          <w:highlight w:val="none"/>
        </w:rPr>
        <w:t>附身份证、职称证、学历证</w:t>
      </w:r>
      <w:r>
        <w:rPr>
          <w:rFonts w:hint="eastAsia" w:ascii="宋体" w:hAnsi="宋体" w:eastAsia="宋体" w:cs="宋体"/>
          <w:color w:val="auto"/>
          <w:sz w:val="24"/>
          <w:highlight w:val="none"/>
          <w:lang w:val="en-US" w:eastAsia="zh-CN"/>
        </w:rPr>
        <w:t>及投标截止时间前6个月内社保证明材料等</w:t>
      </w:r>
      <w:r>
        <w:rPr>
          <w:rFonts w:hint="eastAsia" w:ascii="宋体" w:hAnsi="宋体" w:eastAsia="宋体" w:cs="宋体"/>
          <w:color w:val="auto"/>
          <w:sz w:val="24"/>
          <w:highlight w:val="none"/>
        </w:rPr>
        <w:t>。</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日期：________年_____月_____日</w:t>
      </w:r>
    </w:p>
    <w:p>
      <w:pPr>
        <w:pStyle w:val="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page"/>
      </w:r>
      <w:bookmarkStart w:id="301" w:name="_Toc29149"/>
      <w:bookmarkStart w:id="302" w:name="_Toc32458"/>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2019</w:t>
      </w:r>
      <w:r>
        <w:rPr>
          <w:rFonts w:hint="eastAsia" w:ascii="宋体" w:hAnsi="宋体" w:eastAsia="宋体" w:cs="宋体"/>
          <w:color w:val="auto"/>
          <w:sz w:val="28"/>
          <w:szCs w:val="28"/>
          <w:highlight w:val="none"/>
        </w:rPr>
        <w:t>年1月1日至今类似</w:t>
      </w:r>
      <w:r>
        <w:rPr>
          <w:rFonts w:hint="eastAsia" w:ascii="宋体" w:hAnsi="宋体" w:cs="宋体"/>
          <w:color w:val="auto"/>
          <w:sz w:val="28"/>
          <w:szCs w:val="28"/>
          <w:highlight w:val="none"/>
          <w:lang w:eastAsia="zh-CN"/>
        </w:rPr>
        <w:t>服务</w:t>
      </w:r>
      <w:r>
        <w:rPr>
          <w:rFonts w:hint="eastAsia" w:ascii="宋体" w:hAnsi="宋体" w:eastAsia="宋体" w:cs="宋体"/>
          <w:color w:val="auto"/>
          <w:sz w:val="28"/>
          <w:szCs w:val="28"/>
          <w:highlight w:val="none"/>
        </w:rPr>
        <w:t>业绩（如有）</w:t>
      </w:r>
      <w:bookmarkEnd w:id="301"/>
      <w:bookmarkEnd w:id="302"/>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注：1）类似</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业绩要求投标人附</w:t>
      </w:r>
      <w:r>
        <w:rPr>
          <w:rFonts w:hint="eastAsia" w:ascii="宋体" w:hAnsi="宋体" w:cs="宋体"/>
          <w:b/>
          <w:color w:val="auto"/>
          <w:sz w:val="24"/>
          <w:highlight w:val="none"/>
          <w:lang w:val="en-US" w:eastAsia="zh-CN"/>
        </w:rPr>
        <w:t>2019</w:t>
      </w:r>
      <w:r>
        <w:rPr>
          <w:rFonts w:hint="eastAsia" w:ascii="宋体" w:hAnsi="宋体" w:eastAsia="宋体" w:cs="宋体"/>
          <w:b/>
          <w:color w:val="auto"/>
          <w:sz w:val="24"/>
          <w:highlight w:val="none"/>
        </w:rPr>
        <w:t>年1月1日至今已完成或正在履行的类似</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合同</w:t>
      </w:r>
      <w:r>
        <w:rPr>
          <w:rFonts w:hint="eastAsia" w:ascii="宋体" w:hAnsi="宋体" w:cs="宋体"/>
          <w:b/>
          <w:color w:val="auto"/>
          <w:sz w:val="24"/>
          <w:highlight w:val="none"/>
          <w:lang w:val="en-US" w:eastAsia="zh-CN"/>
        </w:rPr>
        <w:t>扫描件</w:t>
      </w:r>
      <w:r>
        <w:rPr>
          <w:rFonts w:hint="eastAsia" w:ascii="宋体" w:hAnsi="宋体" w:eastAsia="宋体" w:cs="宋体"/>
          <w:b/>
          <w:color w:val="auto"/>
          <w:sz w:val="24"/>
          <w:highlight w:val="none"/>
        </w:rPr>
        <w:t>（以合同或协议签订日期为准），类似</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合同</w:t>
      </w:r>
      <w:r>
        <w:rPr>
          <w:rFonts w:hint="eastAsia" w:ascii="宋体" w:hAnsi="宋体" w:cs="宋体"/>
          <w:b/>
          <w:color w:val="auto"/>
          <w:sz w:val="24"/>
          <w:szCs w:val="24"/>
          <w:highlight w:val="none"/>
          <w:lang w:val="en-US" w:eastAsia="zh-CN"/>
        </w:rPr>
        <w:t>扫描件</w:t>
      </w:r>
      <w:r>
        <w:rPr>
          <w:rFonts w:hint="eastAsia" w:ascii="宋体" w:hAnsi="宋体" w:eastAsia="宋体" w:cs="宋体"/>
          <w:b/>
          <w:color w:val="auto"/>
          <w:sz w:val="24"/>
          <w:szCs w:val="24"/>
          <w:highlight w:val="none"/>
        </w:rPr>
        <w:t>须加盖公章。</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2）投标人</w:t>
      </w:r>
      <w:r>
        <w:rPr>
          <w:rFonts w:hint="eastAsia" w:ascii="宋体" w:hAnsi="宋体" w:eastAsia="宋体" w:cs="宋体"/>
          <w:b/>
          <w:color w:val="auto"/>
          <w:sz w:val="24"/>
          <w:szCs w:val="24"/>
          <w:highlight w:val="none"/>
        </w:rPr>
        <w:t>所提供的业绩证明材料是否具有类似性由评标委员会判定。</w:t>
      </w:r>
    </w:p>
    <w:p>
      <w:pPr>
        <w:rPr>
          <w:rFonts w:hint="eastAsia" w:ascii="宋体" w:hAnsi="宋体" w:eastAsia="宋体" w:cs="宋体"/>
          <w:bCs w:val="0"/>
          <w:color w:val="auto"/>
          <w:highlight w:val="none"/>
        </w:rPr>
      </w:pPr>
      <w:r>
        <w:rPr>
          <w:rFonts w:hint="eastAsia" w:ascii="宋体" w:hAnsi="宋体" w:eastAsia="宋体" w:cs="宋体"/>
          <w:bCs w:val="0"/>
          <w:color w:val="auto"/>
          <w:highlight w:val="none"/>
        </w:rPr>
        <w:br w:type="page"/>
      </w:r>
    </w:p>
    <w:p>
      <w:pPr>
        <w:pStyle w:val="4"/>
        <w:spacing w:line="360" w:lineRule="auto"/>
        <w:jc w:val="center"/>
        <w:rPr>
          <w:rFonts w:hint="eastAsia" w:ascii="宋体" w:hAnsi="宋体" w:eastAsia="宋体" w:cs="宋体"/>
          <w:color w:val="auto"/>
          <w:sz w:val="28"/>
          <w:szCs w:val="28"/>
          <w:highlight w:val="none"/>
        </w:rPr>
      </w:pPr>
      <w:bookmarkStart w:id="303" w:name="_Toc19157"/>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五</w:t>
      </w:r>
      <w:r>
        <w:rPr>
          <w:rFonts w:hint="eastAsia" w:ascii="宋体" w:hAnsi="宋体" w:eastAsia="宋体" w:cs="宋体"/>
          <w:bCs w:val="0"/>
          <w:color w:val="auto"/>
          <w:highlight w:val="none"/>
        </w:rPr>
        <w:t xml:space="preserve">部分 </w:t>
      </w:r>
      <w:r>
        <w:rPr>
          <w:rFonts w:hint="eastAsia" w:ascii="宋体" w:hAnsi="宋体" w:eastAsia="宋体" w:cs="宋体"/>
          <w:bCs w:val="0"/>
          <w:color w:val="auto"/>
          <w:highlight w:val="none"/>
          <w:lang w:val="en-US" w:eastAsia="zh-CN"/>
        </w:rPr>
        <w:t>其他资料</w:t>
      </w:r>
      <w:bookmarkEnd w:id="303"/>
    </w:p>
    <w:p>
      <w:pPr>
        <w:pStyle w:val="4"/>
        <w:spacing w:line="360" w:lineRule="auto"/>
        <w:rPr>
          <w:rFonts w:hint="eastAsia" w:ascii="宋体" w:hAnsi="宋体" w:eastAsia="宋体" w:cs="宋体"/>
          <w:color w:val="auto"/>
          <w:sz w:val="28"/>
          <w:szCs w:val="28"/>
          <w:highlight w:val="none"/>
        </w:rPr>
      </w:pPr>
      <w:bookmarkStart w:id="304" w:name="_Toc349568752"/>
      <w:bookmarkStart w:id="305" w:name="_Toc330342573"/>
      <w:bookmarkStart w:id="306" w:name="_Toc26376"/>
      <w:bookmarkStart w:id="307" w:name="_Toc330342824"/>
      <w:bookmarkStart w:id="308" w:name="_Toc7987"/>
      <w:bookmarkStart w:id="309" w:name="_Toc343510627"/>
      <w:bookmarkStart w:id="310" w:name="_Toc344394228"/>
      <w:bookmarkStart w:id="311" w:name="_Toc349914552"/>
      <w:bookmarkStart w:id="312" w:name="_Toc563"/>
      <w:bookmarkStart w:id="313" w:name="_Toc20287"/>
      <w:bookmarkStart w:id="314" w:name="_Toc21061"/>
      <w:bookmarkStart w:id="315" w:name="_Toc369353515"/>
      <w:bookmarkStart w:id="316" w:name="_Toc350515677"/>
      <w:bookmarkStart w:id="317" w:name="_Toc344397394"/>
      <w:bookmarkStart w:id="318" w:name="_Toc350516691"/>
      <w:r>
        <w:rPr>
          <w:rFonts w:hint="eastAsia" w:ascii="宋体" w:hAnsi="宋体" w:eastAsia="宋体" w:cs="宋体"/>
          <w:color w:val="auto"/>
          <w:sz w:val="28"/>
          <w:szCs w:val="28"/>
          <w:highlight w:val="none"/>
        </w:rPr>
        <w:t>1、承诺书</w:t>
      </w:r>
      <w:r>
        <w:rPr>
          <w:rFonts w:hint="eastAsia" w:ascii="宋体" w:hAnsi="宋体" w:eastAsia="宋体" w:cs="宋体"/>
          <w:bCs w:val="0"/>
          <w:color w:val="auto"/>
          <w:sz w:val="28"/>
          <w:szCs w:val="28"/>
          <w:highlight w:val="none"/>
        </w:rPr>
        <w:t>（格式）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autoSpaceDE w:val="0"/>
        <w:autoSpaceDN w:val="0"/>
        <w:adjustRightInd w:val="0"/>
        <w:spacing w:after="240" w:line="360" w:lineRule="auto"/>
        <w:jc w:val="left"/>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4"/>
          <w:highlight w:val="none"/>
          <w:lang w:val="zh-CN"/>
        </w:rPr>
        <w:t>致：</w:t>
      </w:r>
      <w:r>
        <w:rPr>
          <w:rFonts w:hint="eastAsia" w:ascii="宋体" w:hAnsi="宋体" w:eastAsia="宋体" w:cs="宋体"/>
          <w:b/>
          <w:color w:val="auto"/>
          <w:kern w:val="0"/>
          <w:sz w:val="24"/>
          <w:highlight w:val="none"/>
          <w:lang w:val="zh-CN"/>
        </w:rPr>
        <w:t>营口市自然资源局</w:t>
      </w:r>
    </w:p>
    <w:p>
      <w:pPr>
        <w:autoSpaceDE w:val="0"/>
        <w:autoSpaceDN w:val="0"/>
        <w:adjustRightInd w:val="0"/>
        <w:spacing w:line="360" w:lineRule="auto"/>
        <w:ind w:firstLine="576"/>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为满足“</w:t>
      </w:r>
      <w:r>
        <w:rPr>
          <w:rFonts w:hint="eastAsia" w:ascii="宋体" w:hAnsi="宋体" w:cs="宋体"/>
          <w:color w:val="auto"/>
          <w:sz w:val="24"/>
          <w:highlight w:val="none"/>
          <w:lang w:eastAsia="zh-CN"/>
        </w:rPr>
        <w:t>辽宁省营口市海洋生态保护修复工程项目全过程工程造价咨询服务</w:t>
      </w:r>
      <w:r>
        <w:rPr>
          <w:rFonts w:hint="eastAsia" w:ascii="宋体" w:hAnsi="宋体" w:eastAsia="宋体" w:cs="宋体"/>
          <w:color w:val="auto"/>
          <w:kern w:val="0"/>
          <w:sz w:val="24"/>
          <w:highlight w:val="none"/>
          <w:lang w:val="zh-CN"/>
        </w:rPr>
        <w:t>”资格审查的要求，我方</w:t>
      </w:r>
      <w:r>
        <w:rPr>
          <w:rFonts w:hint="eastAsia" w:ascii="宋体" w:hAnsi="宋体" w:eastAsia="宋体" w:cs="宋体"/>
          <w:b/>
          <w:bCs/>
          <w:color w:val="auto"/>
          <w:kern w:val="0"/>
          <w:sz w:val="24"/>
          <w:highlight w:val="none"/>
          <w:u w:val="single"/>
          <w:lang w:val="zh-CN"/>
        </w:rPr>
        <w:t>(投标人全称)</w:t>
      </w:r>
      <w:r>
        <w:rPr>
          <w:rFonts w:hint="eastAsia" w:ascii="宋体" w:hAnsi="宋体" w:eastAsia="宋体" w:cs="宋体"/>
          <w:color w:val="auto"/>
          <w:kern w:val="0"/>
          <w:sz w:val="24"/>
          <w:highlight w:val="none"/>
          <w:lang w:val="zh-CN"/>
        </w:rPr>
        <w:t>在此承诺所提供的申请材料均为真实的，我方理解你们将不受必须接受我方的约束。</w:t>
      </w:r>
    </w:p>
    <w:p>
      <w:pPr>
        <w:autoSpaceDE w:val="0"/>
        <w:autoSpaceDN w:val="0"/>
        <w:adjustRightInd w:val="0"/>
        <w:spacing w:line="360" w:lineRule="auto"/>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投标人(盖公章)：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ind w:firstLine="3271"/>
        <w:jc w:val="left"/>
        <w:rPr>
          <w:rFonts w:hint="eastAsia" w:ascii="宋体" w:hAnsi="宋体" w:eastAsia="宋体" w:cs="宋体"/>
          <w:color w:val="auto"/>
          <w:kern w:val="0"/>
          <w:sz w:val="24"/>
          <w:highlight w:val="none"/>
          <w:u w:val="single"/>
          <w:lang w:val="zh-CN"/>
        </w:rPr>
      </w:pP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法定代表人或授权委托人(签字或盖章)：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lang w:val="zh-CN"/>
        </w:rPr>
      </w:pPr>
    </w:p>
    <w:p>
      <w:pPr>
        <w:bidi w:val="0"/>
        <w:jc w:val="right"/>
        <w:rPr>
          <w:rFonts w:hint="eastAsia" w:ascii="宋体" w:hAnsi="宋体" w:eastAsia="宋体" w:cs="宋体"/>
          <w:color w:val="auto"/>
          <w:kern w:val="0"/>
          <w:highlight w:val="none"/>
          <w:lang w:val="zh-CN"/>
        </w:rPr>
      </w:pPr>
      <w:r>
        <w:rPr>
          <w:rFonts w:hint="eastAsia" w:ascii="宋体" w:hAnsi="宋体" w:eastAsia="宋体" w:cs="宋体"/>
          <w:color w:val="auto"/>
          <w:sz w:val="24"/>
          <w:highlight w:val="none"/>
        </w:rPr>
        <w:t>日期：________年_____月_____日</w:t>
      </w:r>
    </w:p>
    <w:p>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pPr>
        <w:pStyle w:val="4"/>
        <w:spacing w:line="360" w:lineRule="auto"/>
        <w:rPr>
          <w:rFonts w:hint="eastAsia" w:ascii="宋体" w:hAnsi="宋体" w:eastAsia="宋体" w:cs="宋体"/>
          <w:color w:val="auto"/>
          <w:sz w:val="28"/>
          <w:szCs w:val="28"/>
          <w:highlight w:val="none"/>
        </w:rPr>
      </w:pPr>
      <w:bookmarkStart w:id="319" w:name="_Toc9912"/>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、待解决的诉讼</w:t>
      </w:r>
      <w:bookmarkEnd w:id="239"/>
      <w:r>
        <w:rPr>
          <w:rFonts w:hint="eastAsia" w:ascii="宋体" w:hAnsi="宋体" w:eastAsia="宋体" w:cs="宋体"/>
          <w:bCs w:val="0"/>
          <w:color w:val="auto"/>
          <w:sz w:val="28"/>
          <w:szCs w:val="28"/>
          <w:highlight w:val="none"/>
        </w:rPr>
        <w:t>（格式）</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62"/>
      <w:bookmarkEnd w:id="319"/>
    </w:p>
    <w:tbl>
      <w:tblPr>
        <w:tblStyle w:val="26"/>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206"/>
        <w:gridCol w:w="2206"/>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828" w:type="dxa"/>
            <w:gridSpan w:val="4"/>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待解决的诉讼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2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年份</w:t>
            </w:r>
          </w:p>
        </w:tc>
        <w:tc>
          <w:tcPr>
            <w:tcW w:w="2206"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争议事项</w:t>
            </w:r>
          </w:p>
        </w:tc>
        <w:tc>
          <w:tcPr>
            <w:tcW w:w="2206"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未决所赔金额</w:t>
            </w:r>
          </w:p>
        </w:tc>
        <w:tc>
          <w:tcPr>
            <w:tcW w:w="2211"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未决所赔金额占资产的比例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828" w:type="dxa"/>
            <w:gridSpan w:val="4"/>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不良记录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时间</w:t>
            </w:r>
          </w:p>
        </w:tc>
        <w:tc>
          <w:tcPr>
            <w:tcW w:w="4412" w:type="dxa"/>
            <w:gridSpan w:val="2"/>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不良记录情况说明</w:t>
            </w:r>
          </w:p>
        </w:tc>
        <w:tc>
          <w:tcPr>
            <w:tcW w:w="2211"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4412" w:type="dxa"/>
            <w:gridSpan w:val="2"/>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4412" w:type="dxa"/>
            <w:gridSpan w:val="2"/>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bl>
    <w:p>
      <w:pPr>
        <w:spacing w:line="360" w:lineRule="auto"/>
        <w:rPr>
          <w:rFonts w:hint="eastAsia" w:ascii="宋体" w:hAnsi="宋体" w:eastAsia="宋体" w:cs="宋体"/>
          <w:color w:val="auto"/>
          <w:highlight w:val="none"/>
        </w:rPr>
      </w:pPr>
    </w:p>
    <w:p>
      <w:pPr>
        <w:spacing w:line="360" w:lineRule="auto"/>
        <w:ind w:firstLine="120" w:firstLineChars="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注：1、近年为20</w:t>
      </w:r>
      <w:r>
        <w:rPr>
          <w:rFonts w:hint="eastAsia" w:ascii="宋体" w:hAnsi="宋体" w:eastAsia="宋体" w:cs="宋体"/>
          <w:color w:val="auto"/>
          <w:kern w:val="0"/>
          <w:sz w:val="24"/>
          <w:highlight w:val="none"/>
          <w:lang w:val="en-US" w:eastAsia="zh-CN"/>
        </w:rPr>
        <w:t>21</w:t>
      </w:r>
      <w:r>
        <w:rPr>
          <w:rFonts w:hint="eastAsia" w:ascii="宋体" w:hAnsi="宋体" w:eastAsia="宋体" w:cs="宋体"/>
          <w:color w:val="auto"/>
          <w:kern w:val="0"/>
          <w:sz w:val="24"/>
          <w:highlight w:val="none"/>
        </w:rPr>
        <w:t>年1月1日至今。</w:t>
      </w:r>
    </w:p>
    <w:p>
      <w:pPr>
        <w:spacing w:line="360" w:lineRule="auto"/>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2、如有诉讼附法院判决书等证明材料。</w:t>
      </w:r>
    </w:p>
    <w:p>
      <w:pPr>
        <w:spacing w:line="360" w:lineRule="auto"/>
        <w:rPr>
          <w:rFonts w:hint="eastAsia" w:ascii="宋体" w:hAnsi="宋体" w:eastAsia="宋体" w:cs="宋体"/>
          <w:color w:val="auto"/>
          <w:kern w:val="0"/>
          <w:sz w:val="24"/>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left="3118" w:leftChars="148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 </w:t>
      </w:r>
      <w:r>
        <w:rPr>
          <w:rFonts w:hint="eastAsia" w:ascii="宋体" w:hAnsi="宋体" w:eastAsia="宋体" w:cs="宋体"/>
          <w:color w:val="auto"/>
          <w:sz w:val="24"/>
          <w:highlight w:val="none"/>
          <w:u w:val="single"/>
        </w:rPr>
        <w:t xml:space="preserve">                          （盖公章）</w:t>
      </w:r>
    </w:p>
    <w:p>
      <w:pPr>
        <w:spacing w:line="360" w:lineRule="auto"/>
        <w:ind w:left="3118" w:leftChars="1485"/>
        <w:rPr>
          <w:rFonts w:hint="eastAsia" w:ascii="宋体" w:hAnsi="宋体" w:eastAsia="宋体" w:cs="宋体"/>
          <w:color w:val="auto"/>
          <w:sz w:val="24"/>
          <w:highlight w:val="none"/>
        </w:rPr>
      </w:pPr>
    </w:p>
    <w:p>
      <w:pPr>
        <w:spacing w:line="360" w:lineRule="auto"/>
        <w:ind w:left="3118" w:leftChars="148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line="360" w:lineRule="auto"/>
        <w:ind w:left="3118" w:leftChars="1485"/>
        <w:rPr>
          <w:rFonts w:hint="eastAsia" w:ascii="宋体" w:hAnsi="宋体" w:eastAsia="宋体" w:cs="宋体"/>
          <w:color w:val="auto"/>
          <w:sz w:val="24"/>
          <w:highlight w:val="none"/>
          <w:u w:val="single"/>
        </w:rPr>
      </w:pPr>
    </w:p>
    <w:p>
      <w:pPr>
        <w:spacing w:line="360" w:lineRule="auto"/>
        <w:ind w:left="3118" w:leftChars="1485"/>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pPr>
        <w:pStyle w:val="4"/>
        <w:spacing w:line="360" w:lineRule="auto"/>
        <w:rPr>
          <w:rFonts w:hint="eastAsia" w:ascii="宋体" w:hAnsi="宋体" w:eastAsia="宋体" w:cs="宋体"/>
          <w:color w:val="auto"/>
          <w:sz w:val="28"/>
          <w:szCs w:val="28"/>
          <w:highlight w:val="none"/>
        </w:rPr>
      </w:pPr>
      <w:r>
        <w:rPr>
          <w:rFonts w:hint="eastAsia" w:ascii="宋体" w:hAnsi="宋体" w:eastAsia="宋体" w:cs="宋体"/>
          <w:b w:val="0"/>
          <w:bCs w:val="0"/>
          <w:color w:val="auto"/>
          <w:sz w:val="30"/>
          <w:highlight w:val="none"/>
        </w:rPr>
        <w:br w:type="page"/>
      </w:r>
      <w:bookmarkStart w:id="320" w:name="_Toc431929819"/>
      <w:bookmarkStart w:id="321" w:name="_Toc25145"/>
      <w:bookmarkStart w:id="322" w:name="_Toc23294"/>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、投标人未处于被责令停业，财产被接管、冻结破产状态承诺书</w:t>
      </w:r>
      <w:bookmarkEnd w:id="320"/>
      <w:r>
        <w:rPr>
          <w:rFonts w:hint="eastAsia" w:ascii="宋体" w:hAnsi="宋体" w:eastAsia="宋体" w:cs="宋体"/>
          <w:color w:val="auto"/>
          <w:sz w:val="28"/>
          <w:szCs w:val="28"/>
          <w:highlight w:val="none"/>
        </w:rPr>
        <w:t>（格式）</w:t>
      </w:r>
      <w:bookmarkEnd w:id="321"/>
      <w:bookmarkEnd w:id="322"/>
    </w:p>
    <w:p>
      <w:pPr>
        <w:pStyle w:val="21"/>
        <w:spacing w:line="360" w:lineRule="auto"/>
        <w:rPr>
          <w:rFonts w:hint="eastAsia" w:ascii="宋体" w:hAnsi="宋体" w:eastAsia="宋体" w:cs="宋体"/>
          <w:color w:val="auto"/>
          <w:kern w:val="0"/>
          <w:highlight w:val="none"/>
          <w:shd w:val="clear" w:color="auto" w:fill="FFFFFF"/>
        </w:rPr>
      </w:pPr>
      <w:r>
        <w:rPr>
          <w:rFonts w:hint="eastAsia" w:ascii="宋体" w:hAnsi="宋体" w:eastAsia="宋体" w:cs="宋体"/>
          <w:color w:val="auto"/>
          <w:highlight w:val="none"/>
          <w:shd w:val="clear" w:color="auto" w:fill="FFFFFF"/>
        </w:rPr>
        <w:t>我单位郑重承诺：</w:t>
      </w:r>
    </w:p>
    <w:p>
      <w:pPr>
        <w:pStyle w:val="21"/>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 目前我单位处于正常生产经营状态。</w:t>
      </w:r>
    </w:p>
    <w:p>
      <w:pPr>
        <w:pStyle w:val="21"/>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 我公司没有处于责令停业状态。</w:t>
      </w:r>
    </w:p>
    <w:p>
      <w:pPr>
        <w:pStyle w:val="21"/>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 我公司投标资格未被取消。</w:t>
      </w:r>
    </w:p>
    <w:p>
      <w:pPr>
        <w:pStyle w:val="21"/>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 我公司目前没有处于财产被接管、冻结，破产状态。</w:t>
      </w:r>
    </w:p>
    <w:p>
      <w:pPr>
        <w:pStyle w:val="21"/>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 ……</w:t>
      </w:r>
    </w:p>
    <w:p>
      <w:pPr>
        <w:spacing w:line="360" w:lineRule="auto"/>
        <w:ind w:firstLine="120" w:firstLineChars="50"/>
        <w:rPr>
          <w:rFonts w:hint="eastAsia" w:ascii="宋体" w:hAnsi="宋体" w:eastAsia="宋体" w:cs="宋体"/>
          <w:color w:val="auto"/>
          <w:sz w:val="24"/>
          <w:highlight w:val="none"/>
        </w:rPr>
      </w:pPr>
    </w:p>
    <w:p>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（盖公章）</w:t>
      </w:r>
    </w:p>
    <w:p>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pStyle w:val="21"/>
        <w:spacing w:line="360" w:lineRule="auto"/>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pStyle w:val="13"/>
        <w:spacing w:line="360" w:lineRule="auto"/>
        <w:rPr>
          <w:rFonts w:hint="eastAsia" w:ascii="宋体" w:hAnsi="宋体" w:eastAsia="宋体" w:cs="宋体"/>
          <w:b/>
          <w:color w:val="auto"/>
          <w:sz w:val="24"/>
          <w:highlight w:val="none"/>
        </w:rPr>
      </w:pPr>
    </w:p>
    <w:p>
      <w:pPr>
        <w:pStyle w:val="13"/>
        <w:spacing w:line="360" w:lineRule="auto"/>
        <w:rPr>
          <w:rFonts w:hint="eastAsia" w:ascii="宋体" w:hAnsi="宋体" w:eastAsia="宋体" w:cs="宋体"/>
          <w:b/>
          <w:color w:val="auto"/>
          <w:sz w:val="24"/>
          <w:highlight w:val="none"/>
        </w:rPr>
      </w:pPr>
    </w:p>
    <w:p>
      <w:pPr>
        <w:pStyle w:val="13"/>
        <w:spacing w:line="360" w:lineRule="auto"/>
        <w:rPr>
          <w:rFonts w:hint="eastAsia" w:ascii="宋体" w:hAnsi="宋体" w:eastAsia="宋体" w:cs="宋体"/>
          <w:b/>
          <w:color w:val="auto"/>
          <w:sz w:val="24"/>
          <w:highlight w:val="none"/>
        </w:rPr>
      </w:pPr>
    </w:p>
    <w:p>
      <w:pPr>
        <w:pStyle w:val="13"/>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color w:val="auto"/>
          <w:sz w:val="24"/>
          <w:highlight w:val="none"/>
        </w:rPr>
        <w:sectPr>
          <w:headerReference r:id="rId15" w:type="default"/>
          <w:pgSz w:w="11906" w:h="16838"/>
          <w:pgMar w:top="1134" w:right="1134" w:bottom="993" w:left="1134" w:header="454" w:footer="454" w:gutter="0"/>
          <w:cols w:space="720" w:num="1"/>
          <w:docGrid w:linePitch="312" w:charSpace="0"/>
        </w:sectPr>
      </w:pPr>
    </w:p>
    <w:p>
      <w:pPr>
        <w:pStyle w:val="4"/>
        <w:bidi w:val="0"/>
        <w:rPr>
          <w:rFonts w:hint="eastAsia" w:ascii="宋体" w:hAnsi="宋体" w:eastAsia="宋体" w:cs="宋体"/>
          <w:color w:val="auto"/>
          <w:highlight w:val="none"/>
          <w:lang w:val="en-US" w:eastAsia="zh-CN"/>
        </w:rPr>
      </w:pPr>
      <w:bookmarkStart w:id="323" w:name="_Toc5021"/>
      <w:r>
        <w:rPr>
          <w:rFonts w:hint="eastAsia" w:ascii="宋体" w:hAnsi="宋体" w:eastAsia="宋体" w:cs="宋体"/>
          <w:color w:val="auto"/>
          <w:highlight w:val="none"/>
          <w:lang w:val="en-US" w:eastAsia="zh-CN"/>
        </w:rPr>
        <w:t>4、投标人认为所需要的其他材料</w:t>
      </w:r>
      <w:bookmarkEnd w:id="323"/>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324" w:name="_Toc349568769"/>
      <w:bookmarkStart w:id="325" w:name="_Toc343510644"/>
      <w:bookmarkStart w:id="326" w:name="_Toc350515694"/>
      <w:bookmarkStart w:id="327" w:name="_Toc1946"/>
      <w:bookmarkStart w:id="328" w:name="_Toc344394245"/>
      <w:bookmarkStart w:id="329" w:name="_Toc24960"/>
      <w:r>
        <w:rPr>
          <w:rFonts w:hint="eastAsia" w:ascii="宋体" w:hAnsi="宋体" w:eastAsia="宋体" w:cs="宋体"/>
          <w:color w:val="auto"/>
          <w:w w:val="90"/>
          <w:highlight w:val="none"/>
        </w:rPr>
        <w:t>评标办法</w:t>
      </w:r>
      <w:bookmarkEnd w:id="324"/>
      <w:bookmarkEnd w:id="325"/>
      <w:bookmarkEnd w:id="326"/>
      <w:bookmarkEnd w:id="327"/>
      <w:bookmarkEnd w:id="328"/>
      <w:bookmarkEnd w:id="329"/>
    </w:p>
    <w:p>
      <w:pPr>
        <w:widowControl/>
        <w:tabs>
          <w:tab w:val="left" w:pos="2280"/>
        </w:tabs>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24"/>
          <w:highlight w:val="none"/>
        </w:rPr>
        <w:t>第一部分  总     则</w:t>
      </w:r>
    </w:p>
    <w:p>
      <w:pPr>
        <w:widowControl/>
        <w:tabs>
          <w:tab w:val="left" w:pos="2280"/>
        </w:tabs>
        <w:spacing w:line="360" w:lineRule="auto"/>
        <w:jc w:val="center"/>
        <w:rPr>
          <w:rFonts w:hint="eastAsia" w:ascii="宋体" w:hAnsi="宋体" w:eastAsia="宋体" w:cs="宋体"/>
          <w:b/>
          <w:color w:val="auto"/>
          <w:sz w:val="32"/>
          <w:szCs w:val="24"/>
          <w:highlight w:val="none"/>
        </w:rPr>
      </w:pP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根据《中华人民共和国招标投标法》结合本项目实际，制定本办法。</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1.本标准是本招标项目评标委员会评定和推荐中标候选人的依据。</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2.评标原则:评标应遵循公开、公平、公正、科学合理的原则。</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3.评标委员会对满足招标文件实质性要求的投标文件，按照本章规定的评分标准进行打分，并按得分由高到低顺序推荐中标候选人。如果前三名中标候选人得分出现分值相同的情况，按投标报价得分由高到低进行排序，如投标报价</w:t>
      </w:r>
      <w:r>
        <w:rPr>
          <w:rFonts w:hint="eastAsia" w:ascii="宋体" w:hAnsi="宋体" w:eastAsia="宋体" w:cs="宋体"/>
          <w:color w:val="auto"/>
          <w:spacing w:val="4"/>
          <w:kern w:val="0"/>
          <w:sz w:val="24"/>
          <w:highlight w:val="none"/>
          <w:lang w:eastAsia="zh-CN"/>
        </w:rPr>
        <w:t>得分</w:t>
      </w:r>
      <w:r>
        <w:rPr>
          <w:rFonts w:hint="eastAsia" w:ascii="宋体" w:hAnsi="宋体" w:eastAsia="宋体" w:cs="宋体"/>
          <w:color w:val="auto"/>
          <w:spacing w:val="4"/>
          <w:kern w:val="0"/>
          <w:sz w:val="24"/>
          <w:highlight w:val="none"/>
        </w:rPr>
        <w:t>仍相同则按技术部分得分高低进行排序。</w:t>
      </w:r>
      <w:r>
        <w:rPr>
          <w:rFonts w:hint="eastAsia" w:ascii="宋体" w:hAnsi="宋体" w:eastAsia="宋体" w:cs="宋体"/>
          <w:color w:val="auto"/>
          <w:spacing w:val="4"/>
          <w:kern w:val="0"/>
          <w:sz w:val="24"/>
          <w:highlight w:val="none"/>
          <w:lang w:val="en-US" w:eastAsia="zh-CN"/>
        </w:rPr>
        <w:t>如技术部分得分仍相同，由招标人决定。</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评标委员会在对投标文件进行评审、评分时，应遵守下列规则：</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（1）评标委员会成员应按招标文件的要求，认真审查、评审各投标人投标文件，并写出书面审查和评审意见。</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（2）评标委员会各成员应自主评审，并签字确认。</w:t>
      </w:r>
    </w:p>
    <w:p>
      <w:pPr>
        <w:widowControl/>
        <w:snapToGrid w:val="0"/>
        <w:spacing w:line="360" w:lineRule="auto"/>
        <w:ind w:firstLine="496" w:firstLineChars="20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委员会的评标报告应由评标委员会全体成员签字。对评标过程或结论有异议的，以少数服从多数的原则处理，评标委员会成员可以书面方式阐述其不同意见和理由。评标委员会成员拒绝在评标过程文件或评标报告上签字且不以书面阐述其不同意见和理由的，视为同意评标结论。评标委员会应当对此做出书面说明并记录在案。</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3．评标办法：</w:t>
      </w:r>
      <w:r>
        <w:rPr>
          <w:rFonts w:hint="eastAsia" w:ascii="宋体" w:hAnsi="宋体" w:eastAsia="宋体" w:cs="宋体"/>
          <w:b/>
          <w:color w:val="auto"/>
          <w:spacing w:val="4"/>
          <w:kern w:val="0"/>
          <w:sz w:val="24"/>
          <w:highlight w:val="none"/>
        </w:rPr>
        <w:t>评标采用综合评估法</w:t>
      </w:r>
      <w:r>
        <w:rPr>
          <w:rFonts w:hint="eastAsia" w:ascii="宋体" w:hAnsi="宋体" w:eastAsia="宋体" w:cs="宋体"/>
          <w:color w:val="auto"/>
          <w:spacing w:val="4"/>
          <w:kern w:val="0"/>
          <w:sz w:val="24"/>
          <w:highlight w:val="none"/>
        </w:rPr>
        <w:t>。</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4．评标打分原则及中标单位的产生：评标委员会应根据招标文件确定的评分要求，对投标文件进行评分，并按照投标人得分高低推荐中标候选人。</w:t>
      </w:r>
    </w:p>
    <w:p>
      <w:pPr>
        <w:widowControl/>
        <w:snapToGrid w:val="0"/>
        <w:spacing w:line="360" w:lineRule="auto"/>
        <w:ind w:firstLine="496" w:firstLineChars="20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招标人应确定排名第一的中标候选人为中标人。排名第一的中标候选人放弃中标，或因不可抗力提出不能履行合同，招标人可以根据评标报告推荐的中标候选人顺序依次确定中标人，并按照投标人须知18.5条规定不予退还其投标保证金。</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评标中若遇特殊问题，由评标委员会根据有关法律、法规、规定研究决定。</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5.评标委员会及评委的产生：评标委员会评委的组成为5人以上（含5人）的单数；评标委员会依法组建。开标结束后，开始评标，评标采用保密方式进行。评标委员会产生后推举其中一名评委为评标委员会主任，并主持评标工作。</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6．评标计算计分规则：</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（1）表述价款的数据均以元为单位，评分计算保留两位小数，第三位作四舍五入。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（2）表述建筑面积以平方米为单位，保留整数，小数点后作四舍五入。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（3）有效范围内百分比计算的比值,保留二位小数,第三位作四舍五入,中间用插入法确定分数。</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（4）分项得分保留二位小数，第三位作四舍五入。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（5）总积分以分项得分累计之和为准，分值保留小数点后二位。</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（6）处罚扣分以地、州以上建设行政主管部门通报处罚文件为依据。</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7. 评标工作按以下程序进行：</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（一）资格审查；</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（二）初步评审；</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（三）详细评审及澄清；</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（四）汇总评标结果，推荐中标候选人；</w:t>
      </w:r>
    </w:p>
    <w:p>
      <w:pPr>
        <w:widowControl/>
        <w:snapToGrid w:val="0"/>
        <w:spacing w:line="360" w:lineRule="auto"/>
        <w:ind w:firstLine="420"/>
        <w:jc w:val="left"/>
        <w:rPr>
          <w:rFonts w:hint="eastAsia" w:ascii="宋体" w:hAnsi="宋体" w:eastAsia="宋体" w:cs="宋体"/>
          <w:bCs/>
          <w:color w:val="auto"/>
          <w:sz w:val="24"/>
          <w:highlight w:val="none"/>
        </w:rPr>
      </w:pPr>
      <w:r>
        <w:rPr>
          <w:rFonts w:hint="eastAsia" w:ascii="宋体" w:hAnsi="宋体" w:eastAsia="宋体" w:cs="宋体"/>
          <w:color w:val="auto"/>
          <w:spacing w:val="4"/>
          <w:kern w:val="0"/>
          <w:sz w:val="24"/>
          <w:highlight w:val="none"/>
        </w:rPr>
        <w:t>（五）编写评标报告。</w:t>
      </w:r>
    </w:p>
    <w:p>
      <w:pPr>
        <w:spacing w:line="360" w:lineRule="auto"/>
        <w:ind w:firstLine="628" w:firstLineChars="262"/>
        <w:rPr>
          <w:rFonts w:hint="eastAsia" w:ascii="宋体" w:hAnsi="宋体" w:eastAsia="宋体" w:cs="宋体"/>
          <w:bCs/>
          <w:color w:val="auto"/>
          <w:sz w:val="24"/>
          <w:szCs w:val="24"/>
          <w:highlight w:val="none"/>
        </w:rPr>
      </w:pPr>
    </w:p>
    <w:p>
      <w:pPr>
        <w:widowControl/>
        <w:tabs>
          <w:tab w:val="left" w:pos="2280"/>
        </w:tabs>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第二部分  评分办法</w:t>
      </w:r>
    </w:p>
    <w:p>
      <w:pPr>
        <w:spacing w:line="360" w:lineRule="auto"/>
        <w:ind w:left="559" w:hanging="559" w:hangingChars="23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一、资格审查</w:t>
      </w:r>
    </w:p>
    <w:p>
      <w:pPr>
        <w:numPr>
          <w:ilvl w:val="0"/>
          <w:numId w:val="12"/>
        </w:numPr>
        <w:tabs>
          <w:tab w:val="left" w:pos="1276"/>
          <w:tab w:val="clear" w:pos="1828"/>
        </w:tabs>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只对在公开开标时经司法公证及监督部门验证有效的投标文件进行符合性审查，判断是否满足招标文件要求。</w:t>
      </w:r>
    </w:p>
    <w:p>
      <w:pPr>
        <w:numPr>
          <w:ilvl w:val="0"/>
          <w:numId w:val="12"/>
        </w:numPr>
        <w:tabs>
          <w:tab w:val="left" w:pos="1276"/>
          <w:tab w:val="clear" w:pos="1828"/>
        </w:tabs>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评标委员会将审验投标人递交的证件及投标文件，对投标人进行资格审查，审查其是否有能力和条件有效地履行合同义务。投标人未按招标文件要求提供以下文件的</w:t>
      </w:r>
      <w:r>
        <w:rPr>
          <w:rFonts w:hint="eastAsia" w:ascii="宋体" w:hAnsi="宋体" w:cs="宋体"/>
          <w:color w:val="auto"/>
          <w:sz w:val="24"/>
          <w:highlight w:val="none"/>
          <w:lang w:val="en-US" w:eastAsia="zh-CN"/>
        </w:rPr>
        <w:t>扫描</w:t>
      </w:r>
      <w:r>
        <w:rPr>
          <w:rFonts w:hint="eastAsia" w:ascii="宋体" w:hAnsi="宋体" w:eastAsia="宋体" w:cs="宋体"/>
          <w:color w:val="auto"/>
          <w:sz w:val="24"/>
          <w:highlight w:val="none"/>
        </w:rPr>
        <w:t>件并加盖公章，不予通过资格审查，其投标按否决投标处理：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1、有效的企业营业执照、组织机构代码证、税务登记证（已登记办理“三证合一”的企业仅须提供印有统一社会信用代码的营业执照）；</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kern w:val="0"/>
          <w:sz w:val="24"/>
          <w:szCs w:val="28"/>
          <w:highlight w:val="none"/>
          <w:lang w:val="en-US" w:eastAsia="zh-CN"/>
        </w:rPr>
        <w:t>项目负责人须具有有效的一级注册造价工程师资格</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3、法定代表人身份证明书</w:t>
      </w:r>
      <w:r>
        <w:rPr>
          <w:rFonts w:hint="eastAsia" w:ascii="宋体" w:hAnsi="宋体" w:cs="宋体"/>
          <w:color w:val="auto"/>
          <w:sz w:val="24"/>
          <w:szCs w:val="24"/>
          <w:highlight w:val="none"/>
          <w:lang w:val="en-US" w:eastAsia="zh-CN"/>
        </w:rPr>
        <w:t>或法定代表人授权书</w:t>
      </w:r>
      <w:r>
        <w:rPr>
          <w:rFonts w:hint="eastAsia" w:ascii="宋体" w:hAnsi="宋体" w:eastAsia="宋体" w:cs="宋体"/>
          <w:color w:val="auto"/>
          <w:sz w:val="24"/>
          <w:szCs w:val="24"/>
          <w:highlight w:val="none"/>
          <w:lang w:val="en-US" w:eastAsia="zh-CN"/>
        </w:rPr>
        <w:t>；</w:t>
      </w:r>
    </w:p>
    <w:p>
      <w:pPr>
        <w:spacing w:line="360" w:lineRule="auto"/>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投标保证金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收据或汇款凭证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或保函；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8"/>
          <w:highlight w:val="none"/>
        </w:rPr>
        <w:t>投标人</w:t>
      </w:r>
      <w:r>
        <w:rPr>
          <w:rFonts w:hint="eastAsia" w:ascii="宋体" w:hAnsi="宋体" w:eastAsia="宋体" w:cs="宋体"/>
          <w:color w:val="auto"/>
          <w:sz w:val="24"/>
          <w:highlight w:val="none"/>
        </w:rPr>
        <w:t>不得被列入“失信被执行人”或“失信惩戒对象”或“重大税收违法案件当事人”，以“信用中国”网站（www.creditchina.gov.cn）查询为准。（需在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公告发布后从“信用中国”网站打印查询结果并加盖公章）</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en-US" w:eastAsia="zh-CN"/>
        </w:rPr>
        <w:t>投标人告知承诺函</w:t>
      </w:r>
      <w:r>
        <w:rPr>
          <w:rFonts w:hint="eastAsia" w:ascii="宋体" w:hAnsi="宋体" w:cs="宋体"/>
          <w:color w:val="auto"/>
          <w:sz w:val="24"/>
          <w:highlight w:val="none"/>
          <w:lang w:val="en-US" w:eastAsia="zh-CN"/>
        </w:rPr>
        <w:t>。</w:t>
      </w:r>
    </w:p>
    <w:p>
      <w:pPr>
        <w:spacing w:line="360" w:lineRule="auto"/>
        <w:ind w:left="559" w:hanging="559" w:hangingChars="23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二、初步评审</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开标后，只有符合招标文件要求并在投标截止时间前递交的投标文件，才能提交评标委员会进行评审。</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评标委员会发现投标人以他人名义投标、串通投标、以行贿手段谋取中标或者以其他弄虚作假方式投标的，该投标人的投标将被否决。</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应当审查每一投标文件是否对招标文件提出的所有实质性要求和条件作出响应。未能在实质上响应的投标，应否决其投标。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如果投标文件实质上不响应招标文件的各项要求，评标委员会将予以拒绝，并且不允许通过修改或撤销其不符合要求的差异或保留，使之成为具有响应性的投标。</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初步评审时发现投标人的报价明显低于其他投标报价，且其投标书的投标报价分析不能说明清楚，使得其投标报价可能低于其个别成本的，应当对该投标人进行询标。询标完毕后，投标人应对评标委员会所提问题作出书面说明并按要求提供相关证明资料。投标人不能合理说明或者不能提供相关证明资料的，由评标委员会认定该投标人以低于成本报价投标，其投标将被否决。</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投标文件</w:t>
      </w:r>
      <w:r>
        <w:rPr>
          <w:rFonts w:hint="eastAsia" w:ascii="宋体" w:hAnsi="宋体" w:cs="宋体"/>
          <w:color w:val="auto"/>
          <w:sz w:val="24"/>
          <w:szCs w:val="28"/>
          <w:highlight w:val="none"/>
          <w:lang w:val="en-US" w:eastAsia="zh-CN"/>
        </w:rPr>
        <w:t>对</w:t>
      </w:r>
      <w:r>
        <w:rPr>
          <w:rFonts w:hint="eastAsia" w:ascii="宋体" w:hAnsi="宋体" w:eastAsia="宋体" w:cs="宋体"/>
          <w:color w:val="auto"/>
          <w:sz w:val="24"/>
          <w:szCs w:val="28"/>
          <w:highlight w:val="none"/>
        </w:rPr>
        <w:t>下列情形</w:t>
      </w:r>
      <w:r>
        <w:rPr>
          <w:rFonts w:hint="eastAsia" w:ascii="宋体" w:hAnsi="宋体" w:cs="宋体"/>
          <w:color w:val="auto"/>
          <w:sz w:val="24"/>
          <w:szCs w:val="28"/>
          <w:highlight w:val="none"/>
          <w:lang w:val="en-US" w:eastAsia="zh-CN"/>
        </w:rPr>
        <w:t>有</w:t>
      </w:r>
      <w:r>
        <w:rPr>
          <w:rFonts w:hint="eastAsia" w:ascii="宋体" w:hAnsi="宋体" w:eastAsia="宋体" w:cs="宋体"/>
          <w:color w:val="auto"/>
          <w:sz w:val="24"/>
          <w:szCs w:val="28"/>
          <w:highlight w:val="none"/>
        </w:rPr>
        <w:t>重大偏差</w:t>
      </w:r>
      <w:r>
        <w:rPr>
          <w:rFonts w:hint="eastAsia" w:ascii="宋体" w:hAnsi="宋体" w:cs="宋体"/>
          <w:color w:val="auto"/>
          <w:sz w:val="24"/>
          <w:szCs w:val="28"/>
          <w:highlight w:val="none"/>
          <w:lang w:val="en-US" w:eastAsia="zh-CN"/>
        </w:rPr>
        <w:t>的</w:t>
      </w:r>
      <w:r>
        <w:rPr>
          <w:rFonts w:hint="eastAsia" w:ascii="宋体" w:hAnsi="宋体" w:eastAsia="宋体" w:cs="宋体"/>
          <w:color w:val="auto"/>
          <w:sz w:val="24"/>
          <w:szCs w:val="28"/>
          <w:highlight w:val="none"/>
        </w:rPr>
        <w:t>，视为未能对招标文件作出实质响应，按规定否决其投标：</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有下列相互串通投标情形：</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（1）不同投标人的投标文件由同一单位或者个人编制；</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（2）不同投标人委托同一单位或者个人办理投标事宜；</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（3）不同投标人的投标文件载明的项目管理成员为同一人；</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（4）不同投标人的投标文件异常一致或者投标报价呈规律性差异；</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（5）不同投标人的投标文件相互混装；</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（6）不同投标人的投标保证金从同一单位或者个人的账户转出。</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投标报价低于招标文件中所载明的</w:t>
      </w:r>
      <w:r>
        <w:rPr>
          <w:rFonts w:hint="eastAsia" w:ascii="宋体" w:hAnsi="宋体" w:eastAsia="宋体" w:cs="宋体"/>
          <w:b/>
          <w:color w:val="auto"/>
          <w:sz w:val="24"/>
          <w:highlight w:val="none"/>
          <w:lang w:val="en-US" w:eastAsia="zh-CN"/>
        </w:rPr>
        <w:t>最高限价</w:t>
      </w:r>
      <w:r>
        <w:rPr>
          <w:rFonts w:hint="eastAsia" w:ascii="宋体" w:hAnsi="宋体" w:eastAsia="宋体" w:cs="宋体"/>
          <w:b/>
          <w:color w:val="auto"/>
          <w:sz w:val="24"/>
          <w:highlight w:val="none"/>
        </w:rPr>
        <w:t>；</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有</w:t>
      </w:r>
      <w:r>
        <w:rPr>
          <w:rFonts w:hint="eastAsia" w:ascii="宋体" w:hAnsi="宋体" w:eastAsia="宋体" w:cs="宋体"/>
          <w:b/>
          <w:color w:val="auto"/>
          <w:sz w:val="24"/>
          <w:highlight w:val="none"/>
        </w:rPr>
        <w:t>单位盖章</w:t>
      </w:r>
      <w:r>
        <w:rPr>
          <w:rFonts w:hint="eastAsia" w:ascii="宋体" w:hAnsi="宋体" w:cs="宋体"/>
          <w:b/>
          <w:color w:val="auto"/>
          <w:sz w:val="24"/>
          <w:highlight w:val="none"/>
          <w:lang w:val="en-US" w:eastAsia="zh-CN"/>
        </w:rPr>
        <w:t>及</w:t>
      </w:r>
      <w:r>
        <w:rPr>
          <w:rFonts w:hint="eastAsia" w:ascii="宋体" w:hAnsi="宋体" w:eastAsia="宋体" w:cs="宋体"/>
          <w:b/>
          <w:color w:val="auto"/>
          <w:sz w:val="24"/>
          <w:highlight w:val="none"/>
        </w:rPr>
        <w:t>法定代表人或负责人或其授权代理人签字盖章的；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符合</w:t>
      </w:r>
      <w:r>
        <w:rPr>
          <w:rFonts w:hint="eastAsia" w:ascii="宋体" w:hAnsi="宋体" w:eastAsia="宋体" w:cs="宋体"/>
          <w:b/>
          <w:color w:val="auto"/>
          <w:sz w:val="24"/>
          <w:highlight w:val="none"/>
        </w:rPr>
        <w:t>规定的格式填写，内容</w:t>
      </w:r>
      <w:r>
        <w:rPr>
          <w:rFonts w:hint="eastAsia" w:ascii="宋体" w:hAnsi="宋体" w:cs="宋体"/>
          <w:b/>
          <w:color w:val="auto"/>
          <w:sz w:val="24"/>
          <w:highlight w:val="none"/>
          <w:lang w:val="en-US" w:eastAsia="zh-CN"/>
        </w:rPr>
        <w:t>未有</w:t>
      </w:r>
      <w:r>
        <w:rPr>
          <w:rFonts w:hint="eastAsia" w:ascii="宋体" w:hAnsi="宋体" w:eastAsia="宋体" w:cs="宋体"/>
          <w:b/>
          <w:color w:val="auto"/>
          <w:sz w:val="24"/>
          <w:highlight w:val="none"/>
        </w:rPr>
        <w:t>不全或关键字迹模糊、无法辨认的；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w:t>
      </w: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递交两份或多份内容不同的投标文件，或在一份投标文件中对同一招标项目有两个或多个报价，且未声明哪一个有效的；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投标人名称或组织结构与报名时一致的；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投标文件载明的招标项目完成期限</w:t>
      </w: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超过招标文件规定的期限的；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符合技术规格、技术标准的要求的；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w:t>
      </w: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附有招标人不能接受的条件的；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w:t>
      </w:r>
      <w:r>
        <w:rPr>
          <w:rFonts w:hint="eastAsia" w:ascii="宋体" w:hAnsi="宋体" w:cs="宋体"/>
          <w:b/>
          <w:color w:val="auto"/>
          <w:sz w:val="24"/>
          <w:highlight w:val="none"/>
          <w:lang w:eastAsia="zh-CN"/>
        </w:rPr>
        <w:t>服务</w:t>
      </w:r>
      <w:r>
        <w:rPr>
          <w:rFonts w:hint="eastAsia" w:ascii="宋体" w:hAnsi="宋体" w:eastAsia="宋体" w:cs="宋体"/>
          <w:b/>
          <w:color w:val="auto"/>
          <w:sz w:val="24"/>
          <w:highlight w:val="none"/>
        </w:rPr>
        <w:t>承诺或质量承诺满足招标文件要求的；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未有</w:t>
      </w:r>
      <w:r>
        <w:rPr>
          <w:rFonts w:hint="eastAsia" w:ascii="宋体" w:hAnsi="宋体" w:eastAsia="宋体" w:cs="宋体"/>
          <w:b/>
          <w:color w:val="auto"/>
          <w:sz w:val="24"/>
          <w:highlight w:val="none"/>
        </w:rPr>
        <w:t>不符合招标文件中规定的其他实质性要求的。</w:t>
      </w:r>
    </w:p>
    <w:p>
      <w:pPr>
        <w:numPr>
          <w:ilvl w:val="0"/>
          <w:numId w:val="12"/>
        </w:numPr>
        <w:tabs>
          <w:tab w:val="left" w:pos="1276"/>
          <w:tab w:val="clear" w:pos="1828"/>
        </w:tabs>
        <w:snapToGrid w:val="0"/>
        <w:spacing w:line="360" w:lineRule="auto"/>
        <w:ind w:left="414" w:firstLine="426"/>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对重大偏差，评标委员会应当依据法律、法规、规章和招标文件的规定作出明确认定。没有明确认定为重大偏差的，一律认定为细微偏差。细微偏差不影响投标文件的有效性。</w:t>
      </w:r>
    </w:p>
    <w:p>
      <w:pPr>
        <w:spacing w:line="360" w:lineRule="auto"/>
        <w:ind w:left="559" w:hanging="559" w:hangingChars="232"/>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三、详细评审</w:t>
      </w:r>
    </w:p>
    <w:tbl>
      <w:tblPr>
        <w:tblStyle w:val="26"/>
        <w:tblW w:w="97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38"/>
        <w:gridCol w:w="1262"/>
        <w:gridCol w:w="983"/>
        <w:gridCol w:w="6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评审项目</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标准分</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价格部分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评标基准价=所有有效投标人</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价之和/有效投标单位数</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偏差率=（投标人的投标价-评标基准价）/评标基准价×100%</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当投标人的投标价＞评标基准价时：投标价得分=30-偏差率×100×0.4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当投标人的投标价≤评标基准价：投标价得分=30+偏差率×100×0.2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注：（1）有效投标报价为小于或等于最高投标限价的报价。（2）若投标人的投标报价低于投标限价的85%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则该投标人的投标报价不参与评标基准价的计算</w:t>
            </w:r>
            <w:r>
              <w:rPr>
                <w:rFonts w:hint="eastAsia" w:ascii="宋体" w:hAnsi="宋体" w:cs="宋体"/>
                <w:color w:val="auto"/>
                <w:sz w:val="24"/>
                <w:szCs w:val="24"/>
                <w:highlight w:val="none"/>
                <w:lang w:val="en-US" w:eastAsia="zh-CN"/>
              </w:rPr>
              <w:t>，但参与评分</w:t>
            </w:r>
            <w:r>
              <w:rPr>
                <w:rFonts w:hint="eastAsia" w:ascii="宋体" w:hAnsi="宋体" w:eastAsia="宋体" w:cs="宋体"/>
                <w:color w:val="auto"/>
                <w:sz w:val="24"/>
                <w:szCs w:val="24"/>
                <w:highlight w:val="none"/>
                <w:lang w:val="en-US" w:eastAsia="zh-CN"/>
              </w:rPr>
              <w:t>。（3）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其投标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企业业绩</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投标人自2019年1月1日至今，承担过全过程工程造价服务业绩，单项合同金额100万元以上，每有1项</w:t>
            </w:r>
            <w:r>
              <w:rPr>
                <w:rFonts w:hint="eastAsia" w:ascii="宋体" w:hAnsi="宋体" w:cs="宋体"/>
                <w:color w:val="auto"/>
                <w:sz w:val="24"/>
                <w:szCs w:val="24"/>
                <w:highlight w:val="none"/>
                <w:lang w:val="en-US" w:eastAsia="zh-CN"/>
              </w:rPr>
              <w:t>得1</w:t>
            </w:r>
            <w:r>
              <w:rPr>
                <w:rFonts w:hint="eastAsia" w:ascii="宋体" w:hAnsi="宋体" w:eastAsia="宋体" w:cs="宋体"/>
                <w:color w:val="auto"/>
                <w:sz w:val="24"/>
                <w:szCs w:val="24"/>
                <w:highlight w:val="none"/>
                <w:lang w:eastAsia="zh-CN"/>
              </w:rPr>
              <w:t>分，最多得6分；单项合同金额70万元以上，每有1项</w:t>
            </w:r>
            <w:r>
              <w:rPr>
                <w:rFonts w:hint="eastAsia" w:ascii="宋体" w:hAnsi="宋体" w:cs="宋体"/>
                <w:color w:val="auto"/>
                <w:sz w:val="24"/>
                <w:szCs w:val="24"/>
                <w:highlight w:val="none"/>
                <w:lang w:val="en-US" w:eastAsia="zh-CN"/>
              </w:rPr>
              <w:t>得0.5</w:t>
            </w:r>
            <w:r>
              <w:rPr>
                <w:rFonts w:hint="eastAsia" w:ascii="宋体" w:hAnsi="宋体" w:eastAsia="宋体" w:cs="宋体"/>
                <w:color w:val="auto"/>
                <w:sz w:val="24"/>
                <w:szCs w:val="24"/>
                <w:highlight w:val="none"/>
                <w:lang w:eastAsia="zh-CN"/>
              </w:rPr>
              <w:t>分；最多得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分；本项最多得12分。（注：当某一档位业绩得分计满时，额外提供这一档位的业绩可依次计入下一档位得分，单项合同不能重复计分。）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b/>
                <w:color w:val="auto"/>
                <w:sz w:val="24"/>
                <w:highlight w:val="none"/>
              </w:rPr>
              <w:t>证明材料须同时提供</w:t>
            </w:r>
            <w:r>
              <w:rPr>
                <w:rFonts w:hint="eastAsia" w:ascii="宋体" w:hAnsi="宋体"/>
                <w:color w:val="auto"/>
                <w:sz w:val="24"/>
                <w:highlight w:val="none"/>
              </w:rPr>
              <w:t>：合同协议书</w:t>
            </w:r>
            <w:r>
              <w:rPr>
                <w:rFonts w:hint="eastAsia" w:ascii="宋体" w:hAnsi="宋体"/>
                <w:color w:val="auto"/>
                <w:sz w:val="24"/>
                <w:highlight w:val="none"/>
                <w:lang w:val="en-US" w:eastAsia="zh-CN"/>
              </w:rPr>
              <w:t>或委托书</w:t>
            </w:r>
            <w:r>
              <w:rPr>
                <w:rFonts w:hint="eastAsia" w:ascii="宋体" w:hAnsi="宋体"/>
                <w:color w:val="auto"/>
                <w:sz w:val="24"/>
                <w:highlight w:val="none"/>
              </w:rPr>
              <w:t>原件扫描件，若上述证明材料不能体现</w:t>
            </w:r>
            <w:r>
              <w:rPr>
                <w:rFonts w:hint="eastAsia" w:ascii="宋体" w:hAnsi="宋体"/>
                <w:color w:val="auto"/>
                <w:sz w:val="24"/>
                <w:highlight w:val="none"/>
                <w:lang w:val="en-US" w:eastAsia="zh-CN"/>
              </w:rPr>
              <w:t>投资金额、</w:t>
            </w:r>
            <w:r>
              <w:rPr>
                <w:rFonts w:hint="eastAsia" w:ascii="宋体" w:hAnsi="宋体"/>
                <w:color w:val="auto"/>
                <w:sz w:val="24"/>
                <w:highlight w:val="none"/>
              </w:rPr>
              <w:t>合同金额或合同内容时，可提供业主证明材料作为有效业绩证明材料</w:t>
            </w:r>
            <w:r>
              <w:rPr>
                <w:rFonts w:hint="eastAsia" w:ascii="宋体" w:hAnsi="宋体"/>
                <w:color w:val="auto"/>
                <w:sz w:val="24"/>
                <w:highlight w:val="none"/>
                <w:lang w:eastAsia="zh-CN"/>
              </w:rPr>
              <w:t>，</w:t>
            </w:r>
            <w:r>
              <w:rPr>
                <w:rFonts w:hint="eastAsia" w:ascii="宋体" w:hAnsi="宋体" w:eastAsia="宋体" w:cs="宋体"/>
                <w:color w:val="auto"/>
                <w:sz w:val="24"/>
                <w:szCs w:val="24"/>
                <w:highlight w:val="none"/>
                <w:lang w:val="en-US" w:eastAsia="zh-CN"/>
              </w:rPr>
              <w:t>认定时间以提供</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合同签订时间为准</w:t>
            </w:r>
            <w:r>
              <w:rPr>
                <w:rFonts w:hint="eastAsia" w:ascii="宋体" w:hAnsi="宋体" w:eastAsia="宋体" w:cs="宋体"/>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95"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3</w:t>
            </w:r>
          </w:p>
        </w:tc>
        <w:tc>
          <w:tcPr>
            <w:tcW w:w="1262" w:type="dxa"/>
            <w:vMerge w:val="restart"/>
            <w:tcBorders>
              <w:top w:val="single" w:color="000000" w:sz="4" w:space="0"/>
              <w:left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拟投入本项目人员</w:t>
            </w:r>
          </w:p>
        </w:tc>
        <w:tc>
          <w:tcPr>
            <w:tcW w:w="983" w:type="dxa"/>
            <w:vMerge w:val="restart"/>
            <w:tcBorders>
              <w:top w:val="single" w:color="000000" w:sz="4" w:space="0"/>
              <w:left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项目负责人具备高级</w:t>
            </w:r>
            <w:r>
              <w:rPr>
                <w:rFonts w:hint="eastAsia" w:ascii="宋体" w:hAnsi="宋体" w:cs="宋体"/>
                <w:color w:val="auto"/>
                <w:sz w:val="24"/>
                <w:highlight w:val="none"/>
                <w:lang w:val="en-US" w:eastAsia="zh-CN"/>
              </w:rPr>
              <w:t>及以上</w:t>
            </w:r>
            <w:r>
              <w:rPr>
                <w:rFonts w:hint="eastAsia" w:ascii="宋体" w:hAnsi="宋体" w:eastAsia="宋体" w:cs="宋体"/>
                <w:color w:val="auto"/>
                <w:sz w:val="24"/>
                <w:highlight w:val="none"/>
                <w:lang w:val="en-US" w:eastAsia="zh-CN"/>
              </w:rPr>
              <w:t>职称的，得2分；具备中级技术职称的，得1分</w:t>
            </w:r>
            <w:r>
              <w:rPr>
                <w:rFonts w:hint="eastAsia" w:ascii="宋体" w:hAnsi="宋体" w:cs="宋体"/>
                <w:color w:val="auto"/>
                <w:sz w:val="24"/>
                <w:highlight w:val="none"/>
                <w:lang w:val="en-US" w:eastAsia="zh-CN"/>
              </w:rPr>
              <w:t>，其他不得分。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注：以上须提供职称证书</w:t>
            </w:r>
            <w:r>
              <w:rPr>
                <w:rFonts w:hint="eastAsia" w:ascii="宋体" w:hAnsi="宋体" w:cs="宋体"/>
                <w:color w:val="auto"/>
                <w:sz w:val="24"/>
                <w:highlight w:val="none"/>
                <w:lang w:val="en-US" w:eastAsia="zh-CN"/>
              </w:rPr>
              <w:t>扫描件</w:t>
            </w:r>
            <w:r>
              <w:rPr>
                <w:rFonts w:hint="eastAsia" w:ascii="宋体" w:hAnsi="宋体" w:eastAsia="宋体" w:cs="宋体"/>
                <w:color w:val="auto"/>
                <w:sz w:val="24"/>
                <w:highlight w:val="none"/>
              </w:rPr>
              <w:t>、身份证</w:t>
            </w:r>
            <w:r>
              <w:rPr>
                <w:rFonts w:hint="eastAsia" w:ascii="宋体" w:hAnsi="宋体" w:cs="宋体"/>
                <w:color w:val="auto"/>
                <w:sz w:val="24"/>
                <w:highlight w:val="none"/>
                <w:lang w:val="en-US" w:eastAsia="zh-CN"/>
              </w:rPr>
              <w:t>扫描件</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投标截止时间前</w:t>
            </w:r>
            <w:r>
              <w:rPr>
                <w:rFonts w:hint="eastAsia" w:ascii="宋体" w:hAnsi="宋体" w:eastAsia="宋体" w:cs="宋体"/>
                <w:color w:val="auto"/>
                <w:sz w:val="24"/>
                <w:highlight w:val="none"/>
              </w:rPr>
              <w:t>6个月社保证明扫描件并加盖公章。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95" w:hRule="atLeast"/>
        </w:trPr>
        <w:tc>
          <w:tcPr>
            <w:tcW w:w="1038" w:type="dxa"/>
            <w:vMerge w:val="continue"/>
            <w:tcBorders>
              <w:left w:val="single" w:color="000000" w:sz="4" w:space="0"/>
              <w:bottom w:val="single" w:color="000000" w:sz="4" w:space="0"/>
              <w:right w:val="single" w:color="000000" w:sz="4" w:space="0"/>
            </w:tcBorders>
            <w:noWrap w:val="0"/>
            <w:vAlign w:val="center"/>
          </w:tcPr>
          <w:p>
            <w:pPr>
              <w:spacing w:line="400" w:lineRule="exact"/>
              <w:jc w:val="left"/>
              <w:rPr>
                <w:color w:val="auto"/>
                <w:highlight w:val="none"/>
              </w:rPr>
            </w:pPr>
          </w:p>
        </w:tc>
        <w:tc>
          <w:tcPr>
            <w:tcW w:w="1262" w:type="dxa"/>
            <w:vMerge w:val="continue"/>
            <w:tcBorders>
              <w:left w:val="single" w:color="000000" w:sz="4" w:space="0"/>
              <w:bottom w:val="single" w:color="000000" w:sz="4" w:space="0"/>
              <w:right w:val="single" w:color="000000" w:sz="4" w:space="0"/>
            </w:tcBorders>
            <w:noWrap w:val="0"/>
            <w:vAlign w:val="center"/>
          </w:tcPr>
          <w:p>
            <w:pPr>
              <w:spacing w:line="400" w:lineRule="exact"/>
              <w:jc w:val="left"/>
              <w:rPr>
                <w:color w:val="auto"/>
                <w:highlight w:val="none"/>
              </w:rPr>
            </w:pPr>
          </w:p>
        </w:tc>
        <w:tc>
          <w:tcPr>
            <w:tcW w:w="983" w:type="dxa"/>
            <w:vMerge w:val="continue"/>
            <w:tcBorders>
              <w:left w:val="single" w:color="000000" w:sz="4" w:space="0"/>
              <w:bottom w:val="single" w:color="000000" w:sz="4" w:space="0"/>
              <w:right w:val="single" w:color="000000" w:sz="4" w:space="0"/>
            </w:tcBorders>
            <w:noWrap w:val="0"/>
            <w:vAlign w:val="center"/>
          </w:tcPr>
          <w:p>
            <w:pPr>
              <w:spacing w:line="400" w:lineRule="exact"/>
              <w:jc w:val="left"/>
              <w:rPr>
                <w:color w:val="auto"/>
                <w:highlight w:val="none"/>
              </w:rPr>
            </w:pP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拟派项目组成人员</w:t>
            </w:r>
            <w:r>
              <w:rPr>
                <w:rFonts w:hint="eastAsia" w:ascii="宋体" w:hAnsi="宋体" w:cs="宋体"/>
                <w:color w:val="auto"/>
                <w:sz w:val="24"/>
                <w:highlight w:val="none"/>
                <w:lang w:val="en-US" w:eastAsia="zh-CN"/>
              </w:rPr>
              <w:t>（项目负责人除外），同时</w:t>
            </w:r>
            <w:r>
              <w:rPr>
                <w:rFonts w:hint="eastAsia" w:ascii="宋体" w:hAnsi="宋体" w:eastAsia="宋体" w:cs="宋体"/>
                <w:color w:val="auto"/>
                <w:sz w:val="24"/>
                <w:highlight w:val="none"/>
                <w:lang w:val="en-US" w:eastAsia="zh-CN"/>
              </w:rPr>
              <w:t>具有注册造价师注册证书</w:t>
            </w:r>
            <w:r>
              <w:rPr>
                <w:rFonts w:hint="eastAsia" w:ascii="宋体" w:hAnsi="宋体" w:cs="宋体"/>
                <w:color w:val="auto"/>
                <w:sz w:val="24"/>
                <w:highlight w:val="none"/>
                <w:lang w:val="en-US" w:eastAsia="zh-CN"/>
              </w:rPr>
              <w:t>、高级及以上职称证书，每有1人得0.5分，最多得6分</w:t>
            </w:r>
            <w:r>
              <w:rPr>
                <w:rFonts w:hint="eastAsia" w:ascii="宋体" w:hAnsi="宋体" w:eastAsia="宋体" w:cs="宋体"/>
                <w:color w:val="auto"/>
                <w:sz w:val="24"/>
                <w:highlight w:val="none"/>
                <w:lang w:val="en-US" w:eastAsia="zh-CN"/>
              </w:rPr>
              <w:t>；</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注：拟投入本项目组成员均须提供</w:t>
            </w:r>
            <w:r>
              <w:rPr>
                <w:rFonts w:hint="eastAsia" w:ascii="宋体" w:hAnsi="宋体" w:cs="宋体"/>
                <w:color w:val="auto"/>
                <w:sz w:val="24"/>
                <w:highlight w:val="none"/>
                <w:lang w:val="en-US" w:eastAsia="zh-CN"/>
              </w:rPr>
              <w:t>注册</w:t>
            </w:r>
            <w:r>
              <w:rPr>
                <w:rFonts w:hint="eastAsia" w:ascii="宋体" w:hAnsi="宋体" w:eastAsia="宋体" w:cs="宋体"/>
                <w:color w:val="auto"/>
                <w:sz w:val="24"/>
                <w:highlight w:val="none"/>
                <w:lang w:val="en-US" w:eastAsia="zh-CN"/>
              </w:rPr>
              <w:t>证书</w:t>
            </w:r>
            <w:r>
              <w:rPr>
                <w:rFonts w:hint="eastAsia" w:ascii="宋体" w:hAnsi="宋体" w:cs="宋体"/>
                <w:color w:val="auto"/>
                <w:sz w:val="24"/>
                <w:highlight w:val="none"/>
                <w:lang w:val="en-US" w:eastAsia="zh-CN"/>
              </w:rPr>
              <w:t>、职称证书</w:t>
            </w:r>
            <w:r>
              <w:rPr>
                <w:rFonts w:hint="eastAsia" w:ascii="宋体" w:hAnsi="宋体" w:eastAsia="宋体" w:cs="宋体"/>
                <w:color w:val="auto"/>
                <w:sz w:val="24"/>
                <w:highlight w:val="none"/>
                <w:lang w:val="en-US" w:eastAsia="zh-CN"/>
              </w:rPr>
              <w:t>扫描件、身份证扫描件和投标截止时间前6个月社保证明扫描件并加盖公章。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企业认证证书</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具有有效期内的ISO认证的（质量管理体系认证；环境管理体系认证；职业健康安全管理体系认证），每提供1个得1分，最多得3分。不提供不得分。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注：认证证书须可在国家认证认可监督管理委员会官网网站（http：//www.cnca.gov.cn）查询，并附上查询截图加盖公章。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全过程造价咨询服务方案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针对本项目特点所制定的建设实施全过程造价咨询服务方案的思路清晰、目标明确、依据充分，组织计划及保障措施等方面阐述合理和完整的得10（含）-15分；</w:t>
            </w:r>
          </w:p>
          <w:p>
            <w:pPr>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对本项目所制定的建设实施全过程造价咨询服务方案的思路、目标和依据较少，组织计划及保障措施等方面阐述基本合理和完整，但针对性不强的得5（含）-10分；</w:t>
            </w:r>
          </w:p>
          <w:p>
            <w:pPr>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对本项目所制定的建设实施全过程造价咨询服务方案的思路不清晰或目标不明确或依据不充分，组织计划及保障措施等方面阐述性欠缺，无针对性的得0（不含）-5分；</w:t>
            </w:r>
          </w:p>
          <w:p>
            <w:pPr>
              <w:pStyle w:val="25"/>
              <w:ind w:left="0" w:leftChars="0" w:firstLine="0" w:firstLineChars="0"/>
              <w:rPr>
                <w:rFonts w:hint="eastAsia"/>
                <w:color w:val="auto"/>
                <w:highlight w:val="none"/>
              </w:rPr>
            </w:pPr>
            <w:r>
              <w:rPr>
                <w:rFonts w:hint="eastAsia" w:ascii="宋体" w:hAnsi="宋体" w:cs="宋体"/>
                <w:b/>
                <w:bCs/>
                <w:color w:val="auto"/>
                <w:szCs w:val="21"/>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机构设置及岗位职责</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造价咨询服务机构设置和岗位职责明确、科学合理、可行性强的得1（含）-2分；</w:t>
            </w:r>
          </w:p>
          <w:p>
            <w:pPr>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造价咨询服务机构设置和岗位职责明确合理、可行性一般的得0（不含）-1分；</w:t>
            </w:r>
          </w:p>
          <w:p>
            <w:pPr>
              <w:spacing w:line="400" w:lineRule="exact"/>
              <w:jc w:val="left"/>
              <w:rPr>
                <w:rFonts w:hint="default" w:ascii="宋体" w:hAnsi="宋体" w:cs="宋体"/>
                <w:color w:val="auto"/>
                <w:sz w:val="24"/>
                <w:highlight w:val="none"/>
                <w:lang w:val="en-US" w:eastAsia="zh-CN"/>
              </w:rPr>
            </w:pPr>
            <w:r>
              <w:rPr>
                <w:rFonts w:hint="eastAsia" w:ascii="宋体" w:hAnsi="宋体" w:cs="宋体"/>
                <w:b/>
                <w:bCs/>
                <w:color w:val="auto"/>
                <w:szCs w:val="21"/>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质量承诺及保证措施</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服务质量保证体系健全，工作程序清晰，安排科学，保证措施有力，有具体的质量违约责任承诺的得</w:t>
            </w:r>
            <w:r>
              <w:rPr>
                <w:rFonts w:hint="eastAsia" w:ascii="宋体" w:hAnsi="宋体" w:cs="宋体"/>
                <w:color w:val="auto"/>
                <w:sz w:val="24"/>
                <w:highlight w:val="none"/>
                <w:lang w:val="en-US" w:eastAsia="zh-CN"/>
              </w:rPr>
              <w:t>7（含）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服务质量保证体系健全，工作程序清晰，安排基本合理，保证措施较合理，有质量违约责任承诺的得</w:t>
            </w:r>
            <w:r>
              <w:rPr>
                <w:rFonts w:hint="eastAsia" w:ascii="宋体" w:hAnsi="宋体" w:cs="宋体"/>
                <w:color w:val="auto"/>
                <w:sz w:val="24"/>
                <w:highlight w:val="none"/>
                <w:lang w:val="en-US" w:eastAsia="zh-CN"/>
              </w:rPr>
              <w:t>3（含）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服务质量保证体系欠缺，工作程序清晰，安排基本合理，保证措施基本合理的得</w:t>
            </w:r>
            <w:r>
              <w:rPr>
                <w:rFonts w:hint="eastAsia" w:ascii="宋体" w:hAnsi="宋体" w:cs="宋体"/>
                <w:color w:val="auto"/>
                <w:sz w:val="24"/>
                <w:highlight w:val="none"/>
                <w:lang w:val="en-US" w:eastAsia="zh-CN"/>
              </w:rPr>
              <w:t>0（不含）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pPr>
              <w:pStyle w:val="25"/>
              <w:ind w:left="0" w:leftChars="0" w:firstLine="0" w:firstLineChars="0"/>
              <w:rPr>
                <w:rFonts w:hint="eastAsia"/>
                <w:color w:val="auto"/>
                <w:highlight w:val="none"/>
              </w:rPr>
            </w:pPr>
            <w:r>
              <w:rPr>
                <w:rFonts w:hint="eastAsia"/>
                <w:b/>
                <w:bCs/>
                <w:color w:val="auto"/>
                <w:highlight w:val="none"/>
                <w:lang w:val="en-US" w:eastAsia="zh-CN"/>
              </w:rPr>
              <w:t>注：</w:t>
            </w:r>
            <w:r>
              <w:rPr>
                <w:rFonts w:hint="eastAsia" w:ascii="宋体" w:hAnsi="宋体" w:cs="宋体"/>
                <w:b/>
                <w:bCs/>
                <w:color w:val="auto"/>
                <w:szCs w:val="21"/>
                <w:highlight w:val="none"/>
              </w:rPr>
              <w:t>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实施进度计划及保障措施</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工程造价咨询</w:t>
            </w:r>
            <w:r>
              <w:rPr>
                <w:rFonts w:hint="eastAsia" w:ascii="宋体" w:hAnsi="宋体" w:eastAsia="宋体" w:cs="宋体"/>
                <w:color w:val="auto"/>
                <w:sz w:val="24"/>
                <w:highlight w:val="none"/>
              </w:rPr>
              <w:t>服务实施进度计划明确，保障措施</w:t>
            </w:r>
            <w:r>
              <w:rPr>
                <w:rFonts w:hint="eastAsia" w:ascii="宋体" w:hAnsi="宋体" w:cs="宋体"/>
                <w:color w:val="auto"/>
                <w:sz w:val="24"/>
                <w:highlight w:val="none"/>
                <w:lang w:val="en-US" w:eastAsia="zh-CN"/>
              </w:rPr>
              <w:t>有力</w:t>
            </w:r>
            <w:r>
              <w:rPr>
                <w:rFonts w:hint="eastAsia" w:ascii="宋体" w:hAnsi="宋体" w:eastAsia="宋体" w:cs="宋体"/>
                <w:color w:val="auto"/>
                <w:sz w:val="24"/>
                <w:highlight w:val="none"/>
              </w:rPr>
              <w:t>、科学合理、可行性强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对不同阶段的工作有周密、细致的计划及控制措施，得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工程造价咨询</w:t>
            </w:r>
            <w:r>
              <w:rPr>
                <w:rFonts w:hint="eastAsia" w:ascii="宋体" w:hAnsi="宋体" w:eastAsia="宋体" w:cs="宋体"/>
                <w:color w:val="auto"/>
                <w:sz w:val="24"/>
                <w:highlight w:val="none"/>
              </w:rPr>
              <w:t>服务实施进度计划</w:t>
            </w:r>
            <w:r>
              <w:rPr>
                <w:rFonts w:hint="eastAsia" w:ascii="宋体" w:hAnsi="宋体" w:cs="宋体"/>
                <w:color w:val="auto"/>
                <w:sz w:val="24"/>
                <w:highlight w:val="none"/>
                <w:lang w:val="en-US" w:eastAsia="zh-CN"/>
              </w:rPr>
              <w:t>较为</w:t>
            </w:r>
            <w:r>
              <w:rPr>
                <w:rFonts w:hint="eastAsia" w:ascii="宋体" w:hAnsi="宋体" w:eastAsia="宋体" w:cs="宋体"/>
                <w:color w:val="auto"/>
                <w:sz w:val="24"/>
                <w:highlight w:val="none"/>
              </w:rPr>
              <w:t>明确，保障措施</w:t>
            </w:r>
            <w:r>
              <w:rPr>
                <w:rFonts w:hint="eastAsia" w:ascii="宋体" w:hAnsi="宋体" w:cs="宋体"/>
                <w:color w:val="auto"/>
                <w:sz w:val="24"/>
                <w:highlight w:val="none"/>
                <w:lang w:val="en-US" w:eastAsia="zh-CN"/>
              </w:rPr>
              <w:t>较为</w:t>
            </w:r>
            <w:r>
              <w:rPr>
                <w:rFonts w:hint="eastAsia" w:ascii="宋体" w:hAnsi="宋体" w:eastAsia="宋体" w:cs="宋体"/>
                <w:color w:val="auto"/>
                <w:sz w:val="24"/>
                <w:highlight w:val="none"/>
              </w:rPr>
              <w:t>完善、</w:t>
            </w:r>
            <w:r>
              <w:rPr>
                <w:rFonts w:hint="eastAsia" w:ascii="宋体" w:hAnsi="宋体" w:cs="宋体"/>
                <w:color w:val="auto"/>
                <w:sz w:val="24"/>
                <w:highlight w:val="none"/>
                <w:lang w:val="en-US" w:eastAsia="zh-CN"/>
              </w:rPr>
              <w:t>具有科学性和</w:t>
            </w:r>
            <w:r>
              <w:rPr>
                <w:rFonts w:hint="eastAsia" w:ascii="宋体" w:hAnsi="宋体" w:eastAsia="宋体" w:cs="宋体"/>
                <w:color w:val="auto"/>
                <w:sz w:val="24"/>
                <w:highlight w:val="none"/>
              </w:rPr>
              <w:t>可行性</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工作有比较周密、细致的计划控制措施，得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工程造价咨询</w:t>
            </w:r>
            <w:r>
              <w:rPr>
                <w:rFonts w:hint="eastAsia" w:ascii="宋体" w:hAnsi="宋体" w:eastAsia="宋体" w:cs="宋体"/>
                <w:color w:val="auto"/>
                <w:sz w:val="24"/>
                <w:highlight w:val="none"/>
              </w:rPr>
              <w:t>服务实施进度计划</w:t>
            </w:r>
            <w:r>
              <w:rPr>
                <w:rFonts w:hint="eastAsia" w:ascii="宋体" w:hAnsi="宋体" w:cs="宋体"/>
                <w:color w:val="auto"/>
                <w:sz w:val="24"/>
                <w:highlight w:val="none"/>
                <w:lang w:val="en-US" w:eastAsia="zh-CN"/>
              </w:rPr>
              <w:t>模糊</w:t>
            </w:r>
            <w:r>
              <w:rPr>
                <w:rFonts w:hint="eastAsia" w:ascii="宋体" w:hAnsi="宋体" w:eastAsia="宋体" w:cs="宋体"/>
                <w:color w:val="auto"/>
                <w:sz w:val="24"/>
                <w:highlight w:val="none"/>
              </w:rPr>
              <w:t>，保障措施</w:t>
            </w:r>
            <w:r>
              <w:rPr>
                <w:rFonts w:hint="eastAsia" w:ascii="宋体" w:hAnsi="宋体" w:cs="宋体"/>
                <w:color w:val="auto"/>
                <w:sz w:val="24"/>
                <w:highlight w:val="none"/>
                <w:lang w:val="en-US" w:eastAsia="zh-CN"/>
              </w:rPr>
              <w:t>欠缺</w:t>
            </w:r>
            <w:r>
              <w:rPr>
                <w:rFonts w:hint="eastAsia" w:ascii="宋体" w:hAnsi="宋体" w:eastAsia="宋体" w:cs="宋体"/>
                <w:color w:val="auto"/>
                <w:sz w:val="24"/>
                <w:highlight w:val="none"/>
              </w:rPr>
              <w:t>、科学</w:t>
            </w:r>
            <w:r>
              <w:rPr>
                <w:rFonts w:hint="eastAsia" w:ascii="宋体" w:hAnsi="宋体" w:cs="宋体"/>
                <w:color w:val="auto"/>
                <w:sz w:val="24"/>
                <w:highlight w:val="none"/>
                <w:lang w:val="en-US" w:eastAsia="zh-CN"/>
              </w:rPr>
              <w:t>性</w:t>
            </w:r>
            <w:r>
              <w:rPr>
                <w:rFonts w:hint="eastAsia" w:ascii="宋体" w:hAnsi="宋体" w:eastAsia="宋体" w:cs="宋体"/>
                <w:color w:val="auto"/>
                <w:sz w:val="24"/>
                <w:highlight w:val="none"/>
              </w:rPr>
              <w:t>、可行性</w:t>
            </w:r>
            <w:r>
              <w:rPr>
                <w:rFonts w:hint="eastAsia" w:ascii="宋体" w:hAnsi="宋体" w:cs="宋体"/>
                <w:color w:val="auto"/>
                <w:sz w:val="24"/>
                <w:highlight w:val="none"/>
                <w:lang w:val="en-US" w:eastAsia="zh-CN"/>
              </w:rPr>
              <w:t>较差</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工作组织没有周密、细致的计划及控制措施，得</w:t>
            </w:r>
            <w:r>
              <w:rPr>
                <w:rFonts w:hint="eastAsia" w:ascii="宋体" w:hAnsi="宋体" w:cs="宋体"/>
                <w:color w:val="auto"/>
                <w:sz w:val="24"/>
                <w:highlight w:val="none"/>
                <w:lang w:val="en-US" w:eastAsia="zh-CN"/>
              </w:rPr>
              <w:t>0（不含）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9</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投资控制造价咨询措施</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5.00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投资控制造价咨询措施详细、科学、合理、符合本工程特点、切实可行的得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投资控制造价咨询措施一般、基本可行的，得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投资控制造价咨询措施粗略、不能指导工作的，得1-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1.10</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针对本项目的合理化建议</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有针对本项目造价咨询合理化建议，且阐述具体、全面合理、针对性较好的得4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eastAsia="宋体" w:cs="宋体"/>
                <w:color w:val="auto"/>
                <w:sz w:val="24"/>
                <w:highlight w:val="none"/>
              </w:rPr>
              <w:t>-5分；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有针对本项目造价咨询合理化建议，针对性一般的得2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无针对本项目造价咨询合理化建议或针对性较差的得</w:t>
            </w:r>
            <w:r>
              <w:rPr>
                <w:rFonts w:hint="eastAsia" w:ascii="宋体" w:hAnsi="宋体" w:cs="宋体"/>
                <w:color w:val="auto"/>
                <w:sz w:val="24"/>
                <w:highlight w:val="none"/>
                <w:lang w:val="en-US" w:eastAsia="zh-CN"/>
              </w:rPr>
              <w:t>0（不含）-2</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资料、信息收集及管理方案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资料、信息收集及管理方案内容完善、科学合理、可行性强</w:t>
            </w:r>
            <w:r>
              <w:rPr>
                <w:rFonts w:hint="eastAsia" w:ascii="宋体" w:hAnsi="宋体" w:cs="宋体"/>
                <w:color w:val="auto"/>
                <w:sz w:val="24"/>
                <w:highlight w:val="none"/>
                <w:lang w:val="en-US" w:eastAsia="zh-CN"/>
              </w:rPr>
              <w:t>的得4（含）-5分</w:t>
            </w:r>
            <w:r>
              <w:rPr>
                <w:rFonts w:hint="eastAsia" w:ascii="宋体" w:hAnsi="宋体" w:eastAsia="宋体" w:cs="宋体"/>
                <w:color w:val="auto"/>
                <w:sz w:val="24"/>
                <w:highlight w:val="none"/>
              </w:rPr>
              <w:t>；</w:t>
            </w:r>
          </w:p>
          <w:p>
            <w:pPr>
              <w:spacing w:line="400" w:lineRule="exact"/>
              <w:jc w:val="lef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资料、信息收集及管理方案满足项目需求，可行性一般</w:t>
            </w:r>
            <w:r>
              <w:rPr>
                <w:rFonts w:hint="eastAsia" w:ascii="宋体" w:hAnsi="宋体" w:cs="宋体"/>
                <w:color w:val="auto"/>
                <w:sz w:val="24"/>
                <w:highlight w:val="none"/>
                <w:lang w:val="en-US" w:eastAsia="zh-CN"/>
              </w:rPr>
              <w:t>的得2（含）-4分；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资料、信息收集及管理方案</w:t>
            </w:r>
            <w:r>
              <w:rPr>
                <w:rFonts w:hint="eastAsia" w:ascii="宋体" w:hAnsi="宋体" w:cs="宋体"/>
                <w:color w:val="auto"/>
                <w:sz w:val="24"/>
                <w:highlight w:val="none"/>
                <w:lang w:val="en-US" w:eastAsia="zh-CN"/>
              </w:rPr>
              <w:t>未</w:t>
            </w:r>
            <w:r>
              <w:rPr>
                <w:rFonts w:hint="eastAsia" w:ascii="宋体" w:hAnsi="宋体" w:eastAsia="宋体" w:cs="宋体"/>
                <w:color w:val="auto"/>
                <w:sz w:val="24"/>
                <w:highlight w:val="none"/>
              </w:rPr>
              <w:t>满足项目需求，可行性</w:t>
            </w:r>
            <w:r>
              <w:rPr>
                <w:rFonts w:hint="eastAsia" w:ascii="宋体" w:hAnsi="宋体" w:cs="宋体"/>
                <w:color w:val="auto"/>
                <w:sz w:val="24"/>
                <w:highlight w:val="none"/>
                <w:lang w:val="en-US" w:eastAsia="zh-CN"/>
              </w:rPr>
              <w:t>差的得0（不含）-2分</w:t>
            </w:r>
            <w:r>
              <w:rPr>
                <w:rFonts w:hint="eastAsia" w:ascii="宋体" w:hAnsi="宋体" w:eastAsia="宋体" w:cs="宋体"/>
                <w:color w:val="auto"/>
                <w:sz w:val="24"/>
                <w:highlight w:val="none"/>
              </w:rPr>
              <w:t>。</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注：未提供此项的不得分。</w:t>
            </w:r>
          </w:p>
        </w:tc>
      </w:tr>
    </w:tbl>
    <w:p>
      <w:pPr>
        <w:adjustRightInd w:val="0"/>
        <w:snapToGrid w:val="0"/>
        <w:spacing w:line="360" w:lineRule="auto"/>
        <w:rPr>
          <w:rFonts w:hint="eastAsia" w:ascii="宋体" w:hAnsi="宋体" w:eastAsia="宋体" w:cs="宋体"/>
          <w:color w:val="auto"/>
          <w:sz w:val="24"/>
          <w:szCs w:val="21"/>
          <w:highlight w:val="none"/>
        </w:rPr>
      </w:pPr>
    </w:p>
    <w:p>
      <w:pPr>
        <w:adjustRightInd w:val="0"/>
        <w:snapToGrid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说明：</w:t>
      </w:r>
    </w:p>
    <w:p>
      <w:pPr>
        <w:spacing w:after="120" w:line="360" w:lineRule="auto"/>
        <w:ind w:firstLine="600" w:firstLineChars="2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1、公式中的投标报价及其个数是指通过评标委员会初步评审的有效投标人投标报价及其个数。</w:t>
      </w:r>
    </w:p>
    <w:p>
      <w:pPr>
        <w:spacing w:after="120" w:line="360" w:lineRule="auto"/>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1"/>
          <w:highlight w:val="none"/>
        </w:rPr>
        <w:t>2、</w:t>
      </w:r>
      <w:r>
        <w:rPr>
          <w:rFonts w:hint="eastAsia" w:ascii="宋体" w:hAnsi="宋体" w:eastAsia="宋体" w:cs="宋体"/>
          <w:color w:val="auto"/>
          <w:spacing w:val="12"/>
          <w:sz w:val="24"/>
          <w:szCs w:val="24"/>
          <w:highlight w:val="none"/>
        </w:rPr>
        <w:t>本项目采用综合评分法评标，不保证最</w:t>
      </w:r>
      <w:r>
        <w:rPr>
          <w:rFonts w:hint="eastAsia" w:ascii="宋体" w:hAnsi="宋体" w:eastAsia="宋体" w:cs="宋体"/>
          <w:color w:val="auto"/>
          <w:spacing w:val="12"/>
          <w:sz w:val="24"/>
          <w:szCs w:val="24"/>
          <w:highlight w:val="none"/>
          <w:lang w:val="en-US" w:eastAsia="zh-CN"/>
        </w:rPr>
        <w:t>低</w:t>
      </w:r>
      <w:r>
        <w:rPr>
          <w:rFonts w:hint="eastAsia" w:ascii="宋体" w:hAnsi="宋体" w:eastAsia="宋体" w:cs="宋体"/>
          <w:color w:val="auto"/>
          <w:spacing w:val="12"/>
          <w:sz w:val="24"/>
          <w:szCs w:val="24"/>
          <w:highlight w:val="none"/>
        </w:rPr>
        <w:t>报价中标。</w:t>
      </w:r>
    </w:p>
    <w:sectPr>
      <w:headerReference r:id="rId16" w:type="default"/>
      <w:pgSz w:w="11906" w:h="16838"/>
      <w:pgMar w:top="1134" w:right="1033" w:bottom="1134" w:left="993" w:header="454" w:footer="45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sans-serif">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23</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napToGrid w:val="0"/>
      <w:spacing w:line="240" w:lineRule="auto"/>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Bdr>
                              <w:top w:val="none" w:color="auto" w:sz="0" w:space="1"/>
                            </w:pBdr>
                            <w:snapToGrid w:val="0"/>
                            <w:spacing w:line="240" w:lineRule="auto"/>
                            <w:rPr>
                              <w:rFonts w:hint="eastAsia"/>
                              <w:sz w:val="21"/>
                              <w:lang w:eastAsia="zh-CN"/>
                            </w:rPr>
                          </w:pPr>
                          <w:r>
                            <w:rPr>
                              <w:rFonts w:hint="eastAsia"/>
                              <w:sz w:val="21"/>
                              <w:lang w:eastAsia="zh-CN"/>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pPr>
                      <w:pStyle w:val="17"/>
                      <w:pBdr>
                        <w:top w:val="none" w:color="auto" w:sz="0" w:space="1"/>
                      </w:pBdr>
                      <w:snapToGrid w:val="0"/>
                      <w:spacing w:line="240" w:lineRule="auto"/>
                      <w:rPr>
                        <w:rFonts w:hint="eastAsia"/>
                        <w:sz w:val="21"/>
                        <w:lang w:eastAsia="zh-CN"/>
                      </w:rPr>
                    </w:pPr>
                    <w:r>
                      <w:rPr>
                        <w:rFonts w:hint="eastAsia"/>
                        <w:sz w:val="21"/>
                        <w:lang w:eastAsia="zh-CN"/>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780"/>
        </w:tabs>
        <w:ind w:left="780" w:hanging="360"/>
      </w:pPr>
      <w:rPr>
        <w:rFonts w:hint="default"/>
        <w:color w:val="auto"/>
      </w:rPr>
    </w:lvl>
    <w:lvl w:ilvl="1" w:tentative="0">
      <w:start w:val="1"/>
      <w:numFmt w:val="decimal"/>
      <w:lvlText w:val="（%2）"/>
      <w:lvlJc w:val="left"/>
      <w:pPr>
        <w:tabs>
          <w:tab w:val="left" w:pos="1560"/>
        </w:tabs>
        <w:ind w:left="1560" w:hanging="720"/>
      </w:pPr>
      <w:rPr>
        <w:rFonts w:hint="default"/>
      </w:rPr>
    </w:lvl>
    <w:lvl w:ilvl="2" w:tentative="0">
      <w:start w:val="1"/>
      <w:numFmt w:val="decimalEnclosedCircle"/>
      <w:lvlText w:val="%3"/>
      <w:lvlJc w:val="left"/>
      <w:pPr>
        <w:tabs>
          <w:tab w:val="left" w:pos="1620"/>
        </w:tabs>
        <w:ind w:left="1620" w:hanging="360"/>
      </w:pPr>
      <w:rPr>
        <w:rFonts w:hint="default"/>
        <w:u w:val="none"/>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10"/>
    <w:multiLevelType w:val="multilevel"/>
    <w:tmpl w:val="00000010"/>
    <w:lvl w:ilvl="0" w:tentative="0">
      <w:start w:val="1"/>
      <w:numFmt w:val="decimal"/>
      <w:lvlText w:val="%1、"/>
      <w:lvlJc w:val="left"/>
      <w:pPr>
        <w:ind w:left="1050" w:hanging="4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00000019"/>
    <w:multiLevelType w:val="multilevel"/>
    <w:tmpl w:val="00000019"/>
    <w:lvl w:ilvl="0" w:tentative="0">
      <w:start w:val="1"/>
      <w:numFmt w:val="bullet"/>
      <w:lvlText w:val=""/>
      <w:lvlJc w:val="left"/>
      <w:pPr>
        <w:tabs>
          <w:tab w:val="left" w:pos="735"/>
        </w:tabs>
        <w:ind w:left="735" w:hanging="420"/>
      </w:pPr>
      <w:rPr>
        <w:rFonts w:hint="default" w:ascii="Wingdings" w:hAnsi="Wingdings"/>
      </w:rPr>
    </w:lvl>
    <w:lvl w:ilvl="1" w:tentative="0">
      <w:start w:val="1"/>
      <w:numFmt w:val="bullet"/>
      <w:pStyle w:val="32"/>
      <w:lvlText w:val=""/>
      <w:lvlJc w:val="left"/>
      <w:pPr>
        <w:tabs>
          <w:tab w:val="left" w:pos="1155"/>
        </w:tabs>
        <w:ind w:left="1155" w:hanging="420"/>
      </w:pPr>
      <w:rPr>
        <w:rFonts w:hint="default" w:ascii="Wingdings" w:hAnsi="Wingdings"/>
      </w:rPr>
    </w:lvl>
    <w:lvl w:ilvl="2" w:tentative="0">
      <w:start w:val="1"/>
      <w:numFmt w:val="bullet"/>
      <w:lvlText w:val=""/>
      <w:lvlJc w:val="left"/>
      <w:pPr>
        <w:tabs>
          <w:tab w:val="left" w:pos="1575"/>
        </w:tabs>
        <w:ind w:left="1575" w:hanging="420"/>
      </w:pPr>
      <w:rPr>
        <w:rFonts w:hint="default" w:ascii="Wingdings" w:hAnsi="Wingdings"/>
      </w:rPr>
    </w:lvl>
    <w:lvl w:ilvl="3" w:tentative="0">
      <w:start w:val="1"/>
      <w:numFmt w:val="bullet"/>
      <w:lvlText w:val=""/>
      <w:lvlJc w:val="left"/>
      <w:pPr>
        <w:tabs>
          <w:tab w:val="left" w:pos="1995"/>
        </w:tabs>
        <w:ind w:left="1995" w:hanging="420"/>
      </w:pPr>
      <w:rPr>
        <w:rFonts w:hint="default" w:ascii="Wingdings" w:hAnsi="Wingdings"/>
      </w:rPr>
    </w:lvl>
    <w:lvl w:ilvl="4" w:tentative="0">
      <w:start w:val="1"/>
      <w:numFmt w:val="bullet"/>
      <w:lvlText w:val=""/>
      <w:lvlJc w:val="left"/>
      <w:pPr>
        <w:tabs>
          <w:tab w:val="left" w:pos="2415"/>
        </w:tabs>
        <w:ind w:left="2415" w:hanging="420"/>
      </w:pPr>
      <w:rPr>
        <w:rFonts w:hint="default" w:ascii="Wingdings" w:hAnsi="Wingdings"/>
      </w:rPr>
    </w:lvl>
    <w:lvl w:ilvl="5" w:tentative="0">
      <w:start w:val="1"/>
      <w:numFmt w:val="bullet"/>
      <w:lvlText w:val=""/>
      <w:lvlJc w:val="left"/>
      <w:pPr>
        <w:tabs>
          <w:tab w:val="left" w:pos="2835"/>
        </w:tabs>
        <w:ind w:left="2835" w:hanging="420"/>
      </w:pPr>
      <w:rPr>
        <w:rFonts w:hint="default" w:ascii="Wingdings" w:hAnsi="Wingdings"/>
      </w:rPr>
    </w:lvl>
    <w:lvl w:ilvl="6" w:tentative="0">
      <w:start w:val="1"/>
      <w:numFmt w:val="bullet"/>
      <w:lvlText w:val=""/>
      <w:lvlJc w:val="left"/>
      <w:pPr>
        <w:tabs>
          <w:tab w:val="left" w:pos="3255"/>
        </w:tabs>
        <w:ind w:left="3255" w:hanging="420"/>
      </w:pPr>
      <w:rPr>
        <w:rFonts w:hint="default" w:ascii="Wingdings" w:hAnsi="Wingdings"/>
      </w:rPr>
    </w:lvl>
    <w:lvl w:ilvl="7" w:tentative="0">
      <w:start w:val="1"/>
      <w:numFmt w:val="bullet"/>
      <w:lvlText w:val=""/>
      <w:lvlJc w:val="left"/>
      <w:pPr>
        <w:tabs>
          <w:tab w:val="left" w:pos="3675"/>
        </w:tabs>
        <w:ind w:left="3675" w:hanging="420"/>
      </w:pPr>
      <w:rPr>
        <w:rFonts w:hint="default" w:ascii="Wingdings" w:hAnsi="Wingdings"/>
      </w:rPr>
    </w:lvl>
    <w:lvl w:ilvl="8" w:tentative="0">
      <w:start w:val="1"/>
      <w:numFmt w:val="bullet"/>
      <w:lvlText w:val=""/>
      <w:lvlJc w:val="left"/>
      <w:pPr>
        <w:tabs>
          <w:tab w:val="left" w:pos="4095"/>
        </w:tabs>
        <w:ind w:left="4095" w:hanging="420"/>
      </w:pPr>
      <w:rPr>
        <w:rFonts w:hint="default" w:ascii="Wingdings" w:hAnsi="Wingdings"/>
      </w:rPr>
    </w:lvl>
  </w:abstractNum>
  <w:abstractNum w:abstractNumId="3">
    <w:nsid w:val="00000020"/>
    <w:multiLevelType w:val="multilevel"/>
    <w:tmpl w:val="00000020"/>
    <w:lvl w:ilvl="0" w:tentative="0">
      <w:start w:val="1"/>
      <w:numFmt w:val="japaneseCounting"/>
      <w:lvlText w:val="%1、"/>
      <w:lvlJc w:val="left"/>
      <w:pPr>
        <w:ind w:left="1361" w:hanging="510"/>
      </w:pPr>
      <w:rPr>
        <w:rFonts w:hint="default"/>
        <w:b/>
        <w:lang w:val="en-US"/>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4">
    <w:nsid w:val="0000002A"/>
    <w:multiLevelType w:val="multilevel"/>
    <w:tmpl w:val="0000002A"/>
    <w:lvl w:ilvl="0" w:tentative="0">
      <w:start w:val="1"/>
      <w:numFmt w:val="japaneseCounting"/>
      <w:lvlText w:val="第%1章"/>
      <w:lvlJc w:val="left"/>
      <w:pPr>
        <w:tabs>
          <w:tab w:val="left" w:pos="1215"/>
        </w:tabs>
        <w:ind w:left="1215" w:hanging="12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D"/>
    <w:multiLevelType w:val="multilevel"/>
    <w:tmpl w:val="0000002D"/>
    <w:lvl w:ilvl="0" w:tentative="0">
      <w:start w:val="5"/>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31"/>
    <w:multiLevelType w:val="multilevel"/>
    <w:tmpl w:val="00000031"/>
    <w:lvl w:ilvl="0" w:tentative="0">
      <w:start w:val="1"/>
      <w:numFmt w:val="chineseCountingThousand"/>
      <w:lvlText w:val="第%1条"/>
      <w:lvlJc w:val="left"/>
      <w:pPr>
        <w:tabs>
          <w:tab w:val="left" w:pos="1828"/>
        </w:tabs>
        <w:ind w:left="2242"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6FE5E1F"/>
    <w:multiLevelType w:val="multilevel"/>
    <w:tmpl w:val="06FE5E1F"/>
    <w:lvl w:ilvl="0" w:tentative="0">
      <w:start w:val="1"/>
      <w:numFmt w:val="decimal"/>
      <w:lvlText w:val="%1."/>
      <w:lvlJc w:val="left"/>
      <w:pPr>
        <w:ind w:left="630" w:hanging="420"/>
      </w:pPr>
      <w:rPr>
        <w:b w:val="0"/>
        <w:color w:val="auto"/>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8">
    <w:nsid w:val="0AA1F33B"/>
    <w:multiLevelType w:val="singleLevel"/>
    <w:tmpl w:val="0AA1F33B"/>
    <w:lvl w:ilvl="0" w:tentative="0">
      <w:start w:val="1"/>
      <w:numFmt w:val="decimal"/>
      <w:suff w:val="nothing"/>
      <w:lvlText w:val="（%1）"/>
      <w:lvlJc w:val="left"/>
    </w:lvl>
  </w:abstractNum>
  <w:abstractNum w:abstractNumId="9">
    <w:nsid w:val="1CBB62B9"/>
    <w:multiLevelType w:val="multilevel"/>
    <w:tmpl w:val="1CBB62B9"/>
    <w:lvl w:ilvl="0" w:tentative="0">
      <w:start w:val="1"/>
      <w:numFmt w:val="decimal"/>
      <w:lvlText w:val="4.%1"/>
      <w:lvlJc w:val="left"/>
      <w:pPr>
        <w:ind w:left="782" w:hanging="420"/>
      </w:pPr>
      <w:rPr>
        <w:rFonts w:hint="eastAsia"/>
      </w:rPr>
    </w:lvl>
    <w:lvl w:ilvl="1" w:tentative="0">
      <w:start w:val="1"/>
      <w:numFmt w:val="lowerLetter"/>
      <w:lvlText w:val="%2)"/>
      <w:lvlJc w:val="left"/>
      <w:pPr>
        <w:ind w:left="1202" w:hanging="420"/>
      </w:pPr>
    </w:lvl>
    <w:lvl w:ilvl="2" w:tentative="0">
      <w:start w:val="1"/>
      <w:numFmt w:val="lowerRoman"/>
      <w:lvlText w:val="%3."/>
      <w:lvlJc w:val="right"/>
      <w:pPr>
        <w:ind w:left="1622" w:hanging="420"/>
      </w:pPr>
    </w:lvl>
    <w:lvl w:ilvl="3" w:tentative="0">
      <w:start w:val="1"/>
      <w:numFmt w:val="decimal"/>
      <w:lvlText w:val="%4."/>
      <w:lvlJc w:val="left"/>
      <w:pPr>
        <w:ind w:left="2042" w:hanging="420"/>
      </w:pPr>
    </w:lvl>
    <w:lvl w:ilvl="4" w:tentative="0">
      <w:start w:val="1"/>
      <w:numFmt w:val="lowerLetter"/>
      <w:lvlText w:val="%5)"/>
      <w:lvlJc w:val="left"/>
      <w:pPr>
        <w:ind w:left="2462" w:hanging="420"/>
      </w:pPr>
    </w:lvl>
    <w:lvl w:ilvl="5" w:tentative="0">
      <w:start w:val="1"/>
      <w:numFmt w:val="lowerRoman"/>
      <w:lvlText w:val="%6."/>
      <w:lvlJc w:val="right"/>
      <w:pPr>
        <w:ind w:left="2882" w:hanging="420"/>
      </w:pPr>
    </w:lvl>
    <w:lvl w:ilvl="6" w:tentative="0">
      <w:start w:val="1"/>
      <w:numFmt w:val="decimal"/>
      <w:lvlText w:val="%7."/>
      <w:lvlJc w:val="left"/>
      <w:pPr>
        <w:ind w:left="3302" w:hanging="420"/>
      </w:pPr>
    </w:lvl>
    <w:lvl w:ilvl="7" w:tentative="0">
      <w:start w:val="1"/>
      <w:numFmt w:val="lowerLetter"/>
      <w:lvlText w:val="%8)"/>
      <w:lvlJc w:val="left"/>
      <w:pPr>
        <w:ind w:left="3722" w:hanging="420"/>
      </w:pPr>
    </w:lvl>
    <w:lvl w:ilvl="8" w:tentative="0">
      <w:start w:val="1"/>
      <w:numFmt w:val="lowerRoman"/>
      <w:lvlText w:val="%9."/>
      <w:lvlJc w:val="right"/>
      <w:pPr>
        <w:ind w:left="4142" w:hanging="420"/>
      </w:pPr>
    </w:lvl>
  </w:abstractNum>
  <w:abstractNum w:abstractNumId="10">
    <w:nsid w:val="218347B7"/>
    <w:multiLevelType w:val="multilevel"/>
    <w:tmpl w:val="218347B7"/>
    <w:lvl w:ilvl="0" w:tentative="0">
      <w:start w:val="2"/>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6FF8A0F"/>
    <w:multiLevelType w:val="singleLevel"/>
    <w:tmpl w:val="26FF8A0F"/>
    <w:lvl w:ilvl="0" w:tentative="0">
      <w:start w:val="39"/>
      <w:numFmt w:val="decimal"/>
      <w:suff w:val="nothing"/>
      <w:lvlText w:val="%1、"/>
      <w:lvlJc w:val="left"/>
    </w:lvl>
  </w:abstractNum>
  <w:abstractNum w:abstractNumId="12">
    <w:nsid w:val="2E7A8AC4"/>
    <w:multiLevelType w:val="singleLevel"/>
    <w:tmpl w:val="2E7A8AC4"/>
    <w:lvl w:ilvl="0" w:tentative="0">
      <w:start w:val="1"/>
      <w:numFmt w:val="decimal"/>
      <w:suff w:val="nothing"/>
      <w:lvlText w:val="（%1）"/>
      <w:lvlJc w:val="left"/>
    </w:lvl>
  </w:abstractNum>
  <w:abstractNum w:abstractNumId="13">
    <w:nsid w:val="37C37DCC"/>
    <w:multiLevelType w:val="singleLevel"/>
    <w:tmpl w:val="37C37DCC"/>
    <w:lvl w:ilvl="0" w:tentative="0">
      <w:start w:val="8"/>
      <w:numFmt w:val="decimal"/>
      <w:suff w:val="nothing"/>
      <w:lvlText w:val="%1、"/>
      <w:lvlJc w:val="left"/>
    </w:lvl>
  </w:abstractNum>
  <w:num w:numId="1">
    <w:abstractNumId w:val="2"/>
  </w:num>
  <w:num w:numId="2">
    <w:abstractNumId w:val="4"/>
  </w:num>
  <w:num w:numId="3">
    <w:abstractNumId w:val="3"/>
  </w:num>
  <w:num w:numId="4">
    <w:abstractNumId w:val="0"/>
  </w:num>
  <w:num w:numId="5">
    <w:abstractNumId w:val="7"/>
  </w:num>
  <w:num w:numId="6">
    <w:abstractNumId w:val="10"/>
  </w:num>
  <w:num w:numId="7">
    <w:abstractNumId w:val="9"/>
  </w:num>
  <w:num w:numId="8">
    <w:abstractNumId w:val="5"/>
  </w:num>
  <w:num w:numId="9">
    <w:abstractNumId w:val="12"/>
  </w:num>
  <w:num w:numId="10">
    <w:abstractNumId w:val="11"/>
  </w:num>
  <w:num w:numId="11">
    <w:abstractNumId w:val="13"/>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MjcwNGIwZTRmMTg1MTgxMjhmNDBkOGM0ZjVjOWEifQ=="/>
  </w:docVars>
  <w:rsids>
    <w:rsidRoot w:val="00AE64D3"/>
    <w:rsid w:val="00191E62"/>
    <w:rsid w:val="004435F9"/>
    <w:rsid w:val="00540125"/>
    <w:rsid w:val="00584E5C"/>
    <w:rsid w:val="005935A7"/>
    <w:rsid w:val="005D60D2"/>
    <w:rsid w:val="00896CEB"/>
    <w:rsid w:val="00AE64D3"/>
    <w:rsid w:val="00CA4C04"/>
    <w:rsid w:val="00F606B4"/>
    <w:rsid w:val="03635063"/>
    <w:rsid w:val="037656C3"/>
    <w:rsid w:val="04F33787"/>
    <w:rsid w:val="0598130A"/>
    <w:rsid w:val="05C24FBA"/>
    <w:rsid w:val="069215C7"/>
    <w:rsid w:val="09652EA6"/>
    <w:rsid w:val="096864F2"/>
    <w:rsid w:val="09F744F6"/>
    <w:rsid w:val="0B6A70A6"/>
    <w:rsid w:val="0C766B55"/>
    <w:rsid w:val="0CDC08AE"/>
    <w:rsid w:val="0D802A98"/>
    <w:rsid w:val="0EF17189"/>
    <w:rsid w:val="0F2814C7"/>
    <w:rsid w:val="101D03FD"/>
    <w:rsid w:val="10895214"/>
    <w:rsid w:val="123516E6"/>
    <w:rsid w:val="136F47E7"/>
    <w:rsid w:val="139926DC"/>
    <w:rsid w:val="139D323C"/>
    <w:rsid w:val="13C50D8E"/>
    <w:rsid w:val="1402050F"/>
    <w:rsid w:val="14791775"/>
    <w:rsid w:val="151825EE"/>
    <w:rsid w:val="15F51E96"/>
    <w:rsid w:val="16DD3721"/>
    <w:rsid w:val="179D622A"/>
    <w:rsid w:val="19E323B6"/>
    <w:rsid w:val="19E57F4B"/>
    <w:rsid w:val="19EE6FFC"/>
    <w:rsid w:val="1B1F487A"/>
    <w:rsid w:val="1B8B526B"/>
    <w:rsid w:val="1BCB3937"/>
    <w:rsid w:val="1C324773"/>
    <w:rsid w:val="1E1C1DF7"/>
    <w:rsid w:val="1E4A1F7E"/>
    <w:rsid w:val="1E531AEB"/>
    <w:rsid w:val="1F7D3499"/>
    <w:rsid w:val="20062169"/>
    <w:rsid w:val="201520F0"/>
    <w:rsid w:val="201B39D1"/>
    <w:rsid w:val="2079293B"/>
    <w:rsid w:val="22121FE4"/>
    <w:rsid w:val="227C5A5D"/>
    <w:rsid w:val="24F01543"/>
    <w:rsid w:val="25EE7927"/>
    <w:rsid w:val="26C25326"/>
    <w:rsid w:val="297C1B8D"/>
    <w:rsid w:val="29A67CAF"/>
    <w:rsid w:val="2B1601A1"/>
    <w:rsid w:val="2B76574D"/>
    <w:rsid w:val="2BD33389"/>
    <w:rsid w:val="2D207911"/>
    <w:rsid w:val="2D4818C9"/>
    <w:rsid w:val="2E6B420B"/>
    <w:rsid w:val="2E81625F"/>
    <w:rsid w:val="2F084A39"/>
    <w:rsid w:val="2FB8441A"/>
    <w:rsid w:val="30F1651D"/>
    <w:rsid w:val="317B2342"/>
    <w:rsid w:val="33237E79"/>
    <w:rsid w:val="33727DEA"/>
    <w:rsid w:val="34C85E7D"/>
    <w:rsid w:val="35DC59EE"/>
    <w:rsid w:val="360311CD"/>
    <w:rsid w:val="366A40AE"/>
    <w:rsid w:val="37A23AC4"/>
    <w:rsid w:val="396C7089"/>
    <w:rsid w:val="3AAA7E69"/>
    <w:rsid w:val="3DF023C2"/>
    <w:rsid w:val="3EB017C6"/>
    <w:rsid w:val="3F34085C"/>
    <w:rsid w:val="41344930"/>
    <w:rsid w:val="41B164DA"/>
    <w:rsid w:val="425C1958"/>
    <w:rsid w:val="429B4FBF"/>
    <w:rsid w:val="42F20076"/>
    <w:rsid w:val="44AC6E9D"/>
    <w:rsid w:val="44E973C4"/>
    <w:rsid w:val="46B75DE7"/>
    <w:rsid w:val="483A3BCB"/>
    <w:rsid w:val="48C32B5A"/>
    <w:rsid w:val="48D9088B"/>
    <w:rsid w:val="4A0F6993"/>
    <w:rsid w:val="4A985226"/>
    <w:rsid w:val="4C300E23"/>
    <w:rsid w:val="4D954C96"/>
    <w:rsid w:val="4E31544E"/>
    <w:rsid w:val="4E4864C7"/>
    <w:rsid w:val="4ED56CDE"/>
    <w:rsid w:val="501D4C1D"/>
    <w:rsid w:val="512154F8"/>
    <w:rsid w:val="54E104D3"/>
    <w:rsid w:val="55330D11"/>
    <w:rsid w:val="56965D53"/>
    <w:rsid w:val="57201787"/>
    <w:rsid w:val="5ACB7ABF"/>
    <w:rsid w:val="5B3B1B1D"/>
    <w:rsid w:val="5C3D6E73"/>
    <w:rsid w:val="5E5A4F7F"/>
    <w:rsid w:val="63B51422"/>
    <w:rsid w:val="643028DD"/>
    <w:rsid w:val="64C00108"/>
    <w:rsid w:val="65165F77"/>
    <w:rsid w:val="657D7DA4"/>
    <w:rsid w:val="65F6176D"/>
    <w:rsid w:val="663F0739"/>
    <w:rsid w:val="66EB68F2"/>
    <w:rsid w:val="682B1E55"/>
    <w:rsid w:val="68A00192"/>
    <w:rsid w:val="696B6376"/>
    <w:rsid w:val="699D27C3"/>
    <w:rsid w:val="69D27390"/>
    <w:rsid w:val="69DC752C"/>
    <w:rsid w:val="6AAE1B03"/>
    <w:rsid w:val="6B0654F6"/>
    <w:rsid w:val="6BB41110"/>
    <w:rsid w:val="6BEB1F0C"/>
    <w:rsid w:val="6C8B293B"/>
    <w:rsid w:val="6CD307EA"/>
    <w:rsid w:val="6D33746F"/>
    <w:rsid w:val="6E5F17B5"/>
    <w:rsid w:val="6FB949E3"/>
    <w:rsid w:val="72423AB7"/>
    <w:rsid w:val="72C53D33"/>
    <w:rsid w:val="73B8461C"/>
    <w:rsid w:val="74267A63"/>
    <w:rsid w:val="756C39EA"/>
    <w:rsid w:val="76404B70"/>
    <w:rsid w:val="779416A9"/>
    <w:rsid w:val="77B96FB2"/>
    <w:rsid w:val="78456C01"/>
    <w:rsid w:val="78CF2108"/>
    <w:rsid w:val="7A462A03"/>
    <w:rsid w:val="7AC676A0"/>
    <w:rsid w:val="7B964DA8"/>
    <w:rsid w:val="7B9B28E7"/>
    <w:rsid w:val="7BB07DA1"/>
    <w:rsid w:val="7C634BC2"/>
    <w:rsid w:val="7C766A67"/>
    <w:rsid w:val="7C81239A"/>
    <w:rsid w:val="7CA55B4F"/>
    <w:rsid w:val="7DCF3D34"/>
    <w:rsid w:val="7F01514B"/>
    <w:rsid w:val="7F857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line="576" w:lineRule="auto"/>
      <w:outlineLvl w:val="0"/>
    </w:pPr>
    <w:rPr>
      <w:b/>
      <w:bCs/>
      <w:kern w:val="44"/>
      <w:sz w:val="44"/>
      <w:szCs w:val="44"/>
    </w:rPr>
  </w:style>
  <w:style w:type="paragraph" w:styleId="3">
    <w:name w:val="heading 2"/>
    <w:basedOn w:val="1"/>
    <w:next w:val="1"/>
    <w:autoRedefine/>
    <w:unhideWhenUsed/>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unhideWhenUsed/>
    <w:qFormat/>
    <w:uiPriority w:val="0"/>
    <w:pPr>
      <w:keepNext/>
      <w:keepLines/>
      <w:spacing w:line="413" w:lineRule="auto"/>
      <w:outlineLvl w:val="2"/>
    </w:pPr>
    <w:rPr>
      <w:b/>
      <w:bCs/>
      <w:sz w:val="32"/>
      <w:szCs w:val="32"/>
    </w:rPr>
  </w:style>
  <w:style w:type="paragraph" w:styleId="5">
    <w:name w:val="heading 4"/>
    <w:basedOn w:val="1"/>
    <w:next w:val="1"/>
    <w:autoRedefine/>
    <w:unhideWhenUsed/>
    <w:qFormat/>
    <w:uiPriority w:val="0"/>
    <w:pPr>
      <w:keepNext/>
      <w:keepLines/>
      <w:widowControl/>
      <w:spacing w:line="360" w:lineRule="auto"/>
      <w:jc w:val="center"/>
      <w:outlineLvl w:val="3"/>
    </w:pPr>
    <w:rPr>
      <w:rFonts w:ascii="Arial" w:hAnsi="Arial" w:eastAsia="黑体"/>
      <w:kern w:val="0"/>
      <w:sz w:val="28"/>
    </w:rPr>
  </w:style>
  <w:style w:type="paragraph" w:styleId="6">
    <w:name w:val="heading 5"/>
    <w:basedOn w:val="1"/>
    <w:next w:val="1"/>
    <w:autoRedefine/>
    <w:unhideWhenUsed/>
    <w:qFormat/>
    <w:uiPriority w:val="0"/>
    <w:pPr>
      <w:keepNext/>
      <w:keepLines/>
      <w:widowControl/>
      <w:spacing w:line="360" w:lineRule="auto"/>
      <w:ind w:firstLine="499"/>
      <w:jc w:val="left"/>
      <w:outlineLvl w:val="4"/>
    </w:pPr>
    <w:rPr>
      <w:rFonts w:ascii="宋体" w:hAnsi="宋体"/>
      <w:b/>
      <w:kern w:val="0"/>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caption"/>
    <w:basedOn w:val="1"/>
    <w:next w:val="1"/>
    <w:autoRedefine/>
    <w:unhideWhenUsed/>
    <w:qFormat/>
    <w:uiPriority w:val="0"/>
    <w:pPr>
      <w:spacing w:line="480" w:lineRule="auto"/>
    </w:pPr>
    <w:rPr>
      <w:rFonts w:ascii="华文中宋" w:hAnsi="华文中宋" w:eastAsia="华文中宋"/>
      <w:sz w:val="36"/>
    </w:rPr>
  </w:style>
  <w:style w:type="paragraph" w:styleId="8">
    <w:name w:val="annotation text"/>
    <w:basedOn w:val="1"/>
    <w:link w:val="37"/>
    <w:autoRedefine/>
    <w:qFormat/>
    <w:uiPriority w:val="0"/>
    <w:pPr>
      <w:jc w:val="left"/>
    </w:pPr>
  </w:style>
  <w:style w:type="paragraph" w:styleId="9">
    <w:name w:val="Body Text"/>
    <w:basedOn w:val="1"/>
    <w:autoRedefine/>
    <w:qFormat/>
    <w:uiPriority w:val="0"/>
    <w:pPr>
      <w:spacing w:line="360" w:lineRule="auto"/>
    </w:pPr>
    <w:rPr>
      <w:spacing w:val="10"/>
      <w:sz w:val="28"/>
    </w:rPr>
  </w:style>
  <w:style w:type="paragraph" w:styleId="10">
    <w:name w:val="Body Text Indent"/>
    <w:basedOn w:val="1"/>
    <w:next w:val="11"/>
    <w:autoRedefine/>
    <w:qFormat/>
    <w:uiPriority w:val="99"/>
    <w:pPr>
      <w:autoSpaceDE w:val="0"/>
      <w:autoSpaceDN w:val="0"/>
      <w:adjustRightInd w:val="0"/>
      <w:spacing w:line="312" w:lineRule="auto"/>
      <w:ind w:firstLine="680"/>
      <w:textAlignment w:val="bottom"/>
    </w:pPr>
    <w:rPr>
      <w:rFonts w:ascii="宋体"/>
      <w:spacing w:val="6"/>
      <w:kern w:val="0"/>
      <w:sz w:val="28"/>
    </w:rPr>
  </w:style>
  <w:style w:type="paragraph" w:styleId="11">
    <w:name w:val="toc 2"/>
    <w:basedOn w:val="1"/>
    <w:next w:val="1"/>
    <w:autoRedefine/>
    <w:qFormat/>
    <w:uiPriority w:val="0"/>
    <w:pPr>
      <w:ind w:left="420" w:leftChars="200"/>
    </w:pPr>
  </w:style>
  <w:style w:type="paragraph" w:styleId="12">
    <w:name w:val="toc 3"/>
    <w:basedOn w:val="1"/>
    <w:next w:val="1"/>
    <w:autoRedefine/>
    <w:qFormat/>
    <w:uiPriority w:val="39"/>
    <w:pPr>
      <w:tabs>
        <w:tab w:val="right" w:leader="dot" w:pos="9628"/>
      </w:tabs>
      <w:ind w:left="567" w:leftChars="270"/>
    </w:pPr>
  </w:style>
  <w:style w:type="paragraph" w:styleId="13">
    <w:name w:val="Plain Text"/>
    <w:basedOn w:val="1"/>
    <w:autoRedefine/>
    <w:qFormat/>
    <w:uiPriority w:val="0"/>
    <w:rPr>
      <w:rFonts w:ascii="宋体" w:hAnsi="Courier New" w:cs="Courier New"/>
      <w:szCs w:val="21"/>
    </w:rPr>
  </w:style>
  <w:style w:type="paragraph" w:styleId="14">
    <w:name w:val="Date"/>
    <w:basedOn w:val="1"/>
    <w:next w:val="1"/>
    <w:autoRedefine/>
    <w:qFormat/>
    <w:uiPriority w:val="0"/>
  </w:style>
  <w:style w:type="paragraph" w:styleId="15">
    <w:name w:val="Body Text Indent 2"/>
    <w:basedOn w:val="1"/>
    <w:autoRedefine/>
    <w:qFormat/>
    <w:uiPriority w:val="0"/>
    <w:pPr>
      <w:widowControl/>
      <w:overflowPunct w:val="0"/>
      <w:autoSpaceDE w:val="0"/>
      <w:autoSpaceDN w:val="0"/>
      <w:adjustRightInd w:val="0"/>
      <w:spacing w:line="360" w:lineRule="auto"/>
      <w:ind w:firstLine="555"/>
    </w:pPr>
    <w:rPr>
      <w:rFonts w:ascii="宋体" w:hAnsi="MS Sans Serif"/>
      <w:spacing w:val="12"/>
      <w:kern w:val="0"/>
      <w:sz w:val="24"/>
    </w:rPr>
  </w:style>
  <w:style w:type="paragraph" w:styleId="16">
    <w:name w:val="Balloon Text"/>
    <w:basedOn w:val="1"/>
    <w:link w:val="35"/>
    <w:autoRedefine/>
    <w:qFormat/>
    <w:uiPriority w:val="0"/>
    <w:rPr>
      <w:sz w:val="18"/>
      <w:szCs w:val="18"/>
    </w:rPr>
  </w:style>
  <w:style w:type="paragraph" w:styleId="17">
    <w:name w:val="footer"/>
    <w:basedOn w:val="1"/>
    <w:link w:val="36"/>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Body Text Indent 3"/>
    <w:basedOn w:val="1"/>
    <w:autoRedefine/>
    <w:qFormat/>
    <w:uiPriority w:val="0"/>
    <w:pPr>
      <w:widowControl/>
      <w:overflowPunct w:val="0"/>
      <w:autoSpaceDE w:val="0"/>
      <w:autoSpaceDN w:val="0"/>
      <w:adjustRightInd w:val="0"/>
      <w:spacing w:line="360" w:lineRule="auto"/>
      <w:ind w:firstLine="540"/>
    </w:pPr>
    <w:rPr>
      <w:rFonts w:ascii="宋体" w:hAnsi="MS Sans Serif"/>
      <w:color w:val="000000"/>
      <w:kern w:val="0"/>
      <w:sz w:val="24"/>
    </w:rPr>
  </w:style>
  <w:style w:type="paragraph" w:styleId="21">
    <w:name w:val="Normal (Web)"/>
    <w:basedOn w:val="1"/>
    <w:next w:val="22"/>
    <w:autoRedefine/>
    <w:qFormat/>
    <w:uiPriority w:val="0"/>
    <w:rPr>
      <w:sz w:val="24"/>
      <w:szCs w:val="24"/>
    </w:rPr>
  </w:style>
  <w:style w:type="paragraph" w:customStyle="1" w:styleId="22">
    <w:name w:val="样式 标题 3 + (中文) 黑体 小四 非加粗 段前: 7.8 磅 段后: 0 磅 行距: 固定值 20 磅"/>
    <w:basedOn w:val="4"/>
    <w:next w:val="23"/>
    <w:autoRedefine/>
    <w:qFormat/>
    <w:uiPriority w:val="0"/>
    <w:pPr>
      <w:spacing w:line="400" w:lineRule="exact"/>
    </w:pPr>
    <w:rPr>
      <w:rFonts w:eastAsia="黑体" w:cs="宋体"/>
      <w:b w:val="0"/>
      <w:szCs w:val="20"/>
    </w:rPr>
  </w:style>
  <w:style w:type="paragraph" w:customStyle="1" w:styleId="23">
    <w:name w:val="font7"/>
    <w:basedOn w:val="3"/>
    <w:next w:val="12"/>
    <w:autoRedefine/>
    <w:qFormat/>
    <w:uiPriority w:val="0"/>
    <w:pPr>
      <w:widowControl/>
      <w:spacing w:before="280" w:after="280" w:line="240" w:lineRule="auto"/>
      <w:ind w:left="3584" w:firstLine="4"/>
      <w:outlineLvl w:val="0"/>
    </w:pPr>
  </w:style>
  <w:style w:type="paragraph" w:styleId="24">
    <w:name w:val="annotation subject"/>
    <w:basedOn w:val="8"/>
    <w:next w:val="8"/>
    <w:link w:val="38"/>
    <w:autoRedefine/>
    <w:qFormat/>
    <w:uiPriority w:val="0"/>
    <w:rPr>
      <w:b/>
      <w:bCs/>
    </w:rPr>
  </w:style>
  <w:style w:type="paragraph" w:styleId="25">
    <w:name w:val="Body Text First Indent 2"/>
    <w:basedOn w:val="10"/>
    <w:autoRedefine/>
    <w:qFormat/>
    <w:uiPriority w:val="99"/>
    <w:pPr>
      <w:autoSpaceDE/>
      <w:autoSpaceDN/>
      <w:spacing w:after="120" w:line="360" w:lineRule="atLeast"/>
      <w:ind w:left="420" w:firstLine="210"/>
      <w:jc w:val="left"/>
      <w:textAlignment w:val="baseline"/>
    </w:pPr>
    <w:rPr>
      <w:rFonts w:ascii="Times New Roman"/>
      <w:spacing w:val="0"/>
      <w:sz w:val="24"/>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autoRedefine/>
    <w:qFormat/>
    <w:uiPriority w:val="99"/>
    <w:rPr>
      <w:rFonts w:ascii="Times New Roman" w:hAnsi="Times New Roman" w:eastAsia="宋体" w:cs="Times New Roman"/>
      <w:color w:val="0000FF"/>
      <w:u w:val="single"/>
    </w:rPr>
  </w:style>
  <w:style w:type="character" w:styleId="30">
    <w:name w:val="annotation reference"/>
    <w:basedOn w:val="28"/>
    <w:autoRedefine/>
    <w:qFormat/>
    <w:uiPriority w:val="0"/>
    <w:rPr>
      <w:sz w:val="21"/>
      <w:szCs w:val="21"/>
    </w:rPr>
  </w:style>
  <w:style w:type="paragraph" w:customStyle="1" w:styleId="31">
    <w:name w:val="_Style 151"/>
    <w:basedOn w:val="1"/>
    <w:autoRedefine/>
    <w:qFormat/>
    <w:uiPriority w:val="0"/>
    <w:pPr>
      <w:ind w:firstLine="420" w:firstLineChars="200"/>
    </w:pPr>
    <w:rPr>
      <w:szCs w:val="24"/>
    </w:rPr>
  </w:style>
  <w:style w:type="paragraph" w:customStyle="1" w:styleId="32">
    <w:name w:val="123"/>
    <w:basedOn w:val="1"/>
    <w:autoRedefine/>
    <w:qFormat/>
    <w:uiPriority w:val="0"/>
    <w:pPr>
      <w:numPr>
        <w:ilvl w:val="1"/>
        <w:numId w:val="1"/>
      </w:numPr>
    </w:pPr>
    <w:rPr>
      <w:bCs/>
      <w:szCs w:val="24"/>
    </w:rPr>
  </w:style>
  <w:style w:type="paragraph" w:customStyle="1" w:styleId="33">
    <w:name w:val="_Style 1"/>
    <w:basedOn w:val="1"/>
    <w:autoRedefine/>
    <w:qFormat/>
    <w:uiPriority w:val="0"/>
    <w:pPr>
      <w:ind w:firstLine="420" w:firstLineChars="200"/>
    </w:pPr>
    <w:rPr>
      <w:szCs w:val="24"/>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批注框文本 Char"/>
    <w:basedOn w:val="28"/>
    <w:link w:val="16"/>
    <w:autoRedefine/>
    <w:qFormat/>
    <w:uiPriority w:val="0"/>
    <w:rPr>
      <w:kern w:val="2"/>
      <w:sz w:val="18"/>
      <w:szCs w:val="18"/>
    </w:rPr>
  </w:style>
  <w:style w:type="character" w:customStyle="1" w:styleId="36">
    <w:name w:val="页脚 Char"/>
    <w:basedOn w:val="28"/>
    <w:link w:val="17"/>
    <w:autoRedefine/>
    <w:qFormat/>
    <w:uiPriority w:val="0"/>
    <w:rPr>
      <w:kern w:val="2"/>
      <w:sz w:val="18"/>
      <w:szCs w:val="18"/>
    </w:rPr>
  </w:style>
  <w:style w:type="character" w:customStyle="1" w:styleId="37">
    <w:name w:val="批注文字 Char"/>
    <w:basedOn w:val="28"/>
    <w:link w:val="8"/>
    <w:autoRedefine/>
    <w:qFormat/>
    <w:uiPriority w:val="0"/>
    <w:rPr>
      <w:kern w:val="2"/>
      <w:sz w:val="21"/>
    </w:rPr>
  </w:style>
  <w:style w:type="character" w:customStyle="1" w:styleId="38">
    <w:name w:val="批注主题 Char"/>
    <w:basedOn w:val="37"/>
    <w:link w:val="24"/>
    <w:autoRedefine/>
    <w:qFormat/>
    <w:uiPriority w:val="0"/>
    <w:rPr>
      <w:b/>
      <w:bCs/>
    </w:rPr>
  </w:style>
  <w:style w:type="paragraph" w:customStyle="1" w:styleId="39">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头"/>
    <w:basedOn w:val="1"/>
    <w:autoRedefine/>
    <w:qFormat/>
    <w:uiPriority w:val="0"/>
    <w:pPr>
      <w:adjustRightInd w:val="0"/>
      <w:snapToGrid w:val="0"/>
      <w:spacing w:line="312" w:lineRule="auto"/>
      <w:jc w:val="center"/>
      <w:textAlignment w:val="baseline"/>
    </w:pPr>
    <w:rPr>
      <w:rFonts w:ascii="黑体" w:eastAsia="黑体"/>
      <w:b/>
      <w:color w:val="000000"/>
      <w:spacing w:val="6"/>
      <w:kern w:val="0"/>
      <w:sz w:val="32"/>
    </w:rPr>
  </w:style>
  <w:style w:type="paragraph" w:styleId="41">
    <w:name w:val="No Spacing"/>
    <w:autoRedefine/>
    <w:qFormat/>
    <w:uiPriority w:val="1"/>
    <w:rPr>
      <w:rFonts w:ascii="Calibri" w:hAnsi="Calibri" w:eastAsia="宋体" w:cs="Times New Roman"/>
      <w:sz w:val="22"/>
      <w:szCs w:val="22"/>
      <w:lang w:val="en-US" w:eastAsia="zh-CN" w:bidi="ar-SA"/>
    </w:rPr>
  </w:style>
  <w:style w:type="paragraph" w:customStyle="1" w:styleId="42">
    <w:name w:val="yzh-正文段落"/>
    <w:basedOn w:val="9"/>
    <w:autoRedefine/>
    <w:qFormat/>
    <w:uiPriority w:val="0"/>
    <w:pPr>
      <w:adjustRightInd w:val="0"/>
      <w:snapToGrid w:val="0"/>
      <w:ind w:left="735" w:leftChars="350" w:firstLine="480" w:firstLineChars="200"/>
      <w:textAlignment w:val="center"/>
    </w:pPr>
    <w:rPr>
      <w:rFonts w:ascii="宋体" w:hAnsi="宋体"/>
      <w:snapToGrid w:val="0"/>
      <w:spacing w:val="0"/>
      <w:sz w:val="24"/>
      <w:szCs w:val="24"/>
    </w:rPr>
  </w:style>
  <w:style w:type="paragraph" w:customStyle="1" w:styleId="43">
    <w:name w:val="yzh-款"/>
    <w:basedOn w:val="1"/>
    <w:next w:val="42"/>
    <w:autoRedefine/>
    <w:qFormat/>
    <w:uiPriority w:val="0"/>
    <w:pPr>
      <w:adjustRightInd w:val="0"/>
      <w:snapToGrid w:val="0"/>
      <w:spacing w:line="480" w:lineRule="auto"/>
      <w:jc w:val="left"/>
      <w:textAlignment w:val="center"/>
      <w:outlineLvl w:val="3"/>
    </w:pPr>
    <w:rPr>
      <w:rFonts w:ascii="宋体" w:hAnsi="宋体" w:eastAsia="黑体"/>
      <w:b/>
      <w:kern w:val="0"/>
      <w:sz w:val="24"/>
      <w:szCs w:val="24"/>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22453</Words>
  <Characters>24193</Characters>
  <Lines>210</Lines>
  <Paragraphs>59</Paragraphs>
  <TotalTime>2</TotalTime>
  <ScaleCrop>false</ScaleCrop>
  <LinksUpToDate>false</LinksUpToDate>
  <CharactersWithSpaces>26061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2022-11-01T09:02:00Z</dcterms:created>
  <dc:creator>Administrator</dc:creator>
  <cp:lastModifiedBy>孙悟空爱吃水蜜桃</cp:lastModifiedBy>
  <cp:lastPrinted>2024-06-11T03:49:00Z</cp:lastPrinted>
  <dcterms:modified xsi:type="dcterms:W3CDTF">2024-06-12T04:00:07Z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F1E06C3266414179A9A9124784EE94E1_13</vt:lpwstr>
  </property>
</Properties>
</file>