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2" w:lineRule="auto"/>
        <w:rPr>
          <w:color w:val="auto"/>
          <w:highlight w:val="none"/>
        </w:rPr>
      </w:pPr>
    </w:p>
    <w:p>
      <w:pPr>
        <w:pStyle w:val="2"/>
        <w:spacing w:line="272" w:lineRule="auto"/>
        <w:rPr>
          <w:color w:val="auto"/>
          <w:highlight w:val="none"/>
        </w:rPr>
      </w:pPr>
    </w:p>
    <w:p>
      <w:pPr>
        <w:pStyle w:val="2"/>
        <w:spacing w:line="272" w:lineRule="auto"/>
        <w:rPr>
          <w:color w:val="auto"/>
          <w:highlight w:val="none"/>
        </w:rPr>
      </w:pPr>
    </w:p>
    <w:p>
      <w:pPr>
        <w:pStyle w:val="2"/>
        <w:spacing w:line="273" w:lineRule="auto"/>
        <w:rPr>
          <w:color w:val="auto"/>
          <w:highlight w:val="none"/>
        </w:rPr>
      </w:pPr>
    </w:p>
    <w:p>
      <w:pPr>
        <w:pStyle w:val="2"/>
        <w:spacing w:line="273" w:lineRule="auto"/>
        <w:rPr>
          <w:color w:val="auto"/>
          <w:highlight w:val="none"/>
        </w:rPr>
      </w:pPr>
    </w:p>
    <w:p>
      <w:pPr>
        <w:pStyle w:val="2"/>
        <w:spacing w:line="273" w:lineRule="auto"/>
        <w:rPr>
          <w:color w:val="auto"/>
          <w:highlight w:val="none"/>
        </w:rPr>
      </w:pPr>
    </w:p>
    <w:p>
      <w:pPr>
        <w:pStyle w:val="2"/>
        <w:spacing w:line="273" w:lineRule="auto"/>
        <w:rPr>
          <w:color w:val="auto"/>
          <w:highlight w:val="none"/>
        </w:rPr>
      </w:pPr>
    </w:p>
    <w:p>
      <w:pPr>
        <w:spacing w:before="169" w:line="219" w:lineRule="auto"/>
        <w:ind w:left="2063"/>
        <w:rPr>
          <w:rFonts w:ascii="黑体" w:hAnsi="黑体" w:eastAsia="黑体" w:cs="黑体"/>
          <w:color w:val="auto"/>
          <w:sz w:val="52"/>
          <w:szCs w:val="52"/>
          <w:highlight w:val="none"/>
        </w:rPr>
      </w:pPr>
      <w:r>
        <w:rPr>
          <w:rFonts w:ascii="黑体" w:hAnsi="黑体" w:eastAsia="黑体" w:cs="黑体"/>
          <w:color w:val="auto"/>
          <w:spacing w:val="-2"/>
          <w:sz w:val="52"/>
          <w:szCs w:val="52"/>
          <w:highlight w:val="none"/>
        </w:rPr>
        <w:t>辽宁省农业农村工程</w:t>
      </w:r>
    </w:p>
    <w:p>
      <w:pPr>
        <w:spacing w:before="219" w:line="219" w:lineRule="auto"/>
        <w:ind w:left="807"/>
        <w:outlineLvl w:val="0"/>
        <w:rPr>
          <w:rFonts w:ascii="黑体" w:hAnsi="黑体" w:eastAsia="黑体" w:cs="黑体"/>
          <w:color w:val="auto"/>
          <w:sz w:val="72"/>
          <w:szCs w:val="72"/>
          <w:highlight w:val="none"/>
        </w:rPr>
      </w:pPr>
      <w:r>
        <w:rPr>
          <w:rFonts w:ascii="黑体" w:hAnsi="黑体" w:eastAsia="黑体" w:cs="黑体"/>
          <w:color w:val="auto"/>
          <w:spacing w:val="-3"/>
          <w:sz w:val="72"/>
          <w:szCs w:val="72"/>
          <w:highlight w:val="none"/>
        </w:rPr>
        <w:t>施工招标文件示范文本</w:t>
      </w:r>
    </w:p>
    <w:p>
      <w:pPr>
        <w:pStyle w:val="2"/>
        <w:spacing w:line="304" w:lineRule="auto"/>
        <w:rPr>
          <w:color w:val="auto"/>
          <w:highlight w:val="none"/>
        </w:rPr>
      </w:pPr>
    </w:p>
    <w:p>
      <w:pPr>
        <w:pStyle w:val="2"/>
        <w:spacing w:line="304" w:lineRule="auto"/>
        <w:rPr>
          <w:color w:val="auto"/>
          <w:highlight w:val="none"/>
        </w:rPr>
      </w:pPr>
    </w:p>
    <w:p>
      <w:pPr>
        <w:spacing w:before="117" w:line="217" w:lineRule="auto"/>
        <w:ind w:left="2937"/>
        <w:outlineLvl w:val="0"/>
        <w:rPr>
          <w:rFonts w:ascii="楷体" w:hAnsi="楷体" w:eastAsia="楷体" w:cs="楷体"/>
          <w:color w:val="auto"/>
          <w:sz w:val="36"/>
          <w:szCs w:val="36"/>
          <w:highlight w:val="none"/>
        </w:rPr>
      </w:pPr>
      <w:r>
        <w:rPr>
          <w:rFonts w:ascii="楷体" w:hAnsi="楷体" w:eastAsia="楷体" w:cs="楷体"/>
          <w:color w:val="auto"/>
          <w:spacing w:val="-5"/>
          <w:sz w:val="36"/>
          <w:szCs w:val="36"/>
          <w:highlight w:val="none"/>
        </w:rPr>
        <w:t>（</w:t>
      </w:r>
      <w:r>
        <w:rPr>
          <w:rFonts w:ascii="Times New Roman" w:hAnsi="Times New Roman" w:eastAsia="Times New Roman" w:cs="Times New Roman"/>
          <w:color w:val="auto"/>
          <w:spacing w:val="-5"/>
          <w:sz w:val="36"/>
          <w:szCs w:val="36"/>
          <w:highlight w:val="none"/>
        </w:rPr>
        <w:t xml:space="preserve">2023 </w:t>
      </w:r>
      <w:r>
        <w:rPr>
          <w:rFonts w:ascii="楷体" w:hAnsi="楷体" w:eastAsia="楷体" w:cs="楷体"/>
          <w:color w:val="auto"/>
          <w:spacing w:val="-5"/>
          <w:sz w:val="36"/>
          <w:szCs w:val="36"/>
          <w:highlight w:val="none"/>
        </w:rPr>
        <w:t>年第一版）</w:t>
      </w:r>
    </w:p>
    <w:p>
      <w:pPr>
        <w:pStyle w:val="2"/>
        <w:spacing w:line="248"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spacing w:before="101" w:line="225" w:lineRule="auto"/>
        <w:ind w:left="2899"/>
        <w:rPr>
          <w:rFonts w:ascii="黑体" w:hAnsi="黑体" w:eastAsia="黑体" w:cs="黑体"/>
          <w:color w:val="auto"/>
          <w:sz w:val="31"/>
          <w:szCs w:val="31"/>
          <w:highlight w:val="none"/>
        </w:rPr>
      </w:pPr>
      <w:r>
        <w:rPr>
          <w:rFonts w:ascii="黑体" w:hAnsi="黑体" w:eastAsia="黑体" w:cs="黑体"/>
          <w:color w:val="auto"/>
          <w:spacing w:val="8"/>
          <w:sz w:val="31"/>
          <w:szCs w:val="31"/>
          <w:highlight w:val="none"/>
        </w:rPr>
        <w:t>辽宁省农业农村厅</w:t>
      </w:r>
    </w:p>
    <w:p>
      <w:pPr>
        <w:spacing w:before="181" w:line="224" w:lineRule="auto"/>
        <w:ind w:left="2419"/>
        <w:rPr>
          <w:rFonts w:ascii="黑体" w:hAnsi="黑体" w:eastAsia="黑体" w:cs="黑体"/>
          <w:color w:val="auto"/>
          <w:sz w:val="31"/>
          <w:szCs w:val="31"/>
          <w:highlight w:val="none"/>
        </w:rPr>
      </w:pPr>
      <w:r>
        <w:rPr>
          <w:rFonts w:ascii="黑体" w:hAnsi="黑体" w:eastAsia="黑体" w:cs="黑体"/>
          <w:color w:val="auto"/>
          <w:spacing w:val="8"/>
          <w:sz w:val="31"/>
          <w:szCs w:val="31"/>
          <w:highlight w:val="none"/>
        </w:rPr>
        <w:t>辽宁省发展和改革委员会</w:t>
      </w:r>
    </w:p>
    <w:p>
      <w:pPr>
        <w:spacing w:before="185" w:line="226" w:lineRule="auto"/>
        <w:ind w:left="2905"/>
        <w:rPr>
          <w:rFonts w:ascii="黑体" w:hAnsi="黑体" w:eastAsia="黑体" w:cs="黑体"/>
          <w:color w:val="auto"/>
          <w:sz w:val="31"/>
          <w:szCs w:val="31"/>
          <w:highlight w:val="none"/>
        </w:rPr>
      </w:pPr>
      <w:r>
        <w:rPr>
          <w:rFonts w:ascii="黑体" w:hAnsi="黑体" w:eastAsia="黑体" w:cs="黑体"/>
          <w:color w:val="auto"/>
          <w:spacing w:val="9"/>
          <w:sz w:val="31"/>
          <w:szCs w:val="31"/>
          <w:highlight w:val="none"/>
        </w:rPr>
        <w:t>二〇二三年十一月</w:t>
      </w:r>
    </w:p>
    <w:p>
      <w:pPr>
        <w:spacing w:line="226" w:lineRule="auto"/>
        <w:rPr>
          <w:rFonts w:ascii="黑体" w:hAnsi="黑体" w:eastAsia="黑体" w:cs="黑体"/>
          <w:color w:val="auto"/>
          <w:sz w:val="31"/>
          <w:szCs w:val="31"/>
          <w:highlight w:val="none"/>
        </w:rPr>
        <w:sectPr>
          <w:pgSz w:w="11905" w:h="16843"/>
          <w:pgMar w:top="1769" w:right="1548" w:bottom="1003" w:left="1542" w:header="0" w:footer="828" w:gutter="0"/>
          <w:pgNumType w:fmt="numberInDash"/>
          <w:cols w:space="0" w:num="1"/>
          <w:rtlGutter w:val="0"/>
          <w:docGrid w:linePitch="0" w:charSpace="0"/>
        </w:sectPr>
      </w:pPr>
    </w:p>
    <w:p>
      <w:pPr>
        <w:spacing w:before="101" w:line="224" w:lineRule="auto"/>
        <w:ind w:left="3539"/>
        <w:rPr>
          <w:rFonts w:ascii="黑体" w:hAnsi="黑体" w:eastAsia="黑体" w:cs="黑体"/>
          <w:color w:val="auto"/>
          <w:sz w:val="31"/>
          <w:szCs w:val="31"/>
          <w:highlight w:val="none"/>
        </w:rPr>
      </w:pPr>
      <w:r>
        <w:rPr>
          <w:rFonts w:ascii="黑体" w:hAnsi="黑体" w:eastAsia="黑体" w:cs="黑体"/>
          <w:color w:val="auto"/>
          <w:spacing w:val="6"/>
          <w:sz w:val="31"/>
          <w:szCs w:val="31"/>
          <w:highlight w:val="none"/>
        </w:rPr>
        <w:t>使用说明</w:t>
      </w:r>
    </w:p>
    <w:p>
      <w:pPr>
        <w:pStyle w:val="2"/>
        <w:spacing w:line="397" w:lineRule="auto"/>
        <w:rPr>
          <w:color w:val="auto"/>
          <w:highlight w:val="none"/>
        </w:rPr>
      </w:pPr>
    </w:p>
    <w:p>
      <w:pPr>
        <w:spacing w:before="78" w:line="415" w:lineRule="auto"/>
        <w:ind w:left="27" w:firstLine="494"/>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一、《辽宁省农业农村工程施工招标文件示范文本》（以下简称“示范文本”）</w:t>
      </w:r>
      <w:r>
        <w:rPr>
          <w:rFonts w:ascii="宋体" w:hAnsi="宋体" w:eastAsia="宋体" w:cs="宋体"/>
          <w:color w:val="auto"/>
          <w:spacing w:val="10"/>
          <w:sz w:val="24"/>
          <w:szCs w:val="24"/>
          <w:highlight w:val="none"/>
        </w:rPr>
        <w:t xml:space="preserve"> </w:t>
      </w:r>
      <w:r>
        <w:rPr>
          <w:rFonts w:ascii="宋体" w:hAnsi="宋体" w:eastAsia="宋体" w:cs="宋体"/>
          <w:color w:val="auto"/>
          <w:spacing w:val="-10"/>
          <w:sz w:val="24"/>
          <w:szCs w:val="24"/>
          <w:highlight w:val="none"/>
        </w:rPr>
        <w:t>是依据《中华人民共和国招标投标法实施条例》、《电子招标投标办法》、《标准</w:t>
      </w:r>
      <w:r>
        <w:rPr>
          <w:rFonts w:ascii="宋体" w:hAnsi="宋体" w:eastAsia="宋体" w:cs="宋体"/>
          <w:color w:val="auto"/>
          <w:spacing w:val="-1"/>
          <w:sz w:val="24"/>
          <w:szCs w:val="24"/>
          <w:highlight w:val="none"/>
        </w:rPr>
        <w:t>施工招标文件》制定，适用于依法必须招标的农</w:t>
      </w:r>
      <w:r>
        <w:rPr>
          <w:rFonts w:ascii="宋体" w:hAnsi="宋体" w:eastAsia="宋体" w:cs="宋体"/>
          <w:color w:val="auto"/>
          <w:spacing w:val="-2"/>
          <w:sz w:val="24"/>
          <w:szCs w:val="24"/>
          <w:highlight w:val="none"/>
        </w:rPr>
        <w:t>业农村工程的施工招标。</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二、《示范文本》以空格标示的由招标人填写的内容，招标人应根据招标项目具体特点和实际需要具体化，确实没有需要填写的，在空格中用“／”标示。</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三、招标人按照《示范文本》第一章的格式发布招标公告或发出投标邀请书（邀请招标，下同）后，将实际发布的招标公告或实际发出的投标邀请书编入招标文件中，作为投标邀请。其中，招标公告应同时注明发布所在的所有媒介名称。</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四、《示范文本》第二章“投标人须知”正文和前附表，除以空格标示的由招标人填空的内容、选择性内容和可补充内容外，均应不加修改地直接引用。 填空、选择和补充内容由招标人根据国家和地方有关法律、法规、规章、规范性文件的规定以及项目具体情况确定。</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五、《示范文本》第三章“评标办法”分别规定经评审的最低投标价法和综合评估法两种评标方法，供招标人根据招标项目具体特点和实际需要选择适用。招标人选择适用综合评估法的，各评审因素的评审标准、分值和权重等由招标人根据行业管理有关规定，在依法接受监管下自主确定。国务院有关部门对各评审因素的评审标准、分值和权重等有规定的，从其规定。</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第三章“评标办法”前附表应列明全部评审因素和评审标准，并在本章（前附表及正文）标明投标人不满足其要求即导致其投标被否决的全部条款。</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六、《示范文本》第四章“合同条款及格式”采用了《建设工程施工合同 （示范文本）》（GF-2017-0201）中的合同条款，其“通用合同条款”、“专用合同条款” 和“合同协议书”（除以空格标示的由招标人填空的内容和选择性内容外），均应不加修改地直接引用。填空内容由招标人根据国家和地方有关法律法规的规定以及招标项目具体情况确定。</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七、《示范文本》第五章“工程量清单”是示范性内容。由招标人根据工程量清单的国家标准、行业标准，以及招标项目具体特点和实际需要编制，并与“投标人须知”、“通用合同条款”、“专用合同条款”、“技术标准和要求”、“图纸”相衔接。本章所附表格可根据有关规定作相应的调整和补充。</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八、《示范文本》第六章“图纸”由招标人（或其委托的设计人）根据招标 项目具体特点和实际需要编制，并与“投标人须知”、“通用合同条款”、“专用合同条款”、“技术标准和要求”相衔接。</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九、《示范文本》第七章“技术标准和要求”也是示范性内容，但是，其第一节“一般要求”充分考虑了与第四章“通用合同条款”和“专用合同条款”的相互衔接，提倡招标人不加修改地直接引用，并在其基础上结合招标项目具体特点和实际需要进行补充，其中以空格标示的以及第二节和第三节由招标人根据本招标文件、招标项目具体特点和实际需要编制。“技术标准和要求”中的各项技术标准应符合国家强制性标准，不得要求或标明某一特定的专利、商标、名称、设计、原产地或生产供应者，不得含有倾向或者排斥潜在投标人的其他内容。如果必须引用某一生产供应者的技术标准才能准确或清楚地说明拟招标项目的技术标准时，则应当在参照后面加上“或相当于”字样。</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十、《示范文本》为 2023  年第一版，各使用单位或个人对《示范文本》的修改意见和建议，可向编制工作小组反映。</w:t>
      </w:r>
    </w:p>
    <w:p>
      <w:pPr>
        <w:spacing w:before="78" w:line="415" w:lineRule="auto"/>
        <w:ind w:left="27" w:firstLine="494"/>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联系电话： 024-86276677</w:t>
      </w:r>
    </w:p>
    <w:p>
      <w:pPr>
        <w:spacing w:before="78" w:line="415" w:lineRule="auto"/>
        <w:ind w:left="27" w:firstLine="494"/>
        <w:rPr>
          <w:rFonts w:ascii="宋体" w:hAnsi="宋体" w:eastAsia="宋体" w:cs="宋体"/>
          <w:color w:val="auto"/>
          <w:spacing w:val="-11"/>
          <w:sz w:val="24"/>
          <w:szCs w:val="24"/>
          <w:highlight w:val="none"/>
        </w:rPr>
        <w:sectPr>
          <w:footerReference r:id="rId5" w:type="default"/>
          <w:pgSz w:w="11905" w:h="16843"/>
          <w:pgMar w:top="1769" w:right="1548" w:bottom="1003" w:left="1542" w:header="0" w:footer="828" w:gutter="0"/>
          <w:pgNumType w:fmt="numberInDash"/>
          <w:cols w:space="0" w:num="1"/>
          <w:rtlGutter w:val="0"/>
          <w:docGrid w:linePitch="0" w:charSpace="0"/>
        </w:sectPr>
      </w:pPr>
    </w:p>
    <w:p>
      <w:pPr>
        <w:pStyle w:val="2"/>
        <w:spacing w:line="245" w:lineRule="auto"/>
        <w:rPr>
          <w:color w:val="auto"/>
          <w:highlight w:val="none"/>
        </w:rPr>
      </w:pPr>
    </w:p>
    <w:p>
      <w:pPr>
        <w:pStyle w:val="2"/>
        <w:spacing w:line="245" w:lineRule="auto"/>
        <w:rPr>
          <w:color w:val="auto"/>
          <w:highlight w:val="none"/>
        </w:rPr>
      </w:pPr>
    </w:p>
    <w:p>
      <w:pPr>
        <w:pStyle w:val="2"/>
        <w:spacing w:line="246" w:lineRule="auto"/>
        <w:rPr>
          <w:color w:val="auto"/>
          <w:highlight w:val="none"/>
        </w:rPr>
      </w:pPr>
    </w:p>
    <w:p>
      <w:pPr>
        <w:pStyle w:val="2"/>
        <w:spacing w:line="246" w:lineRule="auto"/>
        <w:rPr>
          <w:color w:val="auto"/>
          <w:highlight w:val="none"/>
        </w:rPr>
      </w:pPr>
    </w:p>
    <w:p>
      <w:pPr>
        <w:pStyle w:val="2"/>
        <w:spacing w:line="246" w:lineRule="auto"/>
        <w:rPr>
          <w:color w:val="auto"/>
          <w:highlight w:val="none"/>
        </w:rPr>
      </w:pPr>
    </w:p>
    <w:p>
      <w:pPr>
        <w:pStyle w:val="2"/>
        <w:spacing w:line="246" w:lineRule="auto"/>
        <w:rPr>
          <w:color w:val="auto"/>
          <w:highlight w:val="none"/>
        </w:rPr>
      </w:pPr>
    </w:p>
    <w:p>
      <w:pPr>
        <w:pStyle w:val="2"/>
        <w:spacing w:line="246" w:lineRule="auto"/>
        <w:rPr>
          <w:color w:val="auto"/>
          <w:highlight w:val="none"/>
        </w:rPr>
      </w:pPr>
    </w:p>
    <w:p>
      <w:pPr>
        <w:tabs>
          <w:tab w:val="left" w:pos="5139"/>
        </w:tabs>
        <w:spacing w:before="100" w:line="226" w:lineRule="auto"/>
        <w:ind w:left="15" w:leftChars="0" w:hanging="15" w:firstLineChars="0"/>
        <w:jc w:val="center"/>
        <w:rPr>
          <w:rFonts w:hint="eastAsia" w:ascii="宋体" w:hAnsi="宋体" w:eastAsia="宋体" w:cs="宋体"/>
          <w:color w:val="auto"/>
          <w:spacing w:val="8"/>
          <w:sz w:val="31"/>
          <w:szCs w:val="31"/>
          <w:highlight w:val="none"/>
          <w:lang w:eastAsia="zh-CN"/>
        </w:rPr>
      </w:pPr>
      <w:r>
        <w:rPr>
          <w:rFonts w:hint="eastAsia" w:ascii="宋体" w:hAnsi="宋体" w:eastAsia="宋体" w:cs="宋体"/>
          <w:color w:val="auto"/>
          <w:spacing w:val="8"/>
          <w:sz w:val="31"/>
          <w:szCs w:val="31"/>
          <w:highlight w:val="none"/>
          <w:lang w:eastAsia="zh-CN"/>
        </w:rPr>
        <w:t>营口市高标准农田建设结余资金项目（大石桥市2020年高标准农田建设结余资金项目）</w:t>
      </w:r>
    </w:p>
    <w:p>
      <w:pPr>
        <w:tabs>
          <w:tab w:val="left" w:pos="5139"/>
        </w:tabs>
        <w:spacing w:before="100" w:line="226" w:lineRule="auto"/>
        <w:ind w:left="15" w:leftChars="0" w:hanging="15" w:firstLineChars="0"/>
        <w:jc w:val="center"/>
        <w:rPr>
          <w:rFonts w:ascii="宋体" w:hAnsi="宋体" w:eastAsia="宋体" w:cs="宋体"/>
          <w:color w:val="auto"/>
          <w:sz w:val="31"/>
          <w:szCs w:val="31"/>
          <w:highlight w:val="none"/>
        </w:rPr>
      </w:pPr>
      <w:r>
        <w:rPr>
          <w:rFonts w:ascii="宋体" w:hAnsi="宋体" w:eastAsia="宋体" w:cs="宋体"/>
          <w:color w:val="auto"/>
          <w:spacing w:val="8"/>
          <w:sz w:val="31"/>
          <w:szCs w:val="31"/>
          <w:highlight w:val="none"/>
        </w:rPr>
        <w:t>（</w:t>
      </w:r>
      <w:r>
        <w:rPr>
          <w:rFonts w:ascii="宋体" w:hAnsi="宋体" w:eastAsia="宋体" w:cs="宋体"/>
          <w:color w:val="auto"/>
          <w:spacing w:val="8"/>
          <w:sz w:val="31"/>
          <w:szCs w:val="31"/>
          <w:highlight w:val="none"/>
          <w14:textOutline w14:w="5791" w14:cap="flat" w14:cmpd="sng">
            <w14:solidFill>
              <w14:srgbClr w14:val="000000"/>
            </w14:solidFill>
            <w14:prstDash w14:val="solid"/>
            <w14:miter w14:val="0"/>
          </w14:textOutline>
        </w:rPr>
        <w:t>标段名称</w:t>
      </w:r>
      <w:r>
        <w:rPr>
          <w:rFonts w:ascii="宋体" w:hAnsi="宋体" w:eastAsia="宋体" w:cs="宋体"/>
          <w:color w:val="auto"/>
          <w:spacing w:val="8"/>
          <w:sz w:val="31"/>
          <w:szCs w:val="31"/>
          <w:highlight w:val="none"/>
        </w:rPr>
        <w:t>）</w:t>
      </w: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spacing w:before="234" w:line="219" w:lineRule="auto"/>
        <w:ind w:left="2212"/>
        <w:rPr>
          <w:rFonts w:ascii="黑体" w:hAnsi="黑体" w:eastAsia="黑体" w:cs="黑体"/>
          <w:color w:val="auto"/>
          <w:sz w:val="72"/>
          <w:szCs w:val="72"/>
          <w:highlight w:val="none"/>
        </w:rPr>
      </w:pPr>
      <w:r>
        <w:rPr>
          <w:rFonts w:ascii="黑体" w:hAnsi="黑体" w:eastAsia="黑体" w:cs="黑体"/>
          <w:color w:val="auto"/>
          <w:spacing w:val="-13"/>
          <w:sz w:val="72"/>
          <w:szCs w:val="72"/>
          <w:highlight w:val="none"/>
        </w:rPr>
        <w:t>招 标</w:t>
      </w:r>
      <w:r>
        <w:rPr>
          <w:rFonts w:ascii="黑体" w:hAnsi="黑体" w:eastAsia="黑体" w:cs="黑体"/>
          <w:color w:val="auto"/>
          <w:spacing w:val="38"/>
          <w:sz w:val="72"/>
          <w:szCs w:val="72"/>
          <w:highlight w:val="none"/>
        </w:rPr>
        <w:t xml:space="preserve"> </w:t>
      </w:r>
      <w:r>
        <w:rPr>
          <w:rFonts w:ascii="黑体" w:hAnsi="黑体" w:eastAsia="黑体" w:cs="黑体"/>
          <w:color w:val="auto"/>
          <w:spacing w:val="-13"/>
          <w:sz w:val="72"/>
          <w:szCs w:val="72"/>
          <w:highlight w:val="none"/>
        </w:rPr>
        <w:t>文</w:t>
      </w:r>
      <w:r>
        <w:rPr>
          <w:rFonts w:ascii="黑体" w:hAnsi="黑体" w:eastAsia="黑体" w:cs="黑体"/>
          <w:color w:val="auto"/>
          <w:spacing w:val="23"/>
          <w:sz w:val="72"/>
          <w:szCs w:val="72"/>
          <w:highlight w:val="none"/>
        </w:rPr>
        <w:t xml:space="preserve"> </w:t>
      </w:r>
      <w:r>
        <w:rPr>
          <w:rFonts w:ascii="黑体" w:hAnsi="黑体" w:eastAsia="黑体" w:cs="黑体"/>
          <w:color w:val="auto"/>
          <w:spacing w:val="-13"/>
          <w:sz w:val="72"/>
          <w:szCs w:val="72"/>
          <w:highlight w:val="none"/>
        </w:rPr>
        <w:t>件</w:t>
      </w:r>
    </w:p>
    <w:p>
      <w:pPr>
        <w:pStyle w:val="2"/>
        <w:spacing w:line="304" w:lineRule="auto"/>
        <w:rPr>
          <w:color w:val="auto"/>
          <w:highlight w:val="none"/>
        </w:rPr>
      </w:pPr>
    </w:p>
    <w:p>
      <w:pPr>
        <w:pStyle w:val="2"/>
        <w:spacing w:line="305" w:lineRule="auto"/>
        <w:rPr>
          <w:color w:val="auto"/>
          <w:highlight w:val="none"/>
        </w:rPr>
      </w:pPr>
    </w:p>
    <w:p>
      <w:pPr>
        <w:spacing w:before="91" w:line="219" w:lineRule="auto"/>
        <w:ind w:left="2096"/>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w:t>
      </w:r>
      <w:r>
        <w:rPr>
          <w:rFonts w:hint="eastAsia" w:ascii="黑体" w:hAnsi="黑体" w:eastAsia="黑体" w:cs="黑体"/>
          <w:color w:val="auto"/>
          <w:spacing w:val="-4"/>
          <w:sz w:val="28"/>
          <w:szCs w:val="28"/>
          <w:highlight w:val="none"/>
          <w:lang w:eastAsia="zh-CN"/>
        </w:rPr>
        <w:t>项目编号</w:t>
      </w:r>
      <w:r>
        <w:rPr>
          <w:rFonts w:ascii="黑体" w:hAnsi="黑体" w:eastAsia="黑体" w:cs="黑体"/>
          <w:color w:val="auto"/>
          <w:sz w:val="28"/>
          <w:szCs w:val="28"/>
          <w:highlight w:val="none"/>
          <w:u w:val="none" w:color="auto"/>
        </w:rPr>
        <w:t>：</w:t>
      </w:r>
      <w:r>
        <w:rPr>
          <w:rFonts w:hint="eastAsia" w:ascii="黑体" w:hAnsi="黑体" w:eastAsia="黑体" w:cs="黑体"/>
          <w:color w:val="auto"/>
          <w:sz w:val="28"/>
          <w:szCs w:val="28"/>
          <w:highlight w:val="none"/>
          <w:u w:val="single" w:color="auto"/>
          <w:lang w:val="en-US" w:eastAsia="zh-CN"/>
        </w:rPr>
        <w:t>LNHX2024003</w:t>
      </w:r>
      <w:r>
        <w:rPr>
          <w:rFonts w:ascii="黑体" w:hAnsi="黑体" w:eastAsia="黑体" w:cs="黑体"/>
          <w:color w:val="auto"/>
          <w:sz w:val="28"/>
          <w:szCs w:val="28"/>
          <w:highlight w:val="none"/>
        </w:rPr>
        <w:t>）</w:t>
      </w: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spacing w:before="91" w:line="600" w:lineRule="auto"/>
        <w:ind w:left="275" w:leftChars="131" w:firstLine="1201" w:firstLineChars="455"/>
        <w:jc w:val="both"/>
        <w:rPr>
          <w:rFonts w:hint="eastAsia" w:ascii="黑体" w:hAnsi="黑体" w:eastAsia="黑体" w:cs="黑体"/>
          <w:color w:val="auto"/>
          <w:spacing w:val="-8"/>
          <w:sz w:val="28"/>
          <w:szCs w:val="28"/>
          <w:highlight w:val="none"/>
          <w:lang w:eastAsia="zh-CN"/>
        </w:rPr>
      </w:pPr>
      <w:r>
        <w:rPr>
          <w:rFonts w:ascii="黑体" w:hAnsi="黑体" w:eastAsia="黑体" w:cs="黑体"/>
          <w:color w:val="auto"/>
          <w:spacing w:val="-8"/>
          <w:sz w:val="28"/>
          <w:szCs w:val="28"/>
          <w:highlight w:val="none"/>
        </w:rPr>
        <w:t>招标人</w:t>
      </w:r>
      <w:r>
        <w:rPr>
          <w:rFonts w:hint="eastAsia" w:ascii="黑体" w:hAnsi="黑体" w:eastAsia="黑体" w:cs="黑体"/>
          <w:color w:val="auto"/>
          <w:spacing w:val="-8"/>
          <w:sz w:val="28"/>
          <w:szCs w:val="28"/>
          <w:highlight w:val="none"/>
          <w:lang w:eastAsia="zh-CN"/>
        </w:rPr>
        <w:t>：大石桥市农业农村局</w:t>
      </w:r>
    </w:p>
    <w:p>
      <w:pPr>
        <w:spacing w:before="91" w:line="600" w:lineRule="auto"/>
        <w:ind w:left="3" w:leftChars="0" w:hanging="3" w:firstLineChars="0"/>
        <w:jc w:val="center"/>
        <w:rPr>
          <w:rFonts w:ascii="黑体" w:hAnsi="黑体" w:eastAsia="黑体" w:cs="黑体"/>
          <w:color w:val="auto"/>
          <w:sz w:val="28"/>
          <w:szCs w:val="28"/>
          <w:highlight w:val="none"/>
        </w:rPr>
      </w:pPr>
      <w:r>
        <w:rPr>
          <w:rFonts w:ascii="黑体" w:hAnsi="黑体" w:eastAsia="黑体" w:cs="黑体"/>
          <w:color w:val="auto"/>
          <w:spacing w:val="-8"/>
          <w:sz w:val="28"/>
          <w:szCs w:val="28"/>
          <w:highlight w:val="none"/>
        </w:rPr>
        <w:t>招标代理机构</w:t>
      </w:r>
      <w:r>
        <w:rPr>
          <w:rFonts w:ascii="黑体" w:hAnsi="黑体" w:eastAsia="黑体" w:cs="黑体"/>
          <w:color w:val="auto"/>
          <w:spacing w:val="-15"/>
          <w:sz w:val="28"/>
          <w:szCs w:val="28"/>
          <w:highlight w:val="none"/>
        </w:rPr>
        <w:t>：</w:t>
      </w:r>
      <w:r>
        <w:rPr>
          <w:rFonts w:hint="eastAsia" w:ascii="黑体" w:hAnsi="黑体" w:eastAsia="黑体" w:cs="黑体"/>
          <w:color w:val="auto"/>
          <w:sz w:val="28"/>
          <w:szCs w:val="28"/>
          <w:highlight w:val="none"/>
          <w:u w:val="single" w:color="auto"/>
        </w:rPr>
        <w:t>辽宁惠信工程造价咨询有限公司</w:t>
      </w:r>
    </w:p>
    <w:p>
      <w:pPr>
        <w:spacing w:before="1" w:line="600" w:lineRule="auto"/>
        <w:ind w:left="1480" w:leftChars="0" w:firstLine="0" w:firstLineChars="0"/>
        <w:rPr>
          <w:rFonts w:ascii="黑体" w:hAnsi="黑体" w:eastAsia="黑体" w:cs="黑体"/>
          <w:color w:val="auto"/>
          <w:sz w:val="28"/>
          <w:szCs w:val="28"/>
          <w:highlight w:val="none"/>
        </w:rPr>
      </w:pPr>
      <w:r>
        <w:rPr>
          <w:rFonts w:ascii="黑体" w:hAnsi="黑体" w:eastAsia="黑体" w:cs="黑体"/>
          <w:color w:val="auto"/>
          <w:spacing w:val="-31"/>
          <w:sz w:val="28"/>
          <w:szCs w:val="28"/>
          <w:highlight w:val="none"/>
        </w:rPr>
        <w:t>日</w:t>
      </w:r>
      <w:r>
        <w:rPr>
          <w:rFonts w:ascii="黑体" w:hAnsi="黑体" w:eastAsia="黑体" w:cs="黑体"/>
          <w:color w:val="auto"/>
          <w:spacing w:val="3"/>
          <w:sz w:val="28"/>
          <w:szCs w:val="28"/>
          <w:highlight w:val="none"/>
        </w:rPr>
        <w:t xml:space="preserve">    </w:t>
      </w:r>
      <w:r>
        <w:rPr>
          <w:rFonts w:ascii="黑体" w:hAnsi="黑体" w:eastAsia="黑体" w:cs="黑体"/>
          <w:color w:val="auto"/>
          <w:spacing w:val="-31"/>
          <w:sz w:val="28"/>
          <w:szCs w:val="28"/>
          <w:highlight w:val="none"/>
        </w:rPr>
        <w:t>期：</w:t>
      </w:r>
      <w:r>
        <w:rPr>
          <w:rFonts w:ascii="黑体" w:hAnsi="黑体" w:eastAsia="黑体" w:cs="黑体"/>
          <w:color w:val="auto"/>
          <w:spacing w:val="-48"/>
          <w:sz w:val="28"/>
          <w:szCs w:val="28"/>
          <w:highlight w:val="none"/>
        </w:rPr>
        <w:t xml:space="preserve"> </w:t>
      </w:r>
      <w:r>
        <w:rPr>
          <w:rFonts w:ascii="黑体" w:hAnsi="黑体" w:eastAsia="黑体" w:cs="黑体"/>
          <w:color w:val="auto"/>
          <w:spacing w:val="23"/>
          <w:sz w:val="28"/>
          <w:szCs w:val="28"/>
          <w:highlight w:val="none"/>
          <w:u w:val="single" w:color="auto"/>
        </w:rPr>
        <w:t xml:space="preserve"> </w:t>
      </w:r>
      <w:r>
        <w:rPr>
          <w:rFonts w:hint="eastAsia" w:ascii="黑体" w:hAnsi="黑体" w:eastAsia="黑体" w:cs="黑体"/>
          <w:color w:val="auto"/>
          <w:spacing w:val="23"/>
          <w:sz w:val="28"/>
          <w:szCs w:val="28"/>
          <w:highlight w:val="none"/>
          <w:u w:val="single" w:color="auto"/>
          <w:lang w:val="en-US" w:eastAsia="zh-CN"/>
        </w:rPr>
        <w:t>2024</w:t>
      </w:r>
      <w:r>
        <w:rPr>
          <w:rFonts w:ascii="黑体" w:hAnsi="黑体" w:eastAsia="黑体" w:cs="黑体"/>
          <w:color w:val="auto"/>
          <w:spacing w:val="23"/>
          <w:sz w:val="28"/>
          <w:szCs w:val="28"/>
          <w:highlight w:val="none"/>
          <w:u w:val="single" w:color="auto"/>
        </w:rPr>
        <w:t xml:space="preserve"> </w:t>
      </w:r>
      <w:r>
        <w:rPr>
          <w:rFonts w:ascii="黑体" w:hAnsi="黑体" w:eastAsia="黑体" w:cs="黑体"/>
          <w:color w:val="auto"/>
          <w:spacing w:val="-127"/>
          <w:sz w:val="28"/>
          <w:szCs w:val="28"/>
          <w:highlight w:val="none"/>
        </w:rPr>
        <w:t xml:space="preserve"> </w:t>
      </w:r>
      <w:r>
        <w:rPr>
          <w:rFonts w:ascii="黑体" w:hAnsi="黑体" w:eastAsia="黑体" w:cs="黑体"/>
          <w:color w:val="auto"/>
          <w:spacing w:val="-31"/>
          <w:sz w:val="28"/>
          <w:szCs w:val="28"/>
          <w:highlight w:val="none"/>
        </w:rPr>
        <w:t>年</w:t>
      </w:r>
      <w:r>
        <w:rPr>
          <w:rFonts w:ascii="黑体" w:hAnsi="黑体" w:eastAsia="黑体" w:cs="黑体"/>
          <w:color w:val="auto"/>
          <w:spacing w:val="-140"/>
          <w:sz w:val="28"/>
          <w:szCs w:val="28"/>
          <w:highlight w:val="none"/>
        </w:rPr>
        <w:t xml:space="preserve"> </w:t>
      </w:r>
      <w:r>
        <w:rPr>
          <w:rFonts w:ascii="黑体" w:hAnsi="黑体" w:eastAsia="黑体" w:cs="黑体"/>
          <w:color w:val="auto"/>
          <w:sz w:val="28"/>
          <w:szCs w:val="28"/>
          <w:highlight w:val="none"/>
          <w:u w:val="single" w:color="auto"/>
        </w:rPr>
        <w:t xml:space="preserve"> </w:t>
      </w:r>
      <w:r>
        <w:rPr>
          <w:rFonts w:hint="eastAsia" w:ascii="黑体" w:hAnsi="黑体" w:eastAsia="黑体" w:cs="黑体"/>
          <w:color w:val="auto"/>
          <w:sz w:val="28"/>
          <w:szCs w:val="28"/>
          <w:highlight w:val="none"/>
          <w:u w:val="single" w:color="auto"/>
          <w:lang w:val="en-US" w:eastAsia="zh-CN"/>
        </w:rPr>
        <w:t>05</w:t>
      </w:r>
      <w:r>
        <w:rPr>
          <w:rFonts w:ascii="黑体" w:hAnsi="黑体" w:eastAsia="黑体" w:cs="黑体"/>
          <w:color w:val="auto"/>
          <w:sz w:val="28"/>
          <w:szCs w:val="28"/>
          <w:highlight w:val="none"/>
          <w:u w:val="single" w:color="auto"/>
        </w:rPr>
        <w:t xml:space="preserve"> </w:t>
      </w:r>
      <w:r>
        <w:rPr>
          <w:rFonts w:ascii="黑体" w:hAnsi="黑体" w:eastAsia="黑体" w:cs="黑体"/>
          <w:color w:val="auto"/>
          <w:spacing w:val="-122"/>
          <w:sz w:val="28"/>
          <w:szCs w:val="28"/>
          <w:highlight w:val="none"/>
        </w:rPr>
        <w:t xml:space="preserve"> </w:t>
      </w:r>
      <w:r>
        <w:rPr>
          <w:rFonts w:ascii="黑体" w:hAnsi="黑体" w:eastAsia="黑体" w:cs="黑体"/>
          <w:color w:val="auto"/>
          <w:spacing w:val="-31"/>
          <w:sz w:val="28"/>
          <w:szCs w:val="28"/>
          <w:highlight w:val="none"/>
        </w:rPr>
        <w:t>月</w:t>
      </w:r>
    </w:p>
    <w:p>
      <w:pPr>
        <w:spacing w:line="220" w:lineRule="auto"/>
        <w:rPr>
          <w:rFonts w:ascii="黑体" w:hAnsi="黑体" w:eastAsia="黑体" w:cs="黑体"/>
          <w:color w:val="auto"/>
          <w:sz w:val="28"/>
          <w:szCs w:val="28"/>
          <w:highlight w:val="none"/>
        </w:rPr>
        <w:sectPr>
          <w:footerReference r:id="rId6" w:type="default"/>
          <w:pgSz w:w="11905" w:h="16843"/>
          <w:pgMar w:top="1769" w:right="1548" w:bottom="1003" w:left="1542" w:header="0" w:footer="828" w:gutter="0"/>
          <w:pgNumType w:fmt="numberInDash"/>
          <w:cols w:space="0" w:num="1"/>
          <w:rtlGutter w:val="0"/>
          <w:docGrid w:linePitch="0" w:charSpace="0"/>
        </w:sectPr>
      </w:pPr>
    </w:p>
    <w:sdt>
      <w:sdtPr>
        <w:rPr>
          <w:rFonts w:ascii="宋体" w:hAnsi="宋体" w:eastAsia="宋体" w:cs="宋体"/>
          <w:color w:val="auto"/>
          <w:sz w:val="43"/>
          <w:szCs w:val="43"/>
          <w:highlight w:val="none"/>
        </w:rPr>
        <w:id w:val="12"/>
        <w:docPartObj>
          <w:docPartGallery w:val="Table of Contents"/>
          <w:docPartUnique/>
        </w:docPartObj>
      </w:sdtPr>
      <w:sdtEndPr>
        <w:rPr>
          <w:rFonts w:ascii="宋体" w:hAnsi="宋体" w:eastAsia="宋体" w:cs="宋体"/>
          <w:color w:val="auto"/>
          <w:sz w:val="21"/>
          <w:szCs w:val="21"/>
          <w:highlight w:val="none"/>
        </w:rPr>
      </w:sdtEndPr>
      <w:sdtContent>
        <w:p>
          <w:pPr>
            <w:spacing w:before="101" w:line="226" w:lineRule="auto"/>
            <w:ind w:left="3605"/>
            <w:rPr>
              <w:rFonts w:ascii="宋体" w:hAnsi="宋体" w:eastAsia="宋体" w:cs="宋体"/>
              <w:color w:val="auto"/>
              <w:sz w:val="43"/>
              <w:szCs w:val="43"/>
              <w:highlight w:val="none"/>
            </w:rPr>
          </w:pPr>
          <w:bookmarkStart w:id="0" w:name="bookmark1"/>
          <w:bookmarkEnd w:id="0"/>
          <w:r>
            <w:rPr>
              <w:rFonts w:ascii="宋体" w:hAnsi="宋体" w:eastAsia="宋体" w:cs="宋体"/>
              <w:color w:val="auto"/>
              <w:spacing w:val="-46"/>
              <w:sz w:val="43"/>
              <w:szCs w:val="43"/>
              <w:highlight w:val="none"/>
              <w14:textOutline w14:w="7968" w14:cap="flat" w14:cmpd="sng">
                <w14:solidFill>
                  <w14:srgbClr w14:val="000000"/>
                </w14:solidFill>
                <w14:prstDash w14:val="solid"/>
                <w14:miter w14:val="0"/>
              </w14:textOutline>
            </w:rPr>
            <w:t>目</w:t>
          </w:r>
          <w:r>
            <w:rPr>
              <w:rFonts w:ascii="宋体" w:hAnsi="宋体" w:eastAsia="宋体" w:cs="宋体"/>
              <w:color w:val="auto"/>
              <w:spacing w:val="17"/>
              <w:sz w:val="43"/>
              <w:szCs w:val="43"/>
              <w:highlight w:val="none"/>
            </w:rPr>
            <w:t xml:space="preserve">  </w:t>
          </w:r>
          <w:r>
            <w:rPr>
              <w:rFonts w:ascii="宋体" w:hAnsi="宋体" w:eastAsia="宋体" w:cs="宋体"/>
              <w:color w:val="auto"/>
              <w:spacing w:val="-46"/>
              <w:sz w:val="43"/>
              <w:szCs w:val="43"/>
              <w:highlight w:val="none"/>
              <w14:textOutline w14:w="7968" w14:cap="flat" w14:cmpd="sng">
                <w14:solidFill>
                  <w14:srgbClr w14:val="000000"/>
                </w14:solidFill>
                <w14:prstDash w14:val="solid"/>
                <w14:miter w14:val="0"/>
              </w14:textOutline>
            </w:rPr>
            <w:t>录</w:t>
          </w:r>
        </w:p>
        <w:p>
          <w:pPr>
            <w:tabs>
              <w:tab w:val="right" w:leader="dot" w:pos="8312"/>
            </w:tabs>
            <w:spacing w:before="56" w:line="221"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第一卷</w:t>
          </w:r>
          <w:r>
            <w:rPr>
              <w:rFonts w:ascii="宋体" w:hAnsi="宋体" w:eastAsia="宋体" w:cs="宋体"/>
              <w:color w:val="auto"/>
              <w:spacing w:val="-4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宋体" w:hAnsi="宋体" w:eastAsia="宋体" w:cs="宋体"/>
              <w:color w:val="auto"/>
              <w:spacing w:val="-24"/>
              <w:sz w:val="21"/>
              <w:szCs w:val="21"/>
              <w:highlight w:val="none"/>
              <w14:textOutline w14:w="3831" w14:cap="flat" w14:cmpd="sng">
                <w14:solidFill>
                  <w14:srgbClr w14:val="000000"/>
                </w14:solidFill>
                <w14:prstDash w14:val="solid"/>
                <w14:miter w14:val="0"/>
              </w14:textOutline>
            </w:rPr>
            <w:t>1</w:t>
          </w:r>
          <w:r>
            <w:rPr>
              <w:rFonts w:ascii="宋体" w:hAnsi="宋体" w:eastAsia="宋体" w:cs="宋体"/>
              <w:color w:val="auto"/>
              <w:spacing w:val="-24"/>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2"/>
            </w:tabs>
            <w:spacing w:before="61"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color w:val="auto"/>
              <w:spacing w:val="-2"/>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招标公告</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6"/>
              <w:sz w:val="21"/>
              <w:szCs w:val="21"/>
              <w:highlight w:val="none"/>
            </w:rPr>
            <w:t xml:space="preserve"> </w:t>
          </w:r>
          <w:r>
            <w:rPr>
              <w:color w:val="auto"/>
              <w:highlight w:val="none"/>
            </w:rPr>
            <w:fldChar w:fldCharType="begin"/>
          </w:r>
          <w:r>
            <w:rPr>
              <w:color w:val="auto"/>
              <w:highlight w:val="none"/>
            </w:rPr>
            <w:instrText xml:space="preserve"> HYPERLINK \l "bookmark3"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2</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2"/>
            </w:tabs>
            <w:spacing w:before="62" w:line="221" w:lineRule="auto"/>
            <w:ind w:left="45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1.招标条件</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pPr>
            <w:tabs>
              <w:tab w:val="right" w:leader="dot" w:pos="8312"/>
            </w:tabs>
            <w:spacing w:before="60"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2.项目概况与招标范围</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"bookmark5"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pPr>
            <w:tabs>
              <w:tab w:val="right" w:leader="dot" w:pos="8312"/>
            </w:tabs>
            <w:spacing w:before="60"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3.投标人资格要求</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pPr>
            <w:tabs>
              <w:tab w:val="right" w:leader="dot" w:pos="8312"/>
            </w:tabs>
            <w:spacing w:before="60" w:line="221" w:lineRule="auto"/>
            <w:ind w:left="441"/>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4.招标文件的获取</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rFonts w:hint="eastAsia" w:eastAsia="宋体"/>
              <w:color w:val="auto"/>
              <w:highlight w:val="none"/>
              <w:lang w:val="en-US" w:eastAsia="zh-CN"/>
            </w:rPr>
            <w:t>3</w:t>
          </w:r>
        </w:p>
        <w:p>
          <w:pPr>
            <w:tabs>
              <w:tab w:val="right" w:leader="dot" w:pos="8312"/>
            </w:tabs>
            <w:spacing w:before="61"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5.投标文件的递交</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"bookmark8"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pPr>
            <w:tabs>
              <w:tab w:val="right" w:leader="dot" w:pos="8312"/>
            </w:tabs>
            <w:spacing w:before="62"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6.投标相关事宜</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pPr>
            <w:tabs>
              <w:tab w:val="right" w:leader="dot" w:pos="8312"/>
            </w:tabs>
            <w:spacing w:before="59" w:line="221" w:lineRule="auto"/>
            <w:ind w:left="447"/>
            <w:rPr>
              <w:rFonts w:hint="eastAsia" w:ascii="宋体" w:hAnsi="宋体" w:eastAsia="宋体" w:cs="宋体"/>
              <w:color w:val="auto"/>
              <w:sz w:val="21"/>
              <w:szCs w:val="21"/>
              <w:highlight w:val="none"/>
              <w:lang w:eastAsia="zh-CN"/>
            </w:rPr>
          </w:pPr>
          <w:r>
            <w:rPr>
              <w:rFonts w:ascii="宋体" w:hAnsi="宋体" w:eastAsia="宋体" w:cs="宋体"/>
              <w:color w:val="auto"/>
              <w:spacing w:val="-2"/>
              <w:sz w:val="21"/>
              <w:szCs w:val="21"/>
              <w:highlight w:val="none"/>
            </w:rPr>
            <w:t>7.评标办法</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rFonts w:hint="eastAsia" w:eastAsia="宋体"/>
              <w:color w:val="auto"/>
              <w:highlight w:val="none"/>
              <w:lang w:val="en-US" w:eastAsia="zh-CN"/>
            </w:rPr>
            <w:t>4</w:t>
          </w:r>
        </w:p>
        <w:p>
          <w:pPr>
            <w:tabs>
              <w:tab w:val="right" w:leader="dot" w:pos="8312"/>
            </w:tabs>
            <w:spacing w:before="62" w:line="219" w:lineRule="auto"/>
            <w:ind w:left="443"/>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8.发布公告的媒介</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rFonts w:hint="eastAsia" w:eastAsia="宋体"/>
              <w:color w:val="auto"/>
              <w:highlight w:val="none"/>
              <w:lang w:val="en-US" w:eastAsia="zh-CN"/>
            </w:rPr>
            <w:t>4</w:t>
          </w:r>
        </w:p>
        <w:p>
          <w:pPr>
            <w:tabs>
              <w:tab w:val="right" w:leader="dot" w:pos="8312"/>
            </w:tabs>
            <w:spacing w:before="62" w:line="221" w:lineRule="auto"/>
            <w:ind w:left="443"/>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9.监督信息</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rPr>
            <w:tab/>
          </w:r>
          <w:r>
            <w:rPr>
              <w:rFonts w:hint="eastAsia" w:ascii="宋体" w:hAnsi="宋体" w:eastAsia="宋体" w:cs="宋体"/>
              <w:color w:val="auto"/>
              <w:spacing w:val="-27"/>
              <w:sz w:val="21"/>
              <w:szCs w:val="21"/>
              <w:highlight w:val="none"/>
              <w:lang w:val="en-US" w:eastAsia="zh-CN"/>
            </w:rPr>
            <w:t>4</w:t>
          </w:r>
        </w:p>
        <w:p>
          <w:pPr>
            <w:tabs>
              <w:tab w:val="right" w:leader="dot" w:pos="8312"/>
            </w:tabs>
            <w:spacing w:before="62" w:line="222" w:lineRule="auto"/>
            <w:ind w:left="458"/>
            <w:rPr>
              <w:rFonts w:hint="eastAsia" w:ascii="宋体" w:hAnsi="宋体" w:eastAsia="宋体" w:cs="宋体"/>
              <w:color w:val="auto"/>
              <w:sz w:val="21"/>
              <w:szCs w:val="21"/>
              <w:highlight w:val="none"/>
              <w:lang w:eastAsia="zh-CN"/>
            </w:rPr>
          </w:pPr>
          <w:r>
            <w:rPr>
              <w:rFonts w:ascii="宋体" w:hAnsi="宋体" w:eastAsia="宋体" w:cs="宋体"/>
              <w:color w:val="auto"/>
              <w:spacing w:val="-4"/>
              <w:sz w:val="21"/>
              <w:szCs w:val="21"/>
              <w:highlight w:val="none"/>
            </w:rPr>
            <w:t>10.联系方式</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rFonts w:hint="eastAsia" w:eastAsia="宋体"/>
              <w:color w:val="auto"/>
              <w:highlight w:val="none"/>
              <w:lang w:val="en-US" w:eastAsia="zh-CN"/>
            </w:rPr>
            <w:t>4</w:t>
          </w:r>
        </w:p>
        <w:p>
          <w:pPr>
            <w:tabs>
              <w:tab w:val="right" w:leader="dot" w:pos="8312"/>
            </w:tabs>
            <w:spacing w:before="59" w:line="220" w:lineRule="auto"/>
            <w:ind w:left="22"/>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第二章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投标人须知</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4"/>
              <w:sz w:val="21"/>
              <w:szCs w:val="21"/>
              <w:highlight w:val="none"/>
            </w:rPr>
            <w:t xml:space="preserve"> </w:t>
          </w:r>
          <w:r>
            <w:rPr>
              <w:rFonts w:hint="eastAsia" w:eastAsia="宋体"/>
              <w:color w:val="auto"/>
              <w:highlight w:val="none"/>
              <w:lang w:val="en-US" w:eastAsia="zh-CN"/>
            </w:rPr>
            <w:t>5</w:t>
          </w:r>
        </w:p>
        <w:p>
          <w:pPr>
            <w:tabs>
              <w:tab w:val="right" w:leader="dot" w:pos="8312"/>
            </w:tabs>
            <w:spacing w:before="62" w:line="220" w:lineRule="auto"/>
            <w:ind w:left="445"/>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投标人须知前附表</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6"/>
              <w:sz w:val="21"/>
              <w:szCs w:val="21"/>
              <w:highlight w:val="none"/>
              <w:lang w:val="en-US" w:eastAsia="zh-CN"/>
            </w:rPr>
            <w:t>6</w:t>
          </w:r>
        </w:p>
        <w:p>
          <w:pPr>
            <w:tabs>
              <w:tab w:val="right" w:leader="dot" w:pos="8312"/>
            </w:tabs>
            <w:spacing w:before="6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投标人须知正文部分</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6"/>
              <w:sz w:val="21"/>
              <w:szCs w:val="21"/>
              <w:highlight w:val="none"/>
            </w:rPr>
            <w:t xml:space="preserve"> </w:t>
          </w:r>
          <w:r>
            <w:rPr>
              <w:color w:val="auto"/>
              <w:highlight w:val="none"/>
            </w:rPr>
            <w:fldChar w:fldCharType="begin"/>
          </w:r>
          <w:r>
            <w:rPr>
              <w:color w:val="auto"/>
              <w:highlight w:val="none"/>
            </w:rPr>
            <w:instrText xml:space="preserve"> HYPERLINK \l "bookmark21" </w:instrText>
          </w:r>
          <w:r>
            <w:rPr>
              <w:color w:val="auto"/>
              <w:highlight w:val="none"/>
            </w:rPr>
            <w:fldChar w:fldCharType="separate"/>
          </w:r>
          <w:r>
            <w:rPr>
              <w:rFonts w:ascii="宋体" w:hAnsi="宋体" w:eastAsia="宋体" w:cs="宋体"/>
              <w:color w:val="auto"/>
              <w:spacing w:val="-6"/>
              <w:sz w:val="21"/>
              <w:szCs w:val="21"/>
              <w:highlight w:val="none"/>
            </w:rPr>
            <w:t>1</w:t>
          </w:r>
          <w:r>
            <w:rPr>
              <w:rFonts w:hint="eastAsia" w:ascii="宋体" w:hAnsi="宋体" w:eastAsia="宋体" w:cs="宋体"/>
              <w:color w:val="auto"/>
              <w:spacing w:val="-6"/>
              <w:sz w:val="21"/>
              <w:szCs w:val="21"/>
              <w:highlight w:val="none"/>
              <w:lang w:val="en-US" w:eastAsia="zh-CN"/>
            </w:rPr>
            <w:t>4</w:t>
          </w:r>
          <w:r>
            <w:rPr>
              <w:rFonts w:ascii="宋体" w:hAnsi="宋体" w:eastAsia="宋体" w:cs="宋体"/>
              <w:color w:val="auto"/>
              <w:spacing w:val="-6"/>
              <w:sz w:val="21"/>
              <w:szCs w:val="21"/>
              <w:highlight w:val="none"/>
            </w:rPr>
            <w:fldChar w:fldCharType="end"/>
          </w:r>
        </w:p>
        <w:p>
          <w:pPr>
            <w:tabs>
              <w:tab w:val="right" w:leader="dot" w:pos="8312"/>
            </w:tabs>
            <w:spacing w:before="61" w:line="221" w:lineRule="auto"/>
            <w:ind w:left="45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1.总则</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6"/>
              <w:sz w:val="21"/>
              <w:szCs w:val="21"/>
              <w:highlight w:val="none"/>
            </w:rPr>
            <w:t xml:space="preserve"> </w:t>
          </w:r>
          <w:r>
            <w:rPr>
              <w:color w:val="auto"/>
              <w:highlight w:val="none"/>
            </w:rPr>
            <w:fldChar w:fldCharType="begin"/>
          </w:r>
          <w:r>
            <w:rPr>
              <w:color w:val="auto"/>
              <w:highlight w:val="none"/>
            </w:rPr>
            <w:instrText xml:space="preserve"> HYPERLINK \l "bookmark22" </w:instrText>
          </w:r>
          <w:r>
            <w:rPr>
              <w:color w:val="auto"/>
              <w:highlight w:val="none"/>
            </w:rPr>
            <w:fldChar w:fldCharType="separate"/>
          </w:r>
          <w:r>
            <w:rPr>
              <w:rFonts w:ascii="宋体" w:hAnsi="宋体" w:eastAsia="宋体" w:cs="宋体"/>
              <w:color w:val="auto"/>
              <w:spacing w:val="-6"/>
              <w:sz w:val="21"/>
              <w:szCs w:val="21"/>
              <w:highlight w:val="none"/>
            </w:rPr>
            <w:t>1</w:t>
          </w:r>
          <w:r>
            <w:rPr>
              <w:rFonts w:hint="eastAsia" w:ascii="宋体" w:hAnsi="宋体" w:eastAsia="宋体" w:cs="宋体"/>
              <w:color w:val="auto"/>
              <w:spacing w:val="-6"/>
              <w:sz w:val="21"/>
              <w:szCs w:val="21"/>
              <w:highlight w:val="none"/>
              <w:lang w:val="en-US" w:eastAsia="zh-CN"/>
            </w:rPr>
            <w:t>4</w:t>
          </w:r>
          <w:r>
            <w:rPr>
              <w:rFonts w:ascii="宋体" w:hAnsi="宋体" w:eastAsia="宋体" w:cs="宋体"/>
              <w:color w:val="auto"/>
              <w:spacing w:val="-6"/>
              <w:sz w:val="21"/>
              <w:szCs w:val="21"/>
              <w:highlight w:val="none"/>
            </w:rPr>
            <w:fldChar w:fldCharType="end"/>
          </w:r>
        </w:p>
        <w:p>
          <w:pPr>
            <w:tabs>
              <w:tab w:val="right" w:leader="dot" w:pos="8312"/>
            </w:tabs>
            <w:spacing w:before="61" w:line="221" w:lineRule="auto"/>
            <w:ind w:left="445"/>
            <w:rPr>
              <w:rFonts w:ascii="宋体" w:hAnsi="宋体" w:eastAsia="宋体" w:cs="宋体"/>
              <w:color w:val="auto"/>
              <w:spacing w:val="-6"/>
              <w:sz w:val="21"/>
              <w:szCs w:val="21"/>
              <w:highlight w:val="none"/>
            </w:rPr>
          </w:pPr>
          <w:r>
            <w:rPr>
              <w:rFonts w:ascii="宋体" w:hAnsi="宋体" w:eastAsia="宋体" w:cs="宋体"/>
              <w:color w:val="auto"/>
              <w:spacing w:val="-4"/>
              <w:sz w:val="21"/>
              <w:szCs w:val="21"/>
              <w:highlight w:val="none"/>
            </w:rPr>
            <w:t>2.</w:t>
          </w:r>
          <w:r>
            <w:rPr>
              <w:rFonts w:ascii="宋体" w:hAnsi="宋体" w:eastAsia="宋体" w:cs="宋体"/>
              <w:color w:val="auto"/>
              <w:spacing w:val="14"/>
              <w:sz w:val="21"/>
              <w:szCs w:val="21"/>
              <w:highlight w:val="none"/>
            </w:rPr>
            <w:t xml:space="preserve"> </w:t>
          </w:r>
          <w:r>
            <w:rPr>
              <w:rFonts w:ascii="宋体" w:hAnsi="宋体" w:eastAsia="宋体" w:cs="宋体"/>
              <w:color w:val="auto"/>
              <w:spacing w:val="-4"/>
              <w:sz w:val="21"/>
              <w:szCs w:val="21"/>
              <w:highlight w:val="none"/>
            </w:rPr>
            <w:t>招标文件</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6"/>
              <w:sz w:val="21"/>
              <w:szCs w:val="21"/>
              <w:highlight w:val="none"/>
            </w:rPr>
            <w:t xml:space="preserve"> </w:t>
          </w:r>
          <w:r>
            <w:rPr>
              <w:color w:val="auto"/>
              <w:highlight w:val="none"/>
            </w:rPr>
            <w:fldChar w:fldCharType="begin"/>
          </w:r>
          <w:r>
            <w:rPr>
              <w:color w:val="auto"/>
              <w:highlight w:val="none"/>
            </w:rPr>
            <w:instrText xml:space="preserve"> HYPERLINK \l "bookmark35" </w:instrText>
          </w:r>
          <w:r>
            <w:rPr>
              <w:color w:val="auto"/>
              <w:highlight w:val="none"/>
            </w:rPr>
            <w:fldChar w:fldCharType="separate"/>
          </w:r>
          <w:r>
            <w:rPr>
              <w:rFonts w:ascii="宋体" w:hAnsi="宋体" w:eastAsia="宋体" w:cs="宋体"/>
              <w:color w:val="auto"/>
              <w:spacing w:val="-6"/>
              <w:sz w:val="21"/>
              <w:szCs w:val="21"/>
              <w:highlight w:val="none"/>
            </w:rPr>
            <w:t>1</w:t>
          </w:r>
          <w:r>
            <w:rPr>
              <w:rFonts w:hint="eastAsia" w:ascii="宋体" w:hAnsi="宋体" w:eastAsia="宋体" w:cs="宋体"/>
              <w:color w:val="auto"/>
              <w:spacing w:val="-6"/>
              <w:sz w:val="21"/>
              <w:szCs w:val="21"/>
              <w:highlight w:val="none"/>
              <w:lang w:val="en-US" w:eastAsia="zh-CN"/>
            </w:rPr>
            <w:t>6</w:t>
          </w:r>
          <w:r>
            <w:rPr>
              <w:rFonts w:ascii="宋体" w:hAnsi="宋体" w:eastAsia="宋体" w:cs="宋体"/>
              <w:color w:val="auto"/>
              <w:spacing w:val="-6"/>
              <w:sz w:val="21"/>
              <w:szCs w:val="21"/>
              <w:highlight w:val="none"/>
            </w:rPr>
            <w:fldChar w:fldCharType="end"/>
          </w:r>
        </w:p>
        <w:p>
          <w:pPr>
            <w:tabs>
              <w:tab w:val="right" w:leader="dot" w:pos="8312"/>
            </w:tabs>
            <w:spacing w:before="60" w:line="221" w:lineRule="auto"/>
            <w:ind w:left="446"/>
            <w:rPr>
              <w:rFonts w:ascii="宋体" w:hAnsi="宋体" w:eastAsia="宋体" w:cs="宋体"/>
              <w:color w:val="auto"/>
              <w:spacing w:val="-6"/>
              <w:sz w:val="21"/>
              <w:szCs w:val="21"/>
              <w:highlight w:val="none"/>
            </w:rPr>
          </w:pPr>
          <w:r>
            <w:rPr>
              <w:rFonts w:ascii="宋体" w:hAnsi="宋体" w:eastAsia="宋体" w:cs="宋体"/>
              <w:color w:val="auto"/>
              <w:spacing w:val="-4"/>
              <w:sz w:val="21"/>
              <w:szCs w:val="21"/>
              <w:highlight w:val="none"/>
            </w:rPr>
            <w:t>3.</w:t>
          </w:r>
          <w:r>
            <w:rPr>
              <w:rFonts w:ascii="宋体" w:hAnsi="宋体" w:eastAsia="宋体" w:cs="宋体"/>
              <w:color w:val="auto"/>
              <w:spacing w:val="12"/>
              <w:sz w:val="21"/>
              <w:szCs w:val="21"/>
              <w:highlight w:val="none"/>
            </w:rPr>
            <w:t xml:space="preserve"> </w:t>
          </w:r>
          <w:r>
            <w:rPr>
              <w:rFonts w:ascii="宋体" w:hAnsi="宋体" w:eastAsia="宋体" w:cs="宋体"/>
              <w:color w:val="auto"/>
              <w:spacing w:val="-4"/>
              <w:sz w:val="21"/>
              <w:szCs w:val="21"/>
              <w:highlight w:val="none"/>
            </w:rPr>
            <w:t>投标文件</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6"/>
              <w:sz w:val="21"/>
              <w:szCs w:val="21"/>
              <w:highlight w:val="none"/>
            </w:rPr>
            <w:t xml:space="preserve"> </w:t>
          </w:r>
          <w:r>
            <w:rPr>
              <w:color w:val="auto"/>
              <w:highlight w:val="none"/>
            </w:rPr>
            <w:fldChar w:fldCharType="begin"/>
          </w:r>
          <w:r>
            <w:rPr>
              <w:color w:val="auto"/>
              <w:highlight w:val="none"/>
            </w:rPr>
            <w:instrText xml:space="preserve"> HYPERLINK \l "bookmark40" </w:instrText>
          </w:r>
          <w:r>
            <w:rPr>
              <w:color w:val="auto"/>
              <w:highlight w:val="none"/>
            </w:rPr>
            <w:fldChar w:fldCharType="separate"/>
          </w:r>
          <w:r>
            <w:rPr>
              <w:rFonts w:ascii="宋体" w:hAnsi="宋体" w:eastAsia="宋体" w:cs="宋体"/>
              <w:color w:val="auto"/>
              <w:spacing w:val="-6"/>
              <w:sz w:val="21"/>
              <w:szCs w:val="21"/>
              <w:highlight w:val="none"/>
            </w:rPr>
            <w:t>1</w:t>
          </w:r>
          <w:r>
            <w:rPr>
              <w:rFonts w:hint="eastAsia" w:ascii="宋体" w:hAnsi="宋体" w:eastAsia="宋体" w:cs="宋体"/>
              <w:color w:val="auto"/>
              <w:spacing w:val="-6"/>
              <w:sz w:val="21"/>
              <w:szCs w:val="21"/>
              <w:highlight w:val="none"/>
              <w:lang w:val="en-US" w:eastAsia="zh-CN"/>
            </w:rPr>
            <w:t>8</w:t>
          </w:r>
          <w:r>
            <w:rPr>
              <w:rFonts w:ascii="宋体" w:hAnsi="宋体" w:eastAsia="宋体" w:cs="宋体"/>
              <w:color w:val="auto"/>
              <w:spacing w:val="-6"/>
              <w:sz w:val="21"/>
              <w:szCs w:val="21"/>
              <w:highlight w:val="none"/>
            </w:rPr>
            <w:fldChar w:fldCharType="end"/>
          </w:r>
        </w:p>
        <w:p>
          <w:pPr>
            <w:tabs>
              <w:tab w:val="right" w:leader="dot" w:pos="8312"/>
            </w:tabs>
            <w:spacing w:before="60" w:line="221" w:lineRule="auto"/>
            <w:ind w:left="446"/>
            <w:rPr>
              <w:rFonts w:hint="eastAsia" w:ascii="宋体" w:hAnsi="宋体" w:eastAsia="宋体" w:cs="宋体"/>
              <w:color w:val="auto"/>
              <w:spacing w:val="-6"/>
              <w:sz w:val="21"/>
              <w:szCs w:val="21"/>
              <w:highlight w:val="none"/>
              <w:lang w:val="en-US" w:eastAsia="zh-CN"/>
            </w:rPr>
          </w:pPr>
          <w:r>
            <w:rPr>
              <w:rFonts w:ascii="宋体" w:hAnsi="宋体" w:eastAsia="宋体" w:cs="宋体"/>
              <w:color w:val="auto"/>
              <w:spacing w:val="-5"/>
              <w:sz w:val="21"/>
              <w:szCs w:val="21"/>
              <w:highlight w:val="none"/>
            </w:rPr>
            <w:t>4.</w:t>
          </w:r>
          <w:r>
            <w:rPr>
              <w:rFonts w:ascii="宋体" w:hAnsi="宋体" w:eastAsia="宋体" w:cs="宋体"/>
              <w:color w:val="auto"/>
              <w:spacing w:val="13"/>
              <w:sz w:val="21"/>
              <w:szCs w:val="21"/>
              <w:highlight w:val="none"/>
            </w:rPr>
            <w:t xml:space="preserve"> </w:t>
          </w:r>
          <w:r>
            <w:rPr>
              <w:rFonts w:ascii="宋体" w:hAnsi="宋体" w:eastAsia="宋体" w:cs="宋体"/>
              <w:color w:val="auto"/>
              <w:spacing w:val="-5"/>
              <w:sz w:val="21"/>
              <w:szCs w:val="21"/>
              <w:highlight w:val="none"/>
            </w:rPr>
            <w:t>投标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6"/>
              <w:sz w:val="21"/>
              <w:szCs w:val="21"/>
              <w:highlight w:val="none"/>
            </w:rPr>
            <w:t xml:space="preserve"> </w:t>
          </w:r>
          <w:r>
            <w:rPr>
              <w:rFonts w:hint="eastAsia" w:ascii="宋体" w:hAnsi="宋体" w:eastAsia="宋体" w:cs="宋体"/>
              <w:color w:val="auto"/>
              <w:spacing w:val="-6"/>
              <w:sz w:val="21"/>
              <w:szCs w:val="21"/>
              <w:highlight w:val="none"/>
              <w:lang w:val="en-US" w:eastAsia="zh-CN"/>
            </w:rPr>
            <w:t>21</w:t>
          </w:r>
        </w:p>
        <w:p>
          <w:pPr>
            <w:tabs>
              <w:tab w:val="right" w:leader="dot" w:pos="8312"/>
            </w:tabs>
            <w:spacing w:before="61" w:line="221" w:lineRule="auto"/>
            <w:ind w:left="446"/>
            <w:rPr>
              <w:rFonts w:ascii="宋体" w:hAnsi="宋体" w:eastAsia="宋体" w:cs="宋体"/>
              <w:color w:val="auto"/>
              <w:spacing w:val="-3"/>
              <w:sz w:val="21"/>
              <w:szCs w:val="21"/>
              <w:highlight w:val="none"/>
            </w:rPr>
          </w:pPr>
          <w:r>
            <w:rPr>
              <w:rFonts w:ascii="宋体" w:hAnsi="宋体" w:eastAsia="宋体" w:cs="宋体"/>
              <w:color w:val="auto"/>
              <w:spacing w:val="-6"/>
              <w:sz w:val="21"/>
              <w:szCs w:val="21"/>
              <w:highlight w:val="none"/>
            </w:rPr>
            <w:t>5.</w:t>
          </w:r>
          <w:r>
            <w:rPr>
              <w:rFonts w:ascii="宋体" w:hAnsi="宋体" w:eastAsia="宋体" w:cs="宋体"/>
              <w:color w:val="auto"/>
              <w:spacing w:val="12"/>
              <w:sz w:val="21"/>
              <w:szCs w:val="21"/>
              <w:highlight w:val="none"/>
            </w:rPr>
            <w:t xml:space="preserve"> </w:t>
          </w:r>
          <w:r>
            <w:rPr>
              <w:rFonts w:ascii="宋体" w:hAnsi="宋体" w:eastAsia="宋体" w:cs="宋体"/>
              <w:color w:val="auto"/>
              <w:spacing w:val="-6"/>
              <w:sz w:val="21"/>
              <w:szCs w:val="21"/>
              <w:highlight w:val="none"/>
            </w:rPr>
            <w:t>开标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"bookmark52"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1</w:t>
          </w:r>
          <w:r>
            <w:rPr>
              <w:rFonts w:ascii="宋体" w:hAnsi="宋体" w:eastAsia="宋体" w:cs="宋体"/>
              <w:color w:val="auto"/>
              <w:spacing w:val="-3"/>
              <w:sz w:val="21"/>
              <w:szCs w:val="21"/>
              <w:highlight w:val="none"/>
            </w:rPr>
            <w:fldChar w:fldCharType="end"/>
          </w:r>
        </w:p>
        <w:p>
          <w:pPr>
            <w:tabs>
              <w:tab w:val="right" w:leader="dot" w:pos="8312"/>
            </w:tabs>
            <w:spacing w:before="61" w:line="221" w:lineRule="auto"/>
            <w:ind w:left="444"/>
            <w:rPr>
              <w:rFonts w:ascii="宋体" w:hAnsi="宋体" w:eastAsia="宋体" w:cs="宋体"/>
              <w:color w:val="auto"/>
              <w:spacing w:val="-3"/>
              <w:sz w:val="21"/>
              <w:szCs w:val="21"/>
              <w:highlight w:val="none"/>
            </w:rPr>
          </w:pPr>
          <w:r>
            <w:rPr>
              <w:rFonts w:ascii="宋体" w:hAnsi="宋体" w:eastAsia="宋体" w:cs="宋体"/>
              <w:color w:val="auto"/>
              <w:spacing w:val="-5"/>
              <w:sz w:val="21"/>
              <w:szCs w:val="21"/>
              <w:highlight w:val="none"/>
            </w:rPr>
            <w:t>6.</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评标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"bookmark57"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3</w:t>
          </w:r>
          <w:r>
            <w:rPr>
              <w:rFonts w:ascii="宋体" w:hAnsi="宋体" w:eastAsia="宋体" w:cs="宋体"/>
              <w:color w:val="auto"/>
              <w:spacing w:val="-3"/>
              <w:sz w:val="21"/>
              <w:szCs w:val="21"/>
              <w:highlight w:val="none"/>
            </w:rPr>
            <w:fldChar w:fldCharType="end"/>
          </w:r>
        </w:p>
        <w:p>
          <w:pPr>
            <w:tabs>
              <w:tab w:val="right" w:leader="dot" w:pos="8312"/>
            </w:tabs>
            <w:spacing w:before="61" w:line="222" w:lineRule="auto"/>
            <w:ind w:left="447"/>
            <w:rPr>
              <w:rFonts w:ascii="宋体" w:hAnsi="宋体" w:eastAsia="宋体" w:cs="宋体"/>
              <w:color w:val="auto"/>
              <w:spacing w:val="-3"/>
              <w:sz w:val="21"/>
              <w:szCs w:val="21"/>
              <w:highlight w:val="none"/>
            </w:rPr>
          </w:pPr>
          <w:r>
            <w:rPr>
              <w:rFonts w:ascii="宋体" w:hAnsi="宋体" w:eastAsia="宋体" w:cs="宋体"/>
              <w:color w:val="auto"/>
              <w:spacing w:val="-4"/>
              <w:sz w:val="21"/>
              <w:szCs w:val="21"/>
              <w:highlight w:val="none"/>
            </w:rPr>
            <w:t>7.</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rPr>
            <w:t>合同授予</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"bookmark62"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4</w:t>
          </w:r>
          <w:r>
            <w:rPr>
              <w:rFonts w:ascii="宋体" w:hAnsi="宋体" w:eastAsia="宋体" w:cs="宋体"/>
              <w:color w:val="auto"/>
              <w:spacing w:val="-3"/>
              <w:sz w:val="21"/>
              <w:szCs w:val="21"/>
              <w:highlight w:val="none"/>
            </w:rPr>
            <w:fldChar w:fldCharType="end"/>
          </w:r>
        </w:p>
        <w:p>
          <w:pPr>
            <w:tabs>
              <w:tab w:val="right" w:leader="dot" w:pos="8312"/>
            </w:tabs>
            <w:spacing w:before="61" w:line="222" w:lineRule="auto"/>
            <w:ind w:left="447"/>
            <w:rPr>
              <w:rFonts w:ascii="宋体" w:hAnsi="宋体" w:eastAsia="宋体" w:cs="宋体"/>
              <w:color w:val="auto"/>
              <w:spacing w:val="-3"/>
              <w:sz w:val="21"/>
              <w:szCs w:val="21"/>
              <w:highlight w:val="none"/>
            </w:rPr>
          </w:pPr>
          <w:r>
            <w:rPr>
              <w:rFonts w:ascii="宋体" w:hAnsi="宋体" w:eastAsia="宋体" w:cs="宋体"/>
              <w:color w:val="auto"/>
              <w:spacing w:val="-1"/>
              <w:sz w:val="21"/>
              <w:szCs w:val="21"/>
              <w:highlight w:val="none"/>
            </w:rPr>
            <w:t>8. 重新招标、不再招标和终止招标</w:t>
          </w:r>
          <w:r>
            <w:rPr>
              <w:rFonts w:ascii="宋体" w:hAnsi="宋体" w:eastAsia="宋体" w:cs="宋体"/>
              <w:color w:val="auto"/>
              <w:spacing w:val="-6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"bookmark67"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5</w:t>
          </w:r>
          <w:r>
            <w:rPr>
              <w:rFonts w:ascii="宋体" w:hAnsi="宋体" w:eastAsia="宋体" w:cs="宋体"/>
              <w:color w:val="auto"/>
              <w:spacing w:val="-3"/>
              <w:sz w:val="21"/>
              <w:szCs w:val="21"/>
              <w:highlight w:val="none"/>
            </w:rPr>
            <w:fldChar w:fldCharType="end"/>
          </w:r>
        </w:p>
        <w:p>
          <w:pPr>
            <w:tabs>
              <w:tab w:val="right" w:leader="dot" w:pos="8312"/>
            </w:tabs>
            <w:spacing w:before="60" w:line="221" w:lineRule="auto"/>
            <w:ind w:left="443"/>
            <w:rPr>
              <w:rFonts w:ascii="宋体" w:hAnsi="宋体" w:eastAsia="宋体" w:cs="宋体"/>
              <w:color w:val="auto"/>
              <w:spacing w:val="-3"/>
              <w:sz w:val="21"/>
              <w:szCs w:val="21"/>
              <w:highlight w:val="none"/>
            </w:rPr>
          </w:pPr>
          <w:r>
            <w:rPr>
              <w:rFonts w:ascii="宋体" w:hAnsi="宋体" w:eastAsia="宋体" w:cs="宋体"/>
              <w:color w:val="auto"/>
              <w:spacing w:val="-3"/>
              <w:sz w:val="21"/>
              <w:szCs w:val="21"/>
              <w:highlight w:val="none"/>
            </w:rPr>
            <w:t>9.</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纪律和监督</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"bookmark71"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6</w:t>
          </w:r>
          <w:r>
            <w:rPr>
              <w:rFonts w:ascii="宋体" w:hAnsi="宋体" w:eastAsia="宋体" w:cs="宋体"/>
              <w:color w:val="auto"/>
              <w:spacing w:val="-3"/>
              <w:sz w:val="21"/>
              <w:szCs w:val="21"/>
              <w:highlight w:val="none"/>
            </w:rPr>
            <w:fldChar w:fldCharType="end"/>
          </w:r>
        </w:p>
        <w:p>
          <w:pPr>
            <w:tabs>
              <w:tab w:val="right" w:leader="dot" w:pos="8312"/>
            </w:tabs>
            <w:spacing w:before="60" w:line="221" w:lineRule="auto"/>
            <w:ind w:left="443"/>
            <w:rPr>
              <w:rFonts w:ascii="宋体" w:hAnsi="宋体" w:eastAsia="宋体" w:cs="宋体"/>
              <w:color w:val="auto"/>
              <w:spacing w:val="-3"/>
              <w:sz w:val="21"/>
              <w:szCs w:val="21"/>
              <w:highlight w:val="none"/>
            </w:rPr>
          </w:pPr>
          <w:r>
            <w:rPr>
              <w:rFonts w:ascii="宋体" w:hAnsi="宋体" w:eastAsia="宋体" w:cs="宋体"/>
              <w:color w:val="auto"/>
              <w:spacing w:val="-4"/>
              <w:sz w:val="21"/>
              <w:szCs w:val="21"/>
              <w:highlight w:val="none"/>
            </w:rPr>
            <w:t>10.</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rPr>
            <w:t>需要补充的其他内容</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"bookmark77"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7</w:t>
          </w:r>
          <w:r>
            <w:rPr>
              <w:rFonts w:ascii="宋体" w:hAnsi="宋体" w:eastAsia="宋体" w:cs="宋体"/>
              <w:color w:val="auto"/>
              <w:spacing w:val="-3"/>
              <w:sz w:val="21"/>
              <w:szCs w:val="21"/>
              <w:highlight w:val="none"/>
            </w:rPr>
            <w:fldChar w:fldCharType="end"/>
          </w:r>
        </w:p>
        <w:p>
          <w:pPr>
            <w:tabs>
              <w:tab w:val="right" w:leader="dot" w:pos="8312"/>
            </w:tabs>
            <w:spacing w:before="60" w:line="220" w:lineRule="auto"/>
            <w:ind w:left="45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附表一：招标文件澄清申请函</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"bookmark85"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8</w:t>
          </w:r>
          <w:r>
            <w:rPr>
              <w:rFonts w:ascii="宋体" w:hAnsi="宋体" w:eastAsia="宋体" w:cs="宋体"/>
              <w:color w:val="auto"/>
              <w:spacing w:val="-3"/>
              <w:sz w:val="21"/>
              <w:szCs w:val="21"/>
              <w:highlight w:val="none"/>
            </w:rPr>
            <w:fldChar w:fldCharType="end"/>
          </w:r>
        </w:p>
        <w:p>
          <w:pPr>
            <w:tabs>
              <w:tab w:val="right" w:leader="dot" w:pos="8312"/>
            </w:tabs>
            <w:spacing w:before="61" w:line="220" w:lineRule="auto"/>
            <w:ind w:left="45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附表二：招标文件文件澄清通知</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color w:val="auto"/>
              <w:highlight w:val="none"/>
            </w:rPr>
            <w:fldChar w:fldCharType="begin"/>
          </w:r>
          <w:r>
            <w:rPr>
              <w:color w:val="auto"/>
              <w:highlight w:val="none"/>
            </w:rPr>
            <w:instrText xml:space="preserve"> HYPERLINK \l "bookmark86" </w:instrText>
          </w:r>
          <w:r>
            <w:rPr>
              <w:color w:val="auto"/>
              <w:highlight w:val="none"/>
            </w:rPr>
            <w:fldChar w:fldCharType="separate"/>
          </w:r>
          <w:r>
            <w:rPr>
              <w:rFonts w:ascii="宋体" w:hAnsi="宋体" w:eastAsia="宋体" w:cs="宋体"/>
              <w:color w:val="auto"/>
              <w:spacing w:val="-3"/>
              <w:sz w:val="21"/>
              <w:szCs w:val="21"/>
              <w:highlight w:val="none"/>
            </w:rPr>
            <w:t>2</w:t>
          </w:r>
          <w:r>
            <w:rPr>
              <w:rFonts w:hint="eastAsia" w:ascii="宋体" w:hAnsi="宋体" w:eastAsia="宋体" w:cs="宋体"/>
              <w:color w:val="auto"/>
              <w:spacing w:val="-3"/>
              <w:sz w:val="21"/>
              <w:szCs w:val="21"/>
              <w:highlight w:val="none"/>
              <w:lang w:val="en-US" w:eastAsia="zh-CN"/>
            </w:rPr>
            <w:t>9</w:t>
          </w:r>
          <w:r>
            <w:rPr>
              <w:rFonts w:ascii="宋体" w:hAnsi="宋体" w:eastAsia="宋体" w:cs="宋体"/>
              <w:color w:val="auto"/>
              <w:spacing w:val="-3"/>
              <w:sz w:val="21"/>
              <w:szCs w:val="21"/>
              <w:highlight w:val="none"/>
            </w:rPr>
            <w:fldChar w:fldCharType="end"/>
          </w:r>
        </w:p>
        <w:p>
          <w:pPr>
            <w:tabs>
              <w:tab w:val="right" w:leader="dot" w:pos="8312"/>
            </w:tabs>
            <w:spacing w:before="61" w:line="220" w:lineRule="auto"/>
            <w:ind w:left="459"/>
            <w:rPr>
              <w:rFonts w:hint="default" w:ascii="宋体" w:hAnsi="宋体" w:eastAsia="宋体" w:cs="宋体"/>
              <w:color w:val="auto"/>
              <w:spacing w:val="-3"/>
              <w:sz w:val="21"/>
              <w:szCs w:val="21"/>
              <w:highlight w:val="none"/>
              <w:lang w:val="en-US" w:eastAsia="zh-CN"/>
            </w:rPr>
          </w:pPr>
          <w:r>
            <w:rPr>
              <w:rFonts w:ascii="宋体" w:hAnsi="宋体" w:eastAsia="宋体" w:cs="宋体"/>
              <w:color w:val="auto"/>
              <w:spacing w:val="-2"/>
              <w:sz w:val="21"/>
              <w:szCs w:val="21"/>
              <w:highlight w:val="none"/>
            </w:rPr>
            <w:t>附表三：招标文件文件修改通知</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3"/>
              <w:sz w:val="21"/>
              <w:szCs w:val="21"/>
              <w:highlight w:val="none"/>
            </w:rPr>
            <w:t xml:space="preserve"> </w:t>
          </w:r>
          <w:r>
            <w:rPr>
              <w:rFonts w:hint="eastAsia" w:ascii="宋体" w:hAnsi="宋体" w:eastAsia="宋体" w:cs="宋体"/>
              <w:color w:val="auto"/>
              <w:spacing w:val="-3"/>
              <w:sz w:val="21"/>
              <w:szCs w:val="21"/>
              <w:highlight w:val="none"/>
              <w:lang w:val="en-US" w:eastAsia="zh-CN"/>
            </w:rPr>
            <w:t>30</w:t>
          </w:r>
        </w:p>
        <w:p>
          <w:pPr>
            <w:tabs>
              <w:tab w:val="right" w:leader="dot" w:pos="8312"/>
            </w:tabs>
            <w:spacing w:before="61" w:line="220" w:lineRule="auto"/>
            <w:ind w:left="459"/>
            <w:rPr>
              <w:rFonts w:hint="default" w:ascii="宋体" w:hAnsi="宋体" w:eastAsia="宋体" w:cs="宋体"/>
              <w:color w:val="auto"/>
              <w:spacing w:val="-3"/>
              <w:sz w:val="21"/>
              <w:szCs w:val="21"/>
              <w:highlight w:val="none"/>
              <w:lang w:val="en-US" w:eastAsia="zh-CN"/>
            </w:rPr>
          </w:pPr>
          <w:r>
            <w:rPr>
              <w:rFonts w:ascii="宋体" w:hAnsi="宋体" w:eastAsia="宋体" w:cs="宋体"/>
              <w:color w:val="auto"/>
              <w:spacing w:val="-3"/>
              <w:sz w:val="21"/>
              <w:szCs w:val="21"/>
              <w:highlight w:val="none"/>
            </w:rPr>
            <w:t xml:space="preserve">附表四：投标文件递交签收凭证 </w:t>
          </w:r>
          <w:r>
            <w:rPr>
              <w:rFonts w:ascii="宋体" w:hAnsi="宋体" w:eastAsia="宋体" w:cs="宋体"/>
              <w:color w:val="auto"/>
              <w:spacing w:val="-3"/>
              <w:sz w:val="21"/>
              <w:szCs w:val="21"/>
              <w:highlight w:val="none"/>
            </w:rPr>
            <w:tab/>
          </w:r>
          <w:r>
            <w:rPr>
              <w:rFonts w:ascii="宋体" w:hAnsi="宋体" w:eastAsia="宋体" w:cs="宋体"/>
              <w:color w:val="auto"/>
              <w:spacing w:val="-3"/>
              <w:sz w:val="21"/>
              <w:szCs w:val="21"/>
              <w:highlight w:val="none"/>
            </w:rPr>
            <w:t xml:space="preserve"> </w:t>
          </w:r>
          <w:r>
            <w:rPr>
              <w:rFonts w:hint="eastAsia" w:ascii="宋体" w:hAnsi="宋体" w:eastAsia="宋体" w:cs="宋体"/>
              <w:color w:val="auto"/>
              <w:spacing w:val="-3"/>
              <w:sz w:val="21"/>
              <w:szCs w:val="21"/>
              <w:highlight w:val="none"/>
              <w:lang w:val="en-US" w:eastAsia="zh-CN"/>
            </w:rPr>
            <w:t>31</w:t>
          </w:r>
        </w:p>
        <w:p>
          <w:pPr>
            <w:tabs>
              <w:tab w:val="right" w:leader="dot" w:pos="8312"/>
            </w:tabs>
            <w:spacing w:before="61" w:line="220" w:lineRule="auto"/>
            <w:ind w:left="459"/>
            <w:rPr>
              <w:rFonts w:ascii="宋体" w:hAnsi="宋体" w:eastAsia="宋体" w:cs="宋体"/>
              <w:color w:val="auto"/>
              <w:spacing w:val="-3"/>
              <w:sz w:val="21"/>
              <w:szCs w:val="21"/>
              <w:highlight w:val="none"/>
            </w:rPr>
          </w:pPr>
          <w:r>
            <w:rPr>
              <w:rFonts w:ascii="宋体" w:hAnsi="宋体" w:eastAsia="宋体" w:cs="宋体"/>
              <w:color w:val="auto"/>
              <w:spacing w:val="-3"/>
              <w:sz w:val="21"/>
              <w:szCs w:val="21"/>
              <w:highlight w:val="none"/>
            </w:rPr>
            <w:t xml:space="preserve">附表五：开标记录表 </w:t>
          </w:r>
          <w:r>
            <w:rPr>
              <w:rFonts w:ascii="宋体" w:hAnsi="宋体" w:eastAsia="宋体" w:cs="宋体"/>
              <w:color w:val="auto"/>
              <w:spacing w:val="-3"/>
              <w:sz w:val="21"/>
              <w:szCs w:val="21"/>
              <w:highlight w:val="none"/>
            </w:rPr>
            <w:tab/>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fldChar w:fldCharType="begin"/>
          </w:r>
          <w:r>
            <w:rPr>
              <w:rFonts w:ascii="宋体" w:hAnsi="宋体" w:eastAsia="宋体" w:cs="宋体"/>
              <w:color w:val="auto"/>
              <w:spacing w:val="-3"/>
              <w:sz w:val="21"/>
              <w:szCs w:val="21"/>
              <w:highlight w:val="none"/>
            </w:rPr>
            <w:instrText xml:space="preserve"> HYPERLINK \l "bookmark89" </w:instrText>
          </w:r>
          <w:r>
            <w:rPr>
              <w:rFonts w:ascii="宋体" w:hAnsi="宋体" w:eastAsia="宋体" w:cs="宋体"/>
              <w:color w:val="auto"/>
              <w:spacing w:val="-3"/>
              <w:sz w:val="21"/>
              <w:szCs w:val="21"/>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2</w:t>
          </w:r>
          <w:r>
            <w:rPr>
              <w:rFonts w:ascii="宋体" w:hAnsi="宋体" w:eastAsia="宋体" w:cs="宋体"/>
              <w:color w:val="auto"/>
              <w:spacing w:val="-3"/>
              <w:sz w:val="21"/>
              <w:szCs w:val="21"/>
              <w:highlight w:val="none"/>
            </w:rPr>
            <w:fldChar w:fldCharType="end"/>
          </w:r>
        </w:p>
        <w:p>
          <w:pPr>
            <w:tabs>
              <w:tab w:val="right" w:leader="dot" w:pos="8312"/>
            </w:tabs>
            <w:spacing w:before="62" w:line="220" w:lineRule="auto"/>
            <w:ind w:left="45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附表六：投标文件问题澄清通知</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"bookmark90"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3</w:t>
          </w:r>
          <w:r>
            <w:rPr>
              <w:rFonts w:ascii="宋体" w:hAnsi="宋体" w:eastAsia="宋体" w:cs="宋体"/>
              <w:color w:val="auto"/>
              <w:spacing w:val="-3"/>
              <w:sz w:val="21"/>
              <w:szCs w:val="21"/>
              <w:highlight w:val="none"/>
            </w:rPr>
            <w:fldChar w:fldCharType="end"/>
          </w:r>
        </w:p>
        <w:p>
          <w:pPr>
            <w:tabs>
              <w:tab w:val="right" w:leader="dot" w:pos="8312"/>
            </w:tabs>
            <w:spacing w:before="62" w:line="220" w:lineRule="auto"/>
            <w:ind w:left="45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附表七：投标文件问题的澄清</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"bookmark91"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4</w:t>
          </w:r>
          <w:r>
            <w:rPr>
              <w:rFonts w:ascii="宋体" w:hAnsi="宋体" w:eastAsia="宋体" w:cs="宋体"/>
              <w:color w:val="auto"/>
              <w:spacing w:val="-3"/>
              <w:sz w:val="21"/>
              <w:szCs w:val="21"/>
              <w:highlight w:val="none"/>
            </w:rPr>
            <w:fldChar w:fldCharType="end"/>
          </w:r>
        </w:p>
        <w:p>
          <w:pPr>
            <w:tabs>
              <w:tab w:val="right" w:leader="dot" w:pos="8312"/>
            </w:tabs>
            <w:spacing w:before="61" w:line="220" w:lineRule="auto"/>
            <w:ind w:left="4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附表八：中标通知书</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"bookmark92"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5</w:t>
          </w:r>
          <w:r>
            <w:rPr>
              <w:rFonts w:ascii="宋体" w:hAnsi="宋体" w:eastAsia="宋体" w:cs="宋体"/>
              <w:color w:val="auto"/>
              <w:spacing w:val="-3"/>
              <w:sz w:val="21"/>
              <w:szCs w:val="21"/>
              <w:highlight w:val="none"/>
            </w:rPr>
            <w:fldChar w:fldCharType="end"/>
          </w:r>
        </w:p>
        <w:p>
          <w:pPr>
            <w:tabs>
              <w:tab w:val="right" w:leader="dot" w:pos="8312"/>
            </w:tabs>
            <w:spacing w:before="62" w:line="220" w:lineRule="auto"/>
            <w:ind w:left="45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附表九：中标结果通知书</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"bookmark93"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6</w:t>
          </w:r>
          <w:r>
            <w:rPr>
              <w:rFonts w:ascii="宋体" w:hAnsi="宋体" w:eastAsia="宋体" w:cs="宋体"/>
              <w:color w:val="auto"/>
              <w:spacing w:val="-3"/>
              <w:sz w:val="21"/>
              <w:szCs w:val="21"/>
              <w:highlight w:val="none"/>
            </w:rPr>
            <w:fldChar w:fldCharType="end"/>
          </w:r>
        </w:p>
        <w:p>
          <w:pPr>
            <w:tabs>
              <w:tab w:val="right" w:leader="dot" w:pos="8312"/>
            </w:tabs>
            <w:spacing w:before="62" w:line="220" w:lineRule="auto"/>
            <w:ind w:left="4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附表十：异议函</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"bookmark94"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7</w:t>
          </w:r>
          <w:r>
            <w:rPr>
              <w:rFonts w:ascii="宋体" w:hAnsi="宋体" w:eastAsia="宋体" w:cs="宋体"/>
              <w:color w:val="auto"/>
              <w:spacing w:val="-3"/>
              <w:sz w:val="21"/>
              <w:szCs w:val="21"/>
              <w:highlight w:val="none"/>
            </w:rPr>
            <w:fldChar w:fldCharType="end"/>
          </w:r>
        </w:p>
        <w:p>
          <w:pPr>
            <w:tabs>
              <w:tab w:val="right" w:leader="dot" w:pos="8312"/>
            </w:tabs>
            <w:spacing w:before="62" w:line="220" w:lineRule="auto"/>
            <w:ind w:left="4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附表十一：异议答复函</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"bookmark95"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8</w:t>
          </w:r>
          <w:r>
            <w:rPr>
              <w:rFonts w:ascii="宋体" w:hAnsi="宋体" w:eastAsia="宋体" w:cs="宋体"/>
              <w:color w:val="auto"/>
              <w:spacing w:val="-3"/>
              <w:sz w:val="21"/>
              <w:szCs w:val="21"/>
              <w:highlight w:val="none"/>
            </w:rPr>
            <w:fldChar w:fldCharType="end"/>
          </w:r>
        </w:p>
        <w:p>
          <w:pPr>
            <w:tabs>
              <w:tab w:val="right" w:leader="dot" w:pos="8312"/>
            </w:tabs>
            <w:spacing w:before="62" w:line="220" w:lineRule="auto"/>
            <w:ind w:left="45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附表十二：</w:t>
          </w:r>
          <w:r>
            <w:rPr>
              <w:rFonts w:ascii="宋体" w:hAnsi="宋体" w:eastAsia="宋体" w:cs="宋体"/>
              <w:color w:val="auto"/>
              <w:spacing w:val="-19"/>
              <w:sz w:val="21"/>
              <w:szCs w:val="21"/>
              <w:highlight w:val="none"/>
            </w:rPr>
            <w:t xml:space="preserve"> </w:t>
          </w:r>
          <w:r>
            <w:rPr>
              <w:rFonts w:ascii="宋体" w:hAnsi="宋体" w:eastAsia="宋体" w:cs="宋体"/>
              <w:color w:val="auto"/>
              <w:spacing w:val="-11"/>
              <w:sz w:val="21"/>
              <w:szCs w:val="21"/>
              <w:highlight w:val="none"/>
            </w:rPr>
            <w:t>授权委托书</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rFonts w:ascii="宋体" w:hAnsi="宋体" w:eastAsia="宋体" w:cs="宋体"/>
              <w:color w:val="auto"/>
              <w:spacing w:val="-3"/>
              <w:sz w:val="21"/>
              <w:szCs w:val="21"/>
              <w:highlight w:val="none"/>
            </w:rPr>
            <w:t>3</w:t>
          </w:r>
          <w:r>
            <w:rPr>
              <w:rFonts w:hint="eastAsia" w:ascii="宋体" w:hAnsi="宋体" w:eastAsia="宋体" w:cs="宋体"/>
              <w:color w:val="auto"/>
              <w:spacing w:val="-3"/>
              <w:sz w:val="21"/>
              <w:szCs w:val="21"/>
              <w:highlight w:val="none"/>
              <w:lang w:val="en-US" w:eastAsia="zh-CN"/>
            </w:rPr>
            <w:t>9</w:t>
          </w:r>
          <w:r>
            <w:rPr>
              <w:rFonts w:ascii="宋体" w:hAnsi="宋体" w:eastAsia="宋体" w:cs="宋体"/>
              <w:color w:val="auto"/>
              <w:spacing w:val="-3"/>
              <w:sz w:val="21"/>
              <w:szCs w:val="21"/>
              <w:highlight w:val="none"/>
            </w:rPr>
            <w:fldChar w:fldCharType="end"/>
          </w:r>
        </w:p>
        <w:p>
          <w:pPr>
            <w:tabs>
              <w:tab w:val="right" w:leader="dot" w:pos="8312"/>
            </w:tabs>
            <w:spacing w:before="62" w:line="221" w:lineRule="auto"/>
            <w:ind w:left="441"/>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第三章</w:t>
          </w:r>
          <w:r>
            <w:rPr>
              <w:rFonts w:ascii="宋体" w:hAnsi="宋体" w:eastAsia="宋体" w:cs="宋体"/>
              <w:color w:val="auto"/>
              <w:spacing w:val="-2"/>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评标办法</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rFonts w:hint="eastAsia" w:ascii="宋体" w:hAnsi="宋体" w:eastAsia="宋体" w:cs="宋体"/>
              <w:color w:val="auto"/>
              <w:sz w:val="21"/>
              <w:szCs w:val="21"/>
              <w:highlight w:val="none"/>
              <w:lang w:val="en-US" w:eastAsia="zh-CN"/>
            </w:rPr>
            <w:t>40</w:t>
          </w:r>
        </w:p>
        <w:p>
          <w:pPr>
            <w:tabs>
              <w:tab w:val="right" w:leader="dot" w:pos="8312"/>
            </w:tabs>
            <w:spacing w:before="62" w:line="221" w:lineRule="auto"/>
            <w:ind w:left="441"/>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 xml:space="preserve">评标办法前附表（综合评估法） </w:t>
          </w:r>
          <w:r>
            <w:rPr>
              <w:rFonts w:ascii="宋体" w:hAnsi="宋体" w:eastAsia="宋体" w:cs="宋体"/>
              <w:color w:val="auto"/>
              <w:sz w:val="21"/>
              <w:szCs w:val="21"/>
              <w:highlight w:val="none"/>
            </w:rPr>
            <w:tab/>
          </w:r>
          <w:r>
            <w:rPr>
              <w:rFonts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41</w:t>
          </w:r>
        </w:p>
        <w:p>
          <w:pPr>
            <w:tabs>
              <w:tab w:val="right" w:leader="dot" w:pos="8312"/>
            </w:tabs>
            <w:spacing w:before="62"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评标办法正文部分</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"bookmark99" </w:instrText>
          </w:r>
          <w:r>
            <w:rPr>
              <w:color w:val="auto"/>
              <w:highlight w:val="none"/>
            </w:rPr>
            <w:fldChar w:fldCharType="separate"/>
          </w:r>
          <w:r>
            <w:rPr>
              <w:rFonts w:ascii="宋体" w:hAnsi="宋体" w:eastAsia="宋体" w:cs="宋体"/>
              <w:color w:val="auto"/>
              <w:spacing w:val="-2"/>
              <w:sz w:val="21"/>
              <w:szCs w:val="21"/>
              <w:highlight w:val="none"/>
            </w:rPr>
            <w:t>4</w:t>
          </w:r>
          <w:r>
            <w:rPr>
              <w:rFonts w:hint="eastAsia" w:ascii="宋体" w:hAnsi="宋体" w:eastAsia="宋体" w:cs="宋体"/>
              <w:color w:val="auto"/>
              <w:spacing w:val="-2"/>
              <w:sz w:val="21"/>
              <w:szCs w:val="21"/>
              <w:highlight w:val="none"/>
              <w:lang w:val="en-US" w:eastAsia="zh-CN"/>
            </w:rPr>
            <w:t>7</w:t>
          </w:r>
          <w:r>
            <w:rPr>
              <w:rFonts w:ascii="宋体" w:hAnsi="宋体" w:eastAsia="宋体" w:cs="宋体"/>
              <w:color w:val="auto"/>
              <w:spacing w:val="-2"/>
              <w:sz w:val="21"/>
              <w:szCs w:val="21"/>
              <w:highlight w:val="none"/>
            </w:rPr>
            <w:fldChar w:fldCharType="end"/>
          </w:r>
        </w:p>
        <w:p>
          <w:pPr>
            <w:tabs>
              <w:tab w:val="right" w:leader="dot" w:pos="8312"/>
            </w:tabs>
            <w:spacing w:before="61" w:line="221" w:lineRule="auto"/>
            <w:ind w:left="45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评标方法</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"bookmark100" </w:instrText>
          </w:r>
          <w:r>
            <w:rPr>
              <w:color w:val="auto"/>
              <w:highlight w:val="none"/>
            </w:rPr>
            <w:fldChar w:fldCharType="separate"/>
          </w:r>
          <w:r>
            <w:rPr>
              <w:rFonts w:ascii="宋体" w:hAnsi="宋体" w:eastAsia="宋体" w:cs="宋体"/>
              <w:color w:val="auto"/>
              <w:spacing w:val="-2"/>
              <w:sz w:val="21"/>
              <w:szCs w:val="21"/>
              <w:highlight w:val="none"/>
            </w:rPr>
            <w:t>4</w:t>
          </w:r>
          <w:r>
            <w:rPr>
              <w:rFonts w:hint="eastAsia" w:ascii="宋体" w:hAnsi="宋体" w:eastAsia="宋体" w:cs="宋体"/>
              <w:color w:val="auto"/>
              <w:spacing w:val="-2"/>
              <w:sz w:val="21"/>
              <w:szCs w:val="21"/>
              <w:highlight w:val="none"/>
              <w:lang w:val="en-US" w:eastAsia="zh-CN"/>
            </w:rPr>
            <w:t>7</w:t>
          </w:r>
          <w:r>
            <w:rPr>
              <w:rFonts w:ascii="宋体" w:hAnsi="宋体" w:eastAsia="宋体" w:cs="宋体"/>
              <w:color w:val="auto"/>
              <w:spacing w:val="-2"/>
              <w:sz w:val="21"/>
              <w:szCs w:val="21"/>
              <w:highlight w:val="none"/>
            </w:rPr>
            <w:fldChar w:fldCharType="end"/>
          </w:r>
        </w:p>
        <w:p>
          <w:pPr>
            <w:tabs>
              <w:tab w:val="right" w:leader="dot" w:pos="8312"/>
            </w:tabs>
            <w:spacing w:before="61" w:line="221" w:lineRule="auto"/>
            <w:ind w:left="865"/>
            <w:rPr>
              <w:rFonts w:ascii="宋体" w:hAnsi="宋体" w:eastAsia="宋体" w:cs="宋体"/>
              <w:color w:val="auto"/>
              <w:sz w:val="21"/>
              <w:szCs w:val="21"/>
              <w:highlight w:val="none"/>
            </w:rPr>
          </w:pPr>
        </w:p>
      </w:sdtContent>
    </w:sdt>
    <w:p>
      <w:pPr>
        <w:spacing w:line="221" w:lineRule="auto"/>
        <w:rPr>
          <w:rFonts w:ascii="宋体" w:hAnsi="宋体" w:eastAsia="宋体" w:cs="宋体"/>
          <w:color w:val="auto"/>
          <w:sz w:val="21"/>
          <w:szCs w:val="21"/>
          <w:highlight w:val="none"/>
        </w:rPr>
        <w:sectPr>
          <w:footerReference r:id="rId7" w:type="default"/>
          <w:pgSz w:w="11905" w:h="16843"/>
          <w:pgMar w:top="1769" w:right="1548" w:bottom="1003" w:left="1542" w:header="0" w:footer="828" w:gutter="0"/>
          <w:pgNumType w:fmt="numberInDash"/>
          <w:cols w:space="0" w:num="1"/>
          <w:rtlGutter w:val="0"/>
          <w:docGrid w:linePitch="0" w:charSpace="0"/>
        </w:sectPr>
      </w:pPr>
    </w:p>
    <w:sdt>
      <w:sdtPr>
        <w:rPr>
          <w:rFonts w:ascii="宋体" w:hAnsi="宋体" w:eastAsia="宋体" w:cs="宋体"/>
          <w:color w:val="auto"/>
          <w:sz w:val="21"/>
          <w:szCs w:val="21"/>
          <w:highlight w:val="none"/>
        </w:rPr>
        <w:id w:val="13"/>
        <w:showingPlcHdr/>
        <w:docPartObj>
          <w:docPartGallery w:val="Table of Contents"/>
          <w:docPartUnique/>
        </w:docPartObj>
      </w:sdtPr>
      <w:sdtEndPr>
        <w:rPr>
          <w:rFonts w:ascii="宋体" w:hAnsi="宋体" w:eastAsia="宋体" w:cs="宋体"/>
          <w:color w:val="auto"/>
          <w:sz w:val="21"/>
          <w:szCs w:val="21"/>
          <w:highlight w:val="none"/>
        </w:rPr>
      </w:sdtEndPr>
      <w:sdtContent>
        <w:p>
          <w:pPr>
            <w:tabs>
              <w:tab w:val="right" w:leader="dot" w:pos="8312"/>
            </w:tabs>
            <w:spacing w:before="60" w:line="221" w:lineRule="auto"/>
            <w:ind w:left="865"/>
            <w:rPr>
              <w:rFonts w:ascii="宋体" w:hAnsi="宋体" w:eastAsia="宋体" w:cs="宋体"/>
              <w:color w:val="auto"/>
              <w:sz w:val="21"/>
              <w:szCs w:val="21"/>
              <w:highlight w:val="none"/>
            </w:rPr>
          </w:pPr>
        </w:p>
        <w:p>
          <w:pPr>
            <w:tabs>
              <w:tab w:val="right" w:leader="dot" w:pos="8312"/>
            </w:tabs>
            <w:spacing w:before="60" w:line="221" w:lineRule="auto"/>
            <w:ind w:left="866" w:leftChars="0"/>
          </w:pPr>
        </w:p>
      </w:sdtContent>
    </w:sdt>
    <w:sdt>
      <w:sdtPr>
        <w:rPr>
          <w:rFonts w:ascii="宋体" w:hAnsi="宋体" w:eastAsia="宋体" w:cs="宋体"/>
          <w:color w:val="auto"/>
          <w:sz w:val="21"/>
          <w:szCs w:val="21"/>
          <w:highlight w:val="none"/>
        </w:rPr>
        <w:id w:val="14"/>
        <w:docPartObj>
          <w:docPartGallery w:val="Table of Contents"/>
          <w:docPartUnique/>
        </w:docPartObj>
      </w:sdtPr>
      <w:sdtEndPr>
        <w:rPr>
          <w:rFonts w:ascii="宋体" w:hAnsi="宋体" w:eastAsia="宋体" w:cs="宋体"/>
          <w:color w:val="auto"/>
          <w:sz w:val="21"/>
          <w:szCs w:val="21"/>
          <w:highlight w:val="none"/>
        </w:rPr>
      </w:sdtEndPr>
      <w:sdtContent>
        <w:p>
          <w:pPr>
            <w:tabs>
              <w:tab w:val="right" w:leader="dot" w:pos="8312"/>
            </w:tabs>
            <w:spacing w:before="61" w:line="221" w:lineRule="auto"/>
            <w:ind w:left="458"/>
            <w:rPr>
              <w:rFonts w:ascii="宋体" w:hAnsi="宋体" w:eastAsia="宋体" w:cs="宋体"/>
              <w:color w:val="auto"/>
              <w:sz w:val="21"/>
              <w:szCs w:val="21"/>
              <w:highlight w:val="none"/>
            </w:rPr>
          </w:pPr>
          <w:bookmarkStart w:id="1" w:name="bookmark19"/>
          <w:bookmarkEnd w:id="1"/>
          <w:bookmarkStart w:id="2" w:name="bookmark20"/>
          <w:bookmarkEnd w:id="2"/>
        </w:p>
        <w:p>
          <w:pPr>
            <w:tabs>
              <w:tab w:val="right" w:leader="dot" w:pos="8312"/>
            </w:tabs>
            <w:spacing w:before="62"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 评审标准</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rPr>
            <w:fldChar w:fldCharType="begin"/>
          </w:r>
          <w:r>
            <w:rPr>
              <w:rFonts w:ascii="宋体" w:hAnsi="宋体" w:eastAsia="宋体" w:cs="宋体"/>
              <w:color w:val="auto"/>
              <w:sz w:val="21"/>
              <w:szCs w:val="21"/>
              <w:highlight w:val="none"/>
            </w:rPr>
            <w:instrText xml:space="preserve"> HYPERLINK \l "bookmark101" </w:instrText>
          </w:r>
          <w:r>
            <w:rPr>
              <w:rFonts w:ascii="宋体" w:hAnsi="宋体" w:eastAsia="宋体" w:cs="宋体"/>
              <w:color w:val="auto"/>
              <w:sz w:val="21"/>
              <w:szCs w:val="21"/>
              <w:highlight w:val="none"/>
            </w:rPr>
            <w:fldChar w:fldCharType="separate"/>
          </w:r>
          <w:r>
            <w:rPr>
              <w:rFonts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7</w:t>
          </w:r>
          <w:r>
            <w:rPr>
              <w:rFonts w:ascii="宋体" w:hAnsi="宋体" w:eastAsia="宋体" w:cs="宋体"/>
              <w:color w:val="auto"/>
              <w:sz w:val="21"/>
              <w:szCs w:val="21"/>
              <w:highlight w:val="none"/>
            </w:rPr>
            <w:fldChar w:fldCharType="end"/>
          </w:r>
        </w:p>
        <w:p>
          <w:pPr>
            <w:tabs>
              <w:tab w:val="right" w:leader="dot" w:pos="8312"/>
            </w:tabs>
            <w:spacing w:before="62" w:line="221" w:lineRule="auto"/>
            <w:ind w:left="446"/>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3. 评标程序 </w:t>
          </w:r>
          <w:r>
            <w:rPr>
              <w:rFonts w:ascii="宋体" w:hAnsi="宋体" w:eastAsia="宋体" w:cs="宋体"/>
              <w:color w:val="auto"/>
              <w:sz w:val="21"/>
              <w:szCs w:val="21"/>
              <w:highlight w:val="none"/>
            </w:rPr>
            <w:tab/>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rPr>
            <w:fldChar w:fldCharType="begin"/>
          </w:r>
          <w:r>
            <w:rPr>
              <w:rFonts w:ascii="宋体" w:hAnsi="宋体" w:eastAsia="宋体" w:cs="宋体"/>
              <w:color w:val="auto"/>
              <w:sz w:val="21"/>
              <w:szCs w:val="21"/>
              <w:highlight w:val="none"/>
            </w:rPr>
            <w:instrText xml:space="preserve"> HYPERLINK \l "bookmark104" </w:instrText>
          </w:r>
          <w:r>
            <w:rPr>
              <w:rFonts w:ascii="宋体" w:hAnsi="宋体" w:eastAsia="宋体" w:cs="宋体"/>
              <w:color w:val="auto"/>
              <w:sz w:val="21"/>
              <w:szCs w:val="21"/>
              <w:highlight w:val="none"/>
            </w:rPr>
            <w:fldChar w:fldCharType="separate"/>
          </w:r>
          <w:r>
            <w:rPr>
              <w:rFonts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7</w:t>
          </w:r>
          <w:r>
            <w:rPr>
              <w:rFonts w:ascii="宋体" w:hAnsi="宋体" w:eastAsia="宋体" w:cs="宋体"/>
              <w:color w:val="auto"/>
              <w:sz w:val="21"/>
              <w:szCs w:val="21"/>
              <w:highlight w:val="none"/>
            </w:rPr>
            <w:fldChar w:fldCharType="end"/>
          </w:r>
        </w:p>
        <w:p>
          <w:pPr>
            <w:tabs>
              <w:tab w:val="right" w:leader="dot" w:pos="8312"/>
            </w:tabs>
            <w:spacing w:before="62" w:line="221" w:lineRule="auto"/>
            <w:ind w:left="446"/>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 xml:space="preserve">附件 A：否决投标的条件 </w:t>
          </w:r>
          <w:r>
            <w:rPr>
              <w:rFonts w:ascii="宋体" w:hAnsi="宋体" w:eastAsia="宋体" w:cs="宋体"/>
              <w:color w:val="auto"/>
              <w:sz w:val="21"/>
              <w:szCs w:val="21"/>
              <w:highlight w:val="none"/>
            </w:rPr>
            <w:tab/>
          </w:r>
          <w:r>
            <w:rPr>
              <w:rFonts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50</w:t>
          </w:r>
        </w:p>
        <w:p>
          <w:pPr>
            <w:tabs>
              <w:tab w:val="right" w:leader="dot" w:pos="8312"/>
            </w:tabs>
            <w:spacing w:before="62" w:line="221" w:lineRule="auto"/>
            <w:ind w:left="446"/>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 xml:space="preserve">1.总  则 </w:t>
          </w:r>
          <w:r>
            <w:rPr>
              <w:rFonts w:ascii="宋体" w:hAnsi="宋体" w:eastAsia="宋体" w:cs="宋体"/>
              <w:color w:val="auto"/>
              <w:sz w:val="21"/>
              <w:szCs w:val="21"/>
              <w:highlight w:val="none"/>
            </w:rPr>
            <w:tab/>
          </w:r>
          <w:r>
            <w:rPr>
              <w:rFonts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50</w:t>
          </w:r>
        </w:p>
        <w:p>
          <w:pPr>
            <w:tabs>
              <w:tab w:val="right" w:leader="dot" w:pos="8312"/>
            </w:tabs>
            <w:spacing w:before="62" w:line="221" w:lineRule="auto"/>
            <w:ind w:left="446"/>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 xml:space="preserve">2.否决投标的条件 </w:t>
          </w:r>
          <w:r>
            <w:rPr>
              <w:rFonts w:ascii="宋体" w:hAnsi="宋体" w:eastAsia="宋体" w:cs="宋体"/>
              <w:color w:val="auto"/>
              <w:sz w:val="21"/>
              <w:szCs w:val="21"/>
              <w:highlight w:val="none"/>
            </w:rPr>
            <w:tab/>
          </w:r>
          <w:r>
            <w:rPr>
              <w:rFonts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50</w:t>
          </w:r>
        </w:p>
        <w:p>
          <w:pPr>
            <w:tabs>
              <w:tab w:val="right" w:leader="dot" w:pos="8312"/>
            </w:tabs>
            <w:spacing w:before="62" w:line="219" w:lineRule="auto"/>
            <w:ind w:left="879"/>
            <w:rPr>
              <w:rFonts w:ascii="宋体" w:hAnsi="宋体" w:eastAsia="宋体" w:cs="宋体"/>
              <w:color w:val="auto"/>
              <w:spacing w:val="-27"/>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7"/>
              <w:sz w:val="21"/>
              <w:szCs w:val="21"/>
              <w:highlight w:val="none"/>
            </w:rPr>
            <w:t xml:space="preserve"> </w:t>
          </w:r>
          <w:r>
            <w:rPr>
              <w:rFonts w:ascii="宋体" w:hAnsi="宋体" w:eastAsia="宋体" w:cs="宋体"/>
              <w:color w:val="auto"/>
              <w:spacing w:val="-2"/>
              <w:sz w:val="21"/>
              <w:szCs w:val="21"/>
              <w:highlight w:val="none"/>
            </w:rPr>
            <w:t>A-1：评标委员会签到表</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7"/>
              <w:sz w:val="21"/>
              <w:szCs w:val="21"/>
              <w:highlight w:val="none"/>
            </w:rPr>
            <w:fldChar w:fldCharType="begin"/>
          </w:r>
          <w:r>
            <w:rPr>
              <w:rFonts w:ascii="宋体" w:hAnsi="宋体" w:eastAsia="宋体" w:cs="宋体"/>
              <w:color w:val="auto"/>
              <w:spacing w:val="-27"/>
              <w:sz w:val="21"/>
              <w:szCs w:val="21"/>
              <w:highlight w:val="none"/>
            </w:rPr>
            <w:instrText xml:space="preserve"> HYPERLINK \l "bookmark125" </w:instrText>
          </w:r>
          <w:r>
            <w:rPr>
              <w:rFonts w:ascii="宋体" w:hAnsi="宋体" w:eastAsia="宋体" w:cs="宋体"/>
              <w:color w:val="auto"/>
              <w:spacing w:val="-27"/>
              <w:sz w:val="21"/>
              <w:szCs w:val="21"/>
              <w:highlight w:val="none"/>
            </w:rPr>
            <w:fldChar w:fldCharType="separate"/>
          </w:r>
          <w:r>
            <w:rPr>
              <w:rFonts w:ascii="宋体" w:hAnsi="宋体" w:eastAsia="宋体" w:cs="宋体"/>
              <w:color w:val="auto"/>
              <w:spacing w:val="-27"/>
              <w:sz w:val="21"/>
              <w:szCs w:val="21"/>
              <w:highlight w:val="none"/>
            </w:rPr>
            <w:t>5</w:t>
          </w:r>
          <w:r>
            <w:rPr>
              <w:rFonts w:hint="eastAsia" w:ascii="宋体" w:hAnsi="宋体" w:eastAsia="宋体" w:cs="宋体"/>
              <w:color w:val="auto"/>
              <w:spacing w:val="-27"/>
              <w:sz w:val="21"/>
              <w:szCs w:val="21"/>
              <w:highlight w:val="none"/>
              <w:lang w:val="en-US" w:eastAsia="zh-CN"/>
            </w:rPr>
            <w:t>3</w:t>
          </w:r>
          <w:r>
            <w:rPr>
              <w:rFonts w:ascii="宋体" w:hAnsi="宋体" w:eastAsia="宋体" w:cs="宋体"/>
              <w:color w:val="auto"/>
              <w:spacing w:val="-27"/>
              <w:sz w:val="21"/>
              <w:szCs w:val="21"/>
              <w:highlight w:val="none"/>
            </w:rPr>
            <w:fldChar w:fldCharType="end"/>
          </w:r>
        </w:p>
        <w:p>
          <w:pPr>
            <w:tabs>
              <w:tab w:val="right" w:leader="dot" w:pos="8312"/>
            </w:tabs>
            <w:spacing w:before="62" w:line="219" w:lineRule="auto"/>
            <w:ind w:left="879"/>
            <w:rPr>
              <w:rFonts w:ascii="宋体" w:hAnsi="宋体" w:eastAsia="宋体" w:cs="宋体"/>
              <w:color w:val="auto"/>
              <w:spacing w:val="-27"/>
              <w:sz w:val="21"/>
              <w:szCs w:val="21"/>
              <w:highlight w:val="none"/>
            </w:rPr>
          </w:pPr>
          <w:r>
            <w:rPr>
              <w:rFonts w:ascii="宋体" w:hAnsi="宋体" w:eastAsia="宋体" w:cs="宋体"/>
              <w:color w:val="auto"/>
              <w:spacing w:val="-27"/>
              <w:sz w:val="21"/>
              <w:szCs w:val="21"/>
              <w:highlight w:val="none"/>
            </w:rPr>
            <w:t xml:space="preserve">附表 A-2：评标专家告知承诺函 </w:t>
          </w:r>
          <w:r>
            <w:rPr>
              <w:rFonts w:ascii="宋体" w:hAnsi="宋体" w:eastAsia="宋体" w:cs="宋体"/>
              <w:color w:val="auto"/>
              <w:spacing w:val="-27"/>
              <w:sz w:val="21"/>
              <w:szCs w:val="21"/>
              <w:highlight w:val="none"/>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7"/>
              <w:sz w:val="21"/>
              <w:szCs w:val="21"/>
              <w:highlight w:val="none"/>
            </w:rPr>
            <w:fldChar w:fldCharType="begin"/>
          </w:r>
          <w:r>
            <w:rPr>
              <w:rFonts w:ascii="宋体" w:hAnsi="宋体" w:eastAsia="宋体" w:cs="宋体"/>
              <w:color w:val="auto"/>
              <w:spacing w:val="-27"/>
              <w:sz w:val="21"/>
              <w:szCs w:val="21"/>
              <w:highlight w:val="none"/>
            </w:rPr>
            <w:instrText xml:space="preserve"> HYPERLINK \l "bookmark126" </w:instrText>
          </w:r>
          <w:r>
            <w:rPr>
              <w:rFonts w:ascii="宋体" w:hAnsi="宋体" w:eastAsia="宋体" w:cs="宋体"/>
              <w:color w:val="auto"/>
              <w:spacing w:val="-27"/>
              <w:sz w:val="21"/>
              <w:szCs w:val="21"/>
              <w:highlight w:val="none"/>
            </w:rPr>
            <w:fldChar w:fldCharType="separate"/>
          </w:r>
          <w:r>
            <w:rPr>
              <w:rFonts w:ascii="宋体" w:hAnsi="宋体" w:eastAsia="宋体" w:cs="宋体"/>
              <w:color w:val="auto"/>
              <w:spacing w:val="-27"/>
              <w:sz w:val="21"/>
              <w:szCs w:val="21"/>
              <w:highlight w:val="none"/>
            </w:rPr>
            <w:t>5</w:t>
          </w:r>
          <w:r>
            <w:rPr>
              <w:rFonts w:hint="eastAsia" w:ascii="宋体" w:hAnsi="宋体" w:eastAsia="宋体" w:cs="宋体"/>
              <w:color w:val="auto"/>
              <w:spacing w:val="-27"/>
              <w:sz w:val="21"/>
              <w:szCs w:val="21"/>
              <w:highlight w:val="none"/>
              <w:lang w:val="en-US" w:eastAsia="zh-CN"/>
            </w:rPr>
            <w:t>4</w:t>
          </w:r>
          <w:r>
            <w:rPr>
              <w:rFonts w:ascii="宋体" w:hAnsi="宋体" w:eastAsia="宋体" w:cs="宋体"/>
              <w:color w:val="auto"/>
              <w:spacing w:val="-27"/>
              <w:sz w:val="21"/>
              <w:szCs w:val="21"/>
              <w:highlight w:val="none"/>
            </w:rPr>
            <w:fldChar w:fldCharType="end"/>
          </w:r>
        </w:p>
        <w:p>
          <w:pPr>
            <w:tabs>
              <w:tab w:val="right" w:leader="dot" w:pos="8312"/>
            </w:tabs>
            <w:spacing w:before="62" w:line="219" w:lineRule="auto"/>
            <w:ind w:left="879"/>
            <w:rPr>
              <w:rFonts w:hint="default" w:ascii="宋体" w:hAnsi="宋体" w:eastAsia="宋体" w:cs="宋体"/>
              <w:color w:val="auto"/>
              <w:spacing w:val="-27"/>
              <w:sz w:val="21"/>
              <w:szCs w:val="21"/>
              <w:highlight w:val="none"/>
              <w:lang w:val="en-US" w:eastAsia="zh-CN"/>
            </w:rPr>
          </w:pPr>
          <w:r>
            <w:rPr>
              <w:rFonts w:ascii="宋体" w:hAnsi="宋体" w:eastAsia="宋体" w:cs="宋体"/>
              <w:color w:val="auto"/>
              <w:spacing w:val="-27"/>
              <w:sz w:val="21"/>
              <w:szCs w:val="21"/>
              <w:highlight w:val="none"/>
            </w:rPr>
            <w:t xml:space="preserve">附表 A-3：技术暗标编号确认表 </w:t>
          </w:r>
          <w:r>
            <w:rPr>
              <w:rFonts w:ascii="宋体" w:hAnsi="宋体" w:eastAsia="宋体" w:cs="宋体"/>
              <w:color w:val="auto"/>
              <w:spacing w:val="-27"/>
              <w:sz w:val="21"/>
              <w:szCs w:val="21"/>
              <w:highlight w:val="none"/>
            </w:rPr>
            <w:tab/>
          </w:r>
          <w:r>
            <w:rPr>
              <w:rFonts w:ascii="宋体" w:hAnsi="宋体" w:eastAsia="宋体" w:cs="宋体"/>
              <w:color w:val="auto"/>
              <w:spacing w:val="-27"/>
              <w:sz w:val="21"/>
              <w:szCs w:val="21"/>
              <w:highlight w:val="none"/>
            </w:rPr>
            <w:t xml:space="preserve"> </w:t>
          </w:r>
          <w:r>
            <w:rPr>
              <w:rFonts w:hint="eastAsia" w:ascii="宋体" w:hAnsi="宋体" w:eastAsia="宋体" w:cs="宋体"/>
              <w:color w:val="auto"/>
              <w:spacing w:val="-27"/>
              <w:sz w:val="21"/>
              <w:szCs w:val="21"/>
              <w:highlight w:val="none"/>
              <w:lang w:val="en-US" w:eastAsia="zh-CN"/>
            </w:rPr>
            <w:t>56</w:t>
          </w:r>
        </w:p>
        <w:p>
          <w:pPr>
            <w:tabs>
              <w:tab w:val="right" w:leader="dot" w:pos="8312"/>
            </w:tabs>
            <w:spacing w:before="62" w:line="219" w:lineRule="auto"/>
            <w:ind w:left="879"/>
            <w:rPr>
              <w:rFonts w:hint="default" w:ascii="宋体" w:hAnsi="宋体" w:eastAsia="宋体" w:cs="宋体"/>
              <w:color w:val="auto"/>
              <w:spacing w:val="-27"/>
              <w:sz w:val="21"/>
              <w:szCs w:val="21"/>
              <w:highlight w:val="none"/>
              <w:lang w:val="en-US" w:eastAsia="zh-CN"/>
            </w:rPr>
          </w:pPr>
          <w:r>
            <w:rPr>
              <w:rFonts w:ascii="宋体" w:hAnsi="宋体" w:eastAsia="宋体" w:cs="宋体"/>
              <w:color w:val="auto"/>
              <w:spacing w:val="-27"/>
              <w:sz w:val="21"/>
              <w:szCs w:val="21"/>
              <w:highlight w:val="none"/>
            </w:rPr>
            <w:t xml:space="preserve">附表 A-4：形式评审记录表 </w:t>
          </w:r>
          <w:r>
            <w:rPr>
              <w:rFonts w:ascii="宋体" w:hAnsi="宋体" w:eastAsia="宋体" w:cs="宋体"/>
              <w:color w:val="auto"/>
              <w:spacing w:val="-27"/>
              <w:sz w:val="21"/>
              <w:szCs w:val="21"/>
              <w:highlight w:val="none"/>
            </w:rPr>
            <w:tab/>
          </w:r>
          <w:r>
            <w:rPr>
              <w:rFonts w:ascii="宋体" w:hAnsi="宋体" w:eastAsia="宋体" w:cs="宋体"/>
              <w:color w:val="auto"/>
              <w:spacing w:val="-27"/>
              <w:sz w:val="21"/>
              <w:szCs w:val="21"/>
              <w:highlight w:val="none"/>
            </w:rPr>
            <w:t xml:space="preserve"> </w:t>
          </w:r>
          <w:r>
            <w:rPr>
              <w:rFonts w:hint="eastAsia" w:ascii="宋体" w:hAnsi="宋体" w:eastAsia="宋体" w:cs="宋体"/>
              <w:color w:val="auto"/>
              <w:spacing w:val="-27"/>
              <w:sz w:val="21"/>
              <w:szCs w:val="21"/>
              <w:highlight w:val="none"/>
              <w:lang w:val="en-US" w:eastAsia="zh-CN"/>
            </w:rPr>
            <w:t>57</w:t>
          </w:r>
        </w:p>
        <w:p>
          <w:pPr>
            <w:tabs>
              <w:tab w:val="right" w:leader="dot" w:pos="8312"/>
            </w:tabs>
            <w:spacing w:before="62" w:line="219" w:lineRule="auto"/>
            <w:ind w:left="879"/>
            <w:rPr>
              <w:rFonts w:hint="default" w:ascii="宋体" w:hAnsi="宋体" w:eastAsia="宋体" w:cs="宋体"/>
              <w:color w:val="auto"/>
              <w:spacing w:val="-27"/>
              <w:sz w:val="21"/>
              <w:szCs w:val="21"/>
              <w:highlight w:val="none"/>
              <w:lang w:val="en-US" w:eastAsia="zh-CN"/>
            </w:rPr>
          </w:pPr>
          <w:r>
            <w:rPr>
              <w:rFonts w:ascii="宋体" w:hAnsi="宋体" w:eastAsia="宋体" w:cs="宋体"/>
              <w:color w:val="auto"/>
              <w:spacing w:val="-27"/>
              <w:sz w:val="21"/>
              <w:szCs w:val="21"/>
              <w:highlight w:val="none"/>
            </w:rPr>
            <w:t xml:space="preserve">附表 A-5：资格评审记录表 </w:t>
          </w:r>
          <w:r>
            <w:rPr>
              <w:rFonts w:ascii="宋体" w:hAnsi="宋体" w:eastAsia="宋体" w:cs="宋体"/>
              <w:color w:val="auto"/>
              <w:spacing w:val="-27"/>
              <w:sz w:val="21"/>
              <w:szCs w:val="21"/>
              <w:highlight w:val="none"/>
            </w:rPr>
            <w:tab/>
          </w:r>
          <w:r>
            <w:rPr>
              <w:rFonts w:ascii="宋体" w:hAnsi="宋体" w:eastAsia="宋体" w:cs="宋体"/>
              <w:color w:val="auto"/>
              <w:spacing w:val="-27"/>
              <w:sz w:val="21"/>
              <w:szCs w:val="21"/>
              <w:highlight w:val="none"/>
            </w:rPr>
            <w:t xml:space="preserve"> </w:t>
          </w:r>
          <w:r>
            <w:rPr>
              <w:rFonts w:hint="eastAsia" w:ascii="宋体" w:hAnsi="宋体" w:eastAsia="宋体" w:cs="宋体"/>
              <w:color w:val="auto"/>
              <w:spacing w:val="-27"/>
              <w:sz w:val="21"/>
              <w:szCs w:val="21"/>
              <w:highlight w:val="none"/>
              <w:lang w:val="en-US" w:eastAsia="zh-CN"/>
            </w:rPr>
            <w:t>58</w:t>
          </w:r>
        </w:p>
        <w:p>
          <w:pPr>
            <w:tabs>
              <w:tab w:val="right" w:leader="dot" w:pos="8312"/>
            </w:tabs>
            <w:spacing w:before="62" w:line="220" w:lineRule="auto"/>
            <w:ind w:left="879"/>
            <w:rPr>
              <w:rFonts w:hint="default" w:ascii="宋体" w:hAnsi="宋体" w:eastAsia="宋体" w:cs="宋体"/>
              <w:color w:val="auto"/>
              <w:spacing w:val="-29"/>
              <w:sz w:val="21"/>
              <w:szCs w:val="21"/>
              <w:highlight w:val="none"/>
              <w:lang w:val="en-US" w:eastAsia="zh-CN"/>
            </w:rPr>
          </w:pPr>
          <w:r>
            <w:rPr>
              <w:rFonts w:ascii="宋体" w:hAnsi="宋体" w:eastAsia="宋体" w:cs="宋体"/>
              <w:color w:val="auto"/>
              <w:spacing w:val="-2"/>
              <w:sz w:val="21"/>
              <w:szCs w:val="21"/>
              <w:highlight w:val="none"/>
            </w:rPr>
            <w:t>附表</w:t>
          </w:r>
          <w:r>
            <w:rPr>
              <w:rFonts w:ascii="宋体" w:hAnsi="宋体" w:eastAsia="宋体" w:cs="宋体"/>
              <w:color w:val="auto"/>
              <w:spacing w:val="-47"/>
              <w:sz w:val="21"/>
              <w:szCs w:val="21"/>
              <w:highlight w:val="none"/>
            </w:rPr>
            <w:t xml:space="preserve"> </w:t>
          </w:r>
          <w:r>
            <w:rPr>
              <w:rFonts w:ascii="宋体" w:hAnsi="宋体" w:eastAsia="宋体" w:cs="宋体"/>
              <w:color w:val="auto"/>
              <w:spacing w:val="-2"/>
              <w:sz w:val="21"/>
              <w:szCs w:val="21"/>
              <w:highlight w:val="none"/>
            </w:rPr>
            <w:t>A-6：响应性评审记录表</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9"/>
              <w:sz w:val="21"/>
              <w:szCs w:val="21"/>
              <w:highlight w:val="none"/>
            </w:rPr>
            <w:t xml:space="preserve"> </w:t>
          </w:r>
          <w:r>
            <w:rPr>
              <w:rFonts w:hint="eastAsia" w:ascii="宋体" w:hAnsi="宋体" w:eastAsia="宋体" w:cs="宋体"/>
              <w:color w:val="auto"/>
              <w:spacing w:val="-29"/>
              <w:sz w:val="21"/>
              <w:szCs w:val="21"/>
              <w:highlight w:val="none"/>
              <w:lang w:val="en-US" w:eastAsia="zh-CN"/>
            </w:rPr>
            <w:t>59</w:t>
          </w:r>
        </w:p>
        <w:p>
          <w:pPr>
            <w:tabs>
              <w:tab w:val="right" w:leader="dot" w:pos="8312"/>
            </w:tabs>
            <w:spacing w:before="62" w:line="220" w:lineRule="auto"/>
            <w:ind w:left="879"/>
            <w:rPr>
              <w:rFonts w:hint="default" w:ascii="宋体" w:hAnsi="宋体" w:eastAsia="宋体" w:cs="宋体"/>
              <w:color w:val="auto"/>
              <w:spacing w:val="-29"/>
              <w:sz w:val="21"/>
              <w:szCs w:val="21"/>
              <w:highlight w:val="none"/>
              <w:lang w:val="en-US" w:eastAsia="zh-CN"/>
            </w:rPr>
          </w:pPr>
          <w:r>
            <w:rPr>
              <w:rFonts w:ascii="宋体" w:hAnsi="宋体" w:eastAsia="宋体" w:cs="宋体"/>
              <w:color w:val="auto"/>
              <w:spacing w:val="-29"/>
              <w:sz w:val="21"/>
              <w:szCs w:val="21"/>
              <w:highlight w:val="none"/>
            </w:rPr>
            <w:t xml:space="preserve">附表 A-7：施工组织设计评审记录表（合格性） </w:t>
          </w:r>
          <w:r>
            <w:rPr>
              <w:rFonts w:ascii="宋体" w:hAnsi="宋体" w:eastAsia="宋体" w:cs="宋体"/>
              <w:color w:val="auto"/>
              <w:spacing w:val="-29"/>
              <w:sz w:val="21"/>
              <w:szCs w:val="21"/>
              <w:highlight w:val="none"/>
            </w:rPr>
            <w:tab/>
          </w:r>
          <w:r>
            <w:rPr>
              <w:rFonts w:ascii="宋体" w:hAnsi="宋体" w:eastAsia="宋体" w:cs="宋体"/>
              <w:color w:val="auto"/>
              <w:spacing w:val="-29"/>
              <w:sz w:val="21"/>
              <w:szCs w:val="21"/>
              <w:highlight w:val="none"/>
            </w:rPr>
            <w:t xml:space="preserve"> </w:t>
          </w:r>
          <w:r>
            <w:rPr>
              <w:rFonts w:hint="eastAsia" w:ascii="宋体" w:hAnsi="宋体" w:eastAsia="宋体" w:cs="宋体"/>
              <w:color w:val="auto"/>
              <w:spacing w:val="-29"/>
              <w:sz w:val="21"/>
              <w:szCs w:val="21"/>
              <w:highlight w:val="none"/>
              <w:lang w:val="en-US" w:eastAsia="zh-CN"/>
            </w:rPr>
            <w:t>60</w:t>
          </w:r>
        </w:p>
        <w:p>
          <w:pPr>
            <w:tabs>
              <w:tab w:val="right" w:leader="dot" w:pos="8312"/>
            </w:tabs>
            <w:spacing w:before="62" w:line="220" w:lineRule="auto"/>
            <w:ind w:left="879"/>
            <w:rPr>
              <w:rFonts w:ascii="宋体" w:hAnsi="宋体" w:eastAsia="宋体" w:cs="宋体"/>
              <w:color w:val="auto"/>
              <w:spacing w:val="-29"/>
              <w:sz w:val="21"/>
              <w:szCs w:val="21"/>
              <w:highlight w:val="none"/>
            </w:rPr>
          </w:pPr>
          <w:r>
            <w:rPr>
              <w:rFonts w:ascii="宋体" w:hAnsi="宋体" w:eastAsia="宋体" w:cs="宋体"/>
              <w:color w:val="auto"/>
              <w:spacing w:val="-29"/>
              <w:sz w:val="21"/>
              <w:szCs w:val="21"/>
              <w:highlight w:val="none"/>
            </w:rPr>
            <w:t xml:space="preserve">附表 A-8：初步评审汇总记录表 </w:t>
          </w:r>
          <w:r>
            <w:rPr>
              <w:rFonts w:ascii="宋体" w:hAnsi="宋体" w:eastAsia="宋体" w:cs="宋体"/>
              <w:color w:val="auto"/>
              <w:spacing w:val="-29"/>
              <w:sz w:val="21"/>
              <w:szCs w:val="21"/>
              <w:highlight w:val="none"/>
            </w:rPr>
            <w:tab/>
          </w:r>
          <w:r>
            <w:rPr>
              <w:rFonts w:ascii="宋体" w:hAnsi="宋体" w:eastAsia="宋体" w:cs="宋体"/>
              <w:color w:val="auto"/>
              <w:spacing w:val="-29"/>
              <w:sz w:val="21"/>
              <w:szCs w:val="21"/>
              <w:highlight w:val="none"/>
            </w:rPr>
            <w:t xml:space="preserve"> </w:t>
          </w:r>
          <w:r>
            <w:rPr>
              <w:rFonts w:ascii="宋体" w:hAnsi="宋体" w:eastAsia="宋体" w:cs="宋体"/>
              <w:color w:val="auto"/>
              <w:spacing w:val="-29"/>
              <w:sz w:val="21"/>
              <w:szCs w:val="21"/>
              <w:highlight w:val="none"/>
            </w:rPr>
            <w:fldChar w:fldCharType="begin"/>
          </w:r>
          <w:r>
            <w:rPr>
              <w:rFonts w:ascii="宋体" w:hAnsi="宋体" w:eastAsia="宋体" w:cs="宋体"/>
              <w:color w:val="auto"/>
              <w:spacing w:val="-29"/>
              <w:sz w:val="21"/>
              <w:szCs w:val="21"/>
              <w:highlight w:val="none"/>
            </w:rPr>
            <w:instrText xml:space="preserve"> HYPERLINK \l "bookmark132" </w:instrText>
          </w:r>
          <w:r>
            <w:rPr>
              <w:rFonts w:ascii="宋体" w:hAnsi="宋体" w:eastAsia="宋体" w:cs="宋体"/>
              <w:color w:val="auto"/>
              <w:spacing w:val="-29"/>
              <w:sz w:val="21"/>
              <w:szCs w:val="21"/>
              <w:highlight w:val="none"/>
            </w:rPr>
            <w:fldChar w:fldCharType="separate"/>
          </w:r>
          <w:r>
            <w:rPr>
              <w:rFonts w:ascii="宋体" w:hAnsi="宋体" w:eastAsia="宋体" w:cs="宋体"/>
              <w:color w:val="auto"/>
              <w:spacing w:val="-29"/>
              <w:sz w:val="21"/>
              <w:szCs w:val="21"/>
              <w:highlight w:val="none"/>
            </w:rPr>
            <w:t>6</w:t>
          </w:r>
          <w:r>
            <w:rPr>
              <w:rFonts w:hint="eastAsia" w:ascii="宋体" w:hAnsi="宋体" w:eastAsia="宋体" w:cs="宋体"/>
              <w:color w:val="auto"/>
              <w:spacing w:val="-29"/>
              <w:sz w:val="21"/>
              <w:szCs w:val="21"/>
              <w:highlight w:val="none"/>
              <w:lang w:val="en-US" w:eastAsia="zh-CN"/>
            </w:rPr>
            <w:t>1</w:t>
          </w:r>
          <w:r>
            <w:rPr>
              <w:rFonts w:ascii="宋体" w:hAnsi="宋体" w:eastAsia="宋体" w:cs="宋体"/>
              <w:color w:val="auto"/>
              <w:spacing w:val="-29"/>
              <w:sz w:val="21"/>
              <w:szCs w:val="21"/>
              <w:highlight w:val="none"/>
            </w:rPr>
            <w:fldChar w:fldCharType="end"/>
          </w:r>
        </w:p>
        <w:p>
          <w:pPr>
            <w:tabs>
              <w:tab w:val="right" w:leader="dot" w:pos="8312"/>
            </w:tabs>
            <w:spacing w:before="62" w:line="220" w:lineRule="auto"/>
            <w:ind w:left="879"/>
            <w:rPr>
              <w:rFonts w:ascii="宋体" w:hAnsi="宋体" w:eastAsia="宋体" w:cs="宋体"/>
              <w:color w:val="auto"/>
              <w:spacing w:val="-29"/>
              <w:sz w:val="21"/>
              <w:szCs w:val="21"/>
              <w:highlight w:val="none"/>
            </w:rPr>
          </w:pPr>
          <w:r>
            <w:rPr>
              <w:rFonts w:ascii="宋体" w:hAnsi="宋体" w:eastAsia="宋体" w:cs="宋体"/>
              <w:color w:val="auto"/>
              <w:spacing w:val="-29"/>
              <w:sz w:val="21"/>
              <w:szCs w:val="21"/>
              <w:highlight w:val="none"/>
            </w:rPr>
            <w:t xml:space="preserve">附表 A-9：否决投标的情况说明 </w:t>
          </w:r>
          <w:r>
            <w:rPr>
              <w:rFonts w:ascii="宋体" w:hAnsi="宋体" w:eastAsia="宋体" w:cs="宋体"/>
              <w:color w:val="auto"/>
              <w:spacing w:val="-29"/>
              <w:sz w:val="21"/>
              <w:szCs w:val="21"/>
              <w:highlight w:val="none"/>
            </w:rPr>
            <w:tab/>
          </w:r>
          <w:r>
            <w:rPr>
              <w:rFonts w:ascii="宋体" w:hAnsi="宋体" w:eastAsia="宋体" w:cs="宋体"/>
              <w:color w:val="auto"/>
              <w:spacing w:val="-29"/>
              <w:sz w:val="21"/>
              <w:szCs w:val="21"/>
              <w:highlight w:val="none"/>
            </w:rPr>
            <w:t xml:space="preserve"> </w:t>
          </w:r>
          <w:r>
            <w:rPr>
              <w:rFonts w:ascii="宋体" w:hAnsi="宋体" w:eastAsia="宋体" w:cs="宋体"/>
              <w:color w:val="auto"/>
              <w:spacing w:val="-29"/>
              <w:sz w:val="21"/>
              <w:szCs w:val="21"/>
              <w:highlight w:val="none"/>
            </w:rPr>
            <w:fldChar w:fldCharType="begin"/>
          </w:r>
          <w:r>
            <w:rPr>
              <w:rFonts w:ascii="宋体" w:hAnsi="宋体" w:eastAsia="宋体" w:cs="宋体"/>
              <w:color w:val="auto"/>
              <w:spacing w:val="-29"/>
              <w:sz w:val="21"/>
              <w:szCs w:val="21"/>
              <w:highlight w:val="none"/>
            </w:rPr>
            <w:instrText xml:space="preserve"> HYPERLINK \l "bookmark133" </w:instrText>
          </w:r>
          <w:r>
            <w:rPr>
              <w:rFonts w:ascii="宋体" w:hAnsi="宋体" w:eastAsia="宋体" w:cs="宋体"/>
              <w:color w:val="auto"/>
              <w:spacing w:val="-29"/>
              <w:sz w:val="21"/>
              <w:szCs w:val="21"/>
              <w:highlight w:val="none"/>
            </w:rPr>
            <w:fldChar w:fldCharType="separate"/>
          </w:r>
          <w:r>
            <w:rPr>
              <w:rFonts w:ascii="宋体" w:hAnsi="宋体" w:eastAsia="宋体" w:cs="宋体"/>
              <w:color w:val="auto"/>
              <w:spacing w:val="-29"/>
              <w:sz w:val="21"/>
              <w:szCs w:val="21"/>
              <w:highlight w:val="none"/>
            </w:rPr>
            <w:t>6</w:t>
          </w:r>
          <w:r>
            <w:rPr>
              <w:rFonts w:hint="eastAsia" w:ascii="宋体" w:hAnsi="宋体" w:eastAsia="宋体" w:cs="宋体"/>
              <w:color w:val="auto"/>
              <w:spacing w:val="-29"/>
              <w:sz w:val="21"/>
              <w:szCs w:val="21"/>
              <w:highlight w:val="none"/>
              <w:lang w:val="en-US" w:eastAsia="zh-CN"/>
            </w:rPr>
            <w:t>2</w:t>
          </w:r>
          <w:r>
            <w:rPr>
              <w:rFonts w:ascii="宋体" w:hAnsi="宋体" w:eastAsia="宋体" w:cs="宋体"/>
              <w:color w:val="auto"/>
              <w:spacing w:val="-29"/>
              <w:sz w:val="21"/>
              <w:szCs w:val="21"/>
              <w:highlight w:val="none"/>
            </w:rPr>
            <w:fldChar w:fldCharType="end"/>
          </w:r>
        </w:p>
        <w:p>
          <w:pPr>
            <w:tabs>
              <w:tab w:val="right" w:leader="dot" w:pos="8312"/>
            </w:tabs>
            <w:spacing w:before="62" w:line="220" w:lineRule="auto"/>
            <w:ind w:left="879"/>
            <w:rPr>
              <w:rFonts w:ascii="宋体" w:hAnsi="宋体" w:eastAsia="宋体" w:cs="宋体"/>
              <w:color w:val="auto"/>
              <w:spacing w:val="-29"/>
              <w:sz w:val="21"/>
              <w:szCs w:val="21"/>
              <w:highlight w:val="none"/>
            </w:rPr>
          </w:pPr>
          <w:r>
            <w:rPr>
              <w:rFonts w:ascii="宋体" w:hAnsi="宋体" w:eastAsia="宋体" w:cs="宋体"/>
              <w:color w:val="auto"/>
              <w:spacing w:val="-29"/>
              <w:sz w:val="21"/>
              <w:szCs w:val="21"/>
              <w:highlight w:val="none"/>
            </w:rPr>
            <w:t xml:space="preserve">附表 A-10：经济标评分记录表 </w:t>
          </w:r>
          <w:r>
            <w:rPr>
              <w:rFonts w:ascii="宋体" w:hAnsi="宋体" w:eastAsia="宋体" w:cs="宋体"/>
              <w:color w:val="auto"/>
              <w:spacing w:val="-29"/>
              <w:sz w:val="21"/>
              <w:szCs w:val="21"/>
              <w:highlight w:val="none"/>
            </w:rPr>
            <w:tab/>
          </w:r>
          <w:r>
            <w:rPr>
              <w:rFonts w:ascii="宋体" w:hAnsi="宋体" w:eastAsia="宋体" w:cs="宋体"/>
              <w:color w:val="auto"/>
              <w:spacing w:val="-29"/>
              <w:sz w:val="21"/>
              <w:szCs w:val="21"/>
              <w:highlight w:val="none"/>
            </w:rPr>
            <w:t xml:space="preserve"> </w:t>
          </w:r>
          <w:r>
            <w:rPr>
              <w:rFonts w:ascii="宋体" w:hAnsi="宋体" w:eastAsia="宋体" w:cs="宋体"/>
              <w:color w:val="auto"/>
              <w:spacing w:val="-29"/>
              <w:sz w:val="21"/>
              <w:szCs w:val="21"/>
              <w:highlight w:val="none"/>
            </w:rPr>
            <w:fldChar w:fldCharType="begin"/>
          </w:r>
          <w:r>
            <w:rPr>
              <w:rFonts w:ascii="宋体" w:hAnsi="宋体" w:eastAsia="宋体" w:cs="宋体"/>
              <w:color w:val="auto"/>
              <w:spacing w:val="-29"/>
              <w:sz w:val="21"/>
              <w:szCs w:val="21"/>
              <w:highlight w:val="none"/>
            </w:rPr>
            <w:instrText xml:space="preserve"> HYPERLINK \l "bookmark134" </w:instrText>
          </w:r>
          <w:r>
            <w:rPr>
              <w:rFonts w:ascii="宋体" w:hAnsi="宋体" w:eastAsia="宋体" w:cs="宋体"/>
              <w:color w:val="auto"/>
              <w:spacing w:val="-29"/>
              <w:sz w:val="21"/>
              <w:szCs w:val="21"/>
              <w:highlight w:val="none"/>
            </w:rPr>
            <w:fldChar w:fldCharType="separate"/>
          </w:r>
          <w:r>
            <w:rPr>
              <w:rFonts w:ascii="宋体" w:hAnsi="宋体" w:eastAsia="宋体" w:cs="宋体"/>
              <w:color w:val="auto"/>
              <w:spacing w:val="-29"/>
              <w:sz w:val="21"/>
              <w:szCs w:val="21"/>
              <w:highlight w:val="none"/>
            </w:rPr>
            <w:t>6</w:t>
          </w:r>
          <w:r>
            <w:rPr>
              <w:rFonts w:hint="eastAsia" w:ascii="宋体" w:hAnsi="宋体" w:eastAsia="宋体" w:cs="宋体"/>
              <w:color w:val="auto"/>
              <w:spacing w:val="-29"/>
              <w:sz w:val="21"/>
              <w:szCs w:val="21"/>
              <w:highlight w:val="none"/>
              <w:lang w:val="en-US" w:eastAsia="zh-CN"/>
            </w:rPr>
            <w:t>3</w:t>
          </w:r>
          <w:r>
            <w:rPr>
              <w:rFonts w:ascii="宋体" w:hAnsi="宋体" w:eastAsia="宋体" w:cs="宋体"/>
              <w:color w:val="auto"/>
              <w:spacing w:val="-29"/>
              <w:sz w:val="21"/>
              <w:szCs w:val="21"/>
              <w:highlight w:val="none"/>
            </w:rPr>
            <w:fldChar w:fldCharType="end"/>
          </w:r>
        </w:p>
        <w:p>
          <w:pPr>
            <w:tabs>
              <w:tab w:val="right" w:leader="dot" w:pos="8312"/>
            </w:tabs>
            <w:spacing w:before="62" w:line="220" w:lineRule="auto"/>
            <w:ind w:left="879"/>
            <w:rPr>
              <w:rFonts w:ascii="宋体" w:hAnsi="宋体" w:eastAsia="宋体" w:cs="宋体"/>
              <w:color w:val="auto"/>
              <w:spacing w:val="-29"/>
              <w:sz w:val="21"/>
              <w:szCs w:val="21"/>
              <w:highlight w:val="none"/>
            </w:rPr>
          </w:pPr>
          <w:r>
            <w:rPr>
              <w:rFonts w:ascii="宋体" w:hAnsi="宋体" w:eastAsia="宋体" w:cs="宋体"/>
              <w:color w:val="auto"/>
              <w:spacing w:val="-29"/>
              <w:sz w:val="21"/>
              <w:szCs w:val="21"/>
              <w:highlight w:val="none"/>
            </w:rPr>
            <w:t xml:space="preserve">附表 A-11：技术标评审记录表 </w:t>
          </w:r>
          <w:r>
            <w:rPr>
              <w:rFonts w:ascii="宋体" w:hAnsi="宋体" w:eastAsia="宋体" w:cs="宋体"/>
              <w:color w:val="auto"/>
              <w:spacing w:val="-29"/>
              <w:sz w:val="21"/>
              <w:szCs w:val="21"/>
              <w:highlight w:val="none"/>
            </w:rPr>
            <w:tab/>
          </w:r>
          <w:r>
            <w:rPr>
              <w:rFonts w:ascii="宋体" w:hAnsi="宋体" w:eastAsia="宋体" w:cs="宋体"/>
              <w:color w:val="auto"/>
              <w:spacing w:val="-29"/>
              <w:sz w:val="21"/>
              <w:szCs w:val="21"/>
              <w:highlight w:val="none"/>
            </w:rPr>
            <w:t xml:space="preserve"> </w:t>
          </w:r>
          <w:r>
            <w:rPr>
              <w:rFonts w:ascii="宋体" w:hAnsi="宋体" w:eastAsia="宋体" w:cs="宋体"/>
              <w:color w:val="auto"/>
              <w:spacing w:val="-29"/>
              <w:sz w:val="21"/>
              <w:szCs w:val="21"/>
              <w:highlight w:val="none"/>
            </w:rPr>
            <w:fldChar w:fldCharType="begin"/>
          </w:r>
          <w:r>
            <w:rPr>
              <w:rFonts w:ascii="宋体" w:hAnsi="宋体" w:eastAsia="宋体" w:cs="宋体"/>
              <w:color w:val="auto"/>
              <w:spacing w:val="-29"/>
              <w:sz w:val="21"/>
              <w:szCs w:val="21"/>
              <w:highlight w:val="none"/>
            </w:rPr>
            <w:instrText xml:space="preserve"> HYPERLINK \l "bookmark135" </w:instrText>
          </w:r>
          <w:r>
            <w:rPr>
              <w:rFonts w:ascii="宋体" w:hAnsi="宋体" w:eastAsia="宋体" w:cs="宋体"/>
              <w:color w:val="auto"/>
              <w:spacing w:val="-29"/>
              <w:sz w:val="21"/>
              <w:szCs w:val="21"/>
              <w:highlight w:val="none"/>
            </w:rPr>
            <w:fldChar w:fldCharType="separate"/>
          </w:r>
          <w:r>
            <w:rPr>
              <w:rFonts w:ascii="宋体" w:hAnsi="宋体" w:eastAsia="宋体" w:cs="宋体"/>
              <w:color w:val="auto"/>
              <w:spacing w:val="-29"/>
              <w:sz w:val="21"/>
              <w:szCs w:val="21"/>
              <w:highlight w:val="none"/>
            </w:rPr>
            <w:t>6</w:t>
          </w:r>
          <w:r>
            <w:rPr>
              <w:rFonts w:hint="eastAsia" w:ascii="宋体" w:hAnsi="宋体" w:eastAsia="宋体" w:cs="宋体"/>
              <w:color w:val="auto"/>
              <w:spacing w:val="-29"/>
              <w:sz w:val="21"/>
              <w:szCs w:val="21"/>
              <w:highlight w:val="none"/>
              <w:lang w:val="en-US" w:eastAsia="zh-CN"/>
            </w:rPr>
            <w:t>4</w:t>
          </w:r>
          <w:r>
            <w:rPr>
              <w:rFonts w:ascii="宋体" w:hAnsi="宋体" w:eastAsia="宋体" w:cs="宋体"/>
              <w:color w:val="auto"/>
              <w:spacing w:val="-29"/>
              <w:sz w:val="21"/>
              <w:szCs w:val="21"/>
              <w:highlight w:val="none"/>
            </w:rPr>
            <w:fldChar w:fldCharType="end"/>
          </w:r>
        </w:p>
        <w:p>
          <w:pPr>
            <w:tabs>
              <w:tab w:val="right" w:leader="dot" w:pos="8312"/>
            </w:tabs>
            <w:spacing w:before="62" w:line="220" w:lineRule="auto"/>
            <w:ind w:left="879"/>
            <w:rPr>
              <w:rFonts w:hint="default" w:ascii="宋体" w:hAnsi="宋体" w:eastAsia="宋体" w:cs="宋体"/>
              <w:color w:val="auto"/>
              <w:spacing w:val="-29"/>
              <w:sz w:val="21"/>
              <w:szCs w:val="21"/>
              <w:highlight w:val="none"/>
              <w:lang w:val="en-US" w:eastAsia="zh-CN"/>
            </w:rPr>
          </w:pPr>
          <w:r>
            <w:rPr>
              <w:rFonts w:ascii="宋体" w:hAnsi="宋体" w:eastAsia="宋体" w:cs="宋体"/>
              <w:color w:val="auto"/>
              <w:spacing w:val="-29"/>
              <w:sz w:val="21"/>
              <w:szCs w:val="21"/>
              <w:highlight w:val="none"/>
            </w:rPr>
            <w:t xml:space="preserve">附表 A-12：技术标评审记录表（个人） </w:t>
          </w:r>
          <w:r>
            <w:rPr>
              <w:rFonts w:ascii="宋体" w:hAnsi="宋体" w:eastAsia="宋体" w:cs="宋体"/>
              <w:color w:val="auto"/>
              <w:spacing w:val="-29"/>
              <w:sz w:val="21"/>
              <w:szCs w:val="21"/>
              <w:highlight w:val="none"/>
            </w:rPr>
            <w:tab/>
          </w:r>
          <w:r>
            <w:rPr>
              <w:rFonts w:ascii="宋体" w:hAnsi="宋体" w:eastAsia="宋体" w:cs="宋体"/>
              <w:color w:val="auto"/>
              <w:spacing w:val="-29"/>
              <w:sz w:val="21"/>
              <w:szCs w:val="21"/>
              <w:highlight w:val="none"/>
            </w:rPr>
            <w:t xml:space="preserve"> </w:t>
          </w:r>
          <w:r>
            <w:rPr>
              <w:rFonts w:hint="eastAsia" w:ascii="宋体" w:hAnsi="宋体" w:eastAsia="宋体" w:cs="宋体"/>
              <w:color w:val="auto"/>
              <w:spacing w:val="-29"/>
              <w:sz w:val="21"/>
              <w:szCs w:val="21"/>
              <w:highlight w:val="none"/>
              <w:lang w:val="en-US" w:eastAsia="zh-CN"/>
            </w:rPr>
            <w:t>65</w:t>
          </w:r>
        </w:p>
        <w:p>
          <w:pPr>
            <w:tabs>
              <w:tab w:val="right" w:leader="dot" w:pos="8312"/>
            </w:tabs>
            <w:spacing w:before="62" w:line="220" w:lineRule="auto"/>
            <w:ind w:left="879"/>
            <w:rPr>
              <w:rFonts w:hint="default" w:ascii="宋体" w:hAnsi="宋体" w:eastAsia="宋体" w:cs="宋体"/>
              <w:color w:val="auto"/>
              <w:spacing w:val="-29"/>
              <w:sz w:val="21"/>
              <w:szCs w:val="21"/>
              <w:highlight w:val="none"/>
              <w:lang w:val="en-US" w:eastAsia="zh-CN"/>
            </w:rPr>
          </w:pPr>
          <w:r>
            <w:rPr>
              <w:rFonts w:ascii="宋体" w:hAnsi="宋体" w:eastAsia="宋体" w:cs="宋体"/>
              <w:color w:val="auto"/>
              <w:spacing w:val="-2"/>
              <w:sz w:val="21"/>
              <w:szCs w:val="21"/>
              <w:highlight w:val="none"/>
            </w:rPr>
            <w:t>附表</w:t>
          </w:r>
          <w:r>
            <w:rPr>
              <w:rFonts w:ascii="宋体" w:hAnsi="宋体" w:eastAsia="宋体" w:cs="宋体"/>
              <w:color w:val="auto"/>
              <w:spacing w:val="-47"/>
              <w:sz w:val="21"/>
              <w:szCs w:val="21"/>
              <w:highlight w:val="none"/>
            </w:rPr>
            <w:t xml:space="preserve"> </w:t>
          </w:r>
          <w:r>
            <w:rPr>
              <w:rFonts w:ascii="宋体" w:hAnsi="宋体" w:eastAsia="宋体" w:cs="宋体"/>
              <w:color w:val="auto"/>
              <w:spacing w:val="-2"/>
              <w:sz w:val="21"/>
              <w:szCs w:val="21"/>
              <w:highlight w:val="none"/>
            </w:rPr>
            <w:t>A-13：综合标评审记录表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9"/>
              <w:sz w:val="21"/>
              <w:szCs w:val="21"/>
              <w:highlight w:val="none"/>
              <w:lang w:val="en-US" w:eastAsia="zh-CN"/>
            </w:rPr>
            <w:t>66</w:t>
          </w:r>
        </w:p>
        <w:p>
          <w:pPr>
            <w:tabs>
              <w:tab w:val="right" w:leader="dot" w:pos="8312"/>
            </w:tabs>
            <w:spacing w:before="62" w:line="220" w:lineRule="auto"/>
            <w:ind w:left="879"/>
            <w:rPr>
              <w:rFonts w:hint="default" w:ascii="宋体" w:hAnsi="宋体" w:eastAsia="宋体" w:cs="宋体"/>
              <w:color w:val="auto"/>
              <w:spacing w:val="-29"/>
              <w:sz w:val="21"/>
              <w:szCs w:val="21"/>
              <w:highlight w:val="none"/>
              <w:lang w:val="en-US" w:eastAsia="zh-CN"/>
            </w:rPr>
          </w:pPr>
          <w:r>
            <w:rPr>
              <w:rFonts w:hint="default" w:ascii="宋体" w:hAnsi="宋体" w:eastAsia="宋体" w:cs="宋体"/>
              <w:color w:val="auto"/>
              <w:spacing w:val="-29"/>
              <w:sz w:val="21"/>
              <w:szCs w:val="21"/>
              <w:highlight w:val="none"/>
              <w:lang w:val="en-US" w:eastAsia="zh-CN"/>
            </w:rPr>
            <w:t xml:space="preserve">附表 A-14：其他因素评审记录表 </w:t>
          </w:r>
          <w:r>
            <w:rPr>
              <w:rFonts w:hint="default" w:ascii="宋体" w:hAnsi="宋体" w:eastAsia="宋体" w:cs="宋体"/>
              <w:color w:val="auto"/>
              <w:spacing w:val="-29"/>
              <w:sz w:val="21"/>
              <w:szCs w:val="21"/>
              <w:highlight w:val="none"/>
              <w:lang w:val="en-US" w:eastAsia="zh-CN"/>
            </w:rPr>
            <w:tab/>
          </w:r>
          <w:r>
            <w:rPr>
              <w:rFonts w:hint="default" w:ascii="宋体" w:hAnsi="宋体" w:eastAsia="宋体" w:cs="宋体"/>
              <w:color w:val="auto"/>
              <w:spacing w:val="-29"/>
              <w:sz w:val="21"/>
              <w:szCs w:val="21"/>
              <w:highlight w:val="none"/>
              <w:lang w:val="en-US" w:eastAsia="zh-CN"/>
            </w:rPr>
            <w:t xml:space="preserve"> </w:t>
          </w:r>
          <w:r>
            <w:rPr>
              <w:rFonts w:hint="eastAsia" w:ascii="宋体" w:hAnsi="宋体" w:eastAsia="宋体" w:cs="宋体"/>
              <w:color w:val="auto"/>
              <w:spacing w:val="-29"/>
              <w:sz w:val="21"/>
              <w:szCs w:val="21"/>
              <w:highlight w:val="none"/>
              <w:lang w:val="en-US" w:eastAsia="zh-CN"/>
            </w:rPr>
            <w:t>67</w:t>
          </w:r>
        </w:p>
        <w:p>
          <w:pPr>
            <w:tabs>
              <w:tab w:val="right" w:leader="dot" w:pos="8312"/>
            </w:tabs>
            <w:spacing w:before="62" w:line="220" w:lineRule="auto"/>
            <w:ind w:left="879"/>
            <w:rPr>
              <w:rFonts w:hint="default" w:ascii="宋体" w:hAnsi="宋体" w:eastAsia="宋体" w:cs="宋体"/>
              <w:color w:val="auto"/>
              <w:spacing w:val="-29"/>
              <w:sz w:val="21"/>
              <w:szCs w:val="21"/>
              <w:highlight w:val="none"/>
              <w:lang w:val="en-US" w:eastAsia="zh-CN"/>
            </w:rPr>
          </w:pPr>
          <w:r>
            <w:rPr>
              <w:rFonts w:hint="default" w:ascii="宋体" w:hAnsi="宋体" w:eastAsia="宋体" w:cs="宋体"/>
              <w:color w:val="auto"/>
              <w:spacing w:val="-29"/>
              <w:sz w:val="21"/>
              <w:szCs w:val="21"/>
              <w:highlight w:val="none"/>
              <w:lang w:val="en-US" w:eastAsia="zh-CN"/>
            </w:rPr>
            <w:t xml:space="preserve">附表 A-15：详细评审评分汇总表 </w:t>
          </w:r>
          <w:r>
            <w:rPr>
              <w:rFonts w:hint="default" w:ascii="宋体" w:hAnsi="宋体" w:eastAsia="宋体" w:cs="宋体"/>
              <w:color w:val="auto"/>
              <w:spacing w:val="-29"/>
              <w:sz w:val="21"/>
              <w:szCs w:val="21"/>
              <w:highlight w:val="none"/>
              <w:lang w:val="en-US" w:eastAsia="zh-CN"/>
            </w:rPr>
            <w:tab/>
          </w:r>
          <w:r>
            <w:rPr>
              <w:rFonts w:hint="default" w:ascii="宋体" w:hAnsi="宋体" w:eastAsia="宋体" w:cs="宋体"/>
              <w:color w:val="auto"/>
              <w:spacing w:val="-29"/>
              <w:sz w:val="21"/>
              <w:szCs w:val="21"/>
              <w:highlight w:val="none"/>
              <w:lang w:val="en-US" w:eastAsia="zh-CN"/>
            </w:rPr>
            <w:t xml:space="preserve"> </w:t>
          </w:r>
          <w:r>
            <w:rPr>
              <w:rFonts w:hint="eastAsia" w:ascii="宋体" w:hAnsi="宋体" w:eastAsia="宋体" w:cs="宋体"/>
              <w:color w:val="auto"/>
              <w:spacing w:val="-29"/>
              <w:sz w:val="21"/>
              <w:szCs w:val="21"/>
              <w:highlight w:val="none"/>
              <w:lang w:val="en-US" w:eastAsia="zh-CN"/>
            </w:rPr>
            <w:t>68</w:t>
          </w:r>
        </w:p>
        <w:p>
          <w:pPr>
            <w:tabs>
              <w:tab w:val="right" w:leader="dot" w:pos="8312"/>
            </w:tabs>
            <w:spacing w:before="62" w:line="220" w:lineRule="auto"/>
            <w:ind w:left="879"/>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附表</w:t>
          </w:r>
          <w:r>
            <w:rPr>
              <w:rFonts w:ascii="宋体" w:hAnsi="宋体" w:eastAsia="宋体" w:cs="宋体"/>
              <w:color w:val="auto"/>
              <w:spacing w:val="-50"/>
              <w:sz w:val="21"/>
              <w:szCs w:val="21"/>
              <w:highlight w:val="none"/>
            </w:rPr>
            <w:t xml:space="preserve"> </w:t>
          </w:r>
          <w:r>
            <w:rPr>
              <w:rFonts w:ascii="宋体" w:hAnsi="宋体" w:eastAsia="宋体" w:cs="宋体"/>
              <w:color w:val="auto"/>
              <w:spacing w:val="-2"/>
              <w:sz w:val="21"/>
              <w:szCs w:val="21"/>
              <w:highlight w:val="none"/>
            </w:rPr>
            <w:t>A-16：评标结果汇总表</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9"/>
              <w:sz w:val="21"/>
              <w:szCs w:val="21"/>
              <w:highlight w:val="none"/>
              <w:lang w:val="en-US" w:eastAsia="zh-CN"/>
            </w:rPr>
            <w:t>69</w:t>
          </w:r>
        </w:p>
        <w:p>
          <w:pPr>
            <w:tabs>
              <w:tab w:val="right" w:leader="dot" w:pos="8312"/>
            </w:tabs>
            <w:spacing w:before="62" w:line="219" w:lineRule="auto"/>
            <w:ind w:left="87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A-17：推荐中标候选人一览表</w:t>
          </w:r>
          <w:r>
            <w:rPr>
              <w:rFonts w:ascii="宋体" w:hAnsi="宋体" w:eastAsia="宋体" w:cs="宋体"/>
              <w:color w:val="auto"/>
              <w:spacing w:val="-2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6"/>
              <w:sz w:val="21"/>
              <w:szCs w:val="21"/>
              <w:highlight w:val="none"/>
              <w:lang w:val="en-US" w:eastAsia="zh-CN"/>
            </w:rPr>
            <w:t>70</w:t>
          </w:r>
        </w:p>
      </w:sdtContent>
    </w:sdt>
    <w:p>
      <w:pPr>
        <w:tabs>
          <w:tab w:val="right" w:leader="dot" w:pos="8312"/>
        </w:tabs>
        <w:spacing w:before="62" w:line="220" w:lineRule="auto"/>
        <w:ind w:left="22"/>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第四章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合同条款及格式</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rFonts w:hint="eastAsia" w:ascii="宋体" w:hAnsi="宋体" w:eastAsia="宋体" w:cs="宋体"/>
          <w:color w:val="auto"/>
          <w:spacing w:val="-26"/>
          <w:sz w:val="21"/>
          <w:szCs w:val="21"/>
          <w:highlight w:val="none"/>
          <w:lang w:val="en-US" w:eastAsia="zh-CN"/>
        </w:rPr>
        <w:fldChar w:fldCharType="begin"/>
      </w:r>
      <w:r>
        <w:rPr>
          <w:rFonts w:hint="eastAsia" w:ascii="宋体" w:hAnsi="宋体" w:eastAsia="宋体" w:cs="宋体"/>
          <w:color w:val="auto"/>
          <w:spacing w:val="-26"/>
          <w:sz w:val="21"/>
          <w:szCs w:val="21"/>
          <w:highlight w:val="none"/>
          <w:lang w:val="en-US" w:eastAsia="zh-CN"/>
        </w:rPr>
        <w:instrText xml:space="preserve"> HYPERLINK \l "bookmark142" </w:instrText>
      </w:r>
      <w:r>
        <w:rPr>
          <w:rFonts w:hint="eastAsia" w:ascii="宋体" w:hAnsi="宋体" w:eastAsia="宋体" w:cs="宋体"/>
          <w:color w:val="auto"/>
          <w:spacing w:val="-26"/>
          <w:sz w:val="21"/>
          <w:szCs w:val="21"/>
          <w:highlight w:val="none"/>
          <w:lang w:val="en-US" w:eastAsia="zh-CN"/>
        </w:rPr>
        <w:fldChar w:fldCharType="separate"/>
      </w:r>
      <w:r>
        <w:rPr>
          <w:rFonts w:hint="eastAsia" w:ascii="宋体" w:hAnsi="宋体" w:eastAsia="宋体" w:cs="宋体"/>
          <w:color w:val="auto"/>
          <w:spacing w:val="-26"/>
          <w:sz w:val="21"/>
          <w:szCs w:val="21"/>
          <w:highlight w:val="none"/>
          <w:lang w:val="en-US" w:eastAsia="zh-CN"/>
        </w:rPr>
        <w:t>71</w:t>
      </w:r>
      <w:r>
        <w:rPr>
          <w:rFonts w:hint="eastAsia" w:ascii="宋体" w:hAnsi="宋体" w:eastAsia="宋体" w:cs="宋体"/>
          <w:color w:val="auto"/>
          <w:spacing w:val="-26"/>
          <w:sz w:val="21"/>
          <w:szCs w:val="21"/>
          <w:highlight w:val="none"/>
          <w:lang w:val="en-US" w:eastAsia="zh-CN"/>
        </w:rPr>
        <w:fldChar w:fldCharType="end"/>
      </w:r>
    </w:p>
    <w:p>
      <w:pPr>
        <w:tabs>
          <w:tab w:val="right" w:leader="dot" w:pos="8312"/>
        </w:tabs>
        <w:spacing w:before="62" w:line="219" w:lineRule="auto"/>
        <w:ind w:left="420" w:leftChars="0" w:firstLine="0" w:firstLineChars="0"/>
        <w:rPr>
          <w:rFonts w:hint="eastAsia" w:ascii="宋体" w:hAnsi="宋体" w:eastAsia="宋体" w:cs="宋体"/>
          <w:color w:val="auto"/>
          <w:spacing w:val="-26"/>
          <w:sz w:val="21"/>
          <w:szCs w:val="21"/>
          <w:highlight w:val="none"/>
          <w:lang w:val="en-US" w:eastAsia="zh-CN"/>
        </w:rPr>
      </w:pPr>
      <w:r>
        <w:rPr>
          <w:rFonts w:ascii="宋体" w:hAnsi="宋体" w:eastAsia="宋体" w:cs="宋体"/>
          <w:color w:val="auto"/>
          <w:spacing w:val="-1"/>
          <w:sz w:val="21"/>
          <w:szCs w:val="21"/>
          <w:highlight w:val="none"/>
        </w:rPr>
        <w:t>第一部分 合同协议书</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hint="eastAsia" w:ascii="宋体" w:hAnsi="宋体" w:eastAsia="宋体" w:cs="宋体"/>
          <w:color w:val="auto"/>
          <w:spacing w:val="-26"/>
          <w:sz w:val="21"/>
          <w:szCs w:val="21"/>
          <w:highlight w:val="none"/>
          <w:lang w:val="en-US" w:eastAsia="zh-CN"/>
        </w:rPr>
        <w:t xml:space="preserve"> </w:t>
      </w:r>
      <w:r>
        <w:rPr>
          <w:rFonts w:hint="eastAsia" w:ascii="宋体" w:hAnsi="宋体" w:eastAsia="宋体" w:cs="宋体"/>
          <w:color w:val="auto"/>
          <w:spacing w:val="-26"/>
          <w:sz w:val="21"/>
          <w:szCs w:val="21"/>
          <w:highlight w:val="none"/>
          <w:lang w:val="en-US" w:eastAsia="zh-CN"/>
        </w:rPr>
        <w:fldChar w:fldCharType="begin"/>
      </w:r>
      <w:r>
        <w:rPr>
          <w:rFonts w:hint="eastAsia" w:ascii="宋体" w:hAnsi="宋体" w:eastAsia="宋体" w:cs="宋体"/>
          <w:color w:val="auto"/>
          <w:spacing w:val="-26"/>
          <w:sz w:val="21"/>
          <w:szCs w:val="21"/>
          <w:highlight w:val="none"/>
          <w:lang w:val="en-US" w:eastAsia="zh-CN"/>
        </w:rPr>
        <w:instrText xml:space="preserve"> HYPERLINK \l "bookmark143" </w:instrText>
      </w:r>
      <w:r>
        <w:rPr>
          <w:rFonts w:hint="eastAsia" w:ascii="宋体" w:hAnsi="宋体" w:eastAsia="宋体" w:cs="宋体"/>
          <w:color w:val="auto"/>
          <w:spacing w:val="-26"/>
          <w:sz w:val="21"/>
          <w:szCs w:val="21"/>
          <w:highlight w:val="none"/>
          <w:lang w:val="en-US" w:eastAsia="zh-CN"/>
        </w:rPr>
        <w:fldChar w:fldCharType="separate"/>
      </w:r>
      <w:r>
        <w:rPr>
          <w:rFonts w:hint="eastAsia" w:ascii="宋体" w:hAnsi="宋体" w:eastAsia="宋体" w:cs="宋体"/>
          <w:color w:val="auto"/>
          <w:spacing w:val="-26"/>
          <w:sz w:val="21"/>
          <w:szCs w:val="21"/>
          <w:highlight w:val="none"/>
          <w:lang w:val="en-US" w:eastAsia="zh-CN"/>
        </w:rPr>
        <w:t>72</w:t>
      </w:r>
      <w:r>
        <w:rPr>
          <w:rFonts w:hint="eastAsia" w:ascii="宋体" w:hAnsi="宋体" w:eastAsia="宋体" w:cs="宋体"/>
          <w:color w:val="auto"/>
          <w:spacing w:val="-26"/>
          <w:sz w:val="21"/>
          <w:szCs w:val="21"/>
          <w:highlight w:val="none"/>
          <w:lang w:val="en-US" w:eastAsia="zh-CN"/>
        </w:rPr>
        <w:fldChar w:fldCharType="end"/>
      </w:r>
    </w:p>
    <w:p>
      <w:pPr>
        <w:tabs>
          <w:tab w:val="right" w:leader="dot" w:pos="8312"/>
        </w:tabs>
        <w:spacing w:before="62" w:line="219" w:lineRule="auto"/>
        <w:ind w:left="420" w:leftChars="0" w:firstLine="0" w:firstLineChars="0"/>
        <w:rPr>
          <w:rFonts w:hint="default" w:ascii="宋体" w:hAnsi="宋体" w:eastAsia="宋体" w:cs="宋体"/>
          <w:color w:val="auto"/>
          <w:spacing w:val="-26"/>
          <w:sz w:val="21"/>
          <w:szCs w:val="21"/>
          <w:highlight w:val="none"/>
          <w:lang w:val="en-US" w:eastAsia="zh-CN"/>
        </w:rPr>
      </w:pPr>
      <w:r>
        <w:rPr>
          <w:rFonts w:hint="eastAsia" w:ascii="宋体" w:hAnsi="宋体" w:eastAsia="宋体" w:cs="宋体"/>
          <w:color w:val="auto"/>
          <w:spacing w:val="-26"/>
          <w:sz w:val="21"/>
          <w:szCs w:val="21"/>
          <w:highlight w:val="none"/>
          <w:lang w:val="en-US" w:eastAsia="zh-CN"/>
        </w:rPr>
        <w:t xml:space="preserve">第二部分 通用合同条款 </w:t>
      </w:r>
      <w:r>
        <w:rPr>
          <w:rFonts w:hint="eastAsia" w:ascii="宋体" w:hAnsi="宋体" w:eastAsia="宋体" w:cs="宋体"/>
          <w:color w:val="auto"/>
          <w:spacing w:val="-26"/>
          <w:sz w:val="21"/>
          <w:szCs w:val="21"/>
          <w:highlight w:val="none"/>
          <w:lang w:val="en-US" w:eastAsia="zh-CN"/>
        </w:rPr>
        <w:tab/>
      </w:r>
      <w:r>
        <w:rPr>
          <w:rFonts w:hint="eastAsia" w:ascii="宋体" w:hAnsi="宋体" w:eastAsia="宋体" w:cs="宋体"/>
          <w:color w:val="auto"/>
          <w:spacing w:val="-26"/>
          <w:sz w:val="21"/>
          <w:szCs w:val="21"/>
          <w:highlight w:val="none"/>
          <w:lang w:val="en-US" w:eastAsia="zh-CN"/>
        </w:rPr>
        <w:t xml:space="preserve"> 76</w:t>
      </w:r>
    </w:p>
    <w:sdt>
      <w:sdtPr>
        <w:rPr>
          <w:rFonts w:ascii="宋体" w:hAnsi="宋体" w:eastAsia="宋体" w:cs="宋体"/>
          <w:color w:val="auto"/>
          <w:sz w:val="21"/>
          <w:szCs w:val="21"/>
          <w:highlight w:val="none"/>
        </w:rPr>
        <w:id w:val="18"/>
        <w:docPartObj>
          <w:docPartGallery w:val="Table of Contents"/>
          <w:docPartUnique/>
        </w:docPartObj>
      </w:sdtPr>
      <w:sdtEndPr>
        <w:rPr>
          <w:rFonts w:ascii="宋体" w:hAnsi="宋体" w:eastAsia="宋体" w:cs="宋体"/>
          <w:color w:val="auto"/>
          <w:sz w:val="21"/>
          <w:szCs w:val="21"/>
          <w:highlight w:val="none"/>
        </w:rPr>
      </w:sdtEndPr>
      <w:sdtContent>
        <w:p>
          <w:pPr>
            <w:tabs>
              <w:tab w:val="right" w:leader="dot" w:pos="8315"/>
            </w:tabs>
            <w:spacing w:before="61" w:line="221"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ascii="宋体" w:hAnsi="宋体" w:eastAsia="宋体" w:cs="宋体"/>
              <w:color w:val="auto"/>
              <w:spacing w:val="-1"/>
              <w:sz w:val="21"/>
              <w:szCs w:val="21"/>
              <w:highlight w:val="none"/>
            </w:rPr>
            <w:t>第三部分 专用合同条款</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"bookmark282" </w:instrText>
          </w:r>
          <w:r>
            <w:rPr>
              <w:color w:val="auto"/>
              <w:highlight w:val="none"/>
            </w:rPr>
            <w:fldChar w:fldCharType="separate"/>
          </w:r>
          <w:r>
            <w:rPr>
              <w:rFonts w:ascii="宋体" w:hAnsi="宋体" w:eastAsia="宋体" w:cs="宋体"/>
              <w:color w:val="auto"/>
              <w:spacing w:val="-5"/>
              <w:sz w:val="21"/>
              <w:szCs w:val="21"/>
              <w:highlight w:val="none"/>
            </w:rPr>
            <w:t>130</w:t>
          </w:r>
          <w:r>
            <w:rPr>
              <w:rFonts w:ascii="宋体" w:hAnsi="宋体" w:eastAsia="宋体" w:cs="宋体"/>
              <w:color w:val="auto"/>
              <w:spacing w:val="-5"/>
              <w:sz w:val="21"/>
              <w:szCs w:val="21"/>
              <w:highlight w:val="none"/>
            </w:rPr>
            <w:fldChar w:fldCharType="end"/>
          </w:r>
        </w:p>
        <w:p>
          <w:pPr>
            <w:tabs>
              <w:tab w:val="right" w:leader="dot" w:pos="8315"/>
            </w:tabs>
            <w:spacing w:before="61" w:line="220" w:lineRule="auto"/>
            <w:ind w:left="45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附件</w:t>
          </w:r>
          <w:r>
            <w:rPr>
              <w:rFonts w:ascii="宋体" w:hAnsi="宋体" w:eastAsia="宋体" w:cs="宋体"/>
              <w:color w:val="auto"/>
              <w:spacing w:val="-9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4"/>
              <w:sz w:val="21"/>
              <w:szCs w:val="21"/>
              <w:highlight w:val="none"/>
            </w:rPr>
            <w:t xml:space="preserve"> </w:t>
          </w:r>
          <w:r>
            <w:rPr>
              <w:color w:val="auto"/>
              <w:highlight w:val="none"/>
            </w:rPr>
            <w:fldChar w:fldCharType="begin"/>
          </w:r>
          <w:r>
            <w:rPr>
              <w:color w:val="auto"/>
              <w:highlight w:val="none"/>
            </w:rPr>
            <w:instrText xml:space="preserve"> HYPERLINK \l "bookmark368" </w:instrText>
          </w:r>
          <w:r>
            <w:rPr>
              <w:color w:val="auto"/>
              <w:highlight w:val="none"/>
            </w:rPr>
            <w:fldChar w:fldCharType="separate"/>
          </w:r>
          <w:r>
            <w:rPr>
              <w:rFonts w:ascii="宋体" w:hAnsi="宋体" w:eastAsia="宋体" w:cs="宋体"/>
              <w:color w:val="auto"/>
              <w:spacing w:val="-5"/>
              <w:sz w:val="21"/>
              <w:szCs w:val="21"/>
              <w:highlight w:val="none"/>
            </w:rPr>
            <w:t>149</w:t>
          </w:r>
          <w:r>
            <w:rPr>
              <w:rFonts w:ascii="宋体" w:hAnsi="宋体" w:eastAsia="宋体" w:cs="宋体"/>
              <w:color w:val="auto"/>
              <w:spacing w:val="-5"/>
              <w:sz w:val="21"/>
              <w:szCs w:val="21"/>
              <w:highlight w:val="none"/>
            </w:rPr>
            <w:fldChar w:fldCharType="end"/>
          </w:r>
        </w:p>
        <w:p>
          <w:pPr>
            <w:tabs>
              <w:tab w:val="right" w:leader="dot" w:pos="8312"/>
            </w:tabs>
            <w:spacing w:before="62"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第五章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工程量清单</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9"/>
              <w:sz w:val="21"/>
              <w:szCs w:val="21"/>
              <w:highlight w:val="none"/>
            </w:rPr>
            <w:t xml:space="preserve"> </w:t>
          </w:r>
          <w:r>
            <w:rPr>
              <w:color w:val="auto"/>
              <w:highlight w:val="none"/>
            </w:rPr>
            <w:fldChar w:fldCharType="begin"/>
          </w:r>
          <w:r>
            <w:rPr>
              <w:color w:val="auto"/>
              <w:highlight w:val="none"/>
            </w:rPr>
            <w:instrText xml:space="preserve"> HYPERLINK \l "bookmark369" </w:instrText>
          </w:r>
          <w:r>
            <w:rPr>
              <w:color w:val="auto"/>
              <w:highlight w:val="none"/>
            </w:rPr>
            <w:fldChar w:fldCharType="separate"/>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16</w:t>
          </w:r>
          <w:r>
            <w:rPr>
              <w:rFonts w:hint="eastAsia" w:ascii="宋体" w:hAnsi="宋体" w:eastAsia="宋体" w:cs="宋体"/>
              <w:color w:val="auto"/>
              <w:spacing w:val="-5"/>
              <w:sz w:val="21"/>
              <w:szCs w:val="21"/>
              <w:highlight w:val="none"/>
              <w:lang w:val="en-US" w:eastAsia="zh-CN"/>
              <w14:textOutline w14:w="3831" w14:cap="flat" w14:cmpd="sng">
                <w14:solidFill>
                  <w14:srgbClr w14:val="000000"/>
                </w14:solidFill>
                <w14:prstDash w14:val="solid"/>
                <w14:miter w14:val="0"/>
              </w14:textOutline>
            </w:rPr>
            <w:t>6</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5"/>
            </w:tabs>
            <w:spacing w:before="61" w:line="221" w:lineRule="auto"/>
            <w:ind w:left="45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1、招标工程量清单说明</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"bookmark370" </w:instrText>
          </w:r>
          <w:r>
            <w:rPr>
              <w:color w:val="auto"/>
              <w:highlight w:val="none"/>
            </w:rPr>
            <w:fldChar w:fldCharType="separate"/>
          </w:r>
          <w:r>
            <w:rPr>
              <w:rFonts w:ascii="宋体" w:hAnsi="宋体" w:eastAsia="宋体" w:cs="宋体"/>
              <w:color w:val="auto"/>
              <w:spacing w:val="-5"/>
              <w:sz w:val="21"/>
              <w:szCs w:val="21"/>
              <w:highlight w:val="none"/>
            </w:rPr>
            <w:t>16</w:t>
          </w:r>
          <w:r>
            <w:rPr>
              <w:rFonts w:hint="eastAsia" w:ascii="宋体" w:hAnsi="宋体" w:eastAsia="宋体" w:cs="宋体"/>
              <w:color w:val="auto"/>
              <w:spacing w:val="-5"/>
              <w:sz w:val="21"/>
              <w:szCs w:val="21"/>
              <w:highlight w:val="none"/>
              <w:lang w:val="en-US" w:eastAsia="zh-CN"/>
            </w:rPr>
            <w:t>7</w:t>
          </w:r>
          <w:r>
            <w:rPr>
              <w:rFonts w:ascii="宋体" w:hAnsi="宋体" w:eastAsia="宋体" w:cs="宋体"/>
              <w:color w:val="auto"/>
              <w:spacing w:val="-5"/>
              <w:sz w:val="21"/>
              <w:szCs w:val="21"/>
              <w:highlight w:val="none"/>
            </w:rPr>
            <w:fldChar w:fldCharType="end"/>
          </w:r>
        </w:p>
        <w:p>
          <w:pPr>
            <w:tabs>
              <w:tab w:val="right" w:leader="dot" w:pos="8315"/>
            </w:tabs>
            <w:spacing w:before="61" w:line="219"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2、投标报价说明</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"bookmark371" </w:instrText>
          </w:r>
          <w:r>
            <w:rPr>
              <w:color w:val="auto"/>
              <w:highlight w:val="none"/>
            </w:rPr>
            <w:fldChar w:fldCharType="separate"/>
          </w:r>
          <w:r>
            <w:rPr>
              <w:rFonts w:ascii="宋体" w:hAnsi="宋体" w:eastAsia="宋体" w:cs="宋体"/>
              <w:color w:val="auto"/>
              <w:spacing w:val="-5"/>
              <w:sz w:val="21"/>
              <w:szCs w:val="21"/>
              <w:highlight w:val="none"/>
            </w:rPr>
            <w:t>16</w:t>
          </w:r>
          <w:r>
            <w:rPr>
              <w:rFonts w:hint="eastAsia" w:ascii="宋体" w:hAnsi="宋体" w:eastAsia="宋体" w:cs="宋体"/>
              <w:color w:val="auto"/>
              <w:spacing w:val="-5"/>
              <w:sz w:val="21"/>
              <w:szCs w:val="21"/>
              <w:highlight w:val="none"/>
              <w:lang w:val="en-US" w:eastAsia="zh-CN"/>
            </w:rPr>
            <w:t>7</w:t>
          </w:r>
          <w:r>
            <w:rPr>
              <w:rFonts w:ascii="宋体" w:hAnsi="宋体" w:eastAsia="宋体" w:cs="宋体"/>
              <w:color w:val="auto"/>
              <w:spacing w:val="-5"/>
              <w:sz w:val="21"/>
              <w:szCs w:val="21"/>
              <w:highlight w:val="none"/>
            </w:rPr>
            <w:fldChar w:fldCharType="end"/>
          </w:r>
        </w:p>
        <w:p>
          <w:pPr>
            <w:tabs>
              <w:tab w:val="right" w:leader="dot" w:pos="8315"/>
            </w:tabs>
            <w:spacing w:before="63" w:line="219"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3、工程量清单与计价表</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"bookmark372" </w:instrText>
          </w:r>
          <w:r>
            <w:rPr>
              <w:color w:val="auto"/>
              <w:highlight w:val="none"/>
            </w:rPr>
            <w:fldChar w:fldCharType="separate"/>
          </w:r>
          <w:r>
            <w:rPr>
              <w:rFonts w:ascii="宋体" w:hAnsi="宋体" w:eastAsia="宋体" w:cs="宋体"/>
              <w:color w:val="auto"/>
              <w:spacing w:val="-5"/>
              <w:sz w:val="21"/>
              <w:szCs w:val="21"/>
              <w:highlight w:val="none"/>
            </w:rPr>
            <w:t>16</w:t>
          </w:r>
          <w:r>
            <w:rPr>
              <w:rFonts w:hint="eastAsia" w:ascii="宋体" w:hAnsi="宋体" w:eastAsia="宋体" w:cs="宋体"/>
              <w:color w:val="auto"/>
              <w:spacing w:val="-5"/>
              <w:sz w:val="21"/>
              <w:szCs w:val="21"/>
              <w:highlight w:val="none"/>
              <w:lang w:val="en-US" w:eastAsia="zh-CN"/>
            </w:rPr>
            <w:t>9</w:t>
          </w:r>
          <w:r>
            <w:rPr>
              <w:rFonts w:ascii="宋体" w:hAnsi="宋体" w:eastAsia="宋体" w:cs="宋体"/>
              <w:color w:val="auto"/>
              <w:spacing w:val="-5"/>
              <w:sz w:val="21"/>
              <w:szCs w:val="21"/>
              <w:highlight w:val="none"/>
            </w:rPr>
            <w:fldChar w:fldCharType="end"/>
          </w:r>
        </w:p>
        <w:p>
          <w:pPr>
            <w:spacing w:line="221" w:lineRule="auto"/>
            <w:rPr>
              <w:rFonts w:ascii="宋体" w:hAnsi="宋体" w:eastAsia="宋体" w:cs="宋体"/>
              <w:color w:val="auto"/>
              <w:sz w:val="21"/>
              <w:szCs w:val="21"/>
              <w:highlight w:val="none"/>
            </w:rPr>
            <w:sectPr>
              <w:footerReference r:id="rId8" w:type="default"/>
              <w:pgSz w:w="11905" w:h="16843"/>
              <w:pgMar w:top="1769" w:right="1548" w:bottom="1003" w:left="1542" w:header="0" w:footer="828" w:gutter="0"/>
              <w:pgNumType w:fmt="numberInDash"/>
              <w:cols w:space="0" w:num="1"/>
              <w:rtlGutter w:val="0"/>
              <w:docGrid w:linePitch="0" w:charSpace="0"/>
            </w:sectPr>
          </w:pPr>
        </w:p>
      </w:sdtContent>
    </w:sdt>
    <w:p>
      <w:pPr>
        <w:tabs>
          <w:tab w:val="right" w:leader="dot" w:pos="8312"/>
        </w:tabs>
        <w:spacing w:before="63" w:line="221" w:lineRule="auto"/>
        <w:ind w:left="22"/>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第二卷</w:t>
      </w:r>
      <w:r>
        <w:rPr>
          <w:rFonts w:ascii="宋体" w:hAnsi="宋体" w:eastAsia="宋体" w:cs="宋体"/>
          <w:color w:val="auto"/>
          <w:spacing w:val="-4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9"/>
          <w:sz w:val="21"/>
          <w:szCs w:val="21"/>
          <w:highlight w:val="none"/>
        </w:rPr>
        <w:t xml:space="preserve"> </w:t>
      </w:r>
      <w:r>
        <w:rPr>
          <w:color w:val="auto"/>
          <w:highlight w:val="none"/>
        </w:rPr>
        <w:fldChar w:fldCharType="begin"/>
      </w:r>
      <w:r>
        <w:rPr>
          <w:color w:val="auto"/>
          <w:highlight w:val="none"/>
        </w:rPr>
        <w:instrText xml:space="preserve"> HYPERLINK \l "bookmark397" </w:instrText>
      </w:r>
      <w:r>
        <w:rPr>
          <w:color w:val="auto"/>
          <w:highlight w:val="none"/>
        </w:rPr>
        <w:fldChar w:fldCharType="separate"/>
      </w:r>
      <w:r>
        <w:rPr>
          <w:rFonts w:hint="eastAsia" w:ascii="宋体" w:hAnsi="宋体" w:eastAsia="宋体" w:cs="宋体"/>
          <w:color w:val="auto"/>
          <w:spacing w:val="-5"/>
          <w:sz w:val="21"/>
          <w:szCs w:val="21"/>
          <w:highlight w:val="none"/>
          <w:lang w:val="en-US" w:eastAsia="zh-CN"/>
          <w14:textOutline w14:w="3831" w14:cap="flat" w14:cmpd="sng">
            <w14:solidFill>
              <w14:srgbClr w14:val="000000"/>
            </w14:solidFill>
            <w14:prstDash w14:val="solid"/>
            <w14:miter w14:val="0"/>
          </w14:textOutline>
        </w:rPr>
        <w:t>2</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r>
        <w:rPr>
          <w:rFonts w:hint="eastAsia" w:ascii="宋体" w:hAnsi="宋体" w:eastAsia="宋体" w:cs="宋体"/>
          <w:color w:val="auto"/>
          <w:spacing w:val="-5"/>
          <w:sz w:val="21"/>
          <w:szCs w:val="21"/>
          <w:highlight w:val="none"/>
          <w:lang w:val="en-US" w:eastAsia="zh-CN"/>
          <w14:textOutline w14:w="3831" w14:cap="flat" w14:cmpd="sng">
            <w14:solidFill>
              <w14:srgbClr w14:val="000000"/>
            </w14:solidFill>
            <w14:prstDash w14:val="solid"/>
            <w14:miter w14:val="0"/>
          </w14:textOutline>
        </w:rPr>
        <w:t>12</w:t>
      </w:r>
    </w:p>
    <w:p>
      <w:pPr>
        <w:tabs>
          <w:tab w:val="right" w:leader="dot" w:pos="8312"/>
        </w:tabs>
        <w:spacing w:before="61" w:line="220" w:lineRule="auto"/>
        <w:ind w:left="22"/>
        <w:rPr>
          <w:rFonts w:hint="default" w:ascii="宋体" w:hAnsi="宋体" w:eastAsia="宋体" w:cs="宋体"/>
          <w:color w:val="auto"/>
          <w:sz w:val="21"/>
          <w:szCs w:val="21"/>
          <w:highlight w:val="none"/>
          <w:lang w:val="en-US" w:eastAsia="zh-CN"/>
        </w:rPr>
      </w:pP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第六章</w:t>
      </w:r>
      <w:r>
        <w:rPr>
          <w:rFonts w:ascii="宋体" w:hAnsi="宋体" w:eastAsia="宋体" w:cs="宋体"/>
          <w:color w:val="auto"/>
          <w:spacing w:val="16"/>
          <w:sz w:val="21"/>
          <w:szCs w:val="21"/>
          <w:highlight w:val="none"/>
        </w:rPr>
        <w:t xml:space="preserve">  </w:t>
      </w: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图</w:t>
      </w:r>
      <w:r>
        <w:rPr>
          <w:rFonts w:ascii="宋体" w:hAnsi="宋体" w:eastAsia="宋体" w:cs="宋体"/>
          <w:color w:val="auto"/>
          <w:spacing w:val="6"/>
          <w:sz w:val="21"/>
          <w:szCs w:val="21"/>
          <w:highlight w:val="none"/>
        </w:rPr>
        <w:t xml:space="preserve">  </w:t>
      </w: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纸</w:t>
      </w:r>
      <w:r>
        <w:rPr>
          <w:rFonts w:ascii="宋体" w:hAnsi="宋体" w:eastAsia="宋体" w:cs="宋体"/>
          <w:color w:val="auto"/>
          <w:spacing w:val="-2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9"/>
          <w:sz w:val="21"/>
          <w:szCs w:val="21"/>
          <w:highlight w:val="none"/>
        </w:rPr>
        <w:t xml:space="preserve"> </w:t>
      </w:r>
      <w:r>
        <w:rPr>
          <w:rFonts w:hint="eastAsia" w:eastAsia="宋体"/>
          <w:color w:val="auto"/>
          <w:highlight w:val="none"/>
          <w:lang w:val="en-US" w:eastAsia="zh-CN"/>
        </w:rPr>
        <w:t>213</w:t>
      </w:r>
    </w:p>
    <w:p>
      <w:pPr>
        <w:tabs>
          <w:tab w:val="right" w:leader="dot" w:pos="8312"/>
        </w:tabs>
        <w:spacing w:before="59" w:line="221" w:lineRule="auto"/>
        <w:ind w:left="22"/>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第三卷</w:t>
      </w:r>
      <w:r>
        <w:rPr>
          <w:rFonts w:ascii="宋体" w:hAnsi="宋体" w:eastAsia="宋体" w:cs="宋体"/>
          <w:color w:val="auto"/>
          <w:spacing w:val="-4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9"/>
          <w:sz w:val="21"/>
          <w:szCs w:val="21"/>
          <w:highlight w:val="none"/>
        </w:rPr>
        <w:t xml:space="preserve"> </w:t>
      </w:r>
      <w:r>
        <w:rPr>
          <w:rFonts w:hint="eastAsia" w:eastAsia="宋体"/>
          <w:color w:val="auto"/>
          <w:highlight w:val="none"/>
          <w:lang w:val="en-US" w:eastAsia="zh-CN"/>
        </w:rPr>
        <w:t>216</w:t>
      </w:r>
    </w:p>
    <w:p>
      <w:pPr>
        <w:tabs>
          <w:tab w:val="right" w:leader="dot" w:pos="8312"/>
        </w:tabs>
        <w:spacing w:before="61" w:line="220" w:lineRule="auto"/>
        <w:ind w:left="22"/>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第七章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技术标准和要求</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9"/>
          <w:sz w:val="21"/>
          <w:szCs w:val="21"/>
          <w:highlight w:val="none"/>
        </w:rPr>
        <w:t xml:space="preserve"> </w:t>
      </w:r>
      <w:r>
        <w:rPr>
          <w:rFonts w:hint="eastAsia" w:eastAsia="宋体"/>
          <w:color w:val="auto"/>
          <w:highlight w:val="none"/>
          <w:lang w:val="en-US" w:eastAsia="zh-CN"/>
        </w:rPr>
        <w:t>217</w:t>
      </w:r>
    </w:p>
    <w:p>
      <w:pPr>
        <w:tabs>
          <w:tab w:val="right" w:leader="dot" w:pos="8315"/>
        </w:tabs>
        <w:spacing w:before="62" w:line="221" w:lineRule="auto"/>
        <w:ind w:firstLine="208" w:firstLineChars="100"/>
        <w:rPr>
          <w:rFonts w:hint="default"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rPr>
        <w:t>第一节 一般要求</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hint="eastAsia" w:ascii="宋体" w:hAnsi="宋体" w:eastAsia="宋体" w:cs="宋体"/>
          <w:color w:val="auto"/>
          <w:spacing w:val="-13"/>
          <w:sz w:val="21"/>
          <w:szCs w:val="21"/>
          <w:highlight w:val="none"/>
          <w:lang w:val="en-US" w:eastAsia="zh-CN"/>
        </w:rPr>
        <w:t>218</w:t>
      </w:r>
    </w:p>
    <w:p>
      <w:pPr>
        <w:tabs>
          <w:tab w:val="right" w:leader="dot" w:pos="8315"/>
        </w:tabs>
        <w:spacing w:before="60" w:line="221" w:lineRule="auto"/>
        <w:ind w:firstLine="208" w:firstLineChars="100"/>
        <w:rPr>
          <w:rFonts w:hint="eastAsia"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rPr>
        <w:t>第二节  特殊技术标准和要求</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"bookmark420"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3</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8</w:t>
      </w:r>
    </w:p>
    <w:p>
      <w:pPr>
        <w:tabs>
          <w:tab w:val="right" w:leader="dot" w:pos="8315"/>
        </w:tabs>
        <w:spacing w:before="61" w:line="221" w:lineRule="auto"/>
        <w:ind w:firstLine="208" w:firstLineChars="100"/>
        <w:rPr>
          <w:rFonts w:hint="eastAsia" w:ascii="宋体" w:hAnsi="宋体" w:eastAsia="宋体" w:cs="宋体"/>
          <w:color w:val="auto"/>
          <w:spacing w:val="-1"/>
          <w:sz w:val="21"/>
          <w:szCs w:val="21"/>
          <w:highlight w:val="none"/>
          <w:lang w:val="en-US" w:eastAsia="zh-CN"/>
        </w:rPr>
      </w:pPr>
      <w:r>
        <w:rPr>
          <w:rFonts w:ascii="宋体" w:hAnsi="宋体" w:eastAsia="宋体" w:cs="宋体"/>
          <w:color w:val="auto"/>
          <w:spacing w:val="-1"/>
          <w:sz w:val="21"/>
          <w:szCs w:val="21"/>
          <w:highlight w:val="none"/>
        </w:rPr>
        <w:t xml:space="preserve">第三节  适用的国家、行业以及地方规范、标准和规程 </w:t>
      </w:r>
      <w:r>
        <w:rPr>
          <w:rFonts w:hint="eastAsia" w:ascii="宋体" w:hAnsi="宋体" w:eastAsia="宋体" w:cs="宋体"/>
          <w:color w:val="auto"/>
          <w:spacing w:val="-1"/>
          <w:sz w:val="21"/>
          <w:szCs w:val="21"/>
          <w:highlight w:val="none"/>
        </w:rPr>
        <w:tab/>
      </w:r>
      <w:r>
        <w:rPr>
          <w:rFonts w:ascii="宋体" w:hAnsi="宋体" w:eastAsia="宋体" w:cs="宋体"/>
          <w:color w:val="auto"/>
          <w:spacing w:val="-1"/>
          <w:sz w:val="21"/>
          <w:szCs w:val="21"/>
          <w:highlight w:val="none"/>
        </w:rPr>
        <w:fldChar w:fldCharType="begin"/>
      </w:r>
      <w:r>
        <w:rPr>
          <w:rFonts w:ascii="宋体" w:hAnsi="宋体" w:eastAsia="宋体" w:cs="宋体"/>
          <w:color w:val="auto"/>
          <w:spacing w:val="-1"/>
          <w:sz w:val="21"/>
          <w:szCs w:val="21"/>
          <w:highlight w:val="none"/>
        </w:rPr>
        <w:instrText xml:space="preserve"> HYPERLINK \l "bookmark425" </w:instrText>
      </w:r>
      <w:r>
        <w:rPr>
          <w:rFonts w:ascii="宋体" w:hAnsi="宋体" w:eastAsia="宋体" w:cs="宋体"/>
          <w:color w:val="auto"/>
          <w:spacing w:val="-1"/>
          <w:sz w:val="21"/>
          <w:szCs w:val="21"/>
          <w:highlight w:val="none"/>
        </w:rPr>
        <w:fldChar w:fldCharType="separate"/>
      </w:r>
      <w:r>
        <w:rPr>
          <w:rFonts w:ascii="宋体" w:hAnsi="宋体" w:eastAsia="宋体" w:cs="宋体"/>
          <w:color w:val="auto"/>
          <w:spacing w:val="-1"/>
          <w:sz w:val="21"/>
          <w:szCs w:val="21"/>
          <w:highlight w:val="none"/>
        </w:rPr>
        <w:t>2</w:t>
      </w:r>
      <w:r>
        <w:rPr>
          <w:rFonts w:hint="eastAsia" w:ascii="宋体" w:hAnsi="宋体" w:eastAsia="宋体" w:cs="宋体"/>
          <w:color w:val="auto"/>
          <w:spacing w:val="-1"/>
          <w:sz w:val="21"/>
          <w:szCs w:val="21"/>
          <w:highlight w:val="none"/>
          <w:lang w:val="en-US" w:eastAsia="zh-CN"/>
        </w:rPr>
        <w:t>3</w:t>
      </w:r>
      <w:r>
        <w:rPr>
          <w:rFonts w:ascii="宋体" w:hAnsi="宋体" w:eastAsia="宋体" w:cs="宋体"/>
          <w:color w:val="auto"/>
          <w:spacing w:val="-1"/>
          <w:sz w:val="21"/>
          <w:szCs w:val="21"/>
          <w:highlight w:val="none"/>
        </w:rPr>
        <w:fldChar w:fldCharType="end"/>
      </w:r>
      <w:r>
        <w:rPr>
          <w:rFonts w:hint="eastAsia" w:ascii="宋体" w:hAnsi="宋体" w:eastAsia="宋体" w:cs="宋体"/>
          <w:color w:val="auto"/>
          <w:spacing w:val="-1"/>
          <w:sz w:val="21"/>
          <w:szCs w:val="21"/>
          <w:highlight w:val="none"/>
          <w:lang w:val="en-US" w:eastAsia="zh-CN"/>
        </w:rPr>
        <w:t>9</w:t>
      </w:r>
    </w:p>
    <w:p>
      <w:pPr>
        <w:tabs>
          <w:tab w:val="right" w:leader="dot" w:pos="8315"/>
        </w:tabs>
        <w:spacing w:before="61" w:line="221" w:lineRule="auto"/>
        <w:ind w:left="16" w:leftChars="0" w:hanging="16" w:hangingChars="8"/>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第四卷</w:t>
      </w:r>
      <w:r>
        <w:rPr>
          <w:rFonts w:ascii="宋体" w:hAnsi="宋体" w:eastAsia="宋体" w:cs="宋体"/>
          <w:color w:val="auto"/>
          <w:spacing w:val="-4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"bookmark426" </w:instrText>
      </w:r>
      <w:r>
        <w:rPr>
          <w:color w:val="auto"/>
          <w:highlight w:val="none"/>
        </w:rPr>
        <w:fldChar w:fldCharType="separate"/>
      </w:r>
      <w:r>
        <w:rPr>
          <w:rFonts w:hint="eastAsia" w:ascii="宋体" w:hAnsi="宋体" w:eastAsia="宋体" w:cs="宋体"/>
          <w:color w:val="auto"/>
          <w:spacing w:val="-2"/>
          <w:sz w:val="21"/>
          <w:szCs w:val="21"/>
          <w:highlight w:val="none"/>
          <w:lang w:val="en-US" w:eastAsia="zh-CN"/>
          <w14:textOutline w14:w="3831" w14:cap="flat" w14:cmpd="sng">
            <w14:solidFill>
              <w14:srgbClr w14:val="000000"/>
            </w14:solidFill>
            <w14:prstDash w14:val="solid"/>
            <w14:miter w14:val="0"/>
          </w14:textOutline>
        </w:rPr>
        <w:t>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r>
        <w:rPr>
          <w:rFonts w:hint="eastAsia" w:ascii="宋体" w:hAnsi="宋体" w:eastAsia="宋体" w:cs="宋体"/>
          <w:color w:val="auto"/>
          <w:spacing w:val="-2"/>
          <w:sz w:val="21"/>
          <w:szCs w:val="21"/>
          <w:highlight w:val="none"/>
          <w:lang w:val="en-US" w:eastAsia="zh-CN"/>
          <w14:textOutline w14:w="3831" w14:cap="flat" w14:cmpd="sng">
            <w14:solidFill>
              <w14:srgbClr w14:val="000000"/>
            </w14:solidFill>
            <w14:prstDash w14:val="solid"/>
            <w14:miter w14:val="0"/>
          </w14:textOutline>
        </w:rPr>
        <w:t>41</w:t>
      </w:r>
    </w:p>
    <w:p>
      <w:pPr>
        <w:tabs>
          <w:tab w:val="right" w:leader="dot" w:pos="8312"/>
        </w:tabs>
        <w:spacing w:before="61" w:line="220" w:lineRule="auto"/>
        <w:ind w:left="22"/>
        <w:rPr>
          <w:rFonts w:hint="default"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第八章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投标文件格式</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"bookmark427" </w:instrText>
      </w:r>
      <w:r>
        <w:rPr>
          <w:color w:val="auto"/>
          <w:highlight w:val="none"/>
        </w:rPr>
        <w:fldChar w:fldCharType="separate"/>
      </w:r>
      <w:r>
        <w:rPr>
          <w:rFonts w:hint="eastAsia" w:ascii="宋体" w:hAnsi="宋体" w:eastAsia="宋体" w:cs="宋体"/>
          <w:color w:val="auto"/>
          <w:spacing w:val="-2"/>
          <w:sz w:val="21"/>
          <w:szCs w:val="21"/>
          <w:highlight w:val="none"/>
          <w:lang w:val="en-US" w:eastAsia="zh-CN"/>
          <w14:textOutline w14:w="3831" w14:cap="flat" w14:cmpd="sng">
            <w14:solidFill>
              <w14:srgbClr w14:val="000000"/>
            </w14:solidFill>
            <w14:prstDash w14:val="solid"/>
            <w14:miter w14:val="0"/>
          </w14:textOutline>
        </w:rPr>
        <w:t>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r>
        <w:rPr>
          <w:rFonts w:hint="eastAsia" w:ascii="宋体" w:hAnsi="宋体" w:eastAsia="宋体" w:cs="宋体"/>
          <w:color w:val="auto"/>
          <w:spacing w:val="-2"/>
          <w:sz w:val="21"/>
          <w:szCs w:val="21"/>
          <w:highlight w:val="none"/>
          <w:lang w:val="en-US" w:eastAsia="zh-CN"/>
          <w14:textOutline w14:w="3831" w14:cap="flat" w14:cmpd="sng">
            <w14:solidFill>
              <w14:srgbClr w14:val="000000"/>
            </w14:solidFill>
            <w14:prstDash w14:val="solid"/>
            <w14:miter w14:val="0"/>
          </w14:textOutline>
        </w:rPr>
        <w:t>42</w:t>
      </w:r>
    </w:p>
    <w:p>
      <w:pPr>
        <w:tabs>
          <w:tab w:val="right" w:leader="dot" w:pos="8315"/>
        </w:tabs>
        <w:spacing w:before="61" w:line="223" w:lineRule="auto"/>
        <w:ind w:left="483"/>
        <w:rPr>
          <w:rFonts w:hint="default" w:ascii="宋体" w:hAnsi="宋体" w:eastAsia="宋体" w:cs="宋体"/>
          <w:color w:val="auto"/>
          <w:sz w:val="21"/>
          <w:szCs w:val="21"/>
          <w:highlight w:val="none"/>
          <w:lang w:val="en-US" w:eastAsia="zh-CN"/>
        </w:rPr>
      </w:pPr>
      <w:r>
        <w:rPr>
          <w:rFonts w:ascii="宋体" w:hAnsi="宋体" w:eastAsia="宋体" w:cs="宋体"/>
          <w:color w:val="auto"/>
          <w:spacing w:val="-28"/>
          <w:sz w:val="21"/>
          <w:szCs w:val="21"/>
          <w:highlight w:val="none"/>
        </w:rPr>
        <w:t>目</w:t>
      </w:r>
      <w:r>
        <w:rPr>
          <w:rFonts w:ascii="宋体" w:hAnsi="宋体" w:eastAsia="宋体" w:cs="宋体"/>
          <w:color w:val="auto"/>
          <w:spacing w:val="2"/>
          <w:sz w:val="21"/>
          <w:szCs w:val="21"/>
          <w:highlight w:val="none"/>
        </w:rPr>
        <w:t xml:space="preserve">    </w:t>
      </w:r>
      <w:r>
        <w:rPr>
          <w:rFonts w:ascii="宋体" w:hAnsi="宋体" w:eastAsia="宋体" w:cs="宋体"/>
          <w:color w:val="auto"/>
          <w:spacing w:val="-28"/>
          <w:sz w:val="21"/>
          <w:szCs w:val="21"/>
          <w:highlight w:val="none"/>
        </w:rPr>
        <w:t>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eastAsia="宋体"/>
          <w:color w:val="auto"/>
          <w:highlight w:val="none"/>
          <w:lang w:val="en-US" w:eastAsia="zh-CN"/>
        </w:rPr>
        <w:t>244</w:t>
      </w:r>
    </w:p>
    <w:p>
      <w:pPr>
        <w:tabs>
          <w:tab w:val="right" w:leader="dot" w:pos="8315"/>
        </w:tabs>
        <w:spacing w:before="59" w:line="220" w:lineRule="auto"/>
        <w:ind w:left="446"/>
        <w:rPr>
          <w:rFonts w:hint="eastAsia"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rPr>
        <w:t>一、投标函及投标函附录等</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"bookmark429"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4</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5</w:t>
      </w:r>
    </w:p>
    <w:p>
      <w:pPr>
        <w:tabs>
          <w:tab w:val="right" w:leader="dot" w:pos="8315"/>
        </w:tabs>
        <w:spacing w:before="62" w:line="221"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（一）投标函</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"bookmark430"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4</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5</w:t>
      </w:r>
    </w:p>
    <w:p>
      <w:pPr>
        <w:tabs>
          <w:tab w:val="right" w:leader="dot" w:pos="8315"/>
        </w:tabs>
        <w:spacing w:before="61" w:line="221" w:lineRule="auto"/>
        <w:ind w:left="0" w:leftChars="0" w:firstLine="839" w:firstLineChars="456"/>
        <w:rPr>
          <w:rFonts w:hint="eastAsia" w:ascii="宋体" w:hAnsi="宋体" w:eastAsia="宋体" w:cs="宋体"/>
          <w:color w:val="auto"/>
          <w:spacing w:val="-2"/>
          <w:sz w:val="21"/>
          <w:szCs w:val="21"/>
          <w:highlight w:val="none"/>
          <w:lang w:val="en-US" w:eastAsia="zh-CN"/>
        </w:rPr>
      </w:pPr>
      <w:r>
        <w:rPr>
          <w:rFonts w:ascii="宋体" w:hAnsi="宋体" w:eastAsia="宋体" w:cs="宋体"/>
          <w:color w:val="auto"/>
          <w:spacing w:val="-13"/>
          <w:sz w:val="21"/>
          <w:szCs w:val="21"/>
          <w:highlight w:val="none"/>
        </w:rPr>
        <w:t>（二）</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投标函附录</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"bookmark431"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4</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6</w:t>
      </w:r>
    </w:p>
    <w:sdt>
      <w:sdtPr>
        <w:rPr>
          <w:rFonts w:ascii="宋体" w:hAnsi="宋体" w:eastAsia="宋体" w:cs="宋体"/>
          <w:color w:val="auto"/>
          <w:sz w:val="21"/>
          <w:szCs w:val="21"/>
          <w:highlight w:val="none"/>
        </w:rPr>
        <w:id w:val="21"/>
        <w:docPartObj>
          <w:docPartGallery w:val="Table of Contents"/>
          <w:docPartUnique/>
        </w:docPartObj>
      </w:sdtPr>
      <w:sdtEndPr>
        <w:rPr>
          <w:rFonts w:ascii="宋体" w:hAnsi="宋体" w:eastAsia="宋体" w:cs="宋体"/>
          <w:color w:val="auto"/>
          <w:sz w:val="21"/>
          <w:szCs w:val="21"/>
          <w:highlight w:val="none"/>
        </w:rPr>
      </w:sdtEndPr>
      <w:sdtContent>
        <w:p>
          <w:pPr>
            <w:tabs>
              <w:tab w:val="right" w:leader="dot" w:pos="8315"/>
            </w:tabs>
            <w:spacing w:before="60" w:line="220" w:lineRule="auto"/>
            <w:ind w:left="868"/>
            <w:rPr>
              <w:rFonts w:hint="eastAsia" w:ascii="宋体" w:hAnsi="宋体" w:eastAsia="宋体" w:cs="宋体"/>
              <w:color w:val="auto"/>
              <w:sz w:val="21"/>
              <w:szCs w:val="21"/>
              <w:highlight w:val="none"/>
              <w:lang w:val="en-US" w:eastAsia="zh-CN"/>
            </w:rPr>
          </w:pPr>
          <w:bookmarkStart w:id="3" w:name="bookmark30"/>
          <w:bookmarkEnd w:id="3"/>
          <w:bookmarkStart w:id="4" w:name="bookmark27"/>
          <w:bookmarkEnd w:id="4"/>
          <w:bookmarkStart w:id="5" w:name="bookmark29"/>
          <w:bookmarkEnd w:id="5"/>
          <w:bookmarkStart w:id="6" w:name="bookmark31"/>
          <w:bookmarkEnd w:id="6"/>
          <w:bookmarkStart w:id="7" w:name="bookmark28"/>
          <w:bookmarkEnd w:id="7"/>
          <w:r>
            <w:rPr>
              <w:rFonts w:ascii="宋体" w:hAnsi="宋体" w:eastAsia="宋体" w:cs="宋体"/>
              <w:color w:val="auto"/>
              <w:spacing w:val="-13"/>
              <w:sz w:val="21"/>
              <w:szCs w:val="21"/>
              <w:highlight w:val="none"/>
            </w:rPr>
            <w:t>（三）</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告知承诺函</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"bookmark432"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4</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7</w:t>
          </w:r>
        </w:p>
        <w:p>
          <w:pPr>
            <w:tabs>
              <w:tab w:val="right" w:leader="dot" w:pos="8315"/>
            </w:tabs>
            <w:spacing w:before="63" w:line="221"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17"/>
              <w:sz w:val="21"/>
              <w:szCs w:val="21"/>
              <w:highlight w:val="none"/>
            </w:rPr>
            <w:t>（四）</w:t>
          </w:r>
          <w:r>
            <w:rPr>
              <w:rFonts w:ascii="宋体" w:hAnsi="宋体" w:eastAsia="宋体" w:cs="宋体"/>
              <w:color w:val="auto"/>
              <w:spacing w:val="-16"/>
              <w:sz w:val="21"/>
              <w:szCs w:val="21"/>
              <w:highlight w:val="none"/>
            </w:rPr>
            <w:t xml:space="preserve"> </w:t>
          </w:r>
          <w:r>
            <w:rPr>
              <w:rFonts w:ascii="宋体" w:hAnsi="宋体" w:eastAsia="宋体" w:cs="宋体"/>
              <w:color w:val="auto"/>
              <w:spacing w:val="-17"/>
              <w:sz w:val="21"/>
              <w:szCs w:val="21"/>
              <w:highlight w:val="none"/>
            </w:rPr>
            <w:t>声明函</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"bookmark433"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4</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9</w:t>
          </w:r>
        </w:p>
        <w:p>
          <w:pPr>
            <w:tabs>
              <w:tab w:val="right" w:leader="dot" w:pos="8315"/>
            </w:tabs>
            <w:spacing w:before="60" w:line="221"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二、法定代表人身份证明</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"bookmark434"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0</w:t>
          </w:r>
        </w:p>
      </w:sdtContent>
    </w:sdt>
    <w:p>
      <w:pPr>
        <w:tabs>
          <w:tab w:val="right" w:leader="dot" w:pos="8315"/>
        </w:tabs>
        <w:spacing w:before="60" w:line="220" w:lineRule="auto"/>
        <w:ind w:left="446"/>
        <w:rPr>
          <w:rFonts w:hint="eastAsia" w:ascii="宋体" w:hAnsi="宋体" w:eastAsia="宋体" w:cs="宋体"/>
          <w:color w:val="auto"/>
          <w:sz w:val="21"/>
          <w:szCs w:val="21"/>
          <w:highlight w:val="none"/>
          <w:lang w:val="en-US" w:eastAsia="zh-CN"/>
        </w:rPr>
      </w:pPr>
      <w:bookmarkStart w:id="8" w:name="bookmark33"/>
      <w:bookmarkEnd w:id="8"/>
      <w:bookmarkStart w:id="9" w:name="bookmark36"/>
      <w:bookmarkEnd w:id="9"/>
      <w:bookmarkStart w:id="10" w:name="bookmark32"/>
      <w:bookmarkEnd w:id="10"/>
      <w:bookmarkStart w:id="11" w:name="bookmark34"/>
      <w:bookmarkEnd w:id="11"/>
      <w:bookmarkStart w:id="12" w:name="bookmark35"/>
      <w:bookmarkEnd w:id="12"/>
      <w:r>
        <w:rPr>
          <w:rFonts w:hint="eastAsia" w:ascii="宋体" w:hAnsi="宋体" w:eastAsia="宋体" w:cs="宋体"/>
          <w:color w:val="auto"/>
          <w:spacing w:val="-2"/>
          <w:sz w:val="21"/>
          <w:szCs w:val="21"/>
          <w:highlight w:val="none"/>
          <w:lang w:eastAsia="zh-CN"/>
        </w:rPr>
        <w:t>三</w:t>
      </w:r>
      <w:r>
        <w:rPr>
          <w:rFonts w:ascii="宋体" w:hAnsi="宋体" w:eastAsia="宋体" w:cs="宋体"/>
          <w:color w:val="auto"/>
          <w:spacing w:val="-2"/>
          <w:sz w:val="21"/>
          <w:szCs w:val="21"/>
          <w:highlight w:val="none"/>
        </w:rPr>
        <w:t>、授权委托书</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"bookmark435"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1</w:t>
      </w:r>
    </w:p>
    <w:p>
      <w:pPr>
        <w:tabs>
          <w:tab w:val="right" w:leader="dot" w:pos="8315"/>
        </w:tabs>
        <w:spacing w:before="62" w:line="221" w:lineRule="auto"/>
        <w:ind w:left="44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lang w:eastAsia="zh-CN"/>
        </w:rPr>
        <w:t>四</w:t>
      </w:r>
      <w:r>
        <w:rPr>
          <w:rFonts w:ascii="宋体" w:hAnsi="宋体" w:eastAsia="宋体" w:cs="宋体"/>
          <w:color w:val="auto"/>
          <w:spacing w:val="-1"/>
          <w:sz w:val="21"/>
          <w:szCs w:val="21"/>
          <w:highlight w:val="none"/>
        </w:rPr>
        <w:t>、投标保证金</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"bookmark436"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2</w:t>
      </w:r>
    </w:p>
    <w:p>
      <w:pPr>
        <w:tabs>
          <w:tab w:val="right" w:leader="dot" w:pos="8315"/>
        </w:tabs>
        <w:spacing w:before="60" w:line="220" w:lineRule="auto"/>
        <w:ind w:left="462"/>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4"/>
          <w:sz w:val="21"/>
          <w:szCs w:val="21"/>
          <w:highlight w:val="none"/>
          <w:lang w:eastAsia="zh-CN"/>
        </w:rPr>
        <w:t>五</w:t>
      </w:r>
      <w:r>
        <w:rPr>
          <w:rFonts w:ascii="宋体" w:hAnsi="宋体" w:eastAsia="宋体" w:cs="宋体"/>
          <w:color w:val="auto"/>
          <w:spacing w:val="-4"/>
          <w:sz w:val="21"/>
          <w:szCs w:val="21"/>
          <w:highlight w:val="none"/>
        </w:rPr>
        <w:t>、联合体协议书</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"bookmark437"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3</w:t>
      </w:r>
    </w:p>
    <w:p>
      <w:pPr>
        <w:tabs>
          <w:tab w:val="right" w:leader="dot" w:pos="8315"/>
        </w:tabs>
        <w:spacing w:before="61" w:line="220" w:lineRule="auto"/>
        <w:ind w:left="446"/>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none"/>
          <w:lang w:eastAsia="zh-CN"/>
        </w:rPr>
        <w:t>六</w:t>
      </w:r>
      <w:r>
        <w:rPr>
          <w:rFonts w:ascii="宋体" w:hAnsi="宋体" w:eastAsia="宋体" w:cs="宋体"/>
          <w:color w:val="auto"/>
          <w:spacing w:val="-2"/>
          <w:sz w:val="21"/>
          <w:szCs w:val="21"/>
          <w:highlight w:val="none"/>
        </w:rPr>
        <w:t>、拟分包计划表</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"bookmark438"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5</w:t>
      </w:r>
    </w:p>
    <w:p>
      <w:pPr>
        <w:tabs>
          <w:tab w:val="right" w:leader="dot" w:pos="8315"/>
        </w:tabs>
        <w:spacing w:before="61" w:line="220" w:lineRule="auto"/>
        <w:ind w:left="44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lang w:eastAsia="zh-CN"/>
        </w:rPr>
        <w:t>七</w:t>
      </w:r>
      <w:r>
        <w:rPr>
          <w:rFonts w:ascii="宋体" w:hAnsi="宋体" w:eastAsia="宋体" w:cs="宋体"/>
          <w:color w:val="auto"/>
          <w:spacing w:val="-1"/>
          <w:sz w:val="21"/>
          <w:szCs w:val="21"/>
          <w:highlight w:val="none"/>
        </w:rPr>
        <w:t>、项目管理机构</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"bookmark439"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6</w:t>
      </w:r>
    </w:p>
    <w:p>
      <w:pPr>
        <w:tabs>
          <w:tab w:val="right" w:leader="dot" w:pos="8315"/>
        </w:tabs>
        <w:spacing w:before="61" w:line="220"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rPr>
        <w:t>（一）项目管理机构主要人员表</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"bookmark440"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6</w:t>
      </w:r>
    </w:p>
    <w:p>
      <w:pPr>
        <w:tabs>
          <w:tab w:val="right" w:leader="dot" w:pos="8315"/>
        </w:tabs>
        <w:spacing w:before="62" w:line="220"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10"/>
          <w:sz w:val="21"/>
          <w:szCs w:val="21"/>
          <w:highlight w:val="none"/>
        </w:rPr>
        <w:t>（二）</w:t>
      </w:r>
      <w:r>
        <w:rPr>
          <w:rFonts w:ascii="宋体" w:hAnsi="宋体" w:eastAsia="宋体" w:cs="宋体"/>
          <w:color w:val="auto"/>
          <w:spacing w:val="-18"/>
          <w:sz w:val="21"/>
          <w:szCs w:val="21"/>
          <w:highlight w:val="none"/>
        </w:rPr>
        <w:t xml:space="preserve"> </w:t>
      </w:r>
      <w:r>
        <w:rPr>
          <w:rFonts w:ascii="宋体" w:hAnsi="宋体" w:eastAsia="宋体" w:cs="宋体"/>
          <w:color w:val="auto"/>
          <w:spacing w:val="-10"/>
          <w:sz w:val="21"/>
          <w:szCs w:val="21"/>
          <w:highlight w:val="none"/>
        </w:rPr>
        <w:t>项目经理简历表</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"bookmark441"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7</w:t>
      </w:r>
    </w:p>
    <w:p>
      <w:pPr>
        <w:tabs>
          <w:tab w:val="right" w:leader="dot" w:pos="8315"/>
        </w:tabs>
        <w:spacing w:before="62" w:line="220"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16"/>
          <w:sz w:val="21"/>
          <w:szCs w:val="21"/>
          <w:highlight w:val="none"/>
        </w:rPr>
        <w:t>（三）</w:t>
      </w:r>
      <w:r>
        <w:rPr>
          <w:rFonts w:ascii="宋体" w:hAnsi="宋体" w:eastAsia="宋体" w:cs="宋体"/>
          <w:color w:val="auto"/>
          <w:spacing w:val="-22"/>
          <w:sz w:val="21"/>
          <w:szCs w:val="21"/>
          <w:highlight w:val="none"/>
        </w:rPr>
        <w:t xml:space="preserve"> </w:t>
      </w:r>
      <w:r>
        <w:rPr>
          <w:rFonts w:ascii="宋体" w:hAnsi="宋体" w:eastAsia="宋体" w:cs="宋体"/>
          <w:color w:val="auto"/>
          <w:spacing w:val="-16"/>
          <w:sz w:val="21"/>
          <w:szCs w:val="21"/>
          <w:highlight w:val="none"/>
        </w:rPr>
        <w:t>承诺书</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"bookmark442"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8</w:t>
      </w:r>
    </w:p>
    <w:p>
      <w:pPr>
        <w:tabs>
          <w:tab w:val="right" w:leader="dot" w:pos="8315"/>
        </w:tabs>
        <w:spacing w:before="62" w:line="220"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6"/>
          <w:sz w:val="21"/>
          <w:szCs w:val="21"/>
          <w:highlight w:val="none"/>
        </w:rPr>
        <w:t>（四）</w:t>
      </w:r>
      <w:r>
        <w:rPr>
          <w:rFonts w:ascii="宋体" w:hAnsi="宋体" w:eastAsia="宋体" w:cs="宋体"/>
          <w:color w:val="auto"/>
          <w:spacing w:val="-20"/>
          <w:sz w:val="21"/>
          <w:szCs w:val="21"/>
          <w:highlight w:val="none"/>
        </w:rPr>
        <w:t xml:space="preserve"> </w:t>
      </w:r>
      <w:r>
        <w:rPr>
          <w:rFonts w:ascii="宋体" w:hAnsi="宋体" w:eastAsia="宋体" w:cs="宋体"/>
          <w:color w:val="auto"/>
          <w:spacing w:val="-6"/>
          <w:sz w:val="21"/>
          <w:szCs w:val="21"/>
          <w:highlight w:val="none"/>
        </w:rPr>
        <w:t>其他主要项目管理人员简历表</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"bookmark443"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9</w:t>
      </w:r>
    </w:p>
    <w:p>
      <w:pPr>
        <w:tabs>
          <w:tab w:val="right" w:leader="dot" w:pos="8315"/>
        </w:tabs>
        <w:spacing w:before="61" w:line="221" w:lineRule="auto"/>
        <w:ind w:left="44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lang w:eastAsia="zh-CN"/>
        </w:rPr>
        <w:t>八</w:t>
      </w:r>
      <w:r>
        <w:rPr>
          <w:rFonts w:ascii="宋体" w:hAnsi="宋体" w:eastAsia="宋体" w:cs="宋体"/>
          <w:color w:val="auto"/>
          <w:spacing w:val="-1"/>
          <w:sz w:val="21"/>
          <w:szCs w:val="21"/>
          <w:highlight w:val="none"/>
        </w:rPr>
        <w:t>、资格审查资料</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"bookmark444"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0</w:t>
      </w:r>
    </w:p>
    <w:p>
      <w:pPr>
        <w:tabs>
          <w:tab w:val="right" w:leader="dot" w:pos="8315"/>
        </w:tabs>
        <w:spacing w:before="61" w:line="220"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（一）投标人基本情况</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"bookmark445"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0</w:t>
      </w:r>
    </w:p>
    <w:p>
      <w:pPr>
        <w:tabs>
          <w:tab w:val="right" w:leader="dot" w:pos="8315"/>
        </w:tabs>
        <w:spacing w:before="61" w:line="221"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11"/>
          <w:sz w:val="21"/>
          <w:szCs w:val="21"/>
          <w:highlight w:val="none"/>
        </w:rPr>
        <w:t>（二）</w:t>
      </w:r>
      <w:r>
        <w:rPr>
          <w:rFonts w:ascii="宋体" w:hAnsi="宋体" w:eastAsia="宋体" w:cs="宋体"/>
          <w:color w:val="auto"/>
          <w:spacing w:val="-18"/>
          <w:sz w:val="21"/>
          <w:szCs w:val="21"/>
          <w:highlight w:val="none"/>
        </w:rPr>
        <w:t xml:space="preserve"> </w:t>
      </w:r>
      <w:r>
        <w:rPr>
          <w:rFonts w:ascii="宋体" w:hAnsi="宋体" w:eastAsia="宋体" w:cs="宋体"/>
          <w:color w:val="auto"/>
          <w:spacing w:val="-11"/>
          <w:sz w:val="21"/>
          <w:szCs w:val="21"/>
          <w:highlight w:val="none"/>
        </w:rPr>
        <w:t>近年财务状况</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"bookmark450" </w:instrText>
      </w:r>
      <w:r>
        <w:rPr>
          <w:color w:val="auto"/>
          <w:highlight w:val="none"/>
        </w:rPr>
        <w:fldChar w:fldCharType="separate"/>
      </w:r>
      <w:r>
        <w:rPr>
          <w:rFonts w:hint="eastAsia" w:ascii="宋体" w:hAnsi="宋体" w:eastAsia="宋体" w:cs="宋体"/>
          <w:color w:val="auto"/>
          <w:spacing w:val="-2"/>
          <w:sz w:val="21"/>
          <w:szCs w:val="21"/>
          <w:highlight w:val="none"/>
          <w:lang w:eastAsia="zh-CN"/>
        </w:rPr>
        <w:t>2</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4</w:t>
      </w:r>
    </w:p>
    <w:p>
      <w:pPr>
        <w:tabs>
          <w:tab w:val="right" w:leader="dot" w:pos="8315"/>
        </w:tabs>
        <w:spacing w:before="61" w:line="221"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7"/>
          <w:sz w:val="21"/>
          <w:szCs w:val="21"/>
          <w:highlight w:val="none"/>
        </w:rPr>
        <w:t>（三）</w:t>
      </w:r>
      <w:r>
        <w:rPr>
          <w:rFonts w:ascii="宋体" w:hAnsi="宋体" w:eastAsia="宋体" w:cs="宋体"/>
          <w:color w:val="auto"/>
          <w:spacing w:val="-12"/>
          <w:sz w:val="21"/>
          <w:szCs w:val="21"/>
          <w:highlight w:val="none"/>
        </w:rPr>
        <w:t xml:space="preserve"> </w:t>
      </w:r>
      <w:r>
        <w:rPr>
          <w:rFonts w:ascii="宋体" w:hAnsi="宋体" w:eastAsia="宋体" w:cs="宋体"/>
          <w:color w:val="auto"/>
          <w:spacing w:val="-7"/>
          <w:sz w:val="21"/>
          <w:szCs w:val="21"/>
          <w:highlight w:val="none"/>
        </w:rPr>
        <w:t>近年完成的类似项目情况表</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"bookmark451"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5</w:t>
      </w:r>
    </w:p>
    <w:p>
      <w:pPr>
        <w:tabs>
          <w:tab w:val="right" w:leader="dot" w:pos="8315"/>
        </w:tabs>
        <w:spacing w:before="60" w:line="221" w:lineRule="auto"/>
        <w:ind w:left="868"/>
        <w:rPr>
          <w:rFonts w:hint="eastAsia" w:ascii="宋体" w:hAnsi="宋体" w:eastAsia="宋体" w:cs="宋体"/>
          <w:color w:val="auto"/>
          <w:sz w:val="21"/>
          <w:szCs w:val="21"/>
          <w:highlight w:val="none"/>
          <w:lang w:val="en-US" w:eastAsia="zh-CN"/>
        </w:rPr>
      </w:pPr>
      <w:r>
        <w:rPr>
          <w:rFonts w:ascii="宋体" w:hAnsi="宋体" w:eastAsia="宋体" w:cs="宋体"/>
          <w:color w:val="auto"/>
          <w:spacing w:val="-7"/>
          <w:sz w:val="21"/>
          <w:szCs w:val="21"/>
          <w:highlight w:val="none"/>
        </w:rPr>
        <w:t>（四） 正在实施的和新承接的项目情况</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"bookmark454"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7</w:t>
      </w:r>
    </w:p>
    <w:p>
      <w:pPr>
        <w:tabs>
          <w:tab w:val="right" w:leader="dot" w:pos="8315"/>
        </w:tabs>
        <w:spacing w:before="61" w:line="220" w:lineRule="auto"/>
        <w:ind w:left="868"/>
        <w:rPr>
          <w:rFonts w:hint="eastAsia" w:eastAsia="宋体"/>
          <w:lang w:val="en-US" w:eastAsia="zh-CN"/>
        </w:rPr>
      </w:pPr>
      <w:r>
        <w:rPr>
          <w:rFonts w:ascii="宋体" w:hAnsi="宋体" w:eastAsia="宋体" w:cs="宋体"/>
          <w:color w:val="auto"/>
          <w:spacing w:val="-11"/>
          <w:sz w:val="21"/>
          <w:szCs w:val="21"/>
          <w:highlight w:val="none"/>
        </w:rPr>
        <w:t>（五）</w:t>
      </w:r>
      <w:r>
        <w:rPr>
          <w:rFonts w:ascii="宋体" w:hAnsi="宋体" w:eastAsia="宋体" w:cs="宋体"/>
          <w:color w:val="auto"/>
          <w:spacing w:val="-18"/>
          <w:sz w:val="21"/>
          <w:szCs w:val="21"/>
          <w:highlight w:val="none"/>
        </w:rPr>
        <w:t xml:space="preserve"> </w:t>
      </w:r>
      <w:r>
        <w:rPr>
          <w:rFonts w:ascii="宋体" w:hAnsi="宋体" w:eastAsia="宋体" w:cs="宋体"/>
          <w:color w:val="auto"/>
          <w:spacing w:val="-11"/>
          <w:sz w:val="21"/>
          <w:szCs w:val="21"/>
          <w:highlight w:val="none"/>
        </w:rPr>
        <w:t>企业信誉情况</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"bookmark457"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9</w:t>
      </w:r>
    </w:p>
    <w:p>
      <w:pPr>
        <w:tabs>
          <w:tab w:val="right" w:leader="dot" w:pos="8315"/>
        </w:tabs>
        <w:spacing w:before="61" w:line="219" w:lineRule="auto"/>
        <w:ind w:left="446"/>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1"/>
          <w:sz w:val="21"/>
          <w:szCs w:val="21"/>
          <w:highlight w:val="none"/>
          <w:lang w:eastAsia="zh-CN"/>
        </w:rPr>
        <w:t>九</w:t>
      </w:r>
      <w:r>
        <w:rPr>
          <w:rFonts w:ascii="宋体" w:hAnsi="宋体" w:eastAsia="宋体" w:cs="宋体"/>
          <w:color w:val="auto"/>
          <w:spacing w:val="-1"/>
          <w:sz w:val="21"/>
          <w:szCs w:val="21"/>
          <w:highlight w:val="none"/>
        </w:rPr>
        <w:t>、已标价工程量清单</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eastAsia="宋体"/>
          <w:color w:val="auto"/>
          <w:highlight w:val="none"/>
          <w:lang w:val="en-US" w:eastAsia="zh-CN"/>
        </w:rPr>
        <w:t>274</w:t>
      </w:r>
    </w:p>
    <w:p>
      <w:pPr>
        <w:tabs>
          <w:tab w:val="right" w:leader="dot" w:pos="8315"/>
        </w:tabs>
        <w:spacing w:before="63" w:line="222" w:lineRule="auto"/>
        <w:ind w:left="447"/>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none"/>
          <w:lang w:eastAsia="zh-CN"/>
        </w:rPr>
        <w:t>十</w:t>
      </w:r>
      <w:r>
        <w:rPr>
          <w:rFonts w:ascii="宋体" w:hAnsi="宋体" w:eastAsia="宋体" w:cs="宋体"/>
          <w:color w:val="auto"/>
          <w:spacing w:val="-2"/>
          <w:sz w:val="21"/>
          <w:szCs w:val="21"/>
          <w:highlight w:val="none"/>
        </w:rPr>
        <w:t>、施工组织设计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eastAsia="宋体"/>
          <w:color w:val="auto"/>
          <w:highlight w:val="none"/>
          <w:lang w:val="en-US" w:eastAsia="zh-CN"/>
        </w:rPr>
        <w:t>275</w:t>
      </w:r>
    </w:p>
    <w:p>
      <w:pPr>
        <w:tabs>
          <w:tab w:val="right" w:leader="dot" w:pos="8315"/>
        </w:tabs>
        <w:spacing w:before="59" w:line="220" w:lineRule="auto"/>
        <w:ind w:left="879"/>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附表一：拟投入本工程的主要施工设备表</w:t>
      </w:r>
      <w:r>
        <w:rPr>
          <w:rFonts w:ascii="宋体" w:hAnsi="宋体" w:eastAsia="宋体" w:cs="宋体"/>
          <w:color w:val="auto"/>
          <w:spacing w:val="-5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z w:val="21"/>
          <w:szCs w:val="21"/>
          <w:highlight w:val="none"/>
          <w:lang w:val="en-US" w:eastAsia="zh-CN"/>
        </w:rPr>
        <w:t>277</w:t>
      </w:r>
    </w:p>
    <w:p>
      <w:pPr>
        <w:tabs>
          <w:tab w:val="right" w:leader="dot" w:pos="8315"/>
        </w:tabs>
        <w:spacing w:before="63" w:line="220" w:lineRule="auto"/>
        <w:ind w:left="879"/>
        <w:rPr>
          <w:rFonts w:hint="eastAsia"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rPr>
        <w:t>附表二：拟配备本工程的试验和检测仪器设备表</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"bookmark466"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7</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8</w:t>
      </w:r>
    </w:p>
    <w:p>
      <w:pPr>
        <w:tabs>
          <w:tab w:val="right" w:leader="dot" w:pos="8315"/>
        </w:tabs>
        <w:spacing w:before="61" w:line="220" w:lineRule="auto"/>
        <w:ind w:left="879"/>
        <w:rPr>
          <w:rFonts w:hint="default" w:ascii="宋体" w:hAnsi="宋体" w:eastAsia="宋体" w:cs="宋体"/>
          <w:color w:val="auto"/>
          <w:sz w:val="21"/>
          <w:szCs w:val="21"/>
          <w:highlight w:val="none"/>
          <w:lang w:val="en-US" w:eastAsia="zh-CN"/>
        </w:rPr>
      </w:pPr>
      <w:r>
        <w:rPr>
          <w:rFonts w:ascii="宋体" w:hAnsi="宋体" w:eastAsia="宋体" w:cs="宋体"/>
          <w:color w:val="auto"/>
          <w:spacing w:val="-3"/>
          <w:sz w:val="21"/>
          <w:szCs w:val="21"/>
          <w:highlight w:val="none"/>
        </w:rPr>
        <w:t>附表三：劳动力计划表</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
          <w:sz w:val="21"/>
          <w:szCs w:val="21"/>
          <w:highlight w:val="none"/>
          <w:lang w:val="en-US" w:eastAsia="zh-CN"/>
        </w:rPr>
        <w:t>279</w:t>
      </w:r>
    </w:p>
    <w:p>
      <w:pPr>
        <w:tabs>
          <w:tab w:val="right" w:leader="dot" w:pos="8315"/>
        </w:tabs>
        <w:spacing w:before="62" w:line="220" w:lineRule="auto"/>
        <w:ind w:left="879"/>
        <w:rPr>
          <w:rFonts w:hint="default" w:ascii="宋体" w:hAnsi="宋体" w:eastAsia="宋体" w:cs="宋体"/>
          <w:color w:val="auto"/>
          <w:sz w:val="21"/>
          <w:szCs w:val="21"/>
          <w:highlight w:val="none"/>
          <w:lang w:val="en-US" w:eastAsia="zh-CN"/>
        </w:rPr>
      </w:pPr>
      <w:r>
        <w:rPr>
          <w:rFonts w:ascii="宋体" w:hAnsi="宋体" w:eastAsia="宋体" w:cs="宋体"/>
          <w:color w:val="auto"/>
          <w:spacing w:val="-1"/>
          <w:sz w:val="21"/>
          <w:szCs w:val="21"/>
          <w:highlight w:val="none"/>
        </w:rPr>
        <w:t>附表四：计划开、竣工日期和施工进度网络图</w:t>
      </w:r>
      <w:r>
        <w:rPr>
          <w:rFonts w:ascii="宋体" w:hAnsi="宋体" w:eastAsia="宋体" w:cs="宋体"/>
          <w:color w:val="auto"/>
          <w:spacing w:val="-7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rFonts w:hint="eastAsia" w:ascii="宋体" w:hAnsi="宋体" w:eastAsia="宋体" w:cs="宋体"/>
          <w:color w:val="auto"/>
          <w:spacing w:val="-2"/>
          <w:sz w:val="21"/>
          <w:szCs w:val="21"/>
          <w:highlight w:val="none"/>
          <w:lang w:val="en-US" w:eastAsia="zh-CN"/>
        </w:rPr>
        <w:t>280</w:t>
      </w:r>
    </w:p>
    <w:p>
      <w:pPr>
        <w:tabs>
          <w:tab w:val="right" w:leader="dot" w:pos="8315"/>
        </w:tabs>
        <w:spacing w:before="62" w:line="220" w:lineRule="auto"/>
        <w:ind w:left="879"/>
        <w:rPr>
          <w:rFonts w:hint="eastAsia" w:ascii="宋体" w:hAnsi="宋体" w:eastAsia="宋体" w:cs="宋体"/>
          <w:color w:val="auto"/>
          <w:sz w:val="21"/>
          <w:szCs w:val="21"/>
          <w:highlight w:val="none"/>
          <w:lang w:val="en-US" w:eastAsia="zh-CN"/>
        </w:rPr>
      </w:pPr>
      <w:r>
        <w:rPr>
          <w:rFonts w:ascii="宋体" w:hAnsi="宋体" w:eastAsia="宋体" w:cs="宋体"/>
          <w:color w:val="auto"/>
          <w:spacing w:val="-3"/>
          <w:sz w:val="21"/>
          <w:szCs w:val="21"/>
          <w:highlight w:val="none"/>
        </w:rPr>
        <w:t>附表五：施工总平面图</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"bookmark469"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8</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1</w:t>
      </w:r>
    </w:p>
    <w:p>
      <w:pPr>
        <w:tabs>
          <w:tab w:val="right" w:leader="dot" w:pos="8315"/>
        </w:tabs>
        <w:spacing w:before="62" w:line="220" w:lineRule="auto"/>
        <w:ind w:left="879"/>
        <w:rPr>
          <w:rFonts w:hint="eastAsia" w:ascii="宋体" w:hAnsi="宋体" w:eastAsia="宋体" w:cs="宋体"/>
          <w:color w:val="auto"/>
          <w:sz w:val="21"/>
          <w:szCs w:val="21"/>
          <w:highlight w:val="none"/>
          <w:lang w:val="en-US" w:eastAsia="zh-CN"/>
        </w:rPr>
      </w:pPr>
      <w:r>
        <w:rPr>
          <w:rFonts w:ascii="宋体" w:hAnsi="宋体" w:eastAsia="宋体" w:cs="宋体"/>
          <w:color w:val="auto"/>
          <w:spacing w:val="-3"/>
          <w:sz w:val="21"/>
          <w:szCs w:val="21"/>
          <w:highlight w:val="none"/>
        </w:rPr>
        <w:t>附表六：临时用地表</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"bookmark470"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8</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2</w:t>
      </w:r>
    </w:p>
    <w:p>
      <w:pPr>
        <w:tabs>
          <w:tab w:val="right" w:leader="dot" w:pos="8315"/>
        </w:tabs>
        <w:spacing w:before="62"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w:t>
      </w:r>
      <w:r>
        <w:rPr>
          <w:rFonts w:hint="eastAsia" w:ascii="宋体" w:hAnsi="宋体" w:eastAsia="宋体" w:cs="宋体"/>
          <w:color w:val="auto"/>
          <w:spacing w:val="-2"/>
          <w:sz w:val="21"/>
          <w:szCs w:val="21"/>
          <w:highlight w:val="none"/>
          <w:lang w:eastAsia="zh-CN"/>
        </w:rPr>
        <w:t>一</w:t>
      </w:r>
      <w:r>
        <w:rPr>
          <w:rFonts w:ascii="宋体" w:hAnsi="宋体" w:eastAsia="宋体" w:cs="宋体"/>
          <w:color w:val="auto"/>
          <w:spacing w:val="-2"/>
          <w:sz w:val="21"/>
          <w:szCs w:val="21"/>
          <w:highlight w:val="none"/>
        </w:rPr>
        <w:t>、其他资料</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"bookmark471" </w:instrText>
      </w:r>
      <w:r>
        <w:rPr>
          <w:color w:val="auto"/>
          <w:highlight w:val="none"/>
        </w:rPr>
        <w:fldChar w:fldCharType="separate"/>
      </w:r>
      <w:r>
        <w:rPr>
          <w:rFonts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lang w:val="en-US" w:eastAsia="zh-CN"/>
        </w:rPr>
        <w:t>8</w:t>
      </w:r>
      <w:r>
        <w:rPr>
          <w:rFonts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lang w:val="en-US" w:eastAsia="zh-CN"/>
        </w:rPr>
        <w:t>3</w:t>
      </w:r>
    </w:p>
    <w:p>
      <w:pPr>
        <w:spacing w:line="221" w:lineRule="auto"/>
        <w:rPr>
          <w:rFonts w:ascii="宋体" w:hAnsi="宋体" w:eastAsia="宋体" w:cs="宋体"/>
          <w:color w:val="auto"/>
          <w:sz w:val="21"/>
          <w:szCs w:val="21"/>
          <w:highlight w:val="none"/>
        </w:rPr>
        <w:sectPr>
          <w:footerReference r:id="rId9" w:type="default"/>
          <w:pgSz w:w="11905" w:h="16843"/>
          <w:pgMar w:top="1769" w:right="1548" w:bottom="1003" w:left="1542" w:header="0" w:footer="828" w:gutter="0"/>
          <w:pgNumType w:fmt="numberInDash"/>
          <w:cols w:space="0" w:num="1"/>
          <w:rtlGutter w:val="0"/>
          <w:docGrid w:linePitch="0" w:charSpace="0"/>
        </w:sect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spacing w:before="156" w:line="219" w:lineRule="auto"/>
        <w:ind w:left="3465"/>
        <w:rPr>
          <w:rFonts w:ascii="黑体" w:hAnsi="黑体" w:eastAsia="黑体" w:cs="黑体"/>
          <w:color w:val="auto"/>
          <w:sz w:val="48"/>
          <w:szCs w:val="48"/>
          <w:highlight w:val="none"/>
        </w:rPr>
      </w:pPr>
      <w:bookmarkStart w:id="13" w:name="bookmark37"/>
      <w:bookmarkEnd w:id="13"/>
      <w:bookmarkStart w:id="14" w:name="bookmark41"/>
      <w:bookmarkEnd w:id="14"/>
      <w:bookmarkStart w:id="15" w:name="bookmark40"/>
      <w:bookmarkEnd w:id="15"/>
      <w:bookmarkStart w:id="16" w:name="bookmark38"/>
      <w:bookmarkEnd w:id="16"/>
      <w:bookmarkStart w:id="17" w:name="bookmark39"/>
      <w:bookmarkEnd w:id="17"/>
      <w:r>
        <w:rPr>
          <w:rFonts w:ascii="黑体" w:hAnsi="黑体" w:eastAsia="黑体" w:cs="黑体"/>
          <w:color w:val="auto"/>
          <w:spacing w:val="-7"/>
          <w:sz w:val="48"/>
          <w:szCs w:val="48"/>
          <w:highlight w:val="none"/>
        </w:rPr>
        <w:t>第一卷</w:t>
      </w:r>
    </w:p>
    <w:p>
      <w:pPr>
        <w:spacing w:line="219" w:lineRule="auto"/>
        <w:rPr>
          <w:rFonts w:ascii="黑体" w:hAnsi="黑体" w:eastAsia="黑体" w:cs="黑体"/>
          <w:color w:val="auto"/>
          <w:sz w:val="48"/>
          <w:szCs w:val="48"/>
          <w:highlight w:val="none"/>
        </w:rPr>
        <w:sectPr>
          <w:footerReference r:id="rId10" w:type="default"/>
          <w:pgSz w:w="11905" w:h="16843"/>
          <w:pgMar w:top="1769" w:right="1548" w:bottom="1003" w:left="1542" w:header="0" w:footer="828" w:gutter="0"/>
          <w:pgNumType w:fmt="numberInDash"/>
          <w:cols w:space="0" w:num="1"/>
          <w:rtlGutter w:val="0"/>
          <w:docGrid w:linePitch="0" w:charSpace="0"/>
        </w:sectPr>
      </w:pPr>
    </w:p>
    <w:p>
      <w:pPr>
        <w:spacing w:before="64" w:line="224" w:lineRule="auto"/>
        <w:ind w:left="2900"/>
        <w:rPr>
          <w:rFonts w:ascii="黑体" w:hAnsi="黑体" w:eastAsia="黑体" w:cs="黑体"/>
          <w:color w:val="auto"/>
          <w:sz w:val="31"/>
          <w:szCs w:val="31"/>
          <w:highlight w:val="none"/>
        </w:rPr>
      </w:pPr>
      <w:bookmarkStart w:id="18" w:name="bookmark43"/>
      <w:bookmarkEnd w:id="18"/>
      <w:bookmarkStart w:id="19" w:name="bookmark44"/>
      <w:bookmarkEnd w:id="19"/>
      <w:bookmarkStart w:id="20" w:name="bookmark42"/>
      <w:bookmarkEnd w:id="20"/>
      <w:r>
        <w:rPr>
          <w:rFonts w:ascii="黑体" w:hAnsi="黑体" w:eastAsia="黑体" w:cs="黑体"/>
          <w:color w:val="auto"/>
          <w:spacing w:val="7"/>
          <w:sz w:val="31"/>
          <w:szCs w:val="31"/>
          <w:highlight w:val="none"/>
        </w:rPr>
        <w:t>第一章  招标公告</w:t>
      </w:r>
    </w:p>
    <w:p>
      <w:pPr>
        <w:pStyle w:val="2"/>
        <w:spacing w:line="365" w:lineRule="auto"/>
        <w:rPr>
          <w:color w:val="auto"/>
          <w:highlight w:val="none"/>
        </w:rPr>
      </w:pPr>
    </w:p>
    <w:p>
      <w:pPr>
        <w:spacing w:before="169" w:line="369" w:lineRule="auto"/>
        <w:ind w:left="0" w:leftChars="0" w:right="180" w:firstLine="341" w:firstLineChars="176"/>
        <w:jc w:val="center"/>
        <w:rPr>
          <w:rFonts w:hint="eastAsia" w:ascii="宋体" w:hAnsi="宋体" w:eastAsia="宋体" w:cs="宋体"/>
          <w:color w:val="auto"/>
          <w:spacing w:val="-8"/>
          <w:sz w:val="21"/>
          <w:szCs w:val="21"/>
          <w:highlight w:val="none"/>
          <w:lang w:eastAsia="zh-CN"/>
        </w:rPr>
      </w:pPr>
      <w:r>
        <w:rPr>
          <w:rFonts w:hint="eastAsia" w:ascii="宋体" w:hAnsi="宋体" w:eastAsia="宋体" w:cs="宋体"/>
          <w:color w:val="auto"/>
          <w:spacing w:val="-8"/>
          <w:sz w:val="21"/>
          <w:szCs w:val="21"/>
          <w:highlight w:val="none"/>
          <w:lang w:eastAsia="zh-CN"/>
        </w:rPr>
        <w:t>营口市高标准农田建设结余资金项目（大石桥市2020年高标准农田建设结余资金项目）</w:t>
      </w:r>
    </w:p>
    <w:p>
      <w:pPr>
        <w:spacing w:before="169" w:line="369" w:lineRule="auto"/>
        <w:ind w:left="0" w:leftChars="0" w:right="180" w:firstLine="341" w:firstLineChars="176"/>
        <w:jc w:val="center"/>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 xml:space="preserve"> 招标公告</w:t>
      </w:r>
    </w:p>
    <w:p>
      <w:pPr>
        <w:keepNext w:val="0"/>
        <w:keepLines w:val="0"/>
        <w:pageBreakBefore w:val="0"/>
        <w:widowControl/>
        <w:kinsoku w:val="0"/>
        <w:wordWrap/>
        <w:overflowPunct/>
        <w:topLinePunct w:val="0"/>
        <w:autoSpaceDE w:val="0"/>
        <w:autoSpaceDN w:val="0"/>
        <w:bidi w:val="0"/>
        <w:adjustRightInd w:val="0"/>
        <w:snapToGrid w:val="0"/>
        <w:spacing w:before="160" w:line="221" w:lineRule="auto"/>
        <w:ind w:left="0" w:leftChars="0" w:firstLine="369" w:firstLineChars="176"/>
        <w:jc w:val="center"/>
        <w:textAlignment w:val="baseline"/>
        <w:rPr>
          <w:rFonts w:ascii="楷体" w:hAnsi="楷体" w:eastAsia="楷体" w:cs="楷体"/>
          <w:color w:val="auto"/>
          <w:sz w:val="21"/>
          <w:szCs w:val="21"/>
          <w:highlight w:val="none"/>
        </w:rPr>
      </w:pPr>
      <w:r>
        <w:rPr>
          <w:rFonts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项目编号</w:t>
      </w: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LNHX2023007</w:t>
      </w:r>
      <w:r>
        <w:rPr>
          <w:rFonts w:ascii="楷体" w:hAnsi="楷体" w:eastAsia="楷体" w:cs="楷体"/>
          <w:color w:val="auto"/>
          <w:sz w:val="21"/>
          <w:szCs w:val="21"/>
          <w:highlight w:val="none"/>
        </w:rPr>
        <w:t>）</w:t>
      </w:r>
    </w:p>
    <w:p>
      <w:pPr>
        <w:spacing w:before="169" w:line="369" w:lineRule="auto"/>
        <w:ind w:left="0" w:leftChars="0" w:right="180" w:firstLine="341" w:firstLineChars="176"/>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1.招标条件</w:t>
      </w:r>
    </w:p>
    <w:p>
      <w:pPr>
        <w:spacing w:before="169" w:line="369" w:lineRule="auto"/>
        <w:ind w:left="0" w:leftChars="0" w:right="180" w:firstLine="341" w:firstLineChars="176"/>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本招标项目</w:t>
      </w:r>
      <w:r>
        <w:rPr>
          <w:rFonts w:hint="eastAsia" w:ascii="宋体" w:hAnsi="宋体" w:eastAsia="宋体" w:cs="宋体"/>
          <w:color w:val="auto"/>
          <w:spacing w:val="-8"/>
          <w:sz w:val="21"/>
          <w:szCs w:val="21"/>
          <w:highlight w:val="none"/>
          <w:u w:val="single"/>
          <w:lang w:eastAsia="zh-CN"/>
        </w:rPr>
        <w:t>营口市高标准农田建设结余资金项目</w:t>
      </w:r>
      <w:r>
        <w:rPr>
          <w:rFonts w:ascii="宋体" w:hAnsi="宋体" w:eastAsia="宋体" w:cs="宋体"/>
          <w:color w:val="auto"/>
          <w:spacing w:val="-8"/>
          <w:sz w:val="21"/>
          <w:szCs w:val="21"/>
          <w:highlight w:val="none"/>
        </w:rPr>
        <w:t>已由</w:t>
      </w:r>
      <w:r>
        <w:rPr>
          <w:rFonts w:ascii="宋体" w:hAnsi="宋体" w:eastAsia="宋体" w:cs="宋体"/>
          <w:color w:val="auto"/>
          <w:spacing w:val="8"/>
          <w:sz w:val="21"/>
          <w:szCs w:val="21"/>
          <w:highlight w:val="none"/>
          <w:u w:val="single" w:color="auto"/>
        </w:rPr>
        <w:t xml:space="preserve"> </w:t>
      </w:r>
      <w:r>
        <w:rPr>
          <w:rFonts w:hint="eastAsia" w:ascii="宋体" w:hAnsi="宋体" w:eastAsia="宋体" w:cs="宋体"/>
          <w:color w:val="auto"/>
          <w:spacing w:val="8"/>
          <w:sz w:val="21"/>
          <w:szCs w:val="21"/>
          <w:highlight w:val="none"/>
          <w:u w:val="single" w:color="auto"/>
          <w:lang w:val="en-US" w:eastAsia="zh-CN"/>
        </w:rPr>
        <w:t>营口市农业农村局</w:t>
      </w:r>
      <w:r>
        <w:rPr>
          <w:rFonts w:ascii="宋体" w:hAnsi="宋体" w:eastAsia="宋体" w:cs="宋体"/>
          <w:color w:val="auto"/>
          <w:spacing w:val="-8"/>
          <w:sz w:val="21"/>
          <w:szCs w:val="21"/>
          <w:highlight w:val="none"/>
        </w:rPr>
        <w:t>以</w:t>
      </w:r>
      <w:r>
        <w:rPr>
          <w:rFonts w:hint="eastAsia" w:ascii="宋体" w:hAnsi="宋体" w:eastAsia="宋体" w:cs="宋体"/>
          <w:color w:val="auto"/>
          <w:spacing w:val="-9"/>
          <w:sz w:val="21"/>
          <w:szCs w:val="21"/>
          <w:highlight w:val="none"/>
          <w:u w:val="single" w:color="auto"/>
        </w:rPr>
        <w:t>《</w:t>
      </w:r>
      <w:r>
        <w:rPr>
          <w:rFonts w:hint="eastAsia" w:ascii="宋体" w:hAnsi="宋体" w:eastAsia="宋体" w:cs="宋体"/>
          <w:color w:val="auto"/>
          <w:spacing w:val="-9"/>
          <w:sz w:val="21"/>
          <w:szCs w:val="21"/>
          <w:highlight w:val="none"/>
          <w:u w:val="single" w:color="auto"/>
          <w:lang w:eastAsia="zh-CN"/>
        </w:rPr>
        <w:t>关于营口市高标准农田建设结余资金项目初步设计报告的批复</w:t>
      </w:r>
      <w:r>
        <w:rPr>
          <w:rFonts w:hint="eastAsia" w:ascii="宋体" w:hAnsi="宋体" w:eastAsia="宋体" w:cs="宋体"/>
          <w:color w:val="auto"/>
          <w:spacing w:val="-9"/>
          <w:sz w:val="21"/>
          <w:szCs w:val="21"/>
          <w:highlight w:val="none"/>
          <w:u w:val="single" w:color="auto"/>
        </w:rPr>
        <w:t>》营农田【2024】</w:t>
      </w:r>
      <w:r>
        <w:rPr>
          <w:rFonts w:hint="eastAsia" w:ascii="宋体" w:hAnsi="宋体" w:eastAsia="宋体" w:cs="宋体"/>
          <w:color w:val="auto"/>
          <w:spacing w:val="-9"/>
          <w:sz w:val="21"/>
          <w:szCs w:val="21"/>
          <w:highlight w:val="none"/>
          <w:u w:val="single" w:color="auto"/>
          <w:lang w:val="en-US" w:eastAsia="zh-CN"/>
        </w:rPr>
        <w:t>2</w:t>
      </w:r>
      <w:r>
        <w:rPr>
          <w:rFonts w:hint="eastAsia" w:ascii="宋体" w:hAnsi="宋体" w:eastAsia="宋体" w:cs="宋体"/>
          <w:color w:val="auto"/>
          <w:spacing w:val="-9"/>
          <w:sz w:val="21"/>
          <w:szCs w:val="21"/>
          <w:highlight w:val="none"/>
          <w:u w:val="single" w:color="auto"/>
        </w:rPr>
        <w:t>号</w:t>
      </w:r>
      <w:r>
        <w:rPr>
          <w:rFonts w:ascii="宋体" w:hAnsi="宋体" w:eastAsia="宋体" w:cs="宋体"/>
          <w:color w:val="auto"/>
          <w:spacing w:val="-48"/>
          <w:sz w:val="21"/>
          <w:szCs w:val="21"/>
          <w:highlight w:val="none"/>
          <w:u w:val="single" w:color="auto"/>
        </w:rPr>
        <w:t xml:space="preserve"> </w:t>
      </w:r>
      <w:r>
        <w:rPr>
          <w:rFonts w:ascii="宋体" w:hAnsi="宋体" w:eastAsia="宋体" w:cs="宋体"/>
          <w:color w:val="auto"/>
          <w:spacing w:val="-4"/>
          <w:sz w:val="21"/>
          <w:szCs w:val="21"/>
          <w:highlight w:val="none"/>
        </w:rPr>
        <w:t>批准建设，项目业主为</w:t>
      </w:r>
      <w:r>
        <w:rPr>
          <w:rFonts w:ascii="宋体" w:hAnsi="宋体" w:eastAsia="宋体" w:cs="宋体"/>
          <w:color w:val="auto"/>
          <w:spacing w:val="-105"/>
          <w:sz w:val="21"/>
          <w:szCs w:val="21"/>
          <w:highlight w:val="none"/>
        </w:rPr>
        <w:t xml:space="preserve"> </w:t>
      </w:r>
      <w:r>
        <w:rPr>
          <w:rFonts w:hint="eastAsia" w:ascii="宋体" w:hAnsi="宋体" w:eastAsia="宋体" w:cs="宋体"/>
          <w:color w:val="auto"/>
          <w:sz w:val="21"/>
          <w:szCs w:val="21"/>
          <w:highlight w:val="none"/>
          <w:u w:val="single" w:color="auto"/>
        </w:rPr>
        <w:t>大石桥市农业农村局</w:t>
      </w:r>
      <w:r>
        <w:rPr>
          <w:rFonts w:ascii="宋体" w:hAnsi="宋体" w:eastAsia="宋体" w:cs="宋体"/>
          <w:color w:val="auto"/>
          <w:spacing w:val="-77"/>
          <w:sz w:val="21"/>
          <w:szCs w:val="21"/>
          <w:highlight w:val="none"/>
        </w:rPr>
        <w:t xml:space="preserve"> </w:t>
      </w:r>
      <w:r>
        <w:rPr>
          <w:rFonts w:ascii="宋体" w:hAnsi="宋体" w:eastAsia="宋体" w:cs="宋体"/>
          <w:color w:val="auto"/>
          <w:spacing w:val="-4"/>
          <w:sz w:val="21"/>
          <w:szCs w:val="21"/>
          <w:highlight w:val="none"/>
        </w:rPr>
        <w:t>，建设资金来自</w:t>
      </w:r>
      <w:r>
        <w:rPr>
          <w:rFonts w:hint="eastAsia" w:ascii="宋体" w:hAnsi="宋体" w:eastAsia="宋体" w:cs="宋体"/>
          <w:color w:val="auto"/>
          <w:spacing w:val="-4"/>
          <w:sz w:val="21"/>
          <w:szCs w:val="21"/>
          <w:highlight w:val="none"/>
          <w:u w:val="single"/>
        </w:rPr>
        <w:t>中央财政资金</w:t>
      </w:r>
      <w:r>
        <w:rPr>
          <w:rFonts w:ascii="宋体" w:hAnsi="宋体" w:eastAsia="宋体" w:cs="宋体"/>
          <w:color w:val="auto"/>
          <w:spacing w:val="-80"/>
          <w:sz w:val="21"/>
          <w:szCs w:val="21"/>
          <w:highlight w:val="none"/>
        </w:rPr>
        <w:t xml:space="preserve"> </w:t>
      </w:r>
      <w:r>
        <w:rPr>
          <w:rFonts w:ascii="宋体" w:hAnsi="宋体" w:eastAsia="宋体" w:cs="宋体"/>
          <w:color w:val="auto"/>
          <w:spacing w:val="-4"/>
          <w:sz w:val="21"/>
          <w:szCs w:val="21"/>
          <w:highlight w:val="none"/>
        </w:rPr>
        <w:t>，项目出资比例为</w:t>
      </w:r>
      <w:r>
        <w:rPr>
          <w:rFonts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lang w:val="en-US" w:eastAsia="zh-CN"/>
        </w:rPr>
        <w:t>100</w:t>
      </w:r>
      <w:r>
        <w:rPr>
          <w:rFonts w:ascii="宋体" w:hAnsi="宋体" w:eastAsia="宋体" w:cs="宋体"/>
          <w:color w:val="auto"/>
          <w:spacing w:val="-5"/>
          <w:sz w:val="21"/>
          <w:szCs w:val="21"/>
          <w:highlight w:val="none"/>
          <w:u w:val="single" w:color="auto"/>
        </w:rPr>
        <w:t>%</w:t>
      </w:r>
      <w:r>
        <w:rPr>
          <w:rFonts w:ascii="宋体" w:hAnsi="宋体" w:eastAsia="宋体" w:cs="宋体"/>
          <w:color w:val="auto"/>
          <w:spacing w:val="-5"/>
          <w:sz w:val="21"/>
          <w:szCs w:val="21"/>
          <w:highlight w:val="none"/>
        </w:rPr>
        <w:t>，</w:t>
      </w:r>
      <w:r>
        <w:rPr>
          <w:rFonts w:ascii="宋体" w:hAnsi="宋体" w:eastAsia="宋体" w:cs="宋体"/>
          <w:color w:val="auto"/>
          <w:spacing w:val="-3"/>
          <w:sz w:val="21"/>
          <w:szCs w:val="21"/>
          <w:highlight w:val="none"/>
        </w:rPr>
        <w:t>招标代理机构为</w:t>
      </w:r>
      <w:r>
        <w:rPr>
          <w:rFonts w:hint="eastAsia" w:ascii="宋体" w:hAnsi="宋体" w:eastAsia="宋体" w:cs="宋体"/>
          <w:color w:val="auto"/>
          <w:spacing w:val="-3"/>
          <w:sz w:val="21"/>
          <w:szCs w:val="21"/>
          <w:highlight w:val="none"/>
          <w:u w:val="single" w:color="auto"/>
          <w:lang w:val="en-US" w:eastAsia="zh-CN"/>
        </w:rPr>
        <w:t>辽宁惠信工程造价咨询有限公司</w:t>
      </w:r>
      <w:r>
        <w:rPr>
          <w:rFonts w:ascii="宋体" w:hAnsi="宋体" w:eastAsia="宋体" w:cs="宋体"/>
          <w:color w:val="auto"/>
          <w:spacing w:val="-3"/>
          <w:sz w:val="21"/>
          <w:szCs w:val="21"/>
          <w:highlight w:val="none"/>
        </w:rPr>
        <w:t>。项目已具备招标条件，现对该项目进行</w:t>
      </w:r>
      <w:r>
        <w:rPr>
          <w:rFonts w:ascii="宋体" w:hAnsi="宋体" w:eastAsia="宋体" w:cs="宋体"/>
          <w:color w:val="auto"/>
          <w:spacing w:val="-3"/>
          <w:sz w:val="21"/>
          <w:szCs w:val="21"/>
          <w:highlight w:val="none"/>
          <w:u w:val="single" w:color="auto"/>
        </w:rPr>
        <w:t>公开</w:t>
      </w:r>
      <w:r>
        <w:rPr>
          <w:rFonts w:ascii="宋体" w:hAnsi="宋体" w:eastAsia="宋体" w:cs="宋体"/>
          <w:color w:val="auto"/>
          <w:spacing w:val="-95"/>
          <w:sz w:val="21"/>
          <w:szCs w:val="21"/>
          <w:highlight w:val="none"/>
        </w:rPr>
        <w:t xml:space="preserve"> </w:t>
      </w:r>
      <w:r>
        <w:rPr>
          <w:rFonts w:ascii="宋体" w:hAnsi="宋体" w:eastAsia="宋体" w:cs="宋体"/>
          <w:color w:val="auto"/>
          <w:spacing w:val="-3"/>
          <w:sz w:val="21"/>
          <w:szCs w:val="21"/>
          <w:highlight w:val="none"/>
        </w:rPr>
        <w:t>招标。</w:t>
      </w:r>
    </w:p>
    <w:p>
      <w:pPr>
        <w:spacing w:before="169" w:line="369" w:lineRule="auto"/>
        <w:ind w:left="0" w:leftChars="0" w:right="180" w:firstLine="341" w:firstLineChars="176"/>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2.项目概况与招标范围</w:t>
      </w:r>
    </w:p>
    <w:p>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项目概况</w:t>
      </w:r>
    </w:p>
    <w:p>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建设地点：大石桥市水源镇大村村、前沟村、群力村、马家村、赵家村、腰屯村、鲤鱼村。</w:t>
      </w:r>
    </w:p>
    <w:p>
      <w:pPr>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建设规模：（1）灌溉和排水工程：支、斗、农渠钢筋混凝土板及矩形槽衬砌8条，6.505km，渠系配套建筑物61座。（2）田间道路工程：整修田间道路12.68km，田间道路（支路）1.54km。</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招标范围</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标段划分：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标段； 是否兼投：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否</w:t>
      </w:r>
      <w:r>
        <w:rPr>
          <w:rFonts w:hint="eastAsia" w:ascii="宋体" w:hAnsi="宋体" w:eastAsia="宋体" w:cs="宋体"/>
          <w:color w:val="auto"/>
          <w:sz w:val="21"/>
          <w:szCs w:val="21"/>
          <w:highlight w:val="none"/>
        </w:rPr>
        <w:t>；是否兼中：</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否</w:t>
      </w:r>
      <w:r>
        <w:rPr>
          <w:rFonts w:hint="eastAsia" w:ascii="宋体" w:hAnsi="宋体" w:eastAsia="宋体" w:cs="宋体"/>
          <w:color w:val="auto"/>
          <w:sz w:val="21"/>
          <w:szCs w:val="21"/>
          <w:highlight w:val="none"/>
        </w:rPr>
        <w:t>。</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计划工期：</w:t>
      </w:r>
      <w:r>
        <w:rPr>
          <w:rFonts w:hint="eastAsia" w:ascii="宋体" w:hAnsi="宋体" w:eastAsia="宋体" w:cs="宋体"/>
          <w:color w:val="auto"/>
          <w:sz w:val="21"/>
          <w:szCs w:val="21"/>
          <w:highlight w:val="none"/>
          <w:u w:val="single"/>
          <w:lang w:val="en-US" w:eastAsia="zh-CN"/>
        </w:rPr>
        <w:t>228</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w:t>
      </w:r>
      <w:r>
        <w:rPr>
          <w:rFonts w:hint="eastAsia" w:ascii="宋体" w:hAnsi="宋体" w:eastAsia="宋体" w:cs="宋体"/>
          <w:color w:val="auto"/>
          <w:sz w:val="21"/>
          <w:szCs w:val="21"/>
          <w:highlight w:val="none"/>
          <w:lang w:val="en-US" w:eastAsia="zh-CN"/>
        </w:rPr>
        <w:t>日期</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single"/>
          <w:lang w:eastAsia="zh-CN"/>
        </w:rPr>
        <w:t>2024年10月</w:t>
      </w:r>
      <w:r>
        <w:rPr>
          <w:rFonts w:hint="eastAsia" w:ascii="宋体" w:hAnsi="宋体" w:eastAsia="宋体" w:cs="宋体"/>
          <w:color w:val="auto"/>
          <w:sz w:val="21"/>
          <w:szCs w:val="21"/>
          <w:highlight w:val="none"/>
          <w:u w:val="single"/>
          <w:lang w:val="en-US" w:eastAsia="zh-CN"/>
        </w:rPr>
        <w:t>15</w:t>
      </w:r>
      <w:r>
        <w:rPr>
          <w:rFonts w:hint="eastAsia" w:ascii="宋体" w:hAnsi="宋体" w:eastAsia="宋体" w:cs="宋体"/>
          <w:color w:val="auto"/>
          <w:sz w:val="21"/>
          <w:szCs w:val="21"/>
          <w:highlight w:val="none"/>
          <w:u w:val="single"/>
          <w:lang w:eastAsia="zh-CN"/>
        </w:rPr>
        <w:t>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eastAsia="zh-CN"/>
        </w:rPr>
        <w:t>2025年05月31日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标段名称：</w:t>
      </w:r>
      <w:r>
        <w:rPr>
          <w:rFonts w:hint="eastAsia" w:ascii="宋体" w:hAnsi="宋体" w:eastAsia="宋体" w:cs="宋体"/>
          <w:color w:val="auto"/>
          <w:sz w:val="21"/>
          <w:szCs w:val="21"/>
          <w:highlight w:val="none"/>
          <w:u w:val="single"/>
          <w:lang w:eastAsia="zh-CN"/>
        </w:rPr>
        <w:t>营口市高标准农田建设结余资金项目（大石桥市2020年高标准农田建设结余资金项目）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标段招标范围：（1）灌溉和排水工程：支、斗、农渠钢筋混凝土板及矩形槽衬砌8条，6.505km，渠系配套建筑物61座。（2）田间道路工程：整修田间道路12.68km，田间道路（支路）1.54km。</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标段类别：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施工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；标段合同估算价：</w:t>
      </w:r>
      <w:r>
        <w:rPr>
          <w:rFonts w:hint="eastAsia" w:ascii="宋体" w:hAnsi="宋体" w:eastAsia="宋体" w:cs="宋体"/>
          <w:color w:val="auto"/>
          <w:sz w:val="21"/>
          <w:szCs w:val="21"/>
          <w:highlight w:val="none"/>
          <w:u w:val="single"/>
          <w:lang w:eastAsia="zh-CN"/>
        </w:rPr>
        <w:t>934.039899</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rPr>
        <w:t>。</w:t>
      </w:r>
    </w:p>
    <w:p>
      <w:pPr>
        <w:bidi w:val="0"/>
        <w:spacing w:line="360" w:lineRule="auto"/>
        <w:ind w:left="0" w:leftChars="0"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保证金金额：</w:t>
      </w:r>
      <w:r>
        <w:rPr>
          <w:rFonts w:hint="eastAsia" w:ascii="宋体" w:hAnsi="宋体" w:eastAsia="宋体" w:cs="宋体"/>
          <w:color w:val="auto"/>
          <w:sz w:val="21"/>
          <w:szCs w:val="21"/>
          <w:highlight w:val="none"/>
          <w:u w:val="single"/>
          <w:lang w:val="en-US" w:eastAsia="zh-CN"/>
        </w:rPr>
        <w:t xml:space="preserve">9 </w:t>
      </w:r>
      <w:r>
        <w:rPr>
          <w:rFonts w:hint="eastAsia" w:ascii="宋体" w:hAnsi="宋体" w:eastAsia="宋体" w:cs="宋体"/>
          <w:color w:val="auto"/>
          <w:sz w:val="21"/>
          <w:szCs w:val="21"/>
          <w:highlight w:val="none"/>
        </w:rPr>
        <w:t>万元；投标保证金缴纳方式：</w:t>
      </w:r>
      <w:r>
        <w:rPr>
          <w:rFonts w:hint="eastAsia" w:ascii="宋体" w:hAnsi="宋体" w:eastAsia="宋体" w:cs="宋体"/>
          <w:color w:val="auto"/>
          <w:sz w:val="21"/>
          <w:szCs w:val="21"/>
          <w:highlight w:val="none"/>
          <w:u w:val="single"/>
        </w:rPr>
        <w:t>保函、电汇</w:t>
      </w:r>
      <w:r>
        <w:rPr>
          <w:rFonts w:hint="eastAsia" w:ascii="宋体" w:hAnsi="宋体" w:eastAsia="宋体" w:cs="宋体"/>
          <w:color w:val="auto"/>
          <w:sz w:val="21"/>
          <w:szCs w:val="21"/>
          <w:highlight w:val="none"/>
        </w:rPr>
        <w:t>。</w:t>
      </w:r>
    </w:p>
    <w:p>
      <w:pPr>
        <w:spacing w:before="171" w:line="369" w:lineRule="auto"/>
        <w:ind w:left="0" w:leftChars="0" w:firstLine="320" w:firstLineChars="176"/>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2.3</w:t>
      </w:r>
      <w:r>
        <w:rPr>
          <w:rFonts w:ascii="宋体" w:hAnsi="宋体" w:eastAsia="宋体" w:cs="宋体"/>
          <w:color w:val="auto"/>
          <w:spacing w:val="12"/>
          <w:sz w:val="21"/>
          <w:szCs w:val="21"/>
          <w:highlight w:val="none"/>
        </w:rPr>
        <w:t xml:space="preserve"> </w:t>
      </w:r>
      <w:r>
        <w:rPr>
          <w:rFonts w:ascii="宋体" w:hAnsi="宋体" w:eastAsia="宋体" w:cs="宋体"/>
          <w:color w:val="auto"/>
          <w:spacing w:val="-14"/>
          <w:sz w:val="21"/>
          <w:szCs w:val="21"/>
          <w:highlight w:val="none"/>
        </w:rPr>
        <w:t>其他：</w:t>
      </w:r>
      <w:r>
        <w:rPr>
          <w:rFonts w:ascii="宋体" w:hAnsi="宋体" w:eastAsia="宋体" w:cs="宋体"/>
          <w:color w:val="auto"/>
          <w:spacing w:val="-30"/>
          <w:sz w:val="21"/>
          <w:szCs w:val="21"/>
          <w:highlight w:val="none"/>
        </w:rPr>
        <w:t xml:space="preserve"> </w:t>
      </w:r>
      <w:r>
        <w:rPr>
          <w:rFonts w:hint="eastAsia" w:ascii="宋体" w:hAnsi="宋体" w:eastAsia="宋体" w:cs="宋体"/>
          <w:color w:val="auto"/>
          <w:spacing w:val="3"/>
          <w:sz w:val="21"/>
          <w:szCs w:val="21"/>
          <w:highlight w:val="none"/>
          <w:u w:val="single" w:color="auto"/>
        </w:rPr>
        <w:t>质量标准：合格</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4"/>
          <w:sz w:val="21"/>
          <w:szCs w:val="21"/>
          <w:highlight w:val="none"/>
        </w:rPr>
        <w:t>。</w:t>
      </w:r>
    </w:p>
    <w:p>
      <w:pPr>
        <w:spacing w:before="169" w:line="369" w:lineRule="auto"/>
        <w:ind w:left="0" w:leftChars="0" w:right="180" w:firstLine="341" w:firstLineChars="176"/>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3.投标人资格要求</w:t>
      </w:r>
    </w:p>
    <w:p>
      <w:pPr>
        <w:spacing w:before="171" w:line="369" w:lineRule="auto"/>
        <w:ind w:left="0" w:leftChars="0" w:right="175" w:firstLine="366" w:firstLineChars="17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本次招标要求投标人须具备</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水利水电工程施工总承包三级及以上资质或者市政公用工程施工总承包三级及以上资质并且具备有效的安全生产许可证</w:t>
      </w:r>
      <w:r>
        <w:rPr>
          <w:rFonts w:ascii="宋体" w:hAnsi="宋体" w:eastAsia="宋体" w:cs="宋体"/>
          <w:color w:val="auto"/>
          <w:spacing w:val="-1"/>
          <w:sz w:val="21"/>
          <w:szCs w:val="21"/>
          <w:highlight w:val="none"/>
          <w:u w:val="single" w:color="auto"/>
        </w:rPr>
        <w:t>，并在人员、设备、资金等方面具</w:t>
      </w:r>
      <w:r>
        <w:rPr>
          <w:rFonts w:ascii="宋体" w:hAnsi="宋体" w:eastAsia="宋体" w:cs="宋体"/>
          <w:color w:val="auto"/>
          <w:sz w:val="21"/>
          <w:szCs w:val="21"/>
          <w:highlight w:val="none"/>
          <w:u w:val="single" w:color="auto"/>
        </w:rPr>
        <w:t>有相应的施工能力</w:t>
      </w:r>
      <w:r>
        <w:rPr>
          <w:rFonts w:hint="eastAsia" w:ascii="宋体" w:hAnsi="宋体" w:eastAsia="宋体" w:cs="宋体"/>
          <w:color w:val="auto"/>
          <w:sz w:val="21"/>
          <w:szCs w:val="21"/>
          <w:highlight w:val="none"/>
          <w:u w:val="single" w:color="auto"/>
        </w:rPr>
        <w:t>，具备市场监督管理部门核发的有效企业法人营业执照。</w:t>
      </w:r>
      <w:r>
        <w:rPr>
          <w:rFonts w:ascii="宋体" w:hAnsi="宋体" w:eastAsia="宋体" w:cs="宋体"/>
          <w:color w:val="auto"/>
          <w:sz w:val="21"/>
          <w:szCs w:val="21"/>
          <w:highlight w:val="none"/>
        </w:rPr>
        <w:t>其中，投标人拟派项目经理须具备</w:t>
      </w:r>
      <w:r>
        <w:rPr>
          <w:rFonts w:ascii="宋体" w:hAnsi="宋体" w:eastAsia="宋体" w:cs="宋体"/>
          <w:color w:val="auto"/>
          <w:sz w:val="21"/>
          <w:szCs w:val="21"/>
          <w:highlight w:val="none"/>
          <w:u w:val="single"/>
          <w:lang w:eastAsia="zh-CN"/>
        </w:rPr>
        <w:t>水利水电工程专业或市政公用工程</w:t>
      </w:r>
      <w:r>
        <w:rPr>
          <w:rFonts w:ascii="宋体" w:hAnsi="宋体" w:eastAsia="宋体" w:cs="宋体"/>
          <w:color w:val="auto"/>
          <w:sz w:val="21"/>
          <w:szCs w:val="21"/>
          <w:highlight w:val="none"/>
        </w:rPr>
        <w:t>专业</w:t>
      </w:r>
      <w:r>
        <w:rPr>
          <w:rFonts w:hint="eastAsia" w:ascii="宋体" w:hAnsi="宋体" w:eastAsia="宋体" w:cs="宋体"/>
          <w:color w:val="auto"/>
          <w:sz w:val="21"/>
          <w:szCs w:val="21"/>
          <w:highlight w:val="none"/>
          <w:u w:val="single"/>
          <w:lang w:val="en-US" w:eastAsia="zh-CN"/>
        </w:rPr>
        <w:t>二</w:t>
      </w:r>
      <w:r>
        <w:rPr>
          <w:rFonts w:ascii="宋体" w:hAnsi="宋体" w:eastAsia="宋体" w:cs="宋体"/>
          <w:color w:val="auto"/>
          <w:sz w:val="21"/>
          <w:szCs w:val="21"/>
          <w:highlight w:val="none"/>
          <w:u w:val="single"/>
        </w:rPr>
        <w:t>级</w:t>
      </w:r>
      <w:r>
        <w:rPr>
          <w:rFonts w:hint="eastAsia" w:ascii="宋体" w:hAnsi="宋体" w:eastAsia="宋体" w:cs="宋体"/>
          <w:color w:val="auto"/>
          <w:sz w:val="21"/>
          <w:szCs w:val="21"/>
          <w:highlight w:val="none"/>
          <w:u w:val="single"/>
        </w:rPr>
        <w:t>及以上</w:t>
      </w:r>
      <w:r>
        <w:rPr>
          <w:rFonts w:ascii="宋体" w:hAnsi="宋体" w:eastAsia="宋体" w:cs="宋体"/>
          <w:color w:val="auto"/>
          <w:sz w:val="21"/>
          <w:szCs w:val="21"/>
          <w:highlight w:val="none"/>
          <w:u w:val="single"/>
        </w:rPr>
        <w:t>注册建造师执</w:t>
      </w:r>
      <w:r>
        <w:rPr>
          <w:rFonts w:ascii="宋体" w:hAnsi="宋体" w:eastAsia="宋体" w:cs="宋体"/>
          <w:color w:val="auto"/>
          <w:sz w:val="21"/>
          <w:szCs w:val="21"/>
          <w:highlight w:val="none"/>
          <w:u w:val="single" w:color="auto"/>
        </w:rPr>
        <w:t>业资格，具备有效的安全生产考核合格证书（B 证</w:t>
      </w:r>
      <w:r>
        <w:rPr>
          <w:rFonts w:ascii="宋体" w:hAnsi="宋体" w:eastAsia="宋体" w:cs="宋体"/>
          <w:color w:val="auto"/>
          <w:spacing w:val="-49"/>
          <w:sz w:val="21"/>
          <w:szCs w:val="21"/>
          <w:highlight w:val="none"/>
          <w:u w:val="single" w:color="auto"/>
        </w:rPr>
        <w:t>），</w:t>
      </w:r>
      <w:r>
        <w:rPr>
          <w:rFonts w:ascii="宋体" w:hAnsi="宋体" w:eastAsia="宋体" w:cs="宋体"/>
          <w:color w:val="auto"/>
          <w:sz w:val="21"/>
          <w:szCs w:val="21"/>
          <w:highlight w:val="none"/>
          <w:u w:val="single" w:color="auto"/>
        </w:rPr>
        <w:t>且未担任其他在施建设工程项目的</w:t>
      </w:r>
      <w:r>
        <w:rPr>
          <w:rFonts w:ascii="宋体" w:hAnsi="宋体" w:eastAsia="宋体" w:cs="宋体"/>
          <w:color w:val="auto"/>
          <w:spacing w:val="-2"/>
          <w:sz w:val="21"/>
          <w:szCs w:val="21"/>
          <w:highlight w:val="none"/>
          <w:u w:val="single" w:color="auto"/>
        </w:rPr>
        <w:t>项目经理</w:t>
      </w:r>
      <w:r>
        <w:rPr>
          <w:rFonts w:hint="eastAsia" w:ascii="宋体" w:hAnsi="宋体" w:eastAsia="宋体" w:cs="宋体"/>
          <w:color w:val="auto"/>
          <w:spacing w:val="-2"/>
          <w:sz w:val="21"/>
          <w:szCs w:val="21"/>
          <w:highlight w:val="none"/>
          <w:u w:val="single" w:color="auto"/>
          <w:lang w:eastAsia="zh-CN"/>
        </w:rPr>
        <w:t>，《注册建造师执业管理办法（试行）》第九条规定的情形除外</w:t>
      </w:r>
      <w:r>
        <w:rPr>
          <w:rFonts w:ascii="宋体" w:hAnsi="宋体" w:eastAsia="宋体" w:cs="宋体"/>
          <w:color w:val="auto"/>
          <w:spacing w:val="-2"/>
          <w:sz w:val="21"/>
          <w:szCs w:val="21"/>
          <w:highlight w:val="none"/>
        </w:rPr>
        <w:t>。</w:t>
      </w:r>
    </w:p>
    <w:p>
      <w:pPr>
        <w:spacing w:before="168" w:line="360" w:lineRule="auto"/>
        <w:ind w:left="0" w:leftChars="0" w:firstLine="366" w:firstLineChars="17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本次招标</w:t>
      </w:r>
      <w:r>
        <w:rPr>
          <w:rFonts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u w:val="single" w:color="auto"/>
          <w:lang w:val="en-US" w:eastAsia="zh-CN"/>
        </w:rPr>
        <w:t>不接受</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联合体投标。</w:t>
      </w:r>
    </w:p>
    <w:p>
      <w:pPr>
        <w:spacing w:before="168" w:line="360" w:lineRule="auto"/>
        <w:ind w:left="0" w:leftChars="0" w:firstLine="344" w:firstLineChars="176"/>
        <w:rPr>
          <w:rFonts w:ascii="宋体" w:hAnsi="宋体" w:eastAsia="宋体" w:cs="宋体"/>
          <w:color w:val="auto"/>
          <w:spacing w:val="-31"/>
          <w:sz w:val="21"/>
          <w:szCs w:val="21"/>
          <w:highlight w:val="none"/>
        </w:rPr>
      </w:pPr>
      <w:r>
        <w:rPr>
          <w:rFonts w:ascii="宋体" w:hAnsi="宋体" w:eastAsia="宋体" w:cs="宋体"/>
          <w:color w:val="auto"/>
          <w:spacing w:val="-7"/>
          <w:sz w:val="21"/>
          <w:szCs w:val="21"/>
          <w:highlight w:val="none"/>
        </w:rPr>
        <w:t>3.3</w:t>
      </w:r>
      <w:r>
        <w:rPr>
          <w:rFonts w:ascii="宋体" w:hAnsi="宋体" w:eastAsia="宋体" w:cs="宋体"/>
          <w:color w:val="auto"/>
          <w:spacing w:val="-35"/>
          <w:sz w:val="21"/>
          <w:szCs w:val="21"/>
          <w:highlight w:val="none"/>
        </w:rPr>
        <w:t xml:space="preserve"> </w:t>
      </w:r>
      <w:r>
        <w:rPr>
          <w:rFonts w:ascii="宋体" w:hAnsi="宋体" w:eastAsia="宋体" w:cs="宋体"/>
          <w:color w:val="auto"/>
          <w:spacing w:val="-7"/>
          <w:sz w:val="21"/>
          <w:szCs w:val="21"/>
          <w:highlight w:val="none"/>
        </w:rPr>
        <w:t>其他要求：</w:t>
      </w:r>
      <w:r>
        <w:rPr>
          <w:rFonts w:ascii="宋体" w:hAnsi="宋体" w:eastAsia="宋体" w:cs="宋体"/>
          <w:color w:val="auto"/>
          <w:spacing w:val="-31"/>
          <w:sz w:val="21"/>
          <w:szCs w:val="21"/>
          <w:highlight w:val="none"/>
        </w:rPr>
        <w:t xml:space="preserve"> </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）凡在“信用中国或信用中国辽宁 ”网站或同级及以上网站查询，被列入失信被执行人或黑名单的单位、重大税收违法案件当事人名单等不良行为的不得参加本工程投标。</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 投标人授权的委托代理人应具有与投标人单位签订的经人社部门认定盖章、一年以上（含1年）的劳动合同或社会养老保险关系证明（若投标单位所在地区的人社部门不在劳动合同或社保证明原件上盖章，则须提供人社部门官网打印件并经人社部门官网可查且信息有效）。</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）本工程实行资格后审，资格审查的具体要求见招标文件，资格后审不合格的投标文件将被否决。</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4.招标文件的获取</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凡有意参加投标者，请于</w:t>
      </w:r>
      <w:r>
        <w:rPr>
          <w:rFonts w:hint="eastAsia" w:ascii="宋体" w:hAnsi="宋体" w:eastAsia="宋体" w:cs="宋体"/>
          <w:color w:val="auto"/>
          <w:sz w:val="21"/>
          <w:szCs w:val="21"/>
          <w:highlight w:val="none"/>
          <w:lang w:val="en-US" w:eastAsia="zh-CN"/>
        </w:rPr>
        <w:t>2024</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08:30时</w:t>
      </w:r>
      <w:r>
        <w:rPr>
          <w:rFonts w:hint="eastAsia" w:ascii="宋体" w:hAnsi="宋体" w:eastAsia="宋体" w:cs="宋体"/>
          <w:color w:val="auto"/>
          <w:sz w:val="21"/>
          <w:szCs w:val="21"/>
          <w:highlight w:val="none"/>
          <w:lang w:eastAsia="zh-CN"/>
        </w:rPr>
        <w:t>至</w:t>
      </w:r>
      <w:r>
        <w:rPr>
          <w:rFonts w:hint="eastAsia" w:ascii="宋体" w:hAnsi="宋体" w:eastAsia="宋体" w:cs="宋体"/>
          <w:color w:val="auto"/>
          <w:sz w:val="21"/>
          <w:szCs w:val="21"/>
          <w:highlight w:val="none"/>
          <w:lang w:val="en-US" w:eastAsia="zh-CN"/>
        </w:rPr>
        <w:t>2024</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16时</w:t>
      </w:r>
      <w:r>
        <w:rPr>
          <w:rFonts w:hint="eastAsia" w:ascii="宋体" w:hAnsi="宋体" w:eastAsia="宋体" w:cs="宋体"/>
          <w:color w:val="auto"/>
          <w:sz w:val="21"/>
          <w:szCs w:val="21"/>
          <w:highlight w:val="none"/>
          <w:lang w:eastAsia="zh-CN"/>
        </w:rPr>
        <w:t>止（北京时间、下同），通过辽宁省公共资源交易网 http://ggzy.ln.gov.cn/指定栏目下载招标文件，在所投标段下载招标文件。未按规定从系统下载招标文件的，招标人拒收其投标文件。</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5.投标文件的递交</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5.1 投标文件递交截止时间为</w:t>
      </w:r>
      <w:r>
        <w:rPr>
          <w:rFonts w:hint="eastAsia" w:ascii="宋体" w:hAnsi="宋体" w:eastAsia="宋体" w:cs="宋体"/>
          <w:color w:val="auto"/>
          <w:sz w:val="21"/>
          <w:szCs w:val="21"/>
          <w:highlight w:val="none"/>
          <w:lang w:val="en-US" w:eastAsia="zh-CN"/>
        </w:rPr>
        <w:t xml:space="preserve"> 2024年**月**日10时00分</w:t>
      </w:r>
      <w:r>
        <w:rPr>
          <w:rFonts w:hint="eastAsia" w:ascii="宋体" w:hAnsi="宋体" w:eastAsia="宋体" w:cs="宋体"/>
          <w:color w:val="auto"/>
          <w:sz w:val="21"/>
          <w:szCs w:val="21"/>
          <w:highlight w:val="none"/>
          <w:lang w:eastAsia="zh-CN"/>
        </w:rPr>
        <w:t>。</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5.2投标人应当在投标截止时间前，通过辽宁省公共资源交易网https://www.lnsggzy.com/EpointSSO/login/oauth2login 网上递交，选择所投标段将加密的电子投标文件上传。逾期未完成上传或未加密的电子投标文件，招标人将拒收。纸质版备份投标文件递交至大石桥市审批技术审查与公共资源交易中心（大石桥财政局西源源水务二楼）。</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 开标地点：大石桥市审批技术审查与公共资源交易中心（大石桥财政局西源源水务二楼），逾期送达的或者未送达指定地点的投标文件，招标人不予受理。</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 开标方式：远程开标（不见面交易）。</w:t>
      </w:r>
    </w:p>
    <w:p>
      <w:pPr>
        <w:bidi w:val="0"/>
        <w:spacing w:line="360" w:lineRule="auto"/>
        <w:ind w:left="0" w:leftChars="0" w:firstLine="315" w:firstLineChars="15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6.投标相关事宜：本项目采用远程解密、开标。开标网址：https://www.lnsggzy.com/BidOpeningHall/bidhall/dqliaoning/login。投标文件需要用实体CA数字证书或移动CA数字证书生成上传。并在递交投标文件截止时间起30分钟内（因开标系统发生不可抗力产生延误解密时间的，招标人将延长相应的解密时长，其他原因不予延长解密时间），登录交易系统进入所投开标项目，使用CA 数字证书解密投标文件，未在规定时间内完成解密的投标人，视为放弃本次投标。</w:t>
      </w:r>
    </w:p>
    <w:p>
      <w:pPr>
        <w:spacing w:before="155" w:line="360" w:lineRule="auto"/>
        <w:ind w:left="0" w:leftChars="0" w:firstLine="366" w:firstLineChars="17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7.评标办法</w:t>
      </w:r>
    </w:p>
    <w:p>
      <w:pPr>
        <w:spacing w:before="111" w:line="360" w:lineRule="auto"/>
        <w:ind w:left="0" w:leftChars="0"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本次招标评标办法采用</w:t>
      </w:r>
      <w:r>
        <w:rPr>
          <w:rFonts w:hint="eastAsia" w:ascii="宋体" w:hAnsi="宋体" w:eastAsia="宋体" w:cs="宋体"/>
          <w:color w:val="auto"/>
          <w:sz w:val="21"/>
          <w:szCs w:val="21"/>
          <w:highlight w:val="none"/>
          <w:u w:val="single" w:color="auto"/>
        </w:rPr>
        <w:t xml:space="preserve"> 综合评估法</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w:t>
      </w:r>
    </w:p>
    <w:p>
      <w:pPr>
        <w:spacing w:before="1" w:line="360" w:lineRule="auto"/>
        <w:ind w:left="0" w:leftChars="0" w:firstLine="366" w:firstLineChars="17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8.发布公告的媒介</w:t>
      </w:r>
    </w:p>
    <w:p>
      <w:pPr>
        <w:spacing w:before="111" w:line="360" w:lineRule="auto"/>
        <w:ind w:left="0" w:leftChars="0" w:firstLine="366" w:firstLineChars="176"/>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本次招标公告在</w:t>
      </w:r>
      <w:r>
        <w:rPr>
          <w:rFonts w:hint="eastAsia" w:ascii="宋体" w:hAnsi="宋体" w:eastAsia="宋体" w:cs="宋体"/>
          <w:color w:val="auto"/>
          <w:spacing w:val="-1"/>
          <w:sz w:val="21"/>
          <w:szCs w:val="21"/>
          <w:highlight w:val="none"/>
          <w:u w:val="single" w:color="auto"/>
        </w:rPr>
        <w:t>辽宁省招标投标监管网</w:t>
      </w:r>
      <w:r>
        <w:rPr>
          <w:rFonts w:hint="eastAsia" w:ascii="宋体" w:hAnsi="宋体" w:eastAsia="宋体" w:cs="宋体"/>
          <w:color w:val="auto"/>
          <w:spacing w:val="-1"/>
          <w:sz w:val="21"/>
          <w:szCs w:val="21"/>
          <w:highlight w:val="none"/>
          <w:u w:val="single" w:color="auto"/>
          <w:lang w:eastAsia="zh-CN"/>
        </w:rPr>
        <w:t>、</w:t>
      </w:r>
      <w:r>
        <w:rPr>
          <w:rFonts w:hint="eastAsia" w:ascii="宋体" w:hAnsi="宋体" w:eastAsia="宋体" w:cs="宋体"/>
          <w:color w:val="auto"/>
          <w:spacing w:val="-1"/>
          <w:sz w:val="21"/>
          <w:szCs w:val="21"/>
          <w:highlight w:val="none"/>
          <w:u w:val="single" w:color="auto"/>
          <w:lang w:val="en-US" w:eastAsia="zh-CN"/>
        </w:rPr>
        <w:t>辽宁省公共资源交易网</w:t>
      </w:r>
      <w:r>
        <w:rPr>
          <w:rFonts w:hint="eastAsia" w:ascii="宋体" w:hAnsi="宋体" w:eastAsia="宋体" w:cs="宋体"/>
          <w:color w:val="auto"/>
          <w:spacing w:val="-1"/>
          <w:sz w:val="21"/>
          <w:szCs w:val="21"/>
          <w:highlight w:val="none"/>
        </w:rPr>
        <w:t>上发布。</w:t>
      </w:r>
    </w:p>
    <w:p>
      <w:pPr>
        <w:spacing w:line="360" w:lineRule="auto"/>
        <w:ind w:left="0" w:leftChars="0"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9.监督信息</w:t>
      </w:r>
    </w:p>
    <w:p>
      <w:pPr>
        <w:spacing w:before="110" w:line="360" w:lineRule="auto"/>
        <w:ind w:left="0" w:leftChars="0" w:right="-5" w:rightChars="0" w:firstLine="337" w:firstLineChars="176"/>
        <w:rPr>
          <w:rFonts w:hint="eastAsia" w:ascii="宋体" w:hAnsi="宋体" w:eastAsia="宋体" w:cs="宋体"/>
          <w:color w:val="auto"/>
          <w:spacing w:val="2"/>
          <w:sz w:val="21"/>
          <w:szCs w:val="21"/>
          <w:highlight w:val="none"/>
        </w:rPr>
      </w:pPr>
      <w:r>
        <w:rPr>
          <w:rFonts w:hint="eastAsia" w:ascii="宋体" w:hAnsi="宋体" w:eastAsia="宋体" w:cs="宋体"/>
          <w:color w:val="auto"/>
          <w:spacing w:val="-9"/>
          <w:sz w:val="21"/>
          <w:szCs w:val="21"/>
          <w:highlight w:val="none"/>
        </w:rPr>
        <w:t>监督部门：</w:t>
      </w:r>
      <w:r>
        <w:rPr>
          <w:rFonts w:hint="eastAsia" w:ascii="宋体" w:hAnsi="宋体" w:eastAsia="宋体" w:cs="宋体"/>
          <w:color w:val="auto"/>
          <w:spacing w:val="10"/>
          <w:sz w:val="21"/>
          <w:szCs w:val="21"/>
          <w:highlight w:val="none"/>
          <w:u w:val="single" w:color="auto"/>
          <w:lang w:val="en-US" w:eastAsia="zh-CN"/>
        </w:rPr>
        <w:t>大石桥市发展和改革局</w:t>
      </w:r>
      <w:r>
        <w:rPr>
          <w:rFonts w:hint="eastAsia" w:ascii="宋体" w:hAnsi="宋体" w:eastAsia="宋体" w:cs="宋体"/>
          <w:color w:val="auto"/>
          <w:spacing w:val="-9"/>
          <w:sz w:val="21"/>
          <w:szCs w:val="21"/>
          <w:highlight w:val="none"/>
        </w:rPr>
        <w:t>，负责人</w:t>
      </w:r>
      <w:r>
        <w:rPr>
          <w:rFonts w:hint="eastAsia" w:ascii="宋体" w:hAnsi="宋体" w:eastAsia="宋体" w:cs="宋体"/>
          <w:color w:val="auto"/>
          <w:spacing w:val="-9"/>
          <w:sz w:val="21"/>
          <w:szCs w:val="21"/>
          <w:highlight w:val="none"/>
          <w:lang w:eastAsia="zh-CN"/>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王女士</w:t>
      </w:r>
      <w:r>
        <w:rPr>
          <w:rFonts w:hint="eastAsia" w:ascii="宋体" w:hAnsi="宋体" w:eastAsia="宋体" w:cs="宋体"/>
          <w:color w:val="auto"/>
          <w:spacing w:val="-9"/>
          <w:sz w:val="21"/>
          <w:szCs w:val="21"/>
          <w:highlight w:val="none"/>
        </w:rPr>
        <w:t>，联系方式：</w:t>
      </w:r>
      <w:r>
        <w:rPr>
          <w:rFonts w:hint="eastAsia" w:ascii="宋体" w:hAnsi="宋体" w:eastAsia="宋体" w:cs="宋体"/>
          <w:color w:val="auto"/>
          <w:spacing w:val="10"/>
          <w:sz w:val="21"/>
          <w:szCs w:val="21"/>
          <w:highlight w:val="none"/>
          <w:u w:val="single" w:color="auto"/>
          <w:lang w:val="en-US" w:eastAsia="zh-CN"/>
        </w:rPr>
        <w:t>0417-5620156</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2"/>
          <w:sz w:val="21"/>
          <w:szCs w:val="21"/>
          <w:highlight w:val="none"/>
        </w:rPr>
        <w:t xml:space="preserve"> </w:t>
      </w:r>
    </w:p>
    <w:p>
      <w:pPr>
        <w:spacing w:before="109" w:line="360" w:lineRule="auto"/>
        <w:ind w:left="0" w:leftChars="0" w:firstLine="359" w:firstLineChars="17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10.联系方式</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招标人：大石桥市农业农村局</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地 址：大石桥市哈大南路</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 xml:space="preserve">联系人：曲先生      </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 xml:space="preserve">联系电话：0417-5666115    </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 xml:space="preserve">         </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招标代理机构：辽宁惠信工程造价咨询有限公司</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地  址：营口市站前区万达广场6A写字楼（万达营销中心）三楼</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联 系 人：刘堃</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 xml:space="preserve">电    话：0417-2988803 </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 xml:space="preserve">邮箱：lnhx20200202@163.com </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异议联系人：曲先生</w:t>
      </w:r>
    </w:p>
    <w:p>
      <w:pPr>
        <w:spacing w:before="110" w:line="269" w:lineRule="auto"/>
        <w:ind w:left="0" w:leftChars="0" w:right="818" w:firstLine="404" w:firstLineChars="176"/>
        <w:rPr>
          <w:rFonts w:hint="eastAsia" w:ascii="宋体" w:hAnsi="宋体" w:eastAsia="宋体" w:cs="宋体"/>
          <w:color w:val="auto"/>
          <w:spacing w:val="10"/>
          <w:sz w:val="21"/>
          <w:szCs w:val="21"/>
          <w:highlight w:val="none"/>
          <w:u w:val="none" w:color="auto"/>
          <w:lang w:val="en-US" w:eastAsia="zh-CN"/>
        </w:rPr>
      </w:pPr>
      <w:r>
        <w:rPr>
          <w:rFonts w:hint="eastAsia" w:ascii="宋体" w:hAnsi="宋体" w:eastAsia="宋体" w:cs="宋体"/>
          <w:color w:val="auto"/>
          <w:spacing w:val="10"/>
          <w:sz w:val="21"/>
          <w:szCs w:val="21"/>
          <w:highlight w:val="none"/>
          <w:u w:val="none" w:color="auto"/>
          <w:lang w:val="en-US" w:eastAsia="zh-CN"/>
        </w:rPr>
        <w:t>异议联系人电话：0417-5666115</w:t>
      </w:r>
    </w:p>
    <w:p>
      <w:pPr>
        <w:pStyle w:val="2"/>
        <w:spacing w:line="405" w:lineRule="auto"/>
        <w:ind w:left="0" w:leftChars="0" w:firstLine="492" w:firstLineChars="176"/>
        <w:rPr>
          <w:color w:val="auto"/>
          <w:sz w:val="28"/>
          <w:szCs w:val="28"/>
          <w:highlight w:val="none"/>
        </w:rPr>
      </w:pPr>
    </w:p>
    <w:p>
      <w:pPr>
        <w:ind w:left="0" w:leftChars="0" w:firstLine="492" w:firstLineChars="176"/>
        <w:rPr>
          <w:color w:val="auto"/>
          <w:sz w:val="28"/>
          <w:szCs w:val="28"/>
          <w:highlight w:val="none"/>
        </w:rPr>
      </w:pPr>
    </w:p>
    <w:p>
      <w:pPr>
        <w:spacing w:line="221" w:lineRule="auto"/>
        <w:rPr>
          <w:rFonts w:ascii="宋体" w:hAnsi="宋体" w:eastAsia="宋体" w:cs="宋体"/>
          <w:color w:val="auto"/>
          <w:sz w:val="21"/>
          <w:szCs w:val="21"/>
          <w:highlight w:val="none"/>
        </w:rPr>
        <w:sectPr>
          <w:footerReference r:id="rId11" w:type="default"/>
          <w:pgSz w:w="11905" w:h="16843"/>
          <w:pgMar w:top="1769" w:right="1548" w:bottom="1003" w:left="1542" w:header="0" w:footer="828" w:gutter="0"/>
          <w:pgNumType w:fmt="numberInDash" w:start="2"/>
          <w:cols w:space="0" w:num="1"/>
          <w:rtlGutter w:val="0"/>
          <w:docGrid w:linePitch="0" w:charSpace="0"/>
        </w:sectPr>
      </w:pPr>
    </w:p>
    <w:p>
      <w:pPr>
        <w:pStyle w:val="2"/>
        <w:spacing w:line="243" w:lineRule="auto"/>
        <w:rPr>
          <w:color w:val="auto"/>
          <w:highlight w:val="none"/>
        </w:rPr>
      </w:pPr>
      <w:bookmarkStart w:id="21" w:name="bookmark49"/>
      <w:bookmarkEnd w:id="21"/>
      <w:bookmarkStart w:id="22" w:name="bookmark48"/>
      <w:bookmarkEnd w:id="22"/>
      <w:bookmarkStart w:id="23" w:name="bookmark50"/>
      <w:bookmarkEnd w:id="23"/>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spacing w:before="101" w:line="224" w:lineRule="auto"/>
        <w:ind w:left="2739"/>
        <w:rPr>
          <w:rFonts w:ascii="黑体" w:hAnsi="黑体" w:eastAsia="黑体" w:cs="黑体"/>
          <w:color w:val="auto"/>
          <w:sz w:val="31"/>
          <w:szCs w:val="31"/>
          <w:highlight w:val="none"/>
        </w:rPr>
      </w:pPr>
      <w:bookmarkStart w:id="24" w:name="bookmark58"/>
      <w:bookmarkEnd w:id="24"/>
      <w:bookmarkStart w:id="25" w:name="bookmark56"/>
      <w:bookmarkEnd w:id="25"/>
      <w:bookmarkStart w:id="26" w:name="bookmark57"/>
      <w:bookmarkEnd w:id="26"/>
      <w:bookmarkStart w:id="27" w:name="bookmark55"/>
      <w:bookmarkEnd w:id="27"/>
      <w:r>
        <w:rPr>
          <w:rFonts w:ascii="黑体" w:hAnsi="黑体" w:eastAsia="黑体" w:cs="黑体"/>
          <w:color w:val="auto"/>
          <w:spacing w:val="7"/>
          <w:sz w:val="31"/>
          <w:szCs w:val="31"/>
          <w:highlight w:val="none"/>
        </w:rPr>
        <w:t>第二章  投标人须知</w:t>
      </w:r>
    </w:p>
    <w:p>
      <w:pPr>
        <w:spacing w:line="224" w:lineRule="auto"/>
        <w:rPr>
          <w:rFonts w:ascii="黑体" w:hAnsi="黑体" w:eastAsia="黑体" w:cs="黑体"/>
          <w:color w:val="auto"/>
          <w:sz w:val="31"/>
          <w:szCs w:val="31"/>
          <w:highlight w:val="none"/>
        </w:rPr>
        <w:sectPr>
          <w:footerReference r:id="rId12" w:type="default"/>
          <w:pgSz w:w="11905" w:h="16843"/>
          <w:pgMar w:top="1769" w:right="1548" w:bottom="1003" w:left="1542" w:header="0" w:footer="828" w:gutter="0"/>
          <w:pgNumType w:fmt="numberInDash"/>
          <w:cols w:space="0" w:num="1"/>
          <w:rtlGutter w:val="0"/>
          <w:docGrid w:linePitch="0" w:charSpace="0"/>
        </w:sectPr>
      </w:pPr>
    </w:p>
    <w:p>
      <w:pPr>
        <w:spacing w:before="63" w:line="224" w:lineRule="auto"/>
        <w:ind w:left="2825"/>
        <w:rPr>
          <w:rFonts w:ascii="黑体" w:hAnsi="黑体" w:eastAsia="黑体" w:cs="黑体"/>
          <w:color w:val="auto"/>
          <w:sz w:val="31"/>
          <w:szCs w:val="31"/>
          <w:highlight w:val="none"/>
        </w:rPr>
      </w:pPr>
      <w:bookmarkStart w:id="28" w:name="bookmark62"/>
      <w:bookmarkEnd w:id="28"/>
      <w:bookmarkStart w:id="29" w:name="bookmark64"/>
      <w:bookmarkEnd w:id="29"/>
      <w:bookmarkStart w:id="30" w:name="bookmark65"/>
      <w:bookmarkEnd w:id="30"/>
      <w:bookmarkStart w:id="31" w:name="bookmark61"/>
      <w:bookmarkEnd w:id="31"/>
      <w:bookmarkStart w:id="32" w:name="bookmark63"/>
      <w:bookmarkEnd w:id="32"/>
      <w:bookmarkStart w:id="33" w:name="bookmark59"/>
      <w:bookmarkEnd w:id="33"/>
      <w:bookmarkStart w:id="34" w:name="bookmark60"/>
      <w:bookmarkEnd w:id="34"/>
      <w:r>
        <w:rPr>
          <w:rFonts w:ascii="黑体" w:hAnsi="黑体" w:eastAsia="黑体" w:cs="黑体"/>
          <w:color w:val="auto"/>
          <w:spacing w:val="7"/>
          <w:sz w:val="31"/>
          <w:szCs w:val="31"/>
          <w:highlight w:val="none"/>
        </w:rPr>
        <w:t>第二章  投标人须知</w:t>
      </w:r>
    </w:p>
    <w:p>
      <w:pPr>
        <w:spacing w:before="176" w:line="211" w:lineRule="auto"/>
        <w:ind w:left="3143"/>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投标人须知前附表</w:t>
      </w:r>
    </w:p>
    <w:tbl>
      <w:tblPr>
        <w:tblStyle w:val="9"/>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0"/>
              <w:spacing w:before="168" w:line="221" w:lineRule="auto"/>
              <w:ind w:left="117"/>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rPr>
                <w:color w:val="auto"/>
                <w:highlight w:val="none"/>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6" w:type="dxa"/>
            <w:vAlign w:val="top"/>
          </w:tcPr>
          <w:p>
            <w:pPr>
              <w:spacing w:line="248" w:lineRule="auto"/>
              <w:rPr>
                <w:rFonts w:ascii="Arial"/>
                <w:color w:val="auto"/>
                <w:sz w:val="21"/>
                <w:highlight w:val="none"/>
              </w:rPr>
            </w:pPr>
          </w:p>
          <w:p>
            <w:pPr>
              <w:spacing w:line="249" w:lineRule="auto"/>
              <w:rPr>
                <w:rFonts w:ascii="Arial"/>
                <w:color w:val="auto"/>
                <w:sz w:val="21"/>
                <w:highlight w:val="none"/>
              </w:rPr>
            </w:pPr>
          </w:p>
          <w:p>
            <w:pPr>
              <w:spacing w:line="249" w:lineRule="auto"/>
              <w:rPr>
                <w:rFonts w:ascii="Arial"/>
                <w:color w:val="auto"/>
                <w:sz w:val="21"/>
                <w:highlight w:val="none"/>
              </w:rPr>
            </w:pPr>
          </w:p>
          <w:p>
            <w:pPr>
              <w:spacing w:line="249" w:lineRule="auto"/>
              <w:rPr>
                <w:rFonts w:ascii="Arial"/>
                <w:color w:val="auto"/>
                <w:sz w:val="21"/>
                <w:highlight w:val="none"/>
              </w:rPr>
            </w:pPr>
          </w:p>
          <w:p>
            <w:pPr>
              <w:pStyle w:val="10"/>
              <w:spacing w:before="68" w:line="183" w:lineRule="auto"/>
              <w:ind w:left="186"/>
              <w:rPr>
                <w:color w:val="auto"/>
                <w:highlight w:val="none"/>
              </w:rPr>
            </w:pPr>
            <w:r>
              <w:rPr>
                <w:color w:val="auto"/>
                <w:spacing w:val="-4"/>
                <w:highlight w:val="none"/>
              </w:rPr>
              <w:t>1.1.2</w:t>
            </w:r>
          </w:p>
        </w:tc>
        <w:tc>
          <w:tcPr>
            <w:tcW w:w="1977" w:type="dxa"/>
            <w:vAlign w:val="top"/>
          </w:tcPr>
          <w:p>
            <w:pPr>
              <w:rPr>
                <w:rFonts w:ascii="Arial"/>
                <w:color w:val="auto"/>
                <w:sz w:val="21"/>
                <w:highlight w:val="none"/>
              </w:rPr>
            </w:pPr>
          </w:p>
          <w:p>
            <w:pPr>
              <w:rPr>
                <w:rFonts w:ascii="Arial"/>
                <w:color w:val="auto"/>
                <w:sz w:val="21"/>
                <w:highlight w:val="none"/>
              </w:rPr>
            </w:pPr>
          </w:p>
          <w:p>
            <w:pPr>
              <w:rPr>
                <w:rFonts w:ascii="Arial"/>
                <w:color w:val="auto"/>
                <w:sz w:val="21"/>
                <w:highlight w:val="none"/>
              </w:rPr>
            </w:pPr>
          </w:p>
          <w:p>
            <w:pPr>
              <w:spacing w:line="241" w:lineRule="auto"/>
              <w:rPr>
                <w:rFonts w:ascii="Arial"/>
                <w:color w:val="auto"/>
                <w:sz w:val="21"/>
                <w:highlight w:val="none"/>
              </w:rPr>
            </w:pPr>
          </w:p>
          <w:p>
            <w:pPr>
              <w:pStyle w:val="10"/>
              <w:spacing w:before="68" w:line="221" w:lineRule="auto"/>
              <w:ind w:left="676"/>
              <w:rPr>
                <w:color w:val="auto"/>
                <w:highlight w:val="none"/>
              </w:rPr>
            </w:pPr>
            <w:r>
              <w:rPr>
                <w:color w:val="auto"/>
                <w:spacing w:val="-2"/>
                <w:highlight w:val="none"/>
              </w:rPr>
              <w:t>招标人</w:t>
            </w:r>
          </w:p>
        </w:tc>
        <w:tc>
          <w:tcPr>
            <w:tcW w:w="5673" w:type="dxa"/>
            <w:vAlign w:val="top"/>
          </w:tcPr>
          <w:p>
            <w:pPr>
              <w:pStyle w:val="10"/>
              <w:spacing w:before="67" w:line="240" w:lineRule="auto"/>
              <w:ind w:left="112"/>
              <w:rPr>
                <w:color w:val="auto"/>
                <w:highlight w:val="none"/>
              </w:rPr>
            </w:pPr>
            <w:r>
              <w:rPr>
                <w:color w:val="auto"/>
                <w:highlight w:val="none"/>
              </w:rPr>
              <w:t>名    称：</w:t>
            </w:r>
            <w:r>
              <w:rPr>
                <w:rFonts w:hint="eastAsia"/>
                <w:color w:val="auto"/>
                <w:highlight w:val="none"/>
              </w:rPr>
              <w:t>大石桥市农业农村局</w:t>
            </w:r>
          </w:p>
          <w:p>
            <w:pPr>
              <w:pStyle w:val="10"/>
              <w:spacing w:before="67" w:line="240" w:lineRule="auto"/>
              <w:ind w:left="112"/>
              <w:rPr>
                <w:rFonts w:hint="default"/>
                <w:color w:val="auto"/>
                <w:highlight w:val="none"/>
                <w:lang w:val="en-US" w:eastAsia="zh-CN"/>
              </w:rPr>
            </w:pPr>
            <w:r>
              <w:rPr>
                <w:color w:val="auto"/>
                <w:highlight w:val="none"/>
              </w:rPr>
              <w:t>地    址：</w:t>
            </w:r>
            <w:r>
              <w:rPr>
                <w:rFonts w:hint="eastAsia"/>
                <w:color w:val="auto"/>
                <w:highlight w:val="none"/>
                <w:lang w:val="en-US" w:eastAsia="zh-CN"/>
              </w:rPr>
              <w:t>大石桥市哈大南路15号</w:t>
            </w:r>
          </w:p>
          <w:p>
            <w:pPr>
              <w:pStyle w:val="10"/>
              <w:spacing w:before="67" w:line="240" w:lineRule="auto"/>
              <w:ind w:left="112"/>
              <w:rPr>
                <w:rFonts w:hint="eastAsia" w:eastAsia="宋体"/>
                <w:color w:val="auto"/>
                <w:highlight w:val="none"/>
                <w:lang w:eastAsia="zh-CN"/>
              </w:rPr>
            </w:pPr>
            <w:r>
              <w:rPr>
                <w:color w:val="auto"/>
                <w:highlight w:val="none"/>
              </w:rPr>
              <w:t>联 系 人：</w:t>
            </w:r>
            <w:r>
              <w:rPr>
                <w:rFonts w:hint="eastAsia"/>
                <w:color w:val="auto"/>
                <w:highlight w:val="none"/>
                <w:lang w:eastAsia="zh-CN"/>
              </w:rPr>
              <w:t>曲先生</w:t>
            </w:r>
          </w:p>
          <w:p>
            <w:pPr>
              <w:pStyle w:val="10"/>
              <w:spacing w:before="67" w:line="240" w:lineRule="auto"/>
              <w:ind w:left="112"/>
              <w:rPr>
                <w:color w:val="auto"/>
                <w:highlight w:val="none"/>
              </w:rPr>
            </w:pPr>
            <w:r>
              <w:rPr>
                <w:color w:val="auto"/>
                <w:highlight w:val="none"/>
              </w:rPr>
              <w:t>电    话：</w:t>
            </w:r>
            <w:r>
              <w:rPr>
                <w:rFonts w:hint="eastAsia"/>
                <w:color w:val="auto"/>
                <w:highlight w:val="none"/>
              </w:rPr>
              <w:t>0417-5666115</w:t>
            </w:r>
          </w:p>
          <w:p>
            <w:pPr>
              <w:pStyle w:val="10"/>
              <w:spacing w:before="67" w:line="240" w:lineRule="auto"/>
              <w:ind w:left="112"/>
              <w:rPr>
                <w:rFonts w:hint="eastAsia"/>
                <w:color w:val="auto"/>
                <w:highlight w:val="none"/>
                <w:lang w:val="en-US" w:eastAsia="zh-CN"/>
              </w:rPr>
            </w:pPr>
            <w:r>
              <w:rPr>
                <w:color w:val="auto"/>
                <w:highlight w:val="none"/>
              </w:rPr>
              <w:t>电子邮件：</w:t>
            </w:r>
            <w:r>
              <w:rPr>
                <w:rFonts w:hint="eastAsia"/>
                <w:color w:val="auto"/>
                <w:highlight w:val="none"/>
                <w:lang w:val="en-US" w:eastAsia="zh-CN"/>
              </w:rPr>
              <w:t>/</w:t>
            </w:r>
          </w:p>
          <w:p>
            <w:pPr>
              <w:pStyle w:val="10"/>
              <w:spacing w:before="67" w:line="240" w:lineRule="auto"/>
              <w:ind w:left="112"/>
              <w:rPr>
                <w:color w:val="auto"/>
                <w:highlight w:val="none"/>
              </w:rPr>
            </w:pPr>
            <w:r>
              <w:rPr>
                <w:color w:val="auto"/>
                <w:highlight w:val="none"/>
              </w:rPr>
              <w:t>项目负责人姓名及联系方式：</w:t>
            </w:r>
          </w:p>
          <w:p>
            <w:pPr>
              <w:pStyle w:val="10"/>
              <w:spacing w:line="240" w:lineRule="auto"/>
              <w:ind w:left="113"/>
              <w:rPr>
                <w:color w:val="auto"/>
                <w:highlight w:val="none"/>
              </w:rPr>
            </w:pPr>
            <w:r>
              <w:rPr>
                <w:color w:val="auto"/>
                <w:highlight w:val="none"/>
              </w:rPr>
              <w:t>姓名：</w:t>
            </w:r>
            <w:r>
              <w:rPr>
                <w:rFonts w:hint="eastAsia"/>
                <w:color w:val="auto"/>
                <w:highlight w:val="none"/>
                <w:lang w:eastAsia="zh-CN"/>
              </w:rPr>
              <w:t>曲先生</w:t>
            </w:r>
            <w:r>
              <w:rPr>
                <w:color w:val="auto"/>
                <w:highlight w:val="none"/>
              </w:rPr>
              <w:t xml:space="preserve">          电话：</w:t>
            </w:r>
            <w:r>
              <w:rPr>
                <w:rFonts w:hint="eastAsia"/>
                <w:color w:val="auto"/>
                <w:highlight w:val="none"/>
              </w:rPr>
              <w:t>0417-5666115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856" w:type="dxa"/>
            <w:vAlign w:val="top"/>
          </w:tcPr>
          <w:p>
            <w:pPr>
              <w:spacing w:line="255" w:lineRule="auto"/>
              <w:rPr>
                <w:rFonts w:ascii="Arial"/>
                <w:color w:val="auto"/>
                <w:sz w:val="21"/>
                <w:highlight w:val="none"/>
              </w:rPr>
            </w:pPr>
          </w:p>
          <w:p>
            <w:pPr>
              <w:spacing w:line="255" w:lineRule="auto"/>
              <w:rPr>
                <w:rFonts w:ascii="Arial"/>
                <w:color w:val="auto"/>
                <w:sz w:val="21"/>
                <w:highlight w:val="none"/>
              </w:rPr>
            </w:pPr>
          </w:p>
          <w:p>
            <w:pPr>
              <w:spacing w:line="256" w:lineRule="auto"/>
              <w:rPr>
                <w:rFonts w:ascii="Arial"/>
                <w:color w:val="auto"/>
                <w:sz w:val="21"/>
                <w:highlight w:val="none"/>
              </w:rPr>
            </w:pPr>
          </w:p>
          <w:p>
            <w:pPr>
              <w:spacing w:line="256" w:lineRule="auto"/>
              <w:rPr>
                <w:rFonts w:ascii="Arial"/>
                <w:color w:val="auto"/>
                <w:sz w:val="21"/>
                <w:highlight w:val="none"/>
              </w:rPr>
            </w:pPr>
          </w:p>
          <w:p>
            <w:pPr>
              <w:spacing w:line="256" w:lineRule="auto"/>
              <w:rPr>
                <w:rFonts w:ascii="Arial"/>
                <w:color w:val="auto"/>
                <w:sz w:val="21"/>
                <w:highlight w:val="none"/>
              </w:rPr>
            </w:pPr>
          </w:p>
          <w:p>
            <w:pPr>
              <w:spacing w:line="256" w:lineRule="auto"/>
              <w:rPr>
                <w:rFonts w:ascii="Arial"/>
                <w:color w:val="auto"/>
                <w:sz w:val="21"/>
                <w:highlight w:val="none"/>
              </w:rPr>
            </w:pPr>
          </w:p>
          <w:p>
            <w:pPr>
              <w:spacing w:line="256" w:lineRule="auto"/>
              <w:rPr>
                <w:rFonts w:ascii="Arial"/>
                <w:color w:val="auto"/>
                <w:sz w:val="21"/>
                <w:highlight w:val="none"/>
              </w:rPr>
            </w:pPr>
          </w:p>
          <w:p>
            <w:pPr>
              <w:pStyle w:val="10"/>
              <w:spacing w:before="68" w:line="183" w:lineRule="auto"/>
              <w:ind w:left="186"/>
              <w:rPr>
                <w:color w:val="auto"/>
                <w:highlight w:val="none"/>
              </w:rPr>
            </w:pPr>
            <w:r>
              <w:rPr>
                <w:color w:val="auto"/>
                <w:spacing w:val="-4"/>
                <w:highlight w:val="none"/>
              </w:rPr>
              <w:t>1.1.3</w:t>
            </w:r>
          </w:p>
        </w:tc>
        <w:tc>
          <w:tcPr>
            <w:tcW w:w="1977" w:type="dxa"/>
            <w:vAlign w:val="top"/>
          </w:tcPr>
          <w:p>
            <w:pPr>
              <w:spacing w:line="250"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pStyle w:val="10"/>
              <w:spacing w:before="68" w:line="220" w:lineRule="auto"/>
              <w:ind w:left="362"/>
              <w:rPr>
                <w:color w:val="auto"/>
                <w:highlight w:val="none"/>
              </w:rPr>
            </w:pPr>
            <w:r>
              <w:rPr>
                <w:color w:val="auto"/>
                <w:spacing w:val="-1"/>
                <w:highlight w:val="none"/>
              </w:rPr>
              <w:t>招标代理机构</w:t>
            </w:r>
          </w:p>
        </w:tc>
        <w:tc>
          <w:tcPr>
            <w:tcW w:w="5673" w:type="dxa"/>
            <w:vAlign w:val="top"/>
          </w:tcPr>
          <w:p>
            <w:pPr>
              <w:pStyle w:val="10"/>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名    称：辽宁惠信工程造价咨询有限公司</w:t>
            </w:r>
          </w:p>
          <w:p>
            <w:pPr>
              <w:pStyle w:val="10"/>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地    址：营口市站前区万达广场6A写字楼（万达营销中心）三楼</w:t>
            </w:r>
          </w:p>
          <w:p>
            <w:pPr>
              <w:pStyle w:val="10"/>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 系 人：刘堃</w:t>
            </w:r>
          </w:p>
          <w:p>
            <w:pPr>
              <w:pStyle w:val="10"/>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电    话：0417-2988803 </w:t>
            </w:r>
          </w:p>
          <w:p>
            <w:pPr>
              <w:pStyle w:val="10"/>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电子邮件：LNHX20200202@163.com</w:t>
            </w:r>
          </w:p>
          <w:p>
            <w:pPr>
              <w:spacing w:line="320" w:lineRule="auto"/>
              <w:rPr>
                <w:rFonts w:ascii="Arial"/>
                <w:color w:val="auto"/>
                <w:sz w:val="21"/>
                <w:highlight w:val="none"/>
              </w:rPr>
            </w:pPr>
          </w:p>
          <w:p>
            <w:pPr>
              <w:pStyle w:val="10"/>
              <w:spacing w:before="68" w:line="221" w:lineRule="auto"/>
              <w:ind w:left="116"/>
              <w:rPr>
                <w:color w:val="auto"/>
                <w:highlight w:val="none"/>
              </w:rPr>
            </w:pPr>
            <w:r>
              <w:rPr>
                <w:color w:val="auto"/>
                <w:spacing w:val="-6"/>
                <w:highlight w:val="none"/>
                <w14:textOutline w14:w="3831" w14:cap="flat" w14:cmpd="sng">
                  <w14:solidFill>
                    <w14:srgbClr w14:val="000000"/>
                  </w14:solidFill>
                  <w14:prstDash w14:val="solid"/>
                  <w14:miter w14:val="0"/>
                </w14:textOutline>
              </w:rPr>
              <w:t>项目组组成成员：</w:t>
            </w:r>
          </w:p>
          <w:p>
            <w:pPr>
              <w:pStyle w:val="10"/>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序号  姓名   从业年限   专业能力评价结果   类别</w:t>
            </w:r>
          </w:p>
          <w:p>
            <w:pPr>
              <w:pStyle w:val="10"/>
              <w:numPr>
                <w:ilvl w:val="0"/>
                <w:numId w:val="1"/>
              </w:numPr>
              <w:spacing w:before="67" w:line="240" w:lineRule="auto"/>
              <w:ind w:left="11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刘堃</w:t>
            </w:r>
          </w:p>
          <w:p>
            <w:pPr>
              <w:pStyle w:val="10"/>
              <w:numPr>
                <w:ilvl w:val="0"/>
                <w:numId w:val="1"/>
              </w:numPr>
              <w:spacing w:before="67" w:line="240" w:lineRule="auto"/>
              <w:ind w:left="112" w:leftChars="0"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翟铃皓</w:t>
            </w:r>
          </w:p>
          <w:p>
            <w:pPr>
              <w:pStyle w:val="10"/>
              <w:numPr>
                <w:ilvl w:val="0"/>
                <w:numId w:val="1"/>
              </w:numPr>
              <w:spacing w:before="67" w:line="240" w:lineRule="auto"/>
              <w:ind w:left="112" w:leftChars="0" w:firstLine="0" w:firstLineChars="0"/>
              <w:rPr>
                <w:color w:val="auto"/>
                <w:highlight w:val="none"/>
              </w:rPr>
            </w:pPr>
            <w:r>
              <w:rPr>
                <w:rFonts w:hint="eastAsia" w:ascii="宋体" w:hAnsi="宋体" w:eastAsia="宋体" w:cs="宋体"/>
                <w:color w:val="auto"/>
                <w:highlight w:val="none"/>
                <w:lang w:val="en-US" w:eastAsia="zh-CN"/>
              </w:rPr>
              <w:t xml:space="preserve">  仲维赓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pPr>
              <w:pStyle w:val="10"/>
              <w:spacing w:before="182" w:line="183" w:lineRule="auto"/>
              <w:ind w:left="186"/>
              <w:rPr>
                <w:color w:val="auto"/>
                <w:highlight w:val="none"/>
              </w:rPr>
            </w:pPr>
            <w:r>
              <w:rPr>
                <w:color w:val="auto"/>
                <w:spacing w:val="-4"/>
                <w:highlight w:val="none"/>
              </w:rPr>
              <w:t>1.1.4</w:t>
            </w:r>
          </w:p>
        </w:tc>
        <w:tc>
          <w:tcPr>
            <w:tcW w:w="1977" w:type="dxa"/>
            <w:vAlign w:val="top"/>
          </w:tcPr>
          <w:p>
            <w:pPr>
              <w:pStyle w:val="10"/>
              <w:spacing w:before="148" w:line="221" w:lineRule="auto"/>
              <w:ind w:left="362"/>
              <w:rPr>
                <w:color w:val="auto"/>
                <w:highlight w:val="none"/>
              </w:rPr>
            </w:pPr>
            <w:r>
              <w:rPr>
                <w:color w:val="auto"/>
                <w:spacing w:val="-1"/>
                <w:highlight w:val="none"/>
              </w:rPr>
              <w:t>招标项目名称</w:t>
            </w:r>
          </w:p>
        </w:tc>
        <w:tc>
          <w:tcPr>
            <w:tcW w:w="5673" w:type="dxa"/>
            <w:vAlign w:val="center"/>
          </w:tcPr>
          <w:p>
            <w:pPr>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营口市高标准农田建设结余资金项目（大石桥市2020年高标准农田建设结余资金项目）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vAlign w:val="top"/>
          </w:tcPr>
          <w:p>
            <w:pPr>
              <w:pStyle w:val="10"/>
              <w:spacing w:before="182" w:line="183" w:lineRule="auto"/>
              <w:ind w:left="186"/>
              <w:rPr>
                <w:color w:val="auto"/>
                <w:highlight w:val="none"/>
              </w:rPr>
            </w:pPr>
            <w:r>
              <w:rPr>
                <w:color w:val="auto"/>
                <w:spacing w:val="-4"/>
                <w:highlight w:val="none"/>
              </w:rPr>
              <w:t>1.1.5</w:t>
            </w:r>
          </w:p>
        </w:tc>
        <w:tc>
          <w:tcPr>
            <w:tcW w:w="1977" w:type="dxa"/>
            <w:vAlign w:val="top"/>
          </w:tcPr>
          <w:p>
            <w:pPr>
              <w:pStyle w:val="10"/>
              <w:spacing w:before="148" w:line="221" w:lineRule="auto"/>
              <w:ind w:left="364"/>
              <w:rPr>
                <w:color w:val="auto"/>
                <w:highlight w:val="none"/>
              </w:rPr>
            </w:pPr>
            <w:r>
              <w:rPr>
                <w:color w:val="auto"/>
                <w:spacing w:val="-2"/>
                <w:highlight w:val="none"/>
              </w:rPr>
              <w:t>项目建设地点</w:t>
            </w:r>
          </w:p>
        </w:tc>
        <w:tc>
          <w:tcPr>
            <w:tcW w:w="5673" w:type="dxa"/>
            <w:vAlign w:val="center"/>
          </w:tcPr>
          <w:p>
            <w:pPr>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 xml:space="preserve">大石桥市水源镇大村村、前沟村、群力村、马家村、赵家村、腰屯村、鲤鱼村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3" w:hRule="atLeast"/>
        </w:trPr>
        <w:tc>
          <w:tcPr>
            <w:tcW w:w="856" w:type="dxa"/>
            <w:vAlign w:val="top"/>
          </w:tcPr>
          <w:p>
            <w:pPr>
              <w:pStyle w:val="10"/>
              <w:spacing w:before="271" w:line="183" w:lineRule="auto"/>
              <w:ind w:left="186"/>
              <w:rPr>
                <w:color w:val="auto"/>
                <w:highlight w:val="none"/>
              </w:rPr>
            </w:pPr>
            <w:r>
              <w:rPr>
                <w:color w:val="auto"/>
                <w:spacing w:val="-4"/>
                <w:highlight w:val="none"/>
              </w:rPr>
              <w:t>1.1.6</w:t>
            </w:r>
          </w:p>
        </w:tc>
        <w:tc>
          <w:tcPr>
            <w:tcW w:w="1977" w:type="dxa"/>
            <w:vAlign w:val="top"/>
          </w:tcPr>
          <w:p>
            <w:pPr>
              <w:pStyle w:val="10"/>
              <w:spacing w:before="237" w:line="221" w:lineRule="auto"/>
              <w:ind w:left="386"/>
              <w:rPr>
                <w:color w:val="auto"/>
                <w:highlight w:val="none"/>
              </w:rPr>
            </w:pPr>
            <w:r>
              <w:rPr>
                <w:color w:val="auto"/>
                <w:spacing w:val="-5"/>
                <w:highlight w:val="none"/>
              </w:rPr>
              <w:t>电子交易系统</w:t>
            </w:r>
          </w:p>
        </w:tc>
        <w:tc>
          <w:tcPr>
            <w:tcW w:w="5673" w:type="dxa"/>
            <w:vAlign w:val="center"/>
          </w:tcPr>
          <w:p>
            <w:pPr>
              <w:pStyle w:val="10"/>
              <w:spacing w:before="78"/>
              <w:ind w:left="134"/>
              <w:jc w:val="both"/>
              <w:rPr>
                <w:color w:val="auto"/>
                <w:highlight w:val="none"/>
              </w:rPr>
            </w:pPr>
            <w:r>
              <w:rPr>
                <w:rFonts w:hint="eastAsia"/>
                <w:color w:val="auto"/>
                <w:spacing w:val="-29"/>
                <w:highlight w:val="none"/>
                <w:lang w:eastAsia="zh-CN"/>
              </w:rPr>
              <w:t>☑</w:t>
            </w:r>
            <w:r>
              <w:rPr>
                <w:color w:val="auto"/>
                <w:highlight w:val="none"/>
                <w:u w:val="single" w:color="auto"/>
              </w:rPr>
              <w:t xml:space="preserve">     </w:t>
            </w:r>
            <w:r>
              <w:rPr>
                <w:rFonts w:hint="eastAsia"/>
                <w:color w:val="auto"/>
                <w:highlight w:val="none"/>
                <w:u w:val="single" w:color="auto"/>
              </w:rPr>
              <w:t>远程开标（不见面交易）</w:t>
            </w:r>
            <w:r>
              <w:rPr>
                <w:color w:val="auto"/>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vAlign w:val="top"/>
          </w:tcPr>
          <w:p>
            <w:pPr>
              <w:pStyle w:val="10"/>
              <w:spacing w:before="184" w:line="183" w:lineRule="auto"/>
              <w:ind w:left="186"/>
              <w:rPr>
                <w:color w:val="auto"/>
                <w:highlight w:val="none"/>
              </w:rPr>
            </w:pPr>
            <w:r>
              <w:rPr>
                <w:color w:val="auto"/>
                <w:spacing w:val="-4"/>
                <w:highlight w:val="none"/>
              </w:rPr>
              <w:t>1.2.1</w:t>
            </w:r>
          </w:p>
        </w:tc>
        <w:tc>
          <w:tcPr>
            <w:tcW w:w="1977" w:type="dxa"/>
            <w:vAlign w:val="top"/>
          </w:tcPr>
          <w:p>
            <w:pPr>
              <w:pStyle w:val="10"/>
              <w:spacing w:before="150" w:line="221" w:lineRule="auto"/>
              <w:ind w:left="579"/>
              <w:rPr>
                <w:color w:val="auto"/>
                <w:highlight w:val="none"/>
              </w:rPr>
            </w:pPr>
            <w:r>
              <w:rPr>
                <w:color w:val="auto"/>
                <w:spacing w:val="-4"/>
                <w:highlight w:val="none"/>
              </w:rPr>
              <w:t>资金来源</w:t>
            </w:r>
          </w:p>
        </w:tc>
        <w:tc>
          <w:tcPr>
            <w:tcW w:w="5673" w:type="dxa"/>
            <w:vAlign w:val="center"/>
          </w:tcPr>
          <w:p>
            <w:pPr>
              <w:jc w:val="both"/>
              <w:rPr>
                <w:rFonts w:hint="eastAsia" w:ascii="Arial"/>
                <w:color w:val="auto"/>
                <w:sz w:val="21"/>
                <w:highlight w:val="none"/>
              </w:rPr>
            </w:pPr>
            <w:r>
              <w:rPr>
                <w:rFonts w:hint="eastAsia" w:ascii="Arial"/>
                <w:color w:val="auto"/>
                <w:sz w:val="21"/>
                <w:highlight w:val="none"/>
              </w:rPr>
              <w:t>中央财政资金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pPr>
              <w:pStyle w:val="10"/>
              <w:spacing w:before="183" w:line="183" w:lineRule="auto"/>
              <w:ind w:left="186"/>
              <w:rPr>
                <w:color w:val="auto"/>
                <w:highlight w:val="none"/>
              </w:rPr>
            </w:pPr>
            <w:r>
              <w:rPr>
                <w:color w:val="auto"/>
                <w:spacing w:val="-4"/>
                <w:highlight w:val="none"/>
              </w:rPr>
              <w:t>1.2.2</w:t>
            </w:r>
          </w:p>
        </w:tc>
        <w:tc>
          <w:tcPr>
            <w:tcW w:w="1977" w:type="dxa"/>
            <w:vAlign w:val="top"/>
          </w:tcPr>
          <w:p>
            <w:pPr>
              <w:pStyle w:val="10"/>
              <w:spacing w:before="149" w:line="222" w:lineRule="auto"/>
              <w:ind w:left="588"/>
              <w:rPr>
                <w:rFonts w:hint="eastAsia" w:ascii="宋体" w:hAnsi="宋体" w:eastAsia="宋体" w:cs="宋体"/>
                <w:color w:val="auto"/>
                <w:highlight w:val="none"/>
              </w:rPr>
            </w:pPr>
            <w:r>
              <w:rPr>
                <w:rFonts w:hint="eastAsia" w:ascii="宋体" w:hAnsi="宋体" w:eastAsia="宋体" w:cs="宋体"/>
                <w:color w:val="auto"/>
                <w:spacing w:val="-6"/>
                <w:highlight w:val="none"/>
              </w:rPr>
              <w:t>出资比例</w:t>
            </w:r>
          </w:p>
        </w:tc>
        <w:tc>
          <w:tcPr>
            <w:tcW w:w="5673" w:type="dxa"/>
            <w:vAlign w:val="center"/>
          </w:tcPr>
          <w:p>
            <w:pPr>
              <w:jc w:val="both"/>
              <w:rPr>
                <w:rFonts w:hint="eastAsia" w:ascii="宋体" w:hAnsi="宋体" w:eastAsia="宋体" w:cs="宋体"/>
                <w:color w:val="auto"/>
                <w:sz w:val="21"/>
                <w:highlight w:val="none"/>
              </w:rPr>
            </w:pPr>
            <w:bookmarkStart w:id="35" w:name="_Hlk152748302"/>
            <w:r>
              <w:rPr>
                <w:rFonts w:eastAsia="宋体"/>
                <w:color w:val="auto"/>
                <w:highlight w:val="none"/>
                <w:lang w:eastAsia="zh-CN"/>
              </w:rPr>
              <w:t>中央财政资金：</w:t>
            </w:r>
            <w:r>
              <w:rPr>
                <w:rFonts w:hint="eastAsia" w:eastAsia="宋体"/>
                <w:color w:val="auto"/>
                <w:highlight w:val="none"/>
                <w:lang w:val="en-US" w:eastAsia="zh-CN"/>
              </w:rPr>
              <w:t>100</w:t>
            </w:r>
            <w:r>
              <w:rPr>
                <w:rFonts w:eastAsia="宋体"/>
                <w:color w:val="auto"/>
                <w:highlight w:val="none"/>
                <w:lang w:eastAsia="zh-CN"/>
              </w:rPr>
              <w:t>%。</w:t>
            </w:r>
            <w:bookmarkEnd w:id="35"/>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vAlign w:val="top"/>
          </w:tcPr>
          <w:p>
            <w:pPr>
              <w:pStyle w:val="10"/>
              <w:spacing w:before="183" w:line="183" w:lineRule="auto"/>
              <w:ind w:left="186"/>
              <w:rPr>
                <w:color w:val="auto"/>
                <w:highlight w:val="none"/>
              </w:rPr>
            </w:pPr>
            <w:r>
              <w:rPr>
                <w:color w:val="auto"/>
                <w:spacing w:val="-4"/>
                <w:highlight w:val="none"/>
              </w:rPr>
              <w:t>1.2.3</w:t>
            </w:r>
          </w:p>
        </w:tc>
        <w:tc>
          <w:tcPr>
            <w:tcW w:w="1977" w:type="dxa"/>
            <w:vAlign w:val="top"/>
          </w:tcPr>
          <w:p>
            <w:pPr>
              <w:pStyle w:val="10"/>
              <w:spacing w:before="149" w:line="219" w:lineRule="auto"/>
              <w:ind w:left="256"/>
              <w:rPr>
                <w:color w:val="auto"/>
                <w:highlight w:val="none"/>
              </w:rPr>
            </w:pPr>
            <w:r>
              <w:rPr>
                <w:color w:val="auto"/>
                <w:spacing w:val="-1"/>
                <w:highlight w:val="none"/>
              </w:rPr>
              <w:t>标段合同估算价</w:t>
            </w:r>
          </w:p>
        </w:tc>
        <w:tc>
          <w:tcPr>
            <w:tcW w:w="5673" w:type="dxa"/>
            <w:vAlign w:val="top"/>
          </w:tcPr>
          <w:p>
            <w:pPr>
              <w:pStyle w:val="10"/>
              <w:tabs>
                <w:tab w:val="left" w:pos="1891"/>
              </w:tabs>
              <w:spacing w:before="149" w:line="221" w:lineRule="auto"/>
              <w:ind w:left="104"/>
              <w:rPr>
                <w:color w:val="auto"/>
                <w:highlight w:val="none"/>
              </w:rPr>
            </w:pPr>
            <w:r>
              <w:rPr>
                <w:rFonts w:hint="eastAsia" w:cs="宋体"/>
                <w:color w:val="auto"/>
                <w:sz w:val="21"/>
                <w:szCs w:val="21"/>
                <w:highlight w:val="none"/>
                <w:u w:val="single"/>
                <w:lang w:eastAsia="zh-CN"/>
              </w:rPr>
              <w:t>934.039899</w:t>
            </w:r>
            <w:r>
              <w:rPr>
                <w:color w:val="auto"/>
                <w:spacing w:val="-4"/>
                <w:highlight w:val="none"/>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pPr>
              <w:pStyle w:val="10"/>
              <w:spacing w:before="183" w:line="183" w:lineRule="auto"/>
              <w:ind w:left="186"/>
              <w:rPr>
                <w:color w:val="auto"/>
                <w:highlight w:val="none"/>
              </w:rPr>
            </w:pPr>
            <w:r>
              <w:rPr>
                <w:color w:val="auto"/>
                <w:spacing w:val="-4"/>
                <w:highlight w:val="none"/>
              </w:rPr>
              <w:t>1.2.4</w:t>
            </w:r>
          </w:p>
        </w:tc>
        <w:tc>
          <w:tcPr>
            <w:tcW w:w="1977" w:type="dxa"/>
            <w:vAlign w:val="top"/>
          </w:tcPr>
          <w:p>
            <w:pPr>
              <w:pStyle w:val="10"/>
              <w:spacing w:before="149" w:line="221" w:lineRule="auto"/>
              <w:ind w:left="370"/>
              <w:rPr>
                <w:color w:val="auto"/>
                <w:highlight w:val="none"/>
              </w:rPr>
            </w:pPr>
            <w:r>
              <w:rPr>
                <w:color w:val="auto"/>
                <w:spacing w:val="-3"/>
                <w:highlight w:val="none"/>
              </w:rPr>
              <w:t>资金落实情况</w:t>
            </w:r>
          </w:p>
        </w:tc>
        <w:tc>
          <w:tcPr>
            <w:tcW w:w="5673" w:type="dxa"/>
            <w:vAlign w:val="center"/>
          </w:tcPr>
          <w:p>
            <w:pPr>
              <w:jc w:val="both"/>
              <w:rPr>
                <w:rFonts w:ascii="Arial"/>
                <w:color w:val="auto"/>
                <w:sz w:val="21"/>
                <w:highlight w:val="none"/>
              </w:rPr>
            </w:pPr>
            <w:r>
              <w:rPr>
                <w:rFonts w:hint="eastAsia" w:ascii="宋体" w:hAnsi="宋体" w:eastAsia="宋体" w:cs="宋体"/>
                <w:color w:val="auto"/>
                <w:sz w:val="21"/>
                <w:highlight w:val="none"/>
              </w:rPr>
              <w:t>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856" w:type="dxa"/>
            <w:vAlign w:val="top"/>
          </w:tcPr>
          <w:p>
            <w:pPr>
              <w:spacing w:line="453" w:lineRule="auto"/>
              <w:rPr>
                <w:rFonts w:ascii="Arial"/>
                <w:color w:val="auto"/>
                <w:sz w:val="21"/>
                <w:highlight w:val="none"/>
              </w:rPr>
            </w:pPr>
          </w:p>
          <w:p>
            <w:pPr>
              <w:pStyle w:val="10"/>
              <w:spacing w:before="68" w:line="183" w:lineRule="auto"/>
              <w:ind w:left="186"/>
              <w:rPr>
                <w:color w:val="auto"/>
                <w:highlight w:val="none"/>
              </w:rPr>
            </w:pPr>
            <w:r>
              <w:rPr>
                <w:color w:val="auto"/>
                <w:spacing w:val="-4"/>
                <w:highlight w:val="none"/>
              </w:rPr>
              <w:t>1.3.1</w:t>
            </w:r>
          </w:p>
        </w:tc>
        <w:tc>
          <w:tcPr>
            <w:tcW w:w="1977" w:type="dxa"/>
            <w:vAlign w:val="top"/>
          </w:tcPr>
          <w:p>
            <w:pPr>
              <w:spacing w:line="419" w:lineRule="auto"/>
              <w:rPr>
                <w:rFonts w:ascii="Arial"/>
                <w:color w:val="auto"/>
                <w:sz w:val="21"/>
                <w:highlight w:val="none"/>
              </w:rPr>
            </w:pPr>
          </w:p>
          <w:p>
            <w:pPr>
              <w:pStyle w:val="10"/>
              <w:spacing w:before="69" w:line="221" w:lineRule="auto"/>
              <w:ind w:left="571"/>
              <w:rPr>
                <w:color w:val="auto"/>
                <w:highlight w:val="none"/>
              </w:rPr>
            </w:pPr>
            <w:r>
              <w:rPr>
                <w:color w:val="auto"/>
                <w:spacing w:val="-2"/>
                <w:highlight w:val="none"/>
              </w:rPr>
              <w:t>招标范围</w:t>
            </w:r>
          </w:p>
        </w:tc>
        <w:tc>
          <w:tcPr>
            <w:tcW w:w="5673" w:type="dxa"/>
            <w:vAlign w:val="center"/>
          </w:tcPr>
          <w:p>
            <w:pPr>
              <w:tabs>
                <w:tab w:val="left" w:pos="2857"/>
              </w:tabs>
              <w:spacing w:before="20" w:line="360" w:lineRule="auto"/>
              <w:ind w:left="20"/>
              <w:jc w:val="both"/>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（1）灌溉和排水工程：支、斗、农渠钢筋混凝土板及矩形槽衬砌8条，6.505km，渠系配套建筑物61座。（2）田间道路工程：整修田间道路12.68km，田间道路（支路）1.54km。</w:t>
            </w:r>
          </w:p>
          <w:p>
            <w:pPr>
              <w:pStyle w:val="10"/>
              <w:spacing w:before="60" w:line="360" w:lineRule="auto"/>
              <w:jc w:val="both"/>
              <w:rPr>
                <w:color w:val="auto"/>
                <w:highlight w:val="none"/>
              </w:rPr>
            </w:pPr>
            <w:r>
              <w:rPr>
                <w:color w:val="auto"/>
                <w:spacing w:val="-6"/>
                <w:highlight w:val="none"/>
              </w:rPr>
              <w:t>关于招标范围的详细说明见第七章“技术标准和要求”。</w:t>
            </w:r>
          </w:p>
        </w:tc>
      </w:tr>
    </w:tbl>
    <w:p>
      <w:pPr>
        <w:pStyle w:val="2"/>
        <w:rPr>
          <w:color w:val="auto"/>
          <w:highlight w:val="none"/>
        </w:rPr>
      </w:pPr>
    </w:p>
    <w:p>
      <w:pPr>
        <w:rPr>
          <w:color w:val="auto"/>
          <w:highlight w:val="none"/>
        </w:rPr>
        <w:sectPr>
          <w:footerReference r:id="rId13" w:type="default"/>
          <w:pgSz w:w="11905" w:h="16843"/>
          <w:pgMar w:top="1769" w:right="1548" w:bottom="1003" w:left="1542" w:header="0" w:footer="828" w:gutter="0"/>
          <w:pgNumType w:fmt="numberInDash"/>
          <w:cols w:space="0" w:num="1"/>
          <w:rtlGutter w:val="0"/>
          <w:docGrid w:linePitch="0" w:charSpace="0"/>
        </w:sectPr>
      </w:pPr>
    </w:p>
    <w:p>
      <w:pPr>
        <w:spacing w:line="91" w:lineRule="auto"/>
        <w:rPr>
          <w:rFonts w:ascii="Arial"/>
          <w:color w:val="auto"/>
          <w:sz w:val="2"/>
          <w:highlight w:val="none"/>
        </w:rPr>
      </w:pPr>
    </w:p>
    <w:tbl>
      <w:tblPr>
        <w:tblStyle w:val="9"/>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56" w:type="dxa"/>
            <w:vAlign w:val="top"/>
          </w:tcPr>
          <w:p>
            <w:pPr>
              <w:pStyle w:val="10"/>
              <w:spacing w:before="168" w:line="221" w:lineRule="auto"/>
              <w:ind w:left="117"/>
              <w:rPr>
                <w:color w:val="auto"/>
                <w:highlight w:val="none"/>
              </w:rPr>
            </w:pPr>
            <w:bookmarkStart w:id="36" w:name="bookmark68"/>
            <w:bookmarkEnd w:id="36"/>
            <w:bookmarkStart w:id="37" w:name="bookmark67"/>
            <w:bookmarkEnd w:id="37"/>
            <w:bookmarkStart w:id="38" w:name="bookmark69"/>
            <w:bookmarkEnd w:id="38"/>
            <w:bookmarkStart w:id="39" w:name="bookmark66"/>
            <w:bookmarkEnd w:id="39"/>
            <w:bookmarkStart w:id="40" w:name="bookmark70"/>
            <w:bookmarkEnd w:id="40"/>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rPr>
                <w:color w:val="auto"/>
                <w:highlight w:val="none"/>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856" w:type="dxa"/>
            <w:vAlign w:val="top"/>
          </w:tcPr>
          <w:p>
            <w:pPr>
              <w:spacing w:line="318" w:lineRule="auto"/>
              <w:rPr>
                <w:rFonts w:ascii="Arial"/>
                <w:color w:val="auto"/>
                <w:sz w:val="21"/>
                <w:highlight w:val="none"/>
              </w:rPr>
            </w:pPr>
          </w:p>
          <w:p>
            <w:pPr>
              <w:spacing w:line="318" w:lineRule="auto"/>
              <w:rPr>
                <w:rFonts w:ascii="Arial"/>
                <w:color w:val="auto"/>
                <w:sz w:val="21"/>
                <w:highlight w:val="none"/>
              </w:rPr>
            </w:pPr>
          </w:p>
          <w:p>
            <w:pPr>
              <w:spacing w:line="318" w:lineRule="auto"/>
              <w:rPr>
                <w:rFonts w:ascii="Arial"/>
                <w:color w:val="auto"/>
                <w:sz w:val="21"/>
                <w:highlight w:val="none"/>
              </w:rPr>
            </w:pPr>
          </w:p>
          <w:p>
            <w:pPr>
              <w:pStyle w:val="10"/>
              <w:spacing w:before="68" w:line="183" w:lineRule="auto"/>
              <w:ind w:left="186"/>
              <w:rPr>
                <w:color w:val="auto"/>
                <w:highlight w:val="none"/>
              </w:rPr>
            </w:pPr>
            <w:r>
              <w:rPr>
                <w:color w:val="auto"/>
                <w:spacing w:val="-4"/>
                <w:highlight w:val="none"/>
              </w:rPr>
              <w:t>1.3.2</w:t>
            </w:r>
          </w:p>
        </w:tc>
        <w:tc>
          <w:tcPr>
            <w:tcW w:w="1977" w:type="dxa"/>
            <w:vAlign w:val="top"/>
          </w:tcPr>
          <w:p>
            <w:pPr>
              <w:spacing w:line="306" w:lineRule="auto"/>
              <w:rPr>
                <w:rFonts w:ascii="Arial"/>
                <w:color w:val="auto"/>
                <w:sz w:val="21"/>
                <w:highlight w:val="none"/>
              </w:rPr>
            </w:pPr>
          </w:p>
          <w:p>
            <w:pPr>
              <w:spacing w:line="307" w:lineRule="auto"/>
              <w:rPr>
                <w:rFonts w:ascii="Arial"/>
                <w:color w:val="auto"/>
                <w:sz w:val="21"/>
                <w:highlight w:val="none"/>
              </w:rPr>
            </w:pPr>
          </w:p>
          <w:p>
            <w:pPr>
              <w:spacing w:line="307" w:lineRule="auto"/>
              <w:rPr>
                <w:rFonts w:ascii="Arial"/>
                <w:color w:val="auto"/>
                <w:sz w:val="21"/>
                <w:highlight w:val="none"/>
              </w:rPr>
            </w:pPr>
          </w:p>
          <w:p>
            <w:pPr>
              <w:pStyle w:val="10"/>
              <w:spacing w:before="68" w:line="221" w:lineRule="auto"/>
              <w:ind w:left="570"/>
              <w:rPr>
                <w:color w:val="auto"/>
                <w:highlight w:val="none"/>
              </w:rPr>
            </w:pPr>
            <w:r>
              <w:rPr>
                <w:color w:val="auto"/>
                <w:spacing w:val="-2"/>
                <w:highlight w:val="none"/>
              </w:rPr>
              <w:t>计划工期</w:t>
            </w:r>
          </w:p>
        </w:tc>
        <w:tc>
          <w:tcPr>
            <w:tcW w:w="5673" w:type="dxa"/>
            <w:vAlign w:val="top"/>
          </w:tcPr>
          <w:p>
            <w:pPr>
              <w:pStyle w:val="10"/>
              <w:spacing w:before="195" w:line="221" w:lineRule="auto"/>
              <w:ind w:left="113"/>
              <w:rPr>
                <w:color w:val="auto"/>
                <w:highlight w:val="none"/>
              </w:rPr>
            </w:pPr>
            <w:r>
              <w:rPr>
                <w:color w:val="auto"/>
                <w:spacing w:val="-14"/>
                <w:highlight w:val="none"/>
              </w:rPr>
              <w:t>计划工期：</w:t>
            </w:r>
            <w:r>
              <w:rPr>
                <w:color w:val="auto"/>
                <w:spacing w:val="-31"/>
                <w:highlight w:val="none"/>
              </w:rPr>
              <w:t xml:space="preserve"> </w:t>
            </w:r>
            <w:r>
              <w:rPr>
                <w:rFonts w:hint="eastAsia"/>
                <w:color w:val="auto"/>
                <w:spacing w:val="-31"/>
                <w:highlight w:val="none"/>
                <w:u w:val="single" w:color="auto"/>
                <w:lang w:val="en-US" w:eastAsia="zh-CN"/>
              </w:rPr>
              <w:t>228</w:t>
            </w:r>
            <w:r>
              <w:rPr>
                <w:color w:val="auto"/>
                <w:highlight w:val="none"/>
                <w:u w:val="single" w:color="auto"/>
              </w:rPr>
              <w:t xml:space="preserve"> </w:t>
            </w:r>
            <w:r>
              <w:rPr>
                <w:color w:val="auto"/>
                <w:spacing w:val="-60"/>
                <w:highlight w:val="none"/>
              </w:rPr>
              <w:t xml:space="preserve"> </w:t>
            </w:r>
            <w:r>
              <w:rPr>
                <w:color w:val="auto"/>
                <w:spacing w:val="-14"/>
                <w:highlight w:val="none"/>
              </w:rPr>
              <w:t>日历天；</w:t>
            </w:r>
          </w:p>
          <w:p>
            <w:pPr>
              <w:pStyle w:val="10"/>
              <w:spacing w:before="68" w:line="261" w:lineRule="auto"/>
              <w:ind w:left="113" w:right="656"/>
              <w:jc w:val="both"/>
              <w:rPr>
                <w:color w:val="auto"/>
                <w:highlight w:val="none"/>
              </w:rPr>
            </w:pPr>
            <w:r>
              <w:rPr>
                <w:color w:val="auto"/>
                <w:spacing w:val="-15"/>
                <w:highlight w:val="none"/>
              </w:rPr>
              <w:t>计划开工日期：</w:t>
            </w:r>
            <w:r>
              <w:rPr>
                <w:color w:val="auto"/>
                <w:highlight w:val="none"/>
                <w:u w:val="single" w:color="auto"/>
              </w:rPr>
              <w:t xml:space="preserve"> </w:t>
            </w:r>
            <w:r>
              <w:rPr>
                <w:rFonts w:hint="eastAsia"/>
                <w:color w:val="auto"/>
                <w:highlight w:val="none"/>
                <w:u w:val="single" w:color="auto"/>
                <w:lang w:val="en-US" w:eastAsia="zh-CN"/>
              </w:rPr>
              <w:t>2024</w:t>
            </w:r>
            <w:r>
              <w:rPr>
                <w:color w:val="auto"/>
                <w:highlight w:val="none"/>
                <w:u w:val="single" w:color="auto"/>
              </w:rPr>
              <w:t xml:space="preserve"> </w:t>
            </w:r>
            <w:r>
              <w:rPr>
                <w:color w:val="auto"/>
                <w:spacing w:val="-95"/>
                <w:highlight w:val="none"/>
              </w:rPr>
              <w:t xml:space="preserve"> </w:t>
            </w:r>
            <w:r>
              <w:rPr>
                <w:color w:val="auto"/>
                <w:spacing w:val="-15"/>
                <w:highlight w:val="none"/>
              </w:rPr>
              <w:t>年</w:t>
            </w:r>
            <w:r>
              <w:rPr>
                <w:color w:val="auto"/>
                <w:highlight w:val="none"/>
                <w:u w:val="single" w:color="auto"/>
              </w:rPr>
              <w:t xml:space="preserve"> </w:t>
            </w:r>
            <w:r>
              <w:rPr>
                <w:rFonts w:hint="eastAsia"/>
                <w:color w:val="auto"/>
                <w:highlight w:val="none"/>
                <w:u w:val="single" w:color="auto"/>
                <w:lang w:val="en-US" w:eastAsia="zh-CN"/>
              </w:rPr>
              <w:t>10</w:t>
            </w:r>
            <w:r>
              <w:rPr>
                <w:color w:val="auto"/>
                <w:highlight w:val="none"/>
                <w:u w:val="single" w:color="auto"/>
              </w:rPr>
              <w:t xml:space="preserve"> </w:t>
            </w:r>
            <w:r>
              <w:rPr>
                <w:color w:val="auto"/>
                <w:spacing w:val="-92"/>
                <w:highlight w:val="none"/>
              </w:rPr>
              <w:t xml:space="preserve"> </w:t>
            </w:r>
            <w:r>
              <w:rPr>
                <w:color w:val="auto"/>
                <w:spacing w:val="-15"/>
                <w:highlight w:val="none"/>
              </w:rPr>
              <w:t>月</w:t>
            </w:r>
            <w:r>
              <w:rPr>
                <w:color w:val="auto"/>
                <w:spacing w:val="13"/>
                <w:highlight w:val="none"/>
                <w:u w:val="single" w:color="auto"/>
              </w:rPr>
              <w:t xml:space="preserve"> </w:t>
            </w:r>
            <w:r>
              <w:rPr>
                <w:rFonts w:hint="eastAsia"/>
                <w:color w:val="auto"/>
                <w:spacing w:val="13"/>
                <w:highlight w:val="none"/>
                <w:u w:val="single" w:color="auto"/>
                <w:lang w:val="en-US" w:eastAsia="zh-CN"/>
              </w:rPr>
              <w:t>15</w:t>
            </w:r>
            <w:r>
              <w:rPr>
                <w:color w:val="auto"/>
                <w:spacing w:val="13"/>
                <w:highlight w:val="none"/>
                <w:u w:val="single" w:color="auto"/>
              </w:rPr>
              <w:t xml:space="preserve"> </w:t>
            </w:r>
            <w:r>
              <w:rPr>
                <w:color w:val="auto"/>
                <w:spacing w:val="-61"/>
                <w:highlight w:val="none"/>
              </w:rPr>
              <w:t xml:space="preserve"> </w:t>
            </w:r>
            <w:r>
              <w:rPr>
                <w:color w:val="auto"/>
                <w:spacing w:val="-15"/>
                <w:highlight w:val="none"/>
              </w:rPr>
              <w:t>日</w:t>
            </w:r>
            <w:r>
              <w:rPr>
                <w:color w:val="auto"/>
                <w:highlight w:val="none"/>
              </w:rPr>
              <w:t xml:space="preserve">  </w:t>
            </w:r>
          </w:p>
          <w:p>
            <w:pPr>
              <w:pStyle w:val="10"/>
              <w:spacing w:before="68" w:line="261" w:lineRule="auto"/>
              <w:ind w:left="113" w:right="656"/>
              <w:jc w:val="both"/>
              <w:rPr>
                <w:color w:val="auto"/>
                <w:highlight w:val="none"/>
              </w:rPr>
            </w:pPr>
            <w:r>
              <w:rPr>
                <w:color w:val="auto"/>
                <w:spacing w:val="-17"/>
                <w:highlight w:val="none"/>
              </w:rPr>
              <w:t>计划竣工日期：</w:t>
            </w:r>
            <w:r>
              <w:rPr>
                <w:color w:val="auto"/>
                <w:highlight w:val="none"/>
                <w:u w:val="single" w:color="auto"/>
              </w:rPr>
              <w:t xml:space="preserve"> </w:t>
            </w:r>
            <w:r>
              <w:rPr>
                <w:rFonts w:hint="eastAsia"/>
                <w:color w:val="auto"/>
                <w:highlight w:val="none"/>
                <w:u w:val="single" w:color="auto"/>
                <w:lang w:val="en-US" w:eastAsia="zh-CN"/>
              </w:rPr>
              <w:t>2025</w:t>
            </w:r>
            <w:r>
              <w:rPr>
                <w:color w:val="auto"/>
                <w:highlight w:val="none"/>
                <w:u w:val="single" w:color="auto"/>
              </w:rPr>
              <w:t xml:space="preserve"> </w:t>
            </w:r>
            <w:r>
              <w:rPr>
                <w:color w:val="auto"/>
                <w:spacing w:val="-96"/>
                <w:highlight w:val="none"/>
              </w:rPr>
              <w:t xml:space="preserve"> </w:t>
            </w:r>
            <w:r>
              <w:rPr>
                <w:color w:val="auto"/>
                <w:spacing w:val="-17"/>
                <w:highlight w:val="none"/>
              </w:rPr>
              <w:t>年</w:t>
            </w:r>
            <w:r>
              <w:rPr>
                <w:color w:val="auto"/>
                <w:highlight w:val="none"/>
                <w:u w:val="single" w:color="auto"/>
              </w:rPr>
              <w:t xml:space="preserve"> </w:t>
            </w:r>
            <w:r>
              <w:rPr>
                <w:rFonts w:hint="eastAsia"/>
                <w:color w:val="auto"/>
                <w:highlight w:val="none"/>
                <w:u w:val="single" w:color="auto"/>
                <w:lang w:val="en-US" w:eastAsia="zh-CN"/>
              </w:rPr>
              <w:t>05</w:t>
            </w:r>
            <w:r>
              <w:rPr>
                <w:color w:val="auto"/>
                <w:highlight w:val="none"/>
                <w:u w:val="single" w:color="auto"/>
              </w:rPr>
              <w:t xml:space="preserve"> </w:t>
            </w:r>
            <w:r>
              <w:rPr>
                <w:color w:val="auto"/>
                <w:spacing w:val="-92"/>
                <w:highlight w:val="none"/>
              </w:rPr>
              <w:t xml:space="preserve"> </w:t>
            </w:r>
            <w:r>
              <w:rPr>
                <w:color w:val="auto"/>
                <w:spacing w:val="-17"/>
                <w:highlight w:val="none"/>
              </w:rPr>
              <w:t>月</w:t>
            </w:r>
            <w:r>
              <w:rPr>
                <w:color w:val="auto"/>
                <w:spacing w:val="13"/>
                <w:highlight w:val="none"/>
                <w:u w:val="single" w:color="auto"/>
              </w:rPr>
              <w:t xml:space="preserve"> </w:t>
            </w:r>
            <w:r>
              <w:rPr>
                <w:rFonts w:hint="eastAsia"/>
                <w:color w:val="auto"/>
                <w:spacing w:val="13"/>
                <w:highlight w:val="none"/>
                <w:u w:val="single" w:color="auto"/>
                <w:lang w:val="en-US" w:eastAsia="zh-CN"/>
              </w:rPr>
              <w:t>31</w:t>
            </w:r>
            <w:r>
              <w:rPr>
                <w:color w:val="auto"/>
                <w:spacing w:val="13"/>
                <w:highlight w:val="none"/>
                <w:u w:val="single" w:color="auto"/>
              </w:rPr>
              <w:t xml:space="preserve"> </w:t>
            </w:r>
            <w:r>
              <w:rPr>
                <w:color w:val="auto"/>
                <w:spacing w:val="-60"/>
                <w:highlight w:val="none"/>
              </w:rPr>
              <w:t xml:space="preserve"> </w:t>
            </w:r>
            <w:r>
              <w:rPr>
                <w:color w:val="auto"/>
                <w:spacing w:val="-17"/>
                <w:highlight w:val="none"/>
              </w:rPr>
              <w:t>日。</w:t>
            </w:r>
            <w:r>
              <w:rPr>
                <w:color w:val="auto"/>
                <w:highlight w:val="none"/>
              </w:rPr>
              <w:t xml:space="preserve"> </w:t>
            </w:r>
          </w:p>
          <w:p>
            <w:pPr>
              <w:pStyle w:val="10"/>
              <w:spacing w:before="68" w:line="261" w:lineRule="auto"/>
              <w:ind w:left="113" w:right="656"/>
              <w:jc w:val="both"/>
              <w:rPr>
                <w:color w:val="auto"/>
                <w:highlight w:val="none"/>
              </w:rPr>
            </w:pPr>
            <w:r>
              <w:rPr>
                <w:rFonts w:hint="eastAsia"/>
                <w:color w:val="auto"/>
                <w:highlight w:val="none"/>
              </w:rPr>
              <w:t>（实际以发包人与中标人签订的施工合同为准）</w:t>
            </w:r>
          </w:p>
          <w:p>
            <w:pPr>
              <w:pStyle w:val="10"/>
              <w:spacing w:before="68" w:line="261" w:lineRule="auto"/>
              <w:ind w:left="113" w:right="656"/>
              <w:jc w:val="both"/>
              <w:rPr>
                <w:color w:val="auto"/>
                <w:spacing w:val="-1"/>
                <w:highlight w:val="none"/>
              </w:rPr>
            </w:pPr>
            <w:r>
              <w:rPr>
                <w:color w:val="auto"/>
                <w:spacing w:val="-1"/>
                <w:highlight w:val="none"/>
              </w:rPr>
              <w:t>除上述总工期外，招标人还要求以下区段工期：</w:t>
            </w:r>
          </w:p>
          <w:p>
            <w:pPr>
              <w:pStyle w:val="10"/>
              <w:tabs>
                <w:tab w:val="left" w:pos="1605"/>
              </w:tabs>
              <w:spacing w:before="204" w:line="159" w:lineRule="auto"/>
              <w:ind w:left="104"/>
              <w:rPr>
                <w:color w:val="auto"/>
                <w:sz w:val="8"/>
                <w:szCs w:val="8"/>
                <w:highlight w:val="none"/>
              </w:rPr>
            </w:pPr>
            <w:r>
              <w:rPr>
                <w:rFonts w:hint="eastAsia"/>
                <w:color w:val="auto"/>
                <w:spacing w:val="-1"/>
                <w:highlight w:val="none"/>
                <w:u w:val="single"/>
                <w:lang w:val="en-US" w:eastAsia="zh-CN"/>
              </w:rPr>
              <w:t xml:space="preserve">   /    。</w:t>
            </w:r>
          </w:p>
          <w:p>
            <w:pPr>
              <w:pStyle w:val="10"/>
              <w:spacing w:before="116" w:line="220" w:lineRule="auto"/>
              <w:ind w:left="114"/>
              <w:rPr>
                <w:color w:val="auto"/>
                <w:highlight w:val="none"/>
              </w:rPr>
            </w:pPr>
            <w:r>
              <w:rPr>
                <w:color w:val="auto"/>
                <w:spacing w:val="-1"/>
                <w:highlight w:val="none"/>
              </w:rPr>
              <w:t>有关工期的详细要求见第七章“技术标准和要求”。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856" w:type="dxa"/>
            <w:vAlign w:val="top"/>
          </w:tcPr>
          <w:p>
            <w:pPr>
              <w:spacing w:line="360" w:lineRule="auto"/>
              <w:rPr>
                <w:rFonts w:ascii="Arial"/>
                <w:color w:val="auto"/>
                <w:sz w:val="21"/>
                <w:highlight w:val="none"/>
              </w:rPr>
            </w:pPr>
          </w:p>
          <w:p>
            <w:pPr>
              <w:pStyle w:val="10"/>
              <w:spacing w:before="69" w:line="183" w:lineRule="auto"/>
              <w:ind w:left="186"/>
              <w:rPr>
                <w:color w:val="auto"/>
                <w:highlight w:val="none"/>
              </w:rPr>
            </w:pPr>
            <w:r>
              <w:rPr>
                <w:color w:val="auto"/>
                <w:spacing w:val="-4"/>
                <w:highlight w:val="none"/>
              </w:rPr>
              <w:t>1.3.3</w:t>
            </w:r>
          </w:p>
        </w:tc>
        <w:tc>
          <w:tcPr>
            <w:tcW w:w="1977" w:type="dxa"/>
            <w:vAlign w:val="top"/>
          </w:tcPr>
          <w:p>
            <w:pPr>
              <w:spacing w:line="327" w:lineRule="auto"/>
              <w:rPr>
                <w:rFonts w:ascii="Arial"/>
                <w:color w:val="auto"/>
                <w:sz w:val="21"/>
                <w:highlight w:val="none"/>
              </w:rPr>
            </w:pPr>
          </w:p>
          <w:p>
            <w:pPr>
              <w:pStyle w:val="10"/>
              <w:spacing w:before="68" w:line="221" w:lineRule="auto"/>
              <w:ind w:left="571"/>
              <w:rPr>
                <w:color w:val="auto"/>
                <w:highlight w:val="none"/>
              </w:rPr>
            </w:pPr>
            <w:r>
              <w:rPr>
                <w:color w:val="auto"/>
                <w:spacing w:val="-2"/>
                <w:highlight w:val="none"/>
              </w:rPr>
              <w:t>质量标准</w:t>
            </w:r>
          </w:p>
        </w:tc>
        <w:tc>
          <w:tcPr>
            <w:tcW w:w="5673" w:type="dxa"/>
            <w:vAlign w:val="top"/>
          </w:tcPr>
          <w:p>
            <w:pPr>
              <w:pStyle w:val="10"/>
              <w:spacing w:before="75" w:line="221" w:lineRule="auto"/>
              <w:ind w:left="114"/>
              <w:rPr>
                <w:color w:val="auto"/>
                <w:highlight w:val="none"/>
              </w:rPr>
            </w:pPr>
            <w:r>
              <w:rPr>
                <w:color w:val="auto"/>
                <w:spacing w:val="-16"/>
                <w:w w:val="97"/>
                <w:highlight w:val="none"/>
              </w:rPr>
              <w:t>质量标准</w:t>
            </w:r>
            <w:r>
              <w:rPr>
                <w:color w:val="auto"/>
                <w:spacing w:val="2"/>
                <w:highlight w:val="none"/>
              </w:rPr>
              <w:t>：</w:t>
            </w:r>
            <w:r>
              <w:rPr>
                <w:color w:val="auto"/>
                <w:spacing w:val="-29"/>
                <w:highlight w:val="none"/>
              </w:rPr>
              <w:t xml:space="preserve"> </w:t>
            </w:r>
            <w:r>
              <w:rPr>
                <w:color w:val="auto"/>
                <w:spacing w:val="3"/>
                <w:highlight w:val="none"/>
                <w:u w:val="single" w:color="auto"/>
              </w:rPr>
              <w:t xml:space="preserve"> </w:t>
            </w:r>
            <w:r>
              <w:rPr>
                <w:rFonts w:hint="eastAsia"/>
                <w:color w:val="auto"/>
                <w:spacing w:val="3"/>
                <w:highlight w:val="none"/>
                <w:u w:val="single" w:color="auto"/>
              </w:rPr>
              <w:t>合格</w:t>
            </w:r>
            <w:r>
              <w:rPr>
                <w:color w:val="auto"/>
                <w:spacing w:val="3"/>
                <w:highlight w:val="none"/>
                <w:u w:val="single" w:color="auto"/>
              </w:rPr>
              <w:t xml:space="preserve"> </w:t>
            </w:r>
            <w:r>
              <w:rPr>
                <w:color w:val="auto"/>
                <w:spacing w:val="2"/>
                <w:highlight w:val="none"/>
                <w:u w:val="single" w:color="auto"/>
              </w:rPr>
              <w:t>；</w:t>
            </w:r>
          </w:p>
          <w:p>
            <w:pPr>
              <w:pStyle w:val="10"/>
              <w:spacing w:before="70" w:line="221" w:lineRule="auto"/>
              <w:ind w:left="114"/>
              <w:rPr>
                <w:color w:val="auto"/>
                <w:highlight w:val="none"/>
              </w:rPr>
            </w:pPr>
            <w:r>
              <w:rPr>
                <w:color w:val="auto"/>
                <w:spacing w:val="-14"/>
                <w:highlight w:val="none"/>
              </w:rPr>
              <w:t>其他要求：</w:t>
            </w:r>
            <w:r>
              <w:rPr>
                <w:color w:val="auto"/>
                <w:spacing w:val="-30"/>
                <w:highlight w:val="none"/>
              </w:rPr>
              <w:t xml:space="preserve"> </w:t>
            </w:r>
            <w:r>
              <w:rPr>
                <w:rFonts w:hint="eastAsia"/>
                <w:color w:val="auto"/>
                <w:spacing w:val="1"/>
                <w:highlight w:val="none"/>
                <w:u w:val="single" w:color="auto"/>
              </w:rPr>
              <w:t>达到《高标准农田建设通则》(GB/T20600-2014）项目规划设计及图纸要求。</w:t>
            </w:r>
          </w:p>
          <w:p>
            <w:pPr>
              <w:pStyle w:val="10"/>
              <w:spacing w:before="68" w:line="209" w:lineRule="auto"/>
              <w:ind w:left="116"/>
              <w:rPr>
                <w:color w:val="auto"/>
                <w:highlight w:val="none"/>
              </w:rPr>
            </w:pPr>
            <w:r>
              <w:rPr>
                <w:color w:val="auto"/>
                <w:spacing w:val="-1"/>
                <w:highlight w:val="none"/>
              </w:rPr>
              <w:t>关于质量标准的详细说明见第七章“技术标准和要求”。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4" w:hRule="atLeast"/>
        </w:trPr>
        <w:tc>
          <w:tcPr>
            <w:tcW w:w="856" w:type="dxa"/>
            <w:vAlign w:val="top"/>
          </w:tcPr>
          <w:p>
            <w:pPr>
              <w:spacing w:line="263" w:lineRule="auto"/>
              <w:rPr>
                <w:rFonts w:ascii="Arial"/>
                <w:color w:val="auto"/>
                <w:sz w:val="21"/>
                <w:highlight w:val="none"/>
              </w:rPr>
            </w:pPr>
          </w:p>
          <w:p>
            <w:pPr>
              <w:spacing w:line="263" w:lineRule="auto"/>
              <w:rPr>
                <w:rFonts w:ascii="Arial"/>
                <w:color w:val="auto"/>
                <w:sz w:val="21"/>
                <w:highlight w:val="none"/>
              </w:rPr>
            </w:pPr>
          </w:p>
          <w:p>
            <w:pPr>
              <w:spacing w:line="263" w:lineRule="auto"/>
              <w:rPr>
                <w:rFonts w:ascii="Arial"/>
                <w:color w:val="auto"/>
                <w:sz w:val="21"/>
                <w:highlight w:val="none"/>
              </w:rPr>
            </w:pPr>
          </w:p>
          <w:p>
            <w:pPr>
              <w:spacing w:line="264" w:lineRule="auto"/>
              <w:rPr>
                <w:rFonts w:ascii="Arial"/>
                <w:color w:val="auto"/>
                <w:sz w:val="21"/>
                <w:highlight w:val="none"/>
              </w:rPr>
            </w:pPr>
          </w:p>
          <w:p>
            <w:pPr>
              <w:spacing w:line="264" w:lineRule="auto"/>
              <w:rPr>
                <w:rFonts w:ascii="Arial"/>
                <w:color w:val="auto"/>
                <w:sz w:val="21"/>
                <w:highlight w:val="none"/>
              </w:rPr>
            </w:pPr>
          </w:p>
          <w:p>
            <w:pPr>
              <w:spacing w:line="264" w:lineRule="auto"/>
              <w:rPr>
                <w:rFonts w:ascii="Arial"/>
                <w:color w:val="auto"/>
                <w:sz w:val="21"/>
                <w:highlight w:val="none"/>
              </w:rPr>
            </w:pPr>
          </w:p>
          <w:p>
            <w:pPr>
              <w:spacing w:line="264" w:lineRule="auto"/>
              <w:rPr>
                <w:rFonts w:ascii="Arial"/>
                <w:color w:val="auto"/>
                <w:sz w:val="21"/>
                <w:highlight w:val="none"/>
              </w:rPr>
            </w:pPr>
          </w:p>
          <w:p>
            <w:pPr>
              <w:spacing w:line="264" w:lineRule="auto"/>
              <w:rPr>
                <w:rFonts w:ascii="Arial"/>
                <w:color w:val="auto"/>
                <w:sz w:val="21"/>
                <w:highlight w:val="none"/>
              </w:rPr>
            </w:pPr>
          </w:p>
          <w:p>
            <w:pPr>
              <w:pStyle w:val="10"/>
              <w:spacing w:before="68" w:line="183" w:lineRule="auto"/>
              <w:ind w:left="186"/>
              <w:rPr>
                <w:color w:val="auto"/>
                <w:highlight w:val="none"/>
              </w:rPr>
            </w:pPr>
            <w:r>
              <w:rPr>
                <w:color w:val="auto"/>
                <w:spacing w:val="-4"/>
                <w:highlight w:val="none"/>
              </w:rPr>
              <w:t>1.4.1</w:t>
            </w:r>
          </w:p>
        </w:tc>
        <w:tc>
          <w:tcPr>
            <w:tcW w:w="1977" w:type="dxa"/>
            <w:vAlign w:val="top"/>
          </w:tcPr>
          <w:p>
            <w:pPr>
              <w:spacing w:line="273" w:lineRule="auto"/>
              <w:rPr>
                <w:rFonts w:ascii="Arial"/>
                <w:color w:val="auto"/>
                <w:sz w:val="21"/>
                <w:highlight w:val="none"/>
              </w:rPr>
            </w:pPr>
          </w:p>
          <w:p>
            <w:pPr>
              <w:spacing w:line="273" w:lineRule="auto"/>
              <w:rPr>
                <w:rFonts w:ascii="Arial"/>
                <w:color w:val="auto"/>
                <w:sz w:val="21"/>
                <w:highlight w:val="none"/>
              </w:rPr>
            </w:pPr>
          </w:p>
          <w:p>
            <w:pPr>
              <w:spacing w:line="274" w:lineRule="auto"/>
              <w:rPr>
                <w:rFonts w:ascii="Arial"/>
                <w:color w:val="auto"/>
                <w:sz w:val="21"/>
                <w:highlight w:val="none"/>
              </w:rPr>
            </w:pPr>
          </w:p>
          <w:p>
            <w:pPr>
              <w:spacing w:line="274" w:lineRule="auto"/>
              <w:rPr>
                <w:rFonts w:ascii="Arial"/>
                <w:color w:val="auto"/>
                <w:sz w:val="21"/>
                <w:highlight w:val="none"/>
              </w:rPr>
            </w:pPr>
          </w:p>
          <w:p>
            <w:pPr>
              <w:spacing w:line="274" w:lineRule="auto"/>
              <w:rPr>
                <w:rFonts w:ascii="Arial"/>
                <w:color w:val="auto"/>
                <w:sz w:val="21"/>
                <w:highlight w:val="none"/>
              </w:rPr>
            </w:pPr>
          </w:p>
          <w:p>
            <w:pPr>
              <w:spacing w:line="274" w:lineRule="auto"/>
              <w:rPr>
                <w:rFonts w:ascii="Arial"/>
                <w:color w:val="auto"/>
                <w:sz w:val="21"/>
                <w:highlight w:val="none"/>
              </w:rPr>
            </w:pPr>
          </w:p>
          <w:p>
            <w:pPr>
              <w:spacing w:line="274" w:lineRule="auto"/>
              <w:rPr>
                <w:rFonts w:ascii="Arial"/>
                <w:color w:val="auto"/>
                <w:sz w:val="21"/>
                <w:highlight w:val="none"/>
              </w:rPr>
            </w:pPr>
          </w:p>
          <w:p>
            <w:pPr>
              <w:pStyle w:val="10"/>
              <w:spacing w:before="68" w:line="251" w:lineRule="auto"/>
              <w:ind w:left="472" w:right="178" w:hanging="320"/>
              <w:rPr>
                <w:color w:val="auto"/>
                <w:highlight w:val="none"/>
              </w:rPr>
            </w:pPr>
            <w:r>
              <w:rPr>
                <w:color w:val="auto"/>
                <w:spacing w:val="-5"/>
                <w:highlight w:val="none"/>
              </w:rPr>
              <w:t>投标人资质条件、</w:t>
            </w:r>
            <w:r>
              <w:rPr>
                <w:color w:val="auto"/>
                <w:highlight w:val="none"/>
              </w:rPr>
              <w:t xml:space="preserve"> </w:t>
            </w:r>
            <w:r>
              <w:rPr>
                <w:color w:val="auto"/>
                <w:spacing w:val="-3"/>
                <w:highlight w:val="none"/>
              </w:rPr>
              <w:t>能力和信誉</w:t>
            </w:r>
          </w:p>
        </w:tc>
        <w:tc>
          <w:tcPr>
            <w:tcW w:w="5673" w:type="dxa"/>
            <w:vAlign w:val="top"/>
          </w:tcPr>
          <w:p>
            <w:pPr>
              <w:pStyle w:val="10"/>
              <w:spacing w:before="76" w:line="261" w:lineRule="auto"/>
              <w:ind w:left="114" w:right="104" w:firstLine="8"/>
              <w:rPr>
                <w:color w:val="auto"/>
                <w:highlight w:val="none"/>
              </w:rPr>
            </w:pPr>
            <w:r>
              <w:rPr>
                <w:color w:val="auto"/>
                <w:spacing w:val="-2"/>
                <w:highlight w:val="none"/>
                <w14:textOutline w14:w="3831" w14:cap="flat" w14:cmpd="sng">
                  <w14:solidFill>
                    <w14:srgbClr w14:val="000000"/>
                  </w14:solidFill>
                  <w14:prstDash w14:val="solid"/>
                  <w14:miter w14:val="0"/>
                </w14:textOutline>
              </w:rPr>
              <w:t>资质要求：</w:t>
            </w:r>
            <w:r>
              <w:rPr>
                <w:rFonts w:hint="eastAsia" w:ascii="宋体" w:hAnsi="宋体" w:eastAsia="宋体" w:cs="宋体"/>
                <w:color w:val="auto"/>
                <w:spacing w:val="8"/>
                <w:highlight w:val="none"/>
              </w:rPr>
              <w:t>具备水利水电工程施工总承包三级及以上资质或者市政公用工程施工总承包三级及以上资质</w:t>
            </w:r>
            <w:r>
              <w:rPr>
                <w:rFonts w:hint="eastAsia" w:cs="宋体"/>
                <w:color w:val="auto"/>
                <w:spacing w:val="8"/>
                <w:highlight w:val="none"/>
                <w:lang w:eastAsia="zh-CN"/>
              </w:rPr>
              <w:t>并</w:t>
            </w:r>
            <w:r>
              <w:rPr>
                <w:color w:val="auto"/>
                <w:spacing w:val="-2"/>
                <w:highlight w:val="none"/>
              </w:rPr>
              <w:t>且具备有效的</w:t>
            </w:r>
            <w:r>
              <w:rPr>
                <w:color w:val="auto"/>
                <w:spacing w:val="8"/>
                <w:highlight w:val="none"/>
              </w:rPr>
              <w:t>安全生产许可证，</w:t>
            </w:r>
            <w:r>
              <w:rPr>
                <w:rFonts w:hint="eastAsia"/>
                <w:color w:val="auto"/>
                <w:spacing w:val="8"/>
                <w:highlight w:val="none"/>
              </w:rPr>
              <w:t>并在人员、设备、资金等方面具有相应的施工能力</w:t>
            </w:r>
            <w:r>
              <w:rPr>
                <w:rFonts w:hint="eastAsia"/>
                <w:color w:val="auto"/>
                <w:spacing w:val="8"/>
                <w:highlight w:val="none"/>
                <w:lang w:eastAsia="zh-CN"/>
              </w:rPr>
              <w:t>，</w:t>
            </w:r>
            <w:r>
              <w:rPr>
                <w:color w:val="auto"/>
                <w:spacing w:val="8"/>
                <w:highlight w:val="none"/>
              </w:rPr>
              <w:t>具备市场监督管理部门核发的</w:t>
            </w:r>
            <w:r>
              <w:rPr>
                <w:color w:val="auto"/>
                <w:spacing w:val="7"/>
                <w:highlight w:val="none"/>
              </w:rPr>
              <w:t>有效企业</w:t>
            </w:r>
            <w:r>
              <w:rPr>
                <w:color w:val="auto"/>
                <w:spacing w:val="-3"/>
                <w:highlight w:val="none"/>
              </w:rPr>
              <w:t>法人营业执照。</w:t>
            </w:r>
          </w:p>
          <w:p>
            <w:pPr>
              <w:pStyle w:val="10"/>
              <w:spacing w:before="68" w:line="252" w:lineRule="auto"/>
              <w:ind w:left="153" w:right="113" w:hanging="40"/>
              <w:rPr>
                <w:color w:val="auto"/>
                <w:highlight w:val="none"/>
              </w:rPr>
            </w:pPr>
            <w:r>
              <w:rPr>
                <w:color w:val="auto"/>
                <w:spacing w:val="3"/>
                <w:highlight w:val="none"/>
                <w14:textOutline w14:w="3831" w14:cap="flat" w14:cmpd="sng">
                  <w14:solidFill>
                    <w14:srgbClr w14:val="000000"/>
                  </w14:solidFill>
                  <w14:prstDash w14:val="solid"/>
                  <w14:miter w14:val="0"/>
                </w14:textOutline>
              </w:rPr>
              <w:t>信誉要求：</w:t>
            </w:r>
            <w:r>
              <w:rPr>
                <w:color w:val="auto"/>
                <w:spacing w:val="3"/>
                <w:highlight w:val="none"/>
              </w:rPr>
              <w:t>不得具有投标人须知第 1.4.3（9）至</w:t>
            </w:r>
            <w:r>
              <w:rPr>
                <w:color w:val="auto"/>
                <w:spacing w:val="2"/>
                <w:highlight w:val="none"/>
              </w:rPr>
              <w:t>（16）条</w:t>
            </w:r>
            <w:r>
              <w:rPr>
                <w:color w:val="auto"/>
                <w:highlight w:val="none"/>
              </w:rPr>
              <w:t xml:space="preserve"> </w:t>
            </w:r>
            <w:r>
              <w:rPr>
                <w:color w:val="auto"/>
                <w:spacing w:val="-9"/>
                <w:highlight w:val="none"/>
              </w:rPr>
              <w:t>目规定的情形。</w:t>
            </w:r>
          </w:p>
          <w:p>
            <w:pPr>
              <w:pStyle w:val="10"/>
              <w:spacing w:before="68" w:line="266" w:lineRule="auto"/>
              <w:ind w:left="112" w:right="104" w:firstLine="4"/>
              <w:rPr>
                <w:color w:val="auto"/>
                <w:highlight w:val="none"/>
              </w:rPr>
            </w:pPr>
            <w:r>
              <w:rPr>
                <w:color w:val="auto"/>
                <w:spacing w:val="1"/>
                <w:highlight w:val="none"/>
                <w14:textOutline w14:w="3831" w14:cap="flat" w14:cmpd="sng">
                  <w14:solidFill>
                    <w14:srgbClr w14:val="000000"/>
                  </w14:solidFill>
                  <w14:prstDash w14:val="solid"/>
                  <w14:miter w14:val="0"/>
                </w14:textOutline>
              </w:rPr>
              <w:t>项目经理的资格要求：</w:t>
            </w:r>
            <w:r>
              <w:rPr>
                <w:rFonts w:hint="eastAsia"/>
                <w:color w:val="auto"/>
                <w:spacing w:val="3"/>
                <w:highlight w:val="none"/>
              </w:rPr>
              <w:t>投标人拟派项目经理须具备</w:t>
            </w:r>
            <w:r>
              <w:rPr>
                <w:rFonts w:hint="eastAsia"/>
                <w:color w:val="auto"/>
                <w:spacing w:val="3"/>
                <w:highlight w:val="none"/>
                <w:lang w:eastAsia="zh-CN"/>
              </w:rPr>
              <w:t>水利水电工程专业或市政公用工程</w:t>
            </w:r>
            <w:r>
              <w:rPr>
                <w:rFonts w:hint="eastAsia"/>
                <w:color w:val="auto"/>
                <w:spacing w:val="3"/>
                <w:highlight w:val="none"/>
              </w:rPr>
              <w:t>专业</w:t>
            </w:r>
            <w:r>
              <w:rPr>
                <w:rFonts w:hint="eastAsia"/>
                <w:color w:val="auto"/>
                <w:spacing w:val="3"/>
                <w:highlight w:val="none"/>
                <w:lang w:val="en-US" w:eastAsia="zh-CN"/>
              </w:rPr>
              <w:t>二</w:t>
            </w:r>
            <w:r>
              <w:rPr>
                <w:rFonts w:hint="eastAsia"/>
                <w:color w:val="auto"/>
                <w:spacing w:val="3"/>
                <w:highlight w:val="none"/>
              </w:rPr>
              <w:t>级及以上注册建造师执业资格，具备有效的安全生产考核合格证书（B 证），且未担任其他在施建设工程项目的项目经理</w:t>
            </w:r>
            <w:r>
              <w:rPr>
                <w:rFonts w:hint="eastAsia"/>
                <w:color w:val="auto"/>
                <w:spacing w:val="3"/>
                <w:highlight w:val="none"/>
                <w:lang w:eastAsia="zh-CN"/>
              </w:rPr>
              <w:t>，《注册建造师执业管理办法（试行）》第九条规定的情形除外</w:t>
            </w:r>
            <w:r>
              <w:rPr>
                <w:color w:val="auto"/>
                <w:spacing w:val="3"/>
                <w:highlight w:val="none"/>
              </w:rPr>
              <w:t>。</w:t>
            </w:r>
          </w:p>
          <w:p>
            <w:pPr>
              <w:pStyle w:val="10"/>
              <w:spacing w:before="68" w:line="252" w:lineRule="auto"/>
              <w:ind w:left="116" w:right="110" w:hanging="3"/>
              <w:rPr>
                <w:color w:val="auto"/>
                <w:highlight w:val="none"/>
              </w:rPr>
            </w:pPr>
            <w:r>
              <w:rPr>
                <w:color w:val="auto"/>
                <w:spacing w:val="7"/>
                <w:highlight w:val="none"/>
                <w14:textOutline w14:w="3831" w14:cap="flat" w14:cmpd="sng">
                  <w14:solidFill>
                    <w14:srgbClr w14:val="000000"/>
                  </w14:solidFill>
                  <w14:prstDash w14:val="solid"/>
                  <w14:miter w14:val="0"/>
                </w14:textOutline>
              </w:rPr>
              <w:t>注：项目经理不得同时在两个或者两个以上工程项目担任</w:t>
            </w:r>
            <w:r>
              <w:rPr>
                <w:color w:val="auto"/>
                <w:spacing w:val="18"/>
                <w:highlight w:val="none"/>
              </w:rPr>
              <w:t xml:space="preserve"> </w:t>
            </w:r>
            <w:r>
              <w:rPr>
                <w:color w:val="auto"/>
                <w:spacing w:val="-6"/>
                <w:highlight w:val="none"/>
                <w14:textOutline w14:w="3831" w14:cap="flat" w14:cmpd="sng">
                  <w14:solidFill>
                    <w14:srgbClr w14:val="000000"/>
                  </w14:solidFill>
                  <w14:prstDash w14:val="solid"/>
                  <w14:miter w14:val="0"/>
                </w14:textOutline>
              </w:rPr>
              <w:t>项目经理。</w:t>
            </w:r>
          </w:p>
          <w:p>
            <w:pPr>
              <w:pStyle w:val="10"/>
              <w:spacing w:before="67" w:line="221" w:lineRule="auto"/>
              <w:ind w:left="112"/>
              <w:rPr>
                <w:color w:val="auto"/>
                <w:highlight w:val="none"/>
              </w:rPr>
            </w:pPr>
            <w:r>
              <w:rPr>
                <w:color w:val="auto"/>
                <w:spacing w:val="-23"/>
                <w:w w:val="96"/>
                <w:highlight w:val="none"/>
                <w14:textOutline w14:w="3831" w14:cap="flat" w14:cmpd="sng">
                  <w14:solidFill>
                    <w14:srgbClr w14:val="000000"/>
                  </w14:solidFill>
                  <w14:prstDash w14:val="solid"/>
                  <w14:miter w14:val="0"/>
                </w14:textOutline>
              </w:rPr>
              <w:t>业绩要求：</w:t>
            </w:r>
            <w:r>
              <w:rPr>
                <w:color w:val="auto"/>
                <w:spacing w:val="49"/>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pPr>
              <w:pStyle w:val="10"/>
              <w:spacing w:before="67" w:line="220" w:lineRule="auto"/>
              <w:ind w:left="116"/>
              <w:rPr>
                <w:color w:val="auto"/>
                <w:highlight w:val="none"/>
              </w:rPr>
            </w:pPr>
            <w:r>
              <w:rPr>
                <w:color w:val="auto"/>
                <w:spacing w:val="-6"/>
                <w:highlight w:val="none"/>
                <w14:textOutline w14:w="3831" w14:cap="flat" w14:cmpd="sng">
                  <w14:solidFill>
                    <w14:srgbClr w14:val="000000"/>
                  </w14:solidFill>
                  <w14:prstDash w14:val="solid"/>
                  <w14:miter w14:val="0"/>
                </w14:textOutline>
              </w:rPr>
              <w:t>项目管理机构主要人员要求：</w:t>
            </w:r>
            <w:r>
              <w:rPr>
                <w:color w:val="auto"/>
                <w:spacing w:val="-28"/>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pPr>
              <w:pStyle w:val="10"/>
              <w:spacing w:before="68" w:line="266" w:lineRule="auto"/>
              <w:ind w:left="112" w:right="104" w:firstLine="4"/>
              <w:rPr>
                <w:rFonts w:hint="eastAsia"/>
                <w:color w:val="auto"/>
                <w:highlight w:val="none"/>
              </w:rPr>
            </w:pPr>
            <w:r>
              <w:rPr>
                <w:color w:val="auto"/>
                <w:spacing w:val="-24"/>
                <w:w w:val="96"/>
                <w:highlight w:val="none"/>
                <w14:textOutline w14:w="3831" w14:cap="flat" w14:cmpd="sng">
                  <w14:solidFill>
                    <w14:srgbClr w14:val="000000"/>
                  </w14:solidFill>
                  <w14:prstDash w14:val="solid"/>
                  <w14:miter w14:val="0"/>
                </w14:textOutline>
              </w:rPr>
              <w:t>其他要求：</w:t>
            </w:r>
            <w:r>
              <w:rPr>
                <w:rFonts w:hint="eastAsia"/>
                <w:color w:val="auto"/>
                <w:highlight w:val="none"/>
              </w:rPr>
              <w:t>投标人授权的委托代理人应具有与投标人单位签订的经人社部门认定盖章、一年以上（含1年）的劳动合同或社会养老保险关系证明（若投标单位所在地区的人社部门不在劳动合同或社保证明原件上盖章，则须提供人社部门官网打印件并经人社部门官网可查且信息有效）。</w:t>
            </w:r>
          </w:p>
          <w:p>
            <w:pPr>
              <w:pStyle w:val="10"/>
              <w:spacing w:before="68" w:line="266" w:lineRule="auto"/>
              <w:ind w:left="112" w:right="104" w:firstLine="4"/>
              <w:rPr>
                <w:color w:val="auto"/>
                <w:highlight w:val="none"/>
              </w:rPr>
            </w:pPr>
            <w:r>
              <w:rPr>
                <w:rFonts w:hint="eastAsia" w:ascii="宋体" w:hAnsi="宋体" w:eastAsia="宋体" w:cs="宋体"/>
                <w:color w:val="auto"/>
                <w:spacing w:val="1"/>
                <w:highlight w:val="none"/>
              </w:rPr>
              <w:t xml:space="preserve">本工程实行资格后审，资格审查的具体要求见招标文件，资格后审不合格的投标文件将被否决。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6" w:type="dxa"/>
            <w:vAlign w:val="top"/>
          </w:tcPr>
          <w:p>
            <w:pPr>
              <w:spacing w:line="266" w:lineRule="auto"/>
              <w:rPr>
                <w:rFonts w:ascii="Arial"/>
                <w:color w:val="auto"/>
                <w:sz w:val="21"/>
                <w:highlight w:val="none"/>
              </w:rPr>
            </w:pPr>
          </w:p>
          <w:p>
            <w:pPr>
              <w:spacing w:line="266" w:lineRule="auto"/>
              <w:rPr>
                <w:rFonts w:ascii="Arial"/>
                <w:color w:val="auto"/>
                <w:sz w:val="21"/>
                <w:highlight w:val="none"/>
              </w:rPr>
            </w:pPr>
          </w:p>
          <w:p>
            <w:pPr>
              <w:spacing w:line="267" w:lineRule="auto"/>
              <w:rPr>
                <w:rFonts w:ascii="Arial"/>
                <w:color w:val="auto"/>
                <w:sz w:val="21"/>
                <w:highlight w:val="none"/>
              </w:rPr>
            </w:pPr>
          </w:p>
          <w:p>
            <w:pPr>
              <w:pStyle w:val="10"/>
              <w:spacing w:before="68" w:line="183" w:lineRule="auto"/>
              <w:ind w:left="186"/>
              <w:rPr>
                <w:color w:val="auto"/>
                <w:highlight w:val="none"/>
              </w:rPr>
            </w:pPr>
            <w:r>
              <w:rPr>
                <w:color w:val="auto"/>
                <w:spacing w:val="-4"/>
                <w:highlight w:val="none"/>
              </w:rPr>
              <w:t>1.4.2</w:t>
            </w:r>
          </w:p>
        </w:tc>
        <w:tc>
          <w:tcPr>
            <w:tcW w:w="1977" w:type="dxa"/>
            <w:vAlign w:val="top"/>
          </w:tcPr>
          <w:p>
            <w:pPr>
              <w:spacing w:line="302" w:lineRule="auto"/>
              <w:rPr>
                <w:rFonts w:ascii="Arial"/>
                <w:color w:val="auto"/>
                <w:sz w:val="21"/>
                <w:highlight w:val="none"/>
              </w:rPr>
            </w:pPr>
          </w:p>
          <w:p>
            <w:pPr>
              <w:spacing w:line="303" w:lineRule="auto"/>
              <w:rPr>
                <w:rFonts w:ascii="Arial"/>
                <w:color w:val="auto"/>
                <w:sz w:val="21"/>
                <w:highlight w:val="none"/>
              </w:rPr>
            </w:pPr>
          </w:p>
          <w:p>
            <w:pPr>
              <w:pStyle w:val="10"/>
              <w:spacing w:before="68" w:line="252" w:lineRule="auto"/>
              <w:ind w:left="884" w:right="147" w:hanging="731"/>
              <w:rPr>
                <w:color w:val="auto"/>
                <w:highlight w:val="none"/>
              </w:rPr>
            </w:pPr>
            <w:r>
              <w:rPr>
                <w:color w:val="auto"/>
                <w:spacing w:val="-2"/>
                <w:highlight w:val="none"/>
              </w:rPr>
              <w:t>是否接受联合体投</w:t>
            </w:r>
            <w:r>
              <w:rPr>
                <w:color w:val="auto"/>
                <w:spacing w:val="6"/>
                <w:highlight w:val="none"/>
              </w:rPr>
              <w:t xml:space="preserve"> </w:t>
            </w:r>
            <w:r>
              <w:rPr>
                <w:color w:val="auto"/>
                <w:highlight w:val="none"/>
              </w:rPr>
              <w:t>标</w:t>
            </w:r>
          </w:p>
        </w:tc>
        <w:tc>
          <w:tcPr>
            <w:tcW w:w="5673" w:type="dxa"/>
            <w:vAlign w:val="top"/>
          </w:tcPr>
          <w:p>
            <w:pPr>
              <w:pStyle w:val="10"/>
              <w:spacing w:before="197" w:line="222" w:lineRule="auto"/>
              <w:ind w:left="134"/>
              <w:rPr>
                <w:color w:val="auto"/>
                <w:highlight w:val="none"/>
              </w:rPr>
            </w:pPr>
            <w:r>
              <w:rPr>
                <w:rFonts w:hint="eastAsia"/>
                <w:color w:val="auto"/>
                <w:spacing w:val="-7"/>
                <w:highlight w:val="none"/>
                <w:lang w:eastAsia="zh-CN"/>
              </w:rPr>
              <w:t>☑</w:t>
            </w:r>
            <w:r>
              <w:rPr>
                <w:color w:val="auto"/>
                <w:spacing w:val="-7"/>
                <w:highlight w:val="none"/>
              </w:rPr>
              <w:t>不接受</w:t>
            </w:r>
          </w:p>
          <w:p>
            <w:pPr>
              <w:pStyle w:val="10"/>
              <w:spacing w:before="68" w:line="221" w:lineRule="auto"/>
              <w:ind w:left="134"/>
              <w:rPr>
                <w:color w:val="auto"/>
                <w:highlight w:val="none"/>
              </w:rPr>
            </w:pPr>
            <w:r>
              <w:rPr>
                <w:color w:val="auto"/>
                <w:spacing w:val="-3"/>
                <w:highlight w:val="none"/>
              </w:rPr>
              <w:t>□接受，应满足下列要求：</w:t>
            </w:r>
          </w:p>
          <w:p>
            <w:pPr>
              <w:pStyle w:val="10"/>
              <w:spacing w:before="66" w:line="262" w:lineRule="auto"/>
              <w:ind w:left="111" w:right="106" w:firstLine="2"/>
              <w:jc w:val="both"/>
              <w:rPr>
                <w:color w:val="auto"/>
                <w:highlight w:val="none"/>
              </w:rPr>
            </w:pPr>
            <w:r>
              <w:rPr>
                <w:color w:val="auto"/>
                <w:spacing w:val="3"/>
                <w:highlight w:val="none"/>
              </w:rPr>
              <w:t xml:space="preserve">其中： </w:t>
            </w:r>
            <w:r>
              <w:rPr>
                <w:color w:val="auto"/>
                <w:spacing w:val="3"/>
                <w:highlight w:val="none"/>
                <w:u w:val="single" w:color="auto"/>
              </w:rPr>
              <w:t>联合体资质按照联合体协议约定的分工认定，其他</w:t>
            </w:r>
            <w:r>
              <w:rPr>
                <w:color w:val="auto"/>
                <w:spacing w:val="9"/>
                <w:highlight w:val="none"/>
              </w:rPr>
              <w:t xml:space="preserve"> </w:t>
            </w:r>
            <w:r>
              <w:rPr>
                <w:color w:val="auto"/>
                <w:spacing w:val="8"/>
                <w:highlight w:val="none"/>
                <w:u w:val="single" w:color="auto"/>
              </w:rPr>
              <w:t>按照评审标准规定和联合体协议中约定的各成员分工要求</w:t>
            </w:r>
            <w:r>
              <w:rPr>
                <w:color w:val="auto"/>
                <w:highlight w:val="none"/>
              </w:rPr>
              <w:t xml:space="preserve"> </w:t>
            </w:r>
            <w:r>
              <w:rPr>
                <w:color w:val="auto"/>
                <w:spacing w:val="-30"/>
                <w:w w:val="99"/>
                <w:highlight w:val="none"/>
                <w:u w:val="single" w:color="auto"/>
              </w:rPr>
              <w:t>进行。</w:t>
            </w:r>
            <w:r>
              <w:rPr>
                <w:color w:val="auto"/>
                <w:spacing w:val="2"/>
                <w:highlight w:val="none"/>
                <w:u w:val="single" w:color="auto"/>
              </w:rPr>
              <w:t xml:space="preserve"> </w:t>
            </w:r>
          </w:p>
        </w:tc>
      </w:tr>
    </w:tbl>
    <w:p>
      <w:pPr>
        <w:pStyle w:val="2"/>
        <w:rPr>
          <w:color w:val="auto"/>
          <w:highlight w:val="none"/>
        </w:rPr>
      </w:pPr>
    </w:p>
    <w:p>
      <w:pPr>
        <w:spacing w:line="91" w:lineRule="auto"/>
        <w:rPr>
          <w:rFonts w:ascii="Arial"/>
          <w:color w:val="auto"/>
          <w:sz w:val="2"/>
          <w:highlight w:val="none"/>
        </w:rPr>
      </w:pPr>
    </w:p>
    <w:tbl>
      <w:tblPr>
        <w:tblStyle w:val="9"/>
        <w:tblW w:w="86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7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0"/>
              <w:spacing w:before="168" w:line="221" w:lineRule="auto"/>
              <w:ind w:left="117"/>
              <w:rPr>
                <w:color w:val="auto"/>
                <w:highlight w:val="none"/>
              </w:rPr>
            </w:pPr>
            <w:bookmarkStart w:id="41" w:name="bookmark75"/>
            <w:bookmarkEnd w:id="41"/>
            <w:bookmarkStart w:id="42" w:name="bookmark76"/>
            <w:bookmarkEnd w:id="42"/>
            <w:bookmarkStart w:id="43" w:name="bookmark74"/>
            <w:bookmarkEnd w:id="43"/>
            <w:bookmarkStart w:id="44" w:name="bookmark73"/>
            <w:bookmarkEnd w:id="44"/>
            <w:bookmarkStart w:id="45" w:name="bookmark72"/>
            <w:bookmarkEnd w:id="45"/>
            <w:bookmarkStart w:id="46" w:name="bookmark71"/>
            <w:bookmarkEnd w:id="46"/>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rPr>
                <w:color w:val="auto"/>
                <w:highlight w:val="none"/>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782" w:type="dxa"/>
            <w:vAlign w:val="top"/>
          </w:tcPr>
          <w:p>
            <w:pPr>
              <w:pStyle w:val="10"/>
              <w:spacing w:before="168" w:line="221" w:lineRule="auto"/>
              <w:ind w:left="2102"/>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856" w:type="dxa"/>
            <w:vAlign w:val="top"/>
          </w:tcPr>
          <w:p>
            <w:pPr>
              <w:pStyle w:val="10"/>
              <w:spacing w:before="114" w:line="229" w:lineRule="auto"/>
              <w:ind w:left="124" w:leftChars="0" w:right="121" w:rightChars="0" w:firstLine="62" w:firstLineChars="0"/>
              <w:rPr>
                <w:rFonts w:ascii="宋体" w:hAnsi="宋体" w:eastAsia="宋体" w:cs="宋体"/>
                <w:snapToGrid w:val="0"/>
                <w:color w:val="auto"/>
                <w:kern w:val="0"/>
                <w:sz w:val="21"/>
                <w:szCs w:val="21"/>
                <w:highlight w:val="none"/>
                <w:lang w:val="en-US" w:eastAsia="en-US" w:bidi="ar-SA"/>
              </w:rPr>
            </w:pPr>
            <w:r>
              <w:rPr>
                <w:color w:val="auto"/>
                <w:spacing w:val="-5"/>
                <w:highlight w:val="none"/>
              </w:rPr>
              <w:t>1.4.3</w:t>
            </w:r>
            <w:r>
              <w:rPr>
                <w:color w:val="auto"/>
                <w:spacing w:val="3"/>
                <w:highlight w:val="none"/>
              </w:rPr>
              <w:t xml:space="preserve"> </w:t>
            </w:r>
            <w:r>
              <w:rPr>
                <w:color w:val="auto"/>
                <w:spacing w:val="-7"/>
                <w:highlight w:val="none"/>
              </w:rPr>
              <w:t>（16）</w:t>
            </w:r>
          </w:p>
        </w:tc>
        <w:tc>
          <w:tcPr>
            <w:tcW w:w="1977" w:type="dxa"/>
            <w:vAlign w:val="top"/>
          </w:tcPr>
          <w:p>
            <w:pPr>
              <w:pStyle w:val="10"/>
              <w:spacing w:before="77" w:line="245" w:lineRule="auto"/>
              <w:ind w:left="886" w:leftChars="0" w:right="147" w:rightChars="0" w:hanging="733" w:firstLineChars="0"/>
              <w:rPr>
                <w:rFonts w:ascii="宋体" w:hAnsi="宋体" w:eastAsia="宋体" w:cs="宋体"/>
                <w:snapToGrid w:val="0"/>
                <w:color w:val="auto"/>
                <w:kern w:val="0"/>
                <w:sz w:val="21"/>
                <w:szCs w:val="21"/>
                <w:highlight w:val="none"/>
                <w:lang w:val="en-US" w:eastAsia="en-US" w:bidi="ar-SA"/>
              </w:rPr>
            </w:pPr>
            <w:r>
              <w:rPr>
                <w:color w:val="auto"/>
                <w:spacing w:val="-2"/>
                <w:highlight w:val="none"/>
              </w:rPr>
              <w:t>不得存在的其他情</w:t>
            </w:r>
            <w:r>
              <w:rPr>
                <w:color w:val="auto"/>
                <w:spacing w:val="6"/>
                <w:highlight w:val="none"/>
              </w:rPr>
              <w:t xml:space="preserve"> </w:t>
            </w:r>
            <w:r>
              <w:rPr>
                <w:color w:val="auto"/>
                <w:highlight w:val="none"/>
              </w:rPr>
              <w:t>形</w:t>
            </w:r>
          </w:p>
        </w:tc>
        <w:tc>
          <w:tcPr>
            <w:tcW w:w="5782" w:type="dxa"/>
            <w:vAlign w:val="top"/>
          </w:tcPr>
          <w:p>
            <w:pPr>
              <w:rPr>
                <w:rFonts w:ascii="Arial" w:hAnsi="Arial" w:eastAsia="Arial" w:cs="Arial"/>
                <w:snapToGrid w:val="0"/>
                <w:color w:val="auto"/>
                <w:kern w:val="0"/>
                <w:sz w:val="21"/>
                <w:szCs w:val="21"/>
                <w:highlight w:val="none"/>
                <w:lang w:val="en-US" w:eastAsia="en-US" w:bidi="ar-SA"/>
              </w:rPr>
            </w:pPr>
            <w:r>
              <w:rPr>
                <w:rFonts w:hint="eastAsia" w:ascii="Arial"/>
                <w:color w:val="auto"/>
                <w:sz w:val="21"/>
                <w:highlight w:val="none"/>
              </w:rPr>
              <w:t>凡在“信用中国或信用中国辽宁 ”网站或同级及以上网站查询，被列入失信被执行人或黑名单的单位、重大税收违法案件当事人名单等不良行为的不得参加本工程投标。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856" w:type="dxa"/>
            <w:vAlign w:val="top"/>
          </w:tcPr>
          <w:p>
            <w:pPr>
              <w:spacing w:line="416" w:lineRule="auto"/>
              <w:rPr>
                <w:rFonts w:ascii="Arial"/>
                <w:color w:val="auto"/>
                <w:sz w:val="21"/>
                <w:highlight w:val="none"/>
              </w:rPr>
            </w:pPr>
          </w:p>
          <w:p>
            <w:pPr>
              <w:pStyle w:val="10"/>
              <w:spacing w:before="68" w:line="183" w:lineRule="auto"/>
              <w:ind w:left="186" w:leftChars="0"/>
              <w:rPr>
                <w:rFonts w:ascii="宋体" w:hAnsi="宋体" w:eastAsia="宋体" w:cs="宋体"/>
                <w:snapToGrid w:val="0"/>
                <w:color w:val="auto"/>
                <w:kern w:val="0"/>
                <w:sz w:val="21"/>
                <w:szCs w:val="21"/>
                <w:highlight w:val="none"/>
                <w:lang w:val="en-US" w:eastAsia="en-US" w:bidi="ar-SA"/>
              </w:rPr>
            </w:pPr>
            <w:r>
              <w:rPr>
                <w:color w:val="auto"/>
                <w:spacing w:val="-4"/>
                <w:highlight w:val="none"/>
              </w:rPr>
              <w:t>1.9.1</w:t>
            </w:r>
          </w:p>
        </w:tc>
        <w:tc>
          <w:tcPr>
            <w:tcW w:w="1977" w:type="dxa"/>
            <w:vAlign w:val="top"/>
          </w:tcPr>
          <w:p>
            <w:pPr>
              <w:spacing w:line="382" w:lineRule="auto"/>
              <w:rPr>
                <w:rFonts w:ascii="Arial"/>
                <w:color w:val="auto"/>
                <w:sz w:val="21"/>
                <w:highlight w:val="none"/>
              </w:rPr>
            </w:pPr>
          </w:p>
          <w:p>
            <w:pPr>
              <w:pStyle w:val="10"/>
              <w:spacing w:before="68" w:line="221" w:lineRule="auto"/>
              <w:ind w:left="571"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踏勘现场</w:t>
            </w:r>
          </w:p>
        </w:tc>
        <w:tc>
          <w:tcPr>
            <w:tcW w:w="5782" w:type="dxa"/>
            <w:vAlign w:val="top"/>
          </w:tcPr>
          <w:p>
            <w:pPr>
              <w:pStyle w:val="10"/>
              <w:spacing w:before="133" w:line="222" w:lineRule="auto"/>
              <w:ind w:left="134"/>
              <w:rPr>
                <w:color w:val="auto"/>
                <w:highlight w:val="none"/>
              </w:rPr>
            </w:pPr>
            <w:r>
              <w:rPr>
                <w:rFonts w:hint="eastAsia"/>
                <w:color w:val="auto"/>
                <w:spacing w:val="-5"/>
                <w:highlight w:val="none"/>
                <w:lang w:eastAsia="zh-CN"/>
              </w:rPr>
              <w:t>☑</w:t>
            </w:r>
            <w:r>
              <w:rPr>
                <w:color w:val="auto"/>
                <w:spacing w:val="-5"/>
                <w:highlight w:val="none"/>
              </w:rPr>
              <w:t>不统一组织</w:t>
            </w:r>
          </w:p>
          <w:p>
            <w:pPr>
              <w:pStyle w:val="10"/>
              <w:spacing w:before="65" w:line="251" w:lineRule="auto"/>
              <w:ind w:left="955" w:leftChars="0" w:right="3298" w:rightChars="0" w:hanging="821" w:firstLineChars="0"/>
              <w:rPr>
                <w:rFonts w:ascii="宋体" w:hAnsi="宋体" w:eastAsia="宋体" w:cs="宋体"/>
                <w:snapToGrid w:val="0"/>
                <w:color w:val="auto"/>
                <w:kern w:val="0"/>
                <w:sz w:val="21"/>
                <w:szCs w:val="21"/>
                <w:highlight w:val="none"/>
                <w:lang w:val="en-US" w:eastAsia="en-US" w:bidi="ar-SA"/>
              </w:rPr>
            </w:pPr>
            <w:r>
              <w:rPr>
                <w:color w:val="auto"/>
                <w:spacing w:val="-7"/>
                <w:highlight w:val="none"/>
              </w:rPr>
              <w:t>□统一组织，踏勘时间：</w:t>
            </w:r>
            <w:r>
              <w:rPr>
                <w:color w:val="auto"/>
                <w:highlight w:val="none"/>
              </w:rPr>
              <w:t xml:space="preserve"> </w:t>
            </w:r>
            <w:r>
              <w:rPr>
                <w:color w:val="auto"/>
                <w:spacing w:val="-9"/>
                <w:highlight w:val="none"/>
              </w:rPr>
              <w:t>踏勘集中地点：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856" w:type="dxa"/>
            <w:vAlign w:val="top"/>
          </w:tcPr>
          <w:p>
            <w:pPr>
              <w:spacing w:line="251" w:lineRule="auto"/>
              <w:rPr>
                <w:rFonts w:ascii="Arial"/>
                <w:color w:val="auto"/>
                <w:sz w:val="21"/>
                <w:highlight w:val="none"/>
              </w:rPr>
            </w:pPr>
          </w:p>
          <w:p>
            <w:pPr>
              <w:spacing w:line="252" w:lineRule="auto"/>
              <w:rPr>
                <w:rFonts w:ascii="Arial"/>
                <w:color w:val="auto"/>
                <w:sz w:val="21"/>
                <w:highlight w:val="none"/>
              </w:rPr>
            </w:pPr>
          </w:p>
          <w:p>
            <w:pPr>
              <w:pStyle w:val="10"/>
              <w:spacing w:before="68" w:line="183" w:lineRule="auto"/>
              <w:ind w:left="134" w:leftChars="0"/>
              <w:rPr>
                <w:color w:val="auto"/>
                <w:spacing w:val="-5"/>
                <w:highlight w:val="none"/>
              </w:rPr>
            </w:pPr>
            <w:r>
              <w:rPr>
                <w:color w:val="auto"/>
                <w:spacing w:val="-3"/>
                <w:highlight w:val="none"/>
              </w:rPr>
              <w:t>1.10.1</w:t>
            </w:r>
          </w:p>
        </w:tc>
        <w:tc>
          <w:tcPr>
            <w:tcW w:w="1977" w:type="dxa"/>
            <w:vAlign w:val="top"/>
          </w:tcPr>
          <w:p>
            <w:pPr>
              <w:spacing w:line="468" w:lineRule="auto"/>
              <w:rPr>
                <w:rFonts w:ascii="Arial"/>
                <w:color w:val="auto"/>
                <w:sz w:val="21"/>
                <w:highlight w:val="none"/>
              </w:rPr>
            </w:pPr>
          </w:p>
          <w:p>
            <w:pPr>
              <w:pStyle w:val="10"/>
              <w:spacing w:before="69" w:line="220" w:lineRule="auto"/>
              <w:ind w:left="467" w:leftChars="0"/>
              <w:rPr>
                <w:color w:val="auto"/>
                <w:spacing w:val="-5"/>
                <w:highlight w:val="none"/>
              </w:rPr>
            </w:pPr>
            <w:r>
              <w:rPr>
                <w:color w:val="auto"/>
                <w:spacing w:val="-2"/>
                <w:highlight w:val="none"/>
              </w:rPr>
              <w:t>投标预备会</w:t>
            </w:r>
          </w:p>
        </w:tc>
        <w:tc>
          <w:tcPr>
            <w:tcW w:w="5782" w:type="dxa"/>
            <w:vAlign w:val="top"/>
          </w:tcPr>
          <w:p>
            <w:pPr>
              <w:pStyle w:val="10"/>
              <w:spacing w:before="220" w:line="222" w:lineRule="auto"/>
              <w:ind w:left="134"/>
              <w:rPr>
                <w:color w:val="auto"/>
                <w:highlight w:val="none"/>
              </w:rPr>
            </w:pPr>
            <w:r>
              <w:rPr>
                <w:rFonts w:hint="eastAsia"/>
                <w:color w:val="auto"/>
                <w:spacing w:val="-7"/>
                <w:highlight w:val="none"/>
                <w:lang w:eastAsia="zh-CN"/>
              </w:rPr>
              <w:t>☑</w:t>
            </w:r>
            <w:r>
              <w:rPr>
                <w:color w:val="auto"/>
                <w:spacing w:val="-7"/>
                <w:highlight w:val="none"/>
              </w:rPr>
              <w:t>不召开</w:t>
            </w:r>
          </w:p>
          <w:p>
            <w:pPr>
              <w:pStyle w:val="10"/>
              <w:spacing w:before="66" w:line="319" w:lineRule="exact"/>
              <w:ind w:left="134"/>
              <w:rPr>
                <w:color w:val="auto"/>
                <w:highlight w:val="none"/>
              </w:rPr>
            </w:pPr>
            <w:r>
              <w:rPr>
                <w:color w:val="auto"/>
                <w:spacing w:val="-6"/>
                <w:position w:val="7"/>
                <w:highlight w:val="none"/>
              </w:rPr>
              <w:t>□召开，召开时间：</w:t>
            </w:r>
          </w:p>
          <w:p>
            <w:pPr>
              <w:pStyle w:val="10"/>
              <w:spacing w:line="222" w:lineRule="auto"/>
              <w:ind w:left="963" w:leftChars="0"/>
              <w:rPr>
                <w:color w:val="auto"/>
                <w:spacing w:val="-1"/>
                <w:highlight w:val="none"/>
              </w:rPr>
            </w:pPr>
            <w:r>
              <w:rPr>
                <w:color w:val="auto"/>
                <w:spacing w:val="-8"/>
                <w:highlight w:val="none"/>
              </w:rPr>
              <w:t>召开地点：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856" w:type="dxa"/>
            <w:vAlign w:val="top"/>
          </w:tcPr>
          <w:p>
            <w:pPr>
              <w:pStyle w:val="10"/>
              <w:spacing w:before="272" w:line="183" w:lineRule="auto"/>
              <w:ind w:left="134" w:leftChars="0"/>
              <w:rPr>
                <w:color w:val="auto"/>
                <w:spacing w:val="-5"/>
                <w:highlight w:val="none"/>
              </w:rPr>
            </w:pPr>
            <w:r>
              <w:rPr>
                <w:color w:val="auto"/>
                <w:spacing w:val="-3"/>
                <w:highlight w:val="none"/>
              </w:rPr>
              <w:t>1.10.2</w:t>
            </w:r>
          </w:p>
        </w:tc>
        <w:tc>
          <w:tcPr>
            <w:tcW w:w="1977" w:type="dxa"/>
            <w:vAlign w:val="top"/>
          </w:tcPr>
          <w:p>
            <w:pPr>
              <w:pStyle w:val="10"/>
              <w:spacing w:before="80" w:line="246" w:lineRule="auto"/>
              <w:ind w:left="568" w:leftChars="0" w:right="147" w:rightChars="0" w:hanging="416" w:firstLineChars="0"/>
              <w:rPr>
                <w:color w:val="auto"/>
                <w:spacing w:val="-5"/>
                <w:highlight w:val="none"/>
              </w:rPr>
            </w:pPr>
            <w:r>
              <w:rPr>
                <w:color w:val="auto"/>
                <w:spacing w:val="-2"/>
                <w:highlight w:val="none"/>
              </w:rPr>
              <w:t>投标人提出问题的</w:t>
            </w:r>
            <w:r>
              <w:rPr>
                <w:color w:val="auto"/>
                <w:spacing w:val="6"/>
                <w:highlight w:val="none"/>
              </w:rPr>
              <w:t xml:space="preserve"> </w:t>
            </w:r>
            <w:r>
              <w:rPr>
                <w:color w:val="auto"/>
                <w:spacing w:val="-1"/>
                <w:highlight w:val="none"/>
              </w:rPr>
              <w:t>截止时间</w:t>
            </w:r>
          </w:p>
        </w:tc>
        <w:tc>
          <w:tcPr>
            <w:tcW w:w="5782" w:type="dxa"/>
            <w:vAlign w:val="top"/>
          </w:tcPr>
          <w:p>
            <w:pPr>
              <w:pStyle w:val="10"/>
              <w:spacing w:before="80" w:line="220" w:lineRule="auto"/>
              <w:ind w:left="134"/>
              <w:rPr>
                <w:color w:val="auto"/>
                <w:highlight w:val="none"/>
              </w:rPr>
            </w:pPr>
            <w:r>
              <w:rPr>
                <w:color w:val="auto"/>
                <w:spacing w:val="-5"/>
                <w:highlight w:val="none"/>
              </w:rPr>
              <w:t>□召开投标预备会之日</w:t>
            </w:r>
            <w:r>
              <w:rPr>
                <w:color w:val="auto"/>
                <w:spacing w:val="-96"/>
                <w:highlight w:val="none"/>
              </w:rPr>
              <w:t xml:space="preserve"> </w:t>
            </w:r>
            <w:r>
              <w:rPr>
                <w:color w:val="auto"/>
                <w:spacing w:val="20"/>
                <w:highlight w:val="none"/>
                <w:u w:val="single" w:color="auto"/>
              </w:rPr>
              <w:t xml:space="preserve">     </w:t>
            </w:r>
            <w:r>
              <w:rPr>
                <w:color w:val="auto"/>
                <w:spacing w:val="-56"/>
                <w:highlight w:val="none"/>
              </w:rPr>
              <w:t xml:space="preserve"> </w:t>
            </w:r>
            <w:r>
              <w:rPr>
                <w:color w:val="auto"/>
                <w:spacing w:val="-5"/>
                <w:highlight w:val="none"/>
              </w:rPr>
              <w:t>日前</w:t>
            </w:r>
          </w:p>
          <w:p>
            <w:pPr>
              <w:pStyle w:val="10"/>
              <w:spacing w:before="68" w:line="212" w:lineRule="auto"/>
              <w:ind w:left="134" w:leftChars="0"/>
              <w:rPr>
                <w:color w:val="auto"/>
                <w:spacing w:val="-1"/>
                <w:highlight w:val="none"/>
              </w:rPr>
            </w:pPr>
            <w:r>
              <w:rPr>
                <w:rFonts w:hint="eastAsia"/>
                <w:color w:val="auto"/>
                <w:spacing w:val="-19"/>
                <w:highlight w:val="none"/>
                <w:lang w:eastAsia="zh-CN"/>
              </w:rPr>
              <w:t>☑</w:t>
            </w:r>
            <w:r>
              <w:rPr>
                <w:color w:val="auto"/>
                <w:spacing w:val="3"/>
                <w:highlight w:val="none"/>
              </w:rPr>
              <w:t xml:space="preserve"> </w:t>
            </w:r>
            <w:r>
              <w:rPr>
                <w:rFonts w:hint="eastAsia"/>
                <w:color w:val="auto"/>
                <w:spacing w:val="3"/>
                <w:highlight w:val="none"/>
                <w:lang w:val="en-US" w:eastAsia="zh-CN"/>
              </w:rPr>
              <w:t>2024</w:t>
            </w:r>
            <w:r>
              <w:rPr>
                <w:color w:val="auto"/>
                <w:spacing w:val="-19"/>
                <w:highlight w:val="none"/>
              </w:rPr>
              <w:t>年</w:t>
            </w:r>
            <w:r>
              <w:rPr>
                <w:rFonts w:hint="eastAsia"/>
                <w:color w:val="auto"/>
                <w:spacing w:val="6"/>
                <w:highlight w:val="none"/>
                <w:lang w:val="en-US" w:eastAsia="zh-CN"/>
              </w:rPr>
              <w:t>**</w:t>
            </w:r>
            <w:r>
              <w:rPr>
                <w:color w:val="auto"/>
                <w:spacing w:val="-19"/>
                <w:highlight w:val="none"/>
              </w:rPr>
              <w:t>月</w:t>
            </w:r>
            <w:r>
              <w:rPr>
                <w:rFonts w:hint="eastAsia"/>
                <w:color w:val="auto"/>
                <w:spacing w:val="22"/>
                <w:highlight w:val="none"/>
                <w:lang w:val="en-US" w:eastAsia="zh-CN"/>
              </w:rPr>
              <w:t>**</w:t>
            </w:r>
            <w:r>
              <w:rPr>
                <w:color w:val="auto"/>
                <w:spacing w:val="-19"/>
                <w:highlight w:val="none"/>
              </w:rPr>
              <w:t>日</w:t>
            </w:r>
            <w:r>
              <w:rPr>
                <w:rFonts w:hint="eastAsia"/>
                <w:color w:val="auto"/>
                <w:spacing w:val="6"/>
                <w:highlight w:val="none"/>
                <w:lang w:val="en-US" w:eastAsia="zh-CN"/>
              </w:rPr>
              <w:t>16</w:t>
            </w:r>
            <w:r>
              <w:rPr>
                <w:color w:val="auto"/>
                <w:spacing w:val="-19"/>
                <w:highlight w:val="none"/>
              </w:rPr>
              <w:t>时</w:t>
            </w:r>
            <w:r>
              <w:rPr>
                <w:rFonts w:hint="eastAsia"/>
                <w:color w:val="auto"/>
                <w:spacing w:val="2"/>
                <w:highlight w:val="none"/>
                <w:lang w:val="en-US" w:eastAsia="zh-CN"/>
              </w:rPr>
              <w:t>00</w:t>
            </w:r>
            <w:r>
              <w:rPr>
                <w:color w:val="auto"/>
                <w:spacing w:val="-19"/>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856" w:type="dxa"/>
            <w:vAlign w:val="top"/>
          </w:tcPr>
          <w:p>
            <w:pPr>
              <w:spacing w:line="323" w:lineRule="auto"/>
              <w:rPr>
                <w:rFonts w:ascii="Arial"/>
                <w:color w:val="auto"/>
                <w:sz w:val="21"/>
                <w:highlight w:val="none"/>
              </w:rPr>
            </w:pPr>
          </w:p>
          <w:p>
            <w:pPr>
              <w:spacing w:line="324" w:lineRule="auto"/>
              <w:rPr>
                <w:rFonts w:ascii="Arial"/>
                <w:color w:val="auto"/>
                <w:sz w:val="21"/>
                <w:highlight w:val="none"/>
              </w:rPr>
            </w:pPr>
          </w:p>
          <w:p>
            <w:pPr>
              <w:pStyle w:val="10"/>
              <w:spacing w:before="68" w:line="183" w:lineRule="auto"/>
              <w:ind w:left="239"/>
              <w:rPr>
                <w:color w:val="auto"/>
                <w:highlight w:val="none"/>
              </w:rPr>
            </w:pPr>
            <w:r>
              <w:rPr>
                <w:color w:val="auto"/>
                <w:spacing w:val="-5"/>
                <w:highlight w:val="none"/>
              </w:rPr>
              <w:t>1.11</w:t>
            </w:r>
          </w:p>
        </w:tc>
        <w:tc>
          <w:tcPr>
            <w:tcW w:w="1977" w:type="dxa"/>
            <w:vAlign w:val="top"/>
          </w:tcPr>
          <w:p>
            <w:pPr>
              <w:spacing w:line="306" w:lineRule="auto"/>
              <w:rPr>
                <w:rFonts w:ascii="Arial"/>
                <w:color w:val="auto"/>
                <w:sz w:val="21"/>
                <w:highlight w:val="none"/>
              </w:rPr>
            </w:pPr>
          </w:p>
          <w:p>
            <w:pPr>
              <w:spacing w:line="307" w:lineRule="auto"/>
              <w:rPr>
                <w:rFonts w:ascii="Arial"/>
                <w:color w:val="auto"/>
                <w:sz w:val="21"/>
                <w:highlight w:val="none"/>
              </w:rPr>
            </w:pPr>
          </w:p>
          <w:p>
            <w:pPr>
              <w:pStyle w:val="10"/>
              <w:spacing w:before="68" w:line="221" w:lineRule="auto"/>
              <w:ind w:left="678"/>
              <w:rPr>
                <w:color w:val="auto"/>
                <w:highlight w:val="none"/>
              </w:rPr>
            </w:pPr>
            <w:r>
              <w:rPr>
                <w:color w:val="auto"/>
                <w:spacing w:val="-5"/>
                <w:highlight w:val="none"/>
              </w:rPr>
              <w:t>分</w:t>
            </w:r>
            <w:r>
              <w:rPr>
                <w:color w:val="auto"/>
                <w:spacing w:val="4"/>
                <w:highlight w:val="none"/>
              </w:rPr>
              <w:t xml:space="preserve">  </w:t>
            </w:r>
            <w:r>
              <w:rPr>
                <w:color w:val="auto"/>
                <w:spacing w:val="-5"/>
                <w:highlight w:val="none"/>
              </w:rPr>
              <w:t>包</w:t>
            </w:r>
          </w:p>
        </w:tc>
        <w:tc>
          <w:tcPr>
            <w:tcW w:w="5782" w:type="dxa"/>
            <w:vAlign w:val="top"/>
          </w:tcPr>
          <w:p>
            <w:pPr>
              <w:pStyle w:val="10"/>
              <w:spacing w:before="204" w:line="221" w:lineRule="auto"/>
              <w:ind w:left="134"/>
              <w:rPr>
                <w:color w:val="auto"/>
                <w:highlight w:val="none"/>
              </w:rPr>
            </w:pPr>
            <w:r>
              <w:rPr>
                <w:rFonts w:hint="eastAsia"/>
                <w:color w:val="auto"/>
                <w:spacing w:val="-7"/>
                <w:highlight w:val="none"/>
                <w:lang w:eastAsia="zh-CN"/>
              </w:rPr>
              <w:t>☑</w:t>
            </w:r>
            <w:r>
              <w:rPr>
                <w:color w:val="auto"/>
                <w:spacing w:val="-7"/>
                <w:highlight w:val="none"/>
              </w:rPr>
              <w:t>不允许</w:t>
            </w:r>
          </w:p>
          <w:p>
            <w:pPr>
              <w:pStyle w:val="10"/>
              <w:spacing w:before="68" w:line="319" w:lineRule="exact"/>
              <w:ind w:left="134"/>
              <w:rPr>
                <w:color w:val="auto"/>
                <w:highlight w:val="none"/>
              </w:rPr>
            </w:pPr>
            <w:r>
              <w:rPr>
                <w:color w:val="auto"/>
                <w:spacing w:val="-5"/>
                <w:position w:val="7"/>
                <w:highlight w:val="none"/>
              </w:rPr>
              <w:t>□允许，分包内容要求：</w:t>
            </w:r>
          </w:p>
          <w:p>
            <w:pPr>
              <w:pStyle w:val="10"/>
              <w:spacing w:line="220" w:lineRule="auto"/>
              <w:ind w:left="958"/>
              <w:rPr>
                <w:color w:val="auto"/>
                <w:highlight w:val="none"/>
              </w:rPr>
            </w:pPr>
            <w:r>
              <w:rPr>
                <w:color w:val="auto"/>
                <w:spacing w:val="-5"/>
                <w:highlight w:val="none"/>
              </w:rPr>
              <w:t>分包金额要求：</w:t>
            </w:r>
          </w:p>
          <w:p>
            <w:pPr>
              <w:pStyle w:val="10"/>
              <w:spacing w:before="70" w:line="221" w:lineRule="auto"/>
              <w:ind w:left="954"/>
              <w:rPr>
                <w:color w:val="auto"/>
                <w:highlight w:val="none"/>
              </w:rPr>
            </w:pPr>
            <w:r>
              <w:rPr>
                <w:color w:val="auto"/>
                <w:spacing w:val="-1"/>
                <w:highlight w:val="none"/>
              </w:rPr>
              <w:t>接受分包的第三人资质要求：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856" w:type="dxa"/>
            <w:vAlign w:val="top"/>
          </w:tcPr>
          <w:p>
            <w:pPr>
              <w:spacing w:line="252" w:lineRule="auto"/>
              <w:rPr>
                <w:rFonts w:ascii="Arial"/>
                <w:color w:val="auto"/>
                <w:sz w:val="21"/>
                <w:highlight w:val="none"/>
              </w:rPr>
            </w:pPr>
          </w:p>
          <w:p>
            <w:pPr>
              <w:spacing w:line="252" w:lineRule="auto"/>
              <w:rPr>
                <w:rFonts w:ascii="Arial"/>
                <w:color w:val="auto"/>
                <w:sz w:val="21"/>
                <w:highlight w:val="none"/>
              </w:rPr>
            </w:pPr>
          </w:p>
          <w:p>
            <w:pPr>
              <w:spacing w:line="253" w:lineRule="auto"/>
              <w:rPr>
                <w:rFonts w:ascii="Arial"/>
                <w:color w:val="auto"/>
                <w:sz w:val="21"/>
                <w:highlight w:val="none"/>
              </w:rPr>
            </w:pPr>
          </w:p>
          <w:p>
            <w:pPr>
              <w:pStyle w:val="10"/>
              <w:spacing w:before="68" w:line="183" w:lineRule="auto"/>
              <w:ind w:left="239"/>
              <w:rPr>
                <w:color w:val="auto"/>
                <w:highlight w:val="none"/>
              </w:rPr>
            </w:pPr>
            <w:r>
              <w:rPr>
                <w:color w:val="auto"/>
                <w:spacing w:val="-5"/>
                <w:highlight w:val="none"/>
              </w:rPr>
              <w:t>1.12</w:t>
            </w:r>
          </w:p>
        </w:tc>
        <w:tc>
          <w:tcPr>
            <w:tcW w:w="1977" w:type="dxa"/>
            <w:vAlign w:val="top"/>
          </w:tcPr>
          <w:p>
            <w:pPr>
              <w:spacing w:line="241" w:lineRule="auto"/>
              <w:rPr>
                <w:rFonts w:ascii="Arial"/>
                <w:color w:val="auto"/>
                <w:sz w:val="21"/>
                <w:highlight w:val="none"/>
              </w:rPr>
            </w:pPr>
          </w:p>
          <w:p>
            <w:pPr>
              <w:spacing w:line="241" w:lineRule="auto"/>
              <w:rPr>
                <w:rFonts w:ascii="Arial"/>
                <w:color w:val="auto"/>
                <w:sz w:val="21"/>
                <w:highlight w:val="none"/>
              </w:rPr>
            </w:pPr>
          </w:p>
          <w:p>
            <w:pPr>
              <w:spacing w:line="241" w:lineRule="auto"/>
              <w:rPr>
                <w:rFonts w:ascii="Arial"/>
                <w:color w:val="auto"/>
                <w:sz w:val="21"/>
                <w:highlight w:val="none"/>
              </w:rPr>
            </w:pPr>
          </w:p>
          <w:p>
            <w:pPr>
              <w:pStyle w:val="10"/>
              <w:spacing w:before="68" w:line="221" w:lineRule="auto"/>
              <w:ind w:left="675"/>
              <w:rPr>
                <w:color w:val="auto"/>
                <w:highlight w:val="none"/>
              </w:rPr>
            </w:pPr>
            <w:r>
              <w:rPr>
                <w:color w:val="auto"/>
                <w:spacing w:val="-4"/>
                <w:highlight w:val="none"/>
              </w:rPr>
              <w:t>偏</w:t>
            </w:r>
            <w:r>
              <w:rPr>
                <w:color w:val="auto"/>
                <w:spacing w:val="6"/>
                <w:highlight w:val="none"/>
              </w:rPr>
              <w:t xml:space="preserve">  </w:t>
            </w:r>
            <w:r>
              <w:rPr>
                <w:color w:val="auto"/>
                <w:spacing w:val="-4"/>
                <w:highlight w:val="none"/>
              </w:rPr>
              <w:t>离</w:t>
            </w:r>
          </w:p>
        </w:tc>
        <w:tc>
          <w:tcPr>
            <w:tcW w:w="5782" w:type="dxa"/>
            <w:vAlign w:val="top"/>
          </w:tcPr>
          <w:p>
            <w:pPr>
              <w:pStyle w:val="10"/>
              <w:spacing w:before="157" w:line="221" w:lineRule="auto"/>
              <w:ind w:left="134"/>
              <w:rPr>
                <w:color w:val="auto"/>
                <w:highlight w:val="none"/>
              </w:rPr>
            </w:pPr>
            <w:r>
              <w:rPr>
                <w:rFonts w:hint="eastAsia"/>
                <w:color w:val="auto"/>
                <w:spacing w:val="-7"/>
                <w:highlight w:val="none"/>
                <w:lang w:eastAsia="zh-CN"/>
              </w:rPr>
              <w:t>☑</w:t>
            </w:r>
            <w:r>
              <w:rPr>
                <w:color w:val="auto"/>
                <w:spacing w:val="-7"/>
                <w:highlight w:val="none"/>
              </w:rPr>
              <w:t>不允许</w:t>
            </w:r>
          </w:p>
          <w:p>
            <w:pPr>
              <w:pStyle w:val="10"/>
              <w:spacing w:before="69" w:line="251" w:lineRule="auto"/>
              <w:ind w:left="114" w:right="109" w:firstLine="19"/>
              <w:rPr>
                <w:color w:val="auto"/>
                <w:highlight w:val="none"/>
              </w:rPr>
            </w:pPr>
            <w:r>
              <w:rPr>
                <w:color w:val="auto"/>
                <w:spacing w:val="14"/>
                <w:highlight w:val="none"/>
              </w:rPr>
              <w:t>□允许，</w:t>
            </w:r>
            <w:r>
              <w:rPr>
                <w:color w:val="auto"/>
                <w:spacing w:val="-59"/>
                <w:highlight w:val="none"/>
              </w:rPr>
              <w:t xml:space="preserve"> </w:t>
            </w:r>
            <w:r>
              <w:rPr>
                <w:color w:val="auto"/>
                <w:spacing w:val="14"/>
                <w:highlight w:val="none"/>
              </w:rPr>
              <w:t>可偏离的项目和范围见第七章“技术标准和要</w:t>
            </w:r>
            <w:r>
              <w:rPr>
                <w:color w:val="auto"/>
                <w:highlight w:val="none"/>
              </w:rPr>
              <w:t xml:space="preserve"> </w:t>
            </w:r>
            <w:r>
              <w:rPr>
                <w:color w:val="auto"/>
                <w:spacing w:val="-3"/>
                <w:highlight w:val="none"/>
              </w:rPr>
              <w:t>求”：</w:t>
            </w:r>
          </w:p>
          <w:p>
            <w:pPr>
              <w:pStyle w:val="10"/>
              <w:spacing w:before="69" w:line="319" w:lineRule="exact"/>
              <w:ind w:left="962"/>
              <w:rPr>
                <w:color w:val="auto"/>
                <w:highlight w:val="none"/>
              </w:rPr>
            </w:pPr>
            <w:r>
              <w:rPr>
                <w:color w:val="auto"/>
                <w:spacing w:val="-5"/>
                <w:position w:val="7"/>
                <w:highlight w:val="none"/>
              </w:rPr>
              <w:t>允许偏离最高项数：</w:t>
            </w:r>
          </w:p>
          <w:p>
            <w:pPr>
              <w:pStyle w:val="10"/>
              <w:spacing w:line="220" w:lineRule="auto"/>
              <w:ind w:left="955"/>
              <w:rPr>
                <w:color w:val="auto"/>
                <w:highlight w:val="none"/>
              </w:rPr>
            </w:pPr>
            <w:r>
              <w:rPr>
                <w:color w:val="auto"/>
                <w:spacing w:val="-5"/>
                <w:highlight w:val="none"/>
              </w:rPr>
              <w:t>偏差调整方法：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111" w:line="230" w:lineRule="auto"/>
              <w:ind w:left="176" w:right="159" w:hanging="3"/>
              <w:rPr>
                <w:color w:val="auto"/>
                <w:highlight w:val="none"/>
              </w:rPr>
            </w:pPr>
            <w:r>
              <w:rPr>
                <w:color w:val="auto"/>
                <w:spacing w:val="-2"/>
                <w:highlight w:val="none"/>
              </w:rPr>
              <w:t>2.1.1</w:t>
            </w:r>
            <w:r>
              <w:rPr>
                <w:color w:val="auto"/>
                <w:spacing w:val="1"/>
                <w:highlight w:val="none"/>
              </w:rPr>
              <w:t xml:space="preserve"> </w:t>
            </w:r>
            <w:r>
              <w:rPr>
                <w:color w:val="auto"/>
                <w:spacing w:val="-5"/>
                <w:highlight w:val="none"/>
              </w:rPr>
              <w:t>（9）</w:t>
            </w:r>
          </w:p>
        </w:tc>
        <w:tc>
          <w:tcPr>
            <w:tcW w:w="1977" w:type="dxa"/>
            <w:vAlign w:val="top"/>
          </w:tcPr>
          <w:p>
            <w:pPr>
              <w:pStyle w:val="10"/>
              <w:spacing w:before="77" w:line="245" w:lineRule="auto"/>
              <w:ind w:left="675" w:right="147" w:hanging="523"/>
              <w:rPr>
                <w:color w:val="auto"/>
                <w:highlight w:val="none"/>
              </w:rPr>
            </w:pPr>
            <w:r>
              <w:rPr>
                <w:color w:val="auto"/>
                <w:spacing w:val="-2"/>
                <w:highlight w:val="none"/>
              </w:rPr>
              <w:t>构成招标文件的其</w:t>
            </w:r>
            <w:r>
              <w:rPr>
                <w:color w:val="auto"/>
                <w:spacing w:val="6"/>
                <w:highlight w:val="none"/>
              </w:rPr>
              <w:t xml:space="preserve"> </w:t>
            </w:r>
            <w:r>
              <w:rPr>
                <w:color w:val="auto"/>
                <w:spacing w:val="-2"/>
                <w:highlight w:val="none"/>
              </w:rPr>
              <w:t>他材料</w:t>
            </w:r>
          </w:p>
        </w:tc>
        <w:tc>
          <w:tcPr>
            <w:tcW w:w="5782" w:type="dxa"/>
            <w:vAlign w:val="center"/>
          </w:tcPr>
          <w:p>
            <w:pPr>
              <w:ind w:firstLine="210" w:firstLineChars="100"/>
              <w:jc w:val="both"/>
              <w:rPr>
                <w:rFonts w:hint="default" w:ascii="Arial" w:eastAsia="宋体"/>
                <w:color w:val="auto"/>
                <w:sz w:val="21"/>
                <w:highlight w:val="none"/>
                <w:lang w:val="en-US" w:eastAsia="zh-CN"/>
              </w:rPr>
            </w:pPr>
            <w:r>
              <w:rPr>
                <w:rFonts w:hint="eastAsia" w:eastAsia="宋体"/>
                <w:color w:val="auto"/>
                <w:sz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856" w:type="dxa"/>
            <w:vAlign w:val="top"/>
          </w:tcPr>
          <w:p>
            <w:pPr>
              <w:spacing w:line="257" w:lineRule="auto"/>
              <w:rPr>
                <w:rFonts w:ascii="Arial"/>
                <w:color w:val="auto"/>
                <w:sz w:val="21"/>
                <w:highlight w:val="none"/>
              </w:rPr>
            </w:pPr>
          </w:p>
          <w:p>
            <w:pPr>
              <w:pStyle w:val="10"/>
              <w:spacing w:before="68" w:line="183" w:lineRule="auto"/>
              <w:ind w:left="173"/>
              <w:rPr>
                <w:color w:val="auto"/>
                <w:highlight w:val="none"/>
              </w:rPr>
            </w:pPr>
            <w:r>
              <w:rPr>
                <w:color w:val="auto"/>
                <w:spacing w:val="-2"/>
                <w:highlight w:val="none"/>
              </w:rPr>
              <w:t>2.2.1</w:t>
            </w:r>
          </w:p>
        </w:tc>
        <w:tc>
          <w:tcPr>
            <w:tcW w:w="1977" w:type="dxa"/>
            <w:vAlign w:val="top"/>
          </w:tcPr>
          <w:p>
            <w:pPr>
              <w:pStyle w:val="10"/>
              <w:spacing w:before="131" w:line="252" w:lineRule="auto"/>
              <w:ind w:left="151" w:right="147" w:firstLine="1"/>
              <w:rPr>
                <w:color w:val="auto"/>
                <w:highlight w:val="none"/>
              </w:rPr>
            </w:pPr>
            <w:r>
              <w:rPr>
                <w:color w:val="auto"/>
                <w:spacing w:val="-2"/>
                <w:highlight w:val="none"/>
              </w:rPr>
              <w:t>投标人要求澄清招</w:t>
            </w:r>
            <w:r>
              <w:rPr>
                <w:color w:val="auto"/>
                <w:spacing w:val="6"/>
                <w:highlight w:val="none"/>
              </w:rPr>
              <w:t xml:space="preserve"> </w:t>
            </w:r>
            <w:r>
              <w:rPr>
                <w:color w:val="auto"/>
                <w:spacing w:val="-1"/>
                <w:highlight w:val="none"/>
              </w:rPr>
              <w:t>标文件的截止时间</w:t>
            </w:r>
          </w:p>
        </w:tc>
        <w:tc>
          <w:tcPr>
            <w:tcW w:w="5782" w:type="dxa"/>
            <w:vAlign w:val="top"/>
          </w:tcPr>
          <w:p>
            <w:pPr>
              <w:pStyle w:val="10"/>
              <w:spacing w:before="292" w:line="221" w:lineRule="auto"/>
              <w:ind w:left="114"/>
              <w:rPr>
                <w:color w:val="auto"/>
                <w:highlight w:val="none"/>
              </w:rPr>
            </w:pPr>
            <w:r>
              <w:rPr>
                <w:color w:val="auto"/>
                <w:spacing w:val="-3"/>
                <w:highlight w:val="none"/>
              </w:rPr>
              <w:t>递交投标文件截止之日</w:t>
            </w:r>
            <w:r>
              <w:rPr>
                <w:color w:val="auto"/>
                <w:spacing w:val="-99"/>
                <w:highlight w:val="none"/>
              </w:rPr>
              <w:t xml:space="preserve"> </w:t>
            </w:r>
            <w:r>
              <w:rPr>
                <w:color w:val="auto"/>
                <w:spacing w:val="20"/>
                <w:highlight w:val="none"/>
                <w:u w:val="single" w:color="auto"/>
              </w:rPr>
              <w:t xml:space="preserve"> </w:t>
            </w:r>
            <w:r>
              <w:rPr>
                <w:rFonts w:hint="eastAsia"/>
                <w:color w:val="auto"/>
                <w:spacing w:val="20"/>
                <w:highlight w:val="none"/>
                <w:u w:val="single" w:color="auto"/>
                <w:lang w:val="en-US" w:eastAsia="zh-CN"/>
              </w:rPr>
              <w:t>15</w:t>
            </w:r>
            <w:r>
              <w:rPr>
                <w:color w:val="auto"/>
                <w:spacing w:val="20"/>
                <w:highlight w:val="none"/>
                <w:u w:val="single" w:color="auto"/>
              </w:rPr>
              <w:t xml:space="preserve"> </w:t>
            </w:r>
            <w:r>
              <w:rPr>
                <w:color w:val="auto"/>
                <w:spacing w:val="-57"/>
                <w:highlight w:val="none"/>
              </w:rPr>
              <w:t xml:space="preserve"> </w:t>
            </w:r>
            <w:r>
              <w:rPr>
                <w:color w:val="auto"/>
                <w:spacing w:val="-3"/>
                <w:highlight w:val="none"/>
              </w:rPr>
              <w:t>日前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4" w:hRule="atLeast"/>
        </w:trPr>
        <w:tc>
          <w:tcPr>
            <w:tcW w:w="856" w:type="dxa"/>
            <w:vAlign w:val="top"/>
          </w:tcPr>
          <w:p>
            <w:pPr>
              <w:spacing w:line="256" w:lineRule="auto"/>
              <w:rPr>
                <w:rFonts w:ascii="Arial"/>
                <w:color w:val="auto"/>
                <w:sz w:val="21"/>
                <w:highlight w:val="none"/>
              </w:rPr>
            </w:pPr>
          </w:p>
          <w:p>
            <w:pPr>
              <w:spacing w:line="256" w:lineRule="auto"/>
              <w:rPr>
                <w:rFonts w:ascii="Arial"/>
                <w:color w:val="auto"/>
                <w:sz w:val="21"/>
                <w:highlight w:val="none"/>
              </w:rPr>
            </w:pPr>
          </w:p>
          <w:p>
            <w:pPr>
              <w:spacing w:line="256" w:lineRule="auto"/>
              <w:rPr>
                <w:rFonts w:ascii="Arial"/>
                <w:color w:val="auto"/>
                <w:sz w:val="21"/>
                <w:highlight w:val="none"/>
              </w:rPr>
            </w:pPr>
          </w:p>
          <w:p>
            <w:pPr>
              <w:spacing w:line="256" w:lineRule="auto"/>
              <w:rPr>
                <w:rFonts w:ascii="Arial"/>
                <w:color w:val="auto"/>
                <w:sz w:val="21"/>
                <w:highlight w:val="none"/>
              </w:rPr>
            </w:pPr>
          </w:p>
          <w:p>
            <w:pPr>
              <w:spacing w:line="257" w:lineRule="auto"/>
              <w:rPr>
                <w:rFonts w:ascii="Arial"/>
                <w:color w:val="auto"/>
                <w:sz w:val="21"/>
                <w:highlight w:val="none"/>
              </w:rPr>
            </w:pPr>
          </w:p>
          <w:p>
            <w:pPr>
              <w:spacing w:line="257" w:lineRule="auto"/>
              <w:rPr>
                <w:rFonts w:ascii="Arial"/>
                <w:color w:val="auto"/>
                <w:sz w:val="21"/>
                <w:highlight w:val="none"/>
              </w:rPr>
            </w:pPr>
          </w:p>
          <w:p>
            <w:pPr>
              <w:spacing w:line="257" w:lineRule="auto"/>
              <w:rPr>
                <w:rFonts w:ascii="Arial"/>
                <w:color w:val="auto"/>
                <w:sz w:val="21"/>
                <w:highlight w:val="none"/>
              </w:rPr>
            </w:pPr>
          </w:p>
          <w:p>
            <w:pPr>
              <w:pStyle w:val="10"/>
              <w:spacing w:before="68" w:line="182" w:lineRule="auto"/>
              <w:ind w:left="279"/>
              <w:rPr>
                <w:color w:val="auto"/>
                <w:highlight w:val="none"/>
              </w:rPr>
            </w:pPr>
            <w:r>
              <w:rPr>
                <w:color w:val="auto"/>
                <w:spacing w:val="-2"/>
                <w:highlight w:val="none"/>
              </w:rPr>
              <w:t>2.4</w:t>
            </w:r>
          </w:p>
        </w:tc>
        <w:tc>
          <w:tcPr>
            <w:tcW w:w="1977" w:type="dxa"/>
            <w:vAlign w:val="top"/>
          </w:tcPr>
          <w:p>
            <w:pPr>
              <w:spacing w:line="266" w:lineRule="auto"/>
              <w:rPr>
                <w:rFonts w:ascii="Arial"/>
                <w:color w:val="auto"/>
                <w:sz w:val="21"/>
                <w:highlight w:val="none"/>
              </w:rPr>
            </w:pPr>
          </w:p>
          <w:p>
            <w:pPr>
              <w:spacing w:line="266" w:lineRule="auto"/>
              <w:rPr>
                <w:rFonts w:ascii="Arial"/>
                <w:color w:val="auto"/>
                <w:sz w:val="21"/>
                <w:highlight w:val="none"/>
              </w:rPr>
            </w:pPr>
          </w:p>
          <w:p>
            <w:pPr>
              <w:spacing w:line="267" w:lineRule="auto"/>
              <w:rPr>
                <w:rFonts w:ascii="Arial"/>
                <w:color w:val="auto"/>
                <w:sz w:val="21"/>
                <w:highlight w:val="none"/>
              </w:rPr>
            </w:pPr>
          </w:p>
          <w:p>
            <w:pPr>
              <w:spacing w:line="267" w:lineRule="auto"/>
              <w:rPr>
                <w:rFonts w:ascii="Arial"/>
                <w:color w:val="auto"/>
                <w:sz w:val="21"/>
                <w:highlight w:val="none"/>
              </w:rPr>
            </w:pPr>
          </w:p>
          <w:p>
            <w:pPr>
              <w:spacing w:line="267" w:lineRule="auto"/>
              <w:rPr>
                <w:rFonts w:ascii="Arial"/>
                <w:color w:val="auto"/>
                <w:sz w:val="21"/>
                <w:highlight w:val="none"/>
              </w:rPr>
            </w:pPr>
          </w:p>
          <w:p>
            <w:pPr>
              <w:spacing w:line="267" w:lineRule="auto"/>
              <w:rPr>
                <w:rFonts w:ascii="Arial"/>
                <w:color w:val="auto"/>
                <w:sz w:val="21"/>
                <w:highlight w:val="none"/>
              </w:rPr>
            </w:pPr>
          </w:p>
          <w:p>
            <w:pPr>
              <w:pStyle w:val="10"/>
              <w:spacing w:before="69" w:line="251" w:lineRule="auto"/>
              <w:ind w:left="570" w:right="250" w:hanging="312"/>
              <w:rPr>
                <w:color w:val="auto"/>
                <w:highlight w:val="none"/>
              </w:rPr>
            </w:pPr>
            <w:r>
              <w:rPr>
                <w:color w:val="auto"/>
                <w:spacing w:val="-2"/>
                <w:highlight w:val="none"/>
              </w:rPr>
              <w:t>异议受理部门及</w:t>
            </w:r>
            <w:r>
              <w:rPr>
                <w:color w:val="auto"/>
                <w:spacing w:val="5"/>
                <w:highlight w:val="none"/>
              </w:rPr>
              <w:t xml:space="preserve"> </w:t>
            </w:r>
            <w:r>
              <w:rPr>
                <w:color w:val="auto"/>
                <w:spacing w:val="-2"/>
                <w:highlight w:val="none"/>
              </w:rPr>
              <w:t>联系方式</w:t>
            </w:r>
          </w:p>
        </w:tc>
        <w:tc>
          <w:tcPr>
            <w:tcW w:w="5782" w:type="dxa"/>
            <w:vAlign w:val="top"/>
          </w:tcPr>
          <w:p>
            <w:pPr>
              <w:pStyle w:val="10"/>
              <w:spacing w:before="76" w:line="322" w:lineRule="exact"/>
              <w:ind w:left="114"/>
              <w:rPr>
                <w:color w:val="auto"/>
                <w:highlight w:val="none"/>
              </w:rPr>
            </w:pPr>
            <w:r>
              <w:rPr>
                <w:color w:val="auto"/>
                <w:spacing w:val="-12"/>
                <w:position w:val="8"/>
                <w:highlight w:val="none"/>
              </w:rPr>
              <w:t>招</w:t>
            </w:r>
            <w:r>
              <w:rPr>
                <w:color w:val="auto"/>
                <w:spacing w:val="12"/>
                <w:position w:val="8"/>
                <w:highlight w:val="none"/>
              </w:rPr>
              <w:t xml:space="preserve"> </w:t>
            </w:r>
            <w:r>
              <w:rPr>
                <w:color w:val="auto"/>
                <w:spacing w:val="-12"/>
                <w:position w:val="8"/>
                <w:highlight w:val="none"/>
              </w:rPr>
              <w:t>标</w:t>
            </w:r>
            <w:r>
              <w:rPr>
                <w:color w:val="auto"/>
                <w:spacing w:val="8"/>
                <w:position w:val="8"/>
                <w:highlight w:val="none"/>
              </w:rPr>
              <w:t xml:space="preserve"> </w:t>
            </w:r>
            <w:r>
              <w:rPr>
                <w:color w:val="auto"/>
                <w:spacing w:val="-12"/>
                <w:position w:val="8"/>
                <w:highlight w:val="none"/>
              </w:rPr>
              <w:t>人：</w:t>
            </w:r>
          </w:p>
          <w:p>
            <w:pPr>
              <w:pStyle w:val="10"/>
              <w:spacing w:line="222" w:lineRule="auto"/>
              <w:ind w:left="115"/>
              <w:rPr>
                <w:color w:val="auto"/>
                <w:highlight w:val="none"/>
              </w:rPr>
            </w:pPr>
            <w:r>
              <w:rPr>
                <w:color w:val="auto"/>
                <w:spacing w:val="-13"/>
                <w:highlight w:val="none"/>
              </w:rPr>
              <w:t>名</w:t>
            </w:r>
            <w:r>
              <w:rPr>
                <w:color w:val="auto"/>
                <w:spacing w:val="2"/>
                <w:highlight w:val="none"/>
              </w:rPr>
              <w:t xml:space="preserve">  </w:t>
            </w:r>
            <w:r>
              <w:rPr>
                <w:color w:val="auto"/>
                <w:spacing w:val="-13"/>
                <w:highlight w:val="none"/>
              </w:rPr>
              <w:t>称：</w:t>
            </w:r>
            <w:r>
              <w:rPr>
                <w:rFonts w:hint="eastAsia"/>
                <w:color w:val="auto"/>
                <w:spacing w:val="-13"/>
                <w:highlight w:val="none"/>
              </w:rPr>
              <w:t>大石桥市农业农村局</w:t>
            </w:r>
          </w:p>
          <w:p>
            <w:pPr>
              <w:pStyle w:val="10"/>
              <w:spacing w:before="65" w:line="230" w:lineRule="auto"/>
              <w:ind w:left="113"/>
              <w:rPr>
                <w:rFonts w:hint="eastAsia"/>
                <w:color w:val="auto"/>
                <w:spacing w:val="-13"/>
                <w:highlight w:val="none"/>
              </w:rPr>
            </w:pPr>
            <w:r>
              <w:rPr>
                <w:color w:val="auto"/>
                <w:spacing w:val="-12"/>
                <w:highlight w:val="none"/>
              </w:rPr>
              <w:t>地</w:t>
            </w:r>
            <w:r>
              <w:rPr>
                <w:color w:val="auto"/>
                <w:spacing w:val="2"/>
                <w:highlight w:val="none"/>
              </w:rPr>
              <w:t xml:space="preserve">  </w:t>
            </w:r>
            <w:r>
              <w:rPr>
                <w:color w:val="auto"/>
                <w:spacing w:val="-12"/>
                <w:highlight w:val="none"/>
              </w:rPr>
              <w:t>址：</w:t>
            </w:r>
            <w:r>
              <w:rPr>
                <w:rFonts w:hint="eastAsia"/>
                <w:color w:val="auto"/>
                <w:spacing w:val="-13"/>
                <w:highlight w:val="none"/>
              </w:rPr>
              <w:t>大石桥市哈大南路</w:t>
            </w:r>
          </w:p>
          <w:p>
            <w:pPr>
              <w:pStyle w:val="10"/>
              <w:spacing w:before="65" w:line="230" w:lineRule="auto"/>
              <w:ind w:left="113"/>
              <w:rPr>
                <w:rFonts w:hint="eastAsia" w:eastAsia="宋体"/>
                <w:color w:val="auto"/>
                <w:spacing w:val="-13"/>
                <w:highlight w:val="none"/>
                <w:lang w:eastAsia="zh-CN"/>
              </w:rPr>
            </w:pPr>
            <w:r>
              <w:rPr>
                <w:rFonts w:hint="eastAsia"/>
                <w:color w:val="auto"/>
                <w:spacing w:val="-13"/>
                <w:highlight w:val="none"/>
                <w:lang w:eastAsia="zh-CN"/>
              </w:rPr>
              <w:t>联系人：曲先生</w:t>
            </w:r>
          </w:p>
          <w:p>
            <w:pPr>
              <w:pStyle w:val="10"/>
              <w:spacing w:before="57" w:line="223" w:lineRule="auto"/>
              <w:ind w:left="137"/>
              <w:rPr>
                <w:color w:val="auto"/>
                <w:highlight w:val="none"/>
              </w:rPr>
            </w:pPr>
            <w:r>
              <w:rPr>
                <w:color w:val="auto"/>
                <w:spacing w:val="-20"/>
                <w:highlight w:val="none"/>
              </w:rPr>
              <w:t>电</w:t>
            </w:r>
            <w:r>
              <w:rPr>
                <w:color w:val="auto"/>
                <w:spacing w:val="2"/>
                <w:highlight w:val="none"/>
              </w:rPr>
              <w:t xml:space="preserve">  </w:t>
            </w:r>
            <w:r>
              <w:rPr>
                <w:color w:val="auto"/>
                <w:spacing w:val="-20"/>
                <w:highlight w:val="none"/>
              </w:rPr>
              <w:t>话：</w:t>
            </w:r>
            <w:r>
              <w:rPr>
                <w:rFonts w:hint="eastAsia"/>
                <w:color w:val="auto"/>
                <w:spacing w:val="-20"/>
                <w:highlight w:val="none"/>
              </w:rPr>
              <w:t>0417-5666115</w:t>
            </w:r>
          </w:p>
          <w:p>
            <w:pPr>
              <w:pStyle w:val="10"/>
              <w:spacing w:before="68" w:line="220" w:lineRule="auto"/>
              <w:ind w:left="111"/>
              <w:rPr>
                <w:rFonts w:hint="eastAsia" w:eastAsia="宋体"/>
                <w:color w:val="auto"/>
                <w:highlight w:val="none"/>
                <w:lang w:val="en-US" w:eastAsia="zh-CN"/>
              </w:rPr>
            </w:pPr>
            <w:r>
              <w:rPr>
                <w:color w:val="auto"/>
                <w:spacing w:val="-12"/>
                <w:highlight w:val="none"/>
              </w:rPr>
              <w:t>传</w:t>
            </w:r>
            <w:r>
              <w:rPr>
                <w:color w:val="auto"/>
                <w:spacing w:val="2"/>
                <w:highlight w:val="none"/>
              </w:rPr>
              <w:t xml:space="preserve">  </w:t>
            </w:r>
            <w:r>
              <w:rPr>
                <w:color w:val="auto"/>
                <w:spacing w:val="-12"/>
                <w:highlight w:val="none"/>
              </w:rPr>
              <w:t>真：</w:t>
            </w:r>
            <w:r>
              <w:rPr>
                <w:rFonts w:hint="eastAsia"/>
                <w:color w:val="auto"/>
                <w:spacing w:val="-12"/>
                <w:highlight w:val="none"/>
                <w:lang w:val="en-US" w:eastAsia="zh-CN"/>
              </w:rPr>
              <w:t>/</w:t>
            </w:r>
          </w:p>
          <w:p>
            <w:pPr>
              <w:pStyle w:val="10"/>
              <w:spacing w:before="69" w:line="221" w:lineRule="auto"/>
              <w:ind w:left="128"/>
              <w:rPr>
                <w:rFonts w:hint="default" w:eastAsia="宋体"/>
                <w:color w:val="auto"/>
                <w:highlight w:val="none"/>
                <w:lang w:val="en-US" w:eastAsia="zh-CN"/>
              </w:rPr>
            </w:pPr>
            <w:r>
              <w:rPr>
                <w:color w:val="auto"/>
                <w:spacing w:val="-9"/>
                <w:highlight w:val="none"/>
              </w:rPr>
              <w:t>邮政编码：</w:t>
            </w:r>
            <w:r>
              <w:rPr>
                <w:rFonts w:hint="eastAsia"/>
                <w:color w:val="auto"/>
                <w:spacing w:val="-9"/>
                <w:highlight w:val="none"/>
                <w:lang w:val="en-US" w:eastAsia="zh-CN"/>
              </w:rPr>
              <w:t>115100</w:t>
            </w:r>
          </w:p>
          <w:p>
            <w:pPr>
              <w:pStyle w:val="10"/>
              <w:spacing w:before="65" w:line="230" w:lineRule="auto"/>
              <w:ind w:left="113"/>
              <w:rPr>
                <w:rFonts w:hint="eastAsia" w:ascii="宋体" w:hAnsi="宋体" w:eastAsia="宋体" w:cs="宋体"/>
                <w:color w:val="auto"/>
                <w:spacing w:val="-13"/>
                <w:highlight w:val="none"/>
              </w:rPr>
            </w:pPr>
            <w:r>
              <w:rPr>
                <w:rFonts w:hint="eastAsia" w:ascii="宋体" w:hAnsi="宋体" w:eastAsia="宋体" w:cs="宋体"/>
                <w:color w:val="auto"/>
                <w:spacing w:val="-13"/>
                <w:highlight w:val="none"/>
              </w:rPr>
              <w:t>招标代理机构：</w:t>
            </w:r>
          </w:p>
          <w:p>
            <w:pPr>
              <w:pStyle w:val="10"/>
              <w:spacing w:before="65" w:line="230" w:lineRule="auto"/>
              <w:ind w:left="113"/>
              <w:rPr>
                <w:rFonts w:hint="eastAsia" w:ascii="宋体" w:hAnsi="宋体" w:eastAsia="宋体" w:cs="宋体"/>
                <w:color w:val="auto"/>
                <w:spacing w:val="-13"/>
                <w:highlight w:val="none"/>
              </w:rPr>
            </w:pPr>
            <w:r>
              <w:rPr>
                <w:rFonts w:hint="eastAsia" w:ascii="宋体" w:hAnsi="宋体" w:eastAsia="宋体" w:cs="宋体"/>
                <w:color w:val="auto"/>
                <w:spacing w:val="-13"/>
                <w:highlight w:val="none"/>
              </w:rPr>
              <w:t>名  称：辽宁惠信工程造价咨询有限公司</w:t>
            </w:r>
          </w:p>
          <w:p>
            <w:pPr>
              <w:pStyle w:val="10"/>
              <w:spacing w:before="65" w:line="230" w:lineRule="auto"/>
              <w:ind w:left="113"/>
              <w:rPr>
                <w:rFonts w:hint="eastAsia" w:ascii="宋体" w:hAnsi="宋体" w:eastAsia="宋体" w:cs="宋体"/>
                <w:color w:val="auto"/>
                <w:spacing w:val="-13"/>
                <w:highlight w:val="none"/>
              </w:rPr>
            </w:pPr>
            <w:r>
              <w:rPr>
                <w:rFonts w:hint="eastAsia" w:ascii="宋体" w:hAnsi="宋体" w:eastAsia="宋体" w:cs="宋体"/>
                <w:color w:val="auto"/>
                <w:spacing w:val="-13"/>
                <w:highlight w:val="none"/>
              </w:rPr>
              <w:t>地  址：营口市站前区万达广场6A写字楼（万达营销中心）三楼</w:t>
            </w:r>
          </w:p>
          <w:p>
            <w:pPr>
              <w:pStyle w:val="10"/>
              <w:spacing w:before="65" w:line="230" w:lineRule="auto"/>
              <w:ind w:left="113"/>
              <w:rPr>
                <w:rFonts w:hint="eastAsia" w:ascii="宋体" w:hAnsi="宋体" w:eastAsia="宋体" w:cs="宋体"/>
                <w:color w:val="auto"/>
                <w:spacing w:val="-13"/>
                <w:highlight w:val="none"/>
              </w:rPr>
            </w:pPr>
            <w:r>
              <w:rPr>
                <w:rFonts w:hint="eastAsia" w:ascii="宋体" w:hAnsi="宋体" w:eastAsia="宋体" w:cs="宋体"/>
                <w:color w:val="auto"/>
                <w:spacing w:val="-13"/>
                <w:highlight w:val="none"/>
              </w:rPr>
              <w:t>电 话：0417-2988803</w:t>
            </w:r>
          </w:p>
          <w:p>
            <w:pPr>
              <w:pStyle w:val="10"/>
              <w:spacing w:before="65" w:line="230" w:lineRule="auto"/>
              <w:ind w:left="113"/>
              <w:rPr>
                <w:rFonts w:hint="eastAsia" w:ascii="宋体" w:hAnsi="宋体" w:eastAsia="宋体" w:cs="宋体"/>
                <w:color w:val="auto"/>
                <w:spacing w:val="-13"/>
                <w:highlight w:val="none"/>
                <w:lang w:val="en-US" w:eastAsia="zh-CN"/>
              </w:rPr>
            </w:pPr>
            <w:r>
              <w:rPr>
                <w:rFonts w:hint="eastAsia" w:ascii="宋体" w:hAnsi="宋体" w:eastAsia="宋体" w:cs="宋体"/>
                <w:color w:val="auto"/>
                <w:spacing w:val="-13"/>
                <w:highlight w:val="none"/>
              </w:rPr>
              <w:t>传  真：</w:t>
            </w:r>
            <w:r>
              <w:rPr>
                <w:rFonts w:hint="eastAsia" w:ascii="宋体" w:hAnsi="宋体" w:eastAsia="宋体" w:cs="宋体"/>
                <w:color w:val="auto"/>
                <w:spacing w:val="-13"/>
                <w:highlight w:val="none"/>
                <w:lang w:val="en-US" w:eastAsia="zh-CN"/>
              </w:rPr>
              <w:t>/</w:t>
            </w:r>
          </w:p>
          <w:p>
            <w:pPr>
              <w:pStyle w:val="10"/>
              <w:spacing w:before="65" w:line="230" w:lineRule="auto"/>
              <w:ind w:left="113"/>
              <w:rPr>
                <w:rFonts w:hint="default" w:eastAsia="宋体"/>
                <w:color w:val="auto"/>
                <w:highlight w:val="none"/>
                <w:lang w:val="en-US" w:eastAsia="zh-CN"/>
              </w:rPr>
            </w:pPr>
            <w:r>
              <w:rPr>
                <w:rFonts w:hint="eastAsia" w:ascii="宋体" w:hAnsi="宋体" w:eastAsia="宋体" w:cs="宋体"/>
                <w:color w:val="auto"/>
                <w:spacing w:val="-13"/>
                <w:highlight w:val="none"/>
              </w:rPr>
              <w:t>邮政编码：</w:t>
            </w:r>
            <w:r>
              <w:rPr>
                <w:rFonts w:hint="eastAsia" w:ascii="宋体" w:hAnsi="宋体" w:eastAsia="宋体" w:cs="宋体"/>
                <w:color w:val="auto"/>
                <w:spacing w:val="-13"/>
                <w:highlight w:val="none"/>
                <w:lang w:val="en-US" w:eastAsia="zh-CN"/>
              </w:rPr>
              <w:t>115000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111" w:line="230" w:lineRule="auto"/>
              <w:ind w:left="124" w:right="121" w:firstLine="50"/>
              <w:rPr>
                <w:color w:val="auto"/>
                <w:highlight w:val="none"/>
              </w:rPr>
            </w:pPr>
            <w:r>
              <w:rPr>
                <w:color w:val="auto"/>
                <w:spacing w:val="-2"/>
                <w:highlight w:val="none"/>
              </w:rPr>
              <w:t>3.1.1</w:t>
            </w:r>
            <w:r>
              <w:rPr>
                <w:color w:val="auto"/>
                <w:highlight w:val="none"/>
              </w:rPr>
              <w:t xml:space="preserve"> </w:t>
            </w:r>
            <w:r>
              <w:rPr>
                <w:color w:val="auto"/>
                <w:spacing w:val="-7"/>
                <w:highlight w:val="none"/>
              </w:rPr>
              <w:t>（10）</w:t>
            </w:r>
          </w:p>
        </w:tc>
        <w:tc>
          <w:tcPr>
            <w:tcW w:w="1977" w:type="dxa"/>
            <w:vAlign w:val="top"/>
          </w:tcPr>
          <w:p>
            <w:pPr>
              <w:pStyle w:val="10"/>
              <w:spacing w:before="77" w:line="245" w:lineRule="auto"/>
              <w:ind w:left="675" w:right="147" w:hanging="523"/>
              <w:rPr>
                <w:color w:val="auto"/>
                <w:highlight w:val="none"/>
              </w:rPr>
            </w:pPr>
            <w:r>
              <w:rPr>
                <w:color w:val="auto"/>
                <w:spacing w:val="-2"/>
                <w:highlight w:val="none"/>
              </w:rPr>
              <w:t>构成投标文件的其</w:t>
            </w:r>
            <w:r>
              <w:rPr>
                <w:color w:val="auto"/>
                <w:spacing w:val="6"/>
                <w:highlight w:val="none"/>
              </w:rPr>
              <w:t xml:space="preserve"> </w:t>
            </w:r>
            <w:r>
              <w:rPr>
                <w:color w:val="auto"/>
                <w:spacing w:val="-2"/>
                <w:highlight w:val="none"/>
              </w:rPr>
              <w:t>他材料</w:t>
            </w:r>
          </w:p>
        </w:tc>
        <w:tc>
          <w:tcPr>
            <w:tcW w:w="5782" w:type="dxa"/>
            <w:vAlign w:val="center"/>
          </w:tcPr>
          <w:p>
            <w:pPr>
              <w:ind w:firstLine="184" w:firstLineChars="100"/>
              <w:jc w:val="both"/>
              <w:rPr>
                <w:rFonts w:hint="eastAsia" w:ascii="Arial" w:eastAsia="宋体"/>
                <w:color w:val="auto"/>
                <w:sz w:val="21"/>
                <w:highlight w:val="none"/>
                <w:lang w:val="en-US" w:eastAsia="zh-CN"/>
              </w:rPr>
            </w:pPr>
            <w:r>
              <w:rPr>
                <w:rFonts w:hint="eastAsia" w:ascii="宋体" w:hAnsi="宋体" w:eastAsia="宋体" w:cs="宋体"/>
                <w:snapToGrid w:val="0"/>
                <w:color w:val="auto"/>
                <w:spacing w:val="-13"/>
                <w:kern w:val="0"/>
                <w:sz w:val="21"/>
                <w:szCs w:val="21"/>
                <w:highlight w:val="none"/>
                <w:lang w:val="en-US" w:eastAsia="zh-CN" w:bidi="ar-SA"/>
              </w:rPr>
              <w:t>/</w:t>
            </w:r>
          </w:p>
        </w:tc>
      </w:tr>
    </w:tbl>
    <w:p>
      <w:pPr>
        <w:pStyle w:val="2"/>
        <w:rPr>
          <w:color w:val="auto"/>
          <w:highlight w:val="none"/>
        </w:rPr>
      </w:pPr>
    </w:p>
    <w:p>
      <w:pPr>
        <w:spacing w:line="91" w:lineRule="auto"/>
        <w:rPr>
          <w:rFonts w:ascii="Arial"/>
          <w:color w:val="auto"/>
          <w:sz w:val="2"/>
          <w:highlight w:val="none"/>
        </w:rPr>
      </w:pPr>
    </w:p>
    <w:tbl>
      <w:tblPr>
        <w:tblStyle w:val="9"/>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0"/>
              <w:spacing w:before="168" w:line="221" w:lineRule="auto"/>
              <w:ind w:left="117"/>
              <w:rPr>
                <w:color w:val="auto"/>
                <w:highlight w:val="none"/>
              </w:rPr>
            </w:pPr>
            <w:bookmarkStart w:id="47" w:name="bookmark78"/>
            <w:bookmarkEnd w:id="47"/>
            <w:bookmarkStart w:id="48" w:name="bookmark77"/>
            <w:bookmarkEnd w:id="48"/>
            <w:bookmarkStart w:id="49" w:name="bookmark84"/>
            <w:bookmarkEnd w:id="49"/>
            <w:bookmarkStart w:id="50" w:name="bookmark80"/>
            <w:bookmarkEnd w:id="50"/>
            <w:bookmarkStart w:id="51" w:name="bookmark83"/>
            <w:bookmarkEnd w:id="51"/>
            <w:bookmarkStart w:id="52" w:name="bookmark82"/>
            <w:bookmarkEnd w:id="52"/>
            <w:bookmarkStart w:id="53" w:name="bookmark79"/>
            <w:bookmarkEnd w:id="53"/>
            <w:bookmarkStart w:id="54" w:name="bookmark81"/>
            <w:bookmarkEnd w:id="54"/>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rPr>
                <w:color w:val="auto"/>
                <w:highlight w:val="none"/>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3" w:hRule="atLeast"/>
        </w:trPr>
        <w:tc>
          <w:tcPr>
            <w:tcW w:w="856" w:type="dxa"/>
            <w:vAlign w:val="top"/>
          </w:tcPr>
          <w:p>
            <w:pPr>
              <w:spacing w:line="261" w:lineRule="auto"/>
              <w:rPr>
                <w:rFonts w:ascii="Arial"/>
                <w:color w:val="auto"/>
                <w:sz w:val="21"/>
                <w:highlight w:val="none"/>
              </w:rPr>
            </w:pPr>
          </w:p>
          <w:p>
            <w:pPr>
              <w:spacing w:line="261" w:lineRule="auto"/>
              <w:rPr>
                <w:rFonts w:ascii="Arial"/>
                <w:color w:val="auto"/>
                <w:sz w:val="21"/>
                <w:highlight w:val="none"/>
              </w:rPr>
            </w:pPr>
          </w:p>
          <w:p>
            <w:pPr>
              <w:pStyle w:val="10"/>
              <w:spacing w:before="69" w:line="182" w:lineRule="auto"/>
              <w:ind w:left="175" w:leftChars="0"/>
              <w:rPr>
                <w:rFonts w:ascii="Arial"/>
                <w:color w:val="auto"/>
                <w:sz w:val="21"/>
                <w:highlight w:val="none"/>
              </w:rPr>
            </w:pPr>
            <w:r>
              <w:rPr>
                <w:color w:val="auto"/>
                <w:spacing w:val="-2"/>
                <w:highlight w:val="none"/>
              </w:rPr>
              <w:t>3.2.4</w:t>
            </w:r>
          </w:p>
        </w:tc>
        <w:tc>
          <w:tcPr>
            <w:tcW w:w="1977" w:type="dxa"/>
            <w:vAlign w:val="top"/>
          </w:tcPr>
          <w:p>
            <w:pPr>
              <w:spacing w:line="243" w:lineRule="auto"/>
              <w:rPr>
                <w:rFonts w:ascii="Arial"/>
                <w:color w:val="auto"/>
                <w:sz w:val="21"/>
                <w:highlight w:val="none"/>
              </w:rPr>
            </w:pPr>
          </w:p>
          <w:p>
            <w:pPr>
              <w:spacing w:line="244" w:lineRule="auto"/>
              <w:rPr>
                <w:rFonts w:ascii="Arial"/>
                <w:color w:val="auto"/>
                <w:sz w:val="21"/>
                <w:highlight w:val="none"/>
              </w:rPr>
            </w:pPr>
          </w:p>
          <w:p>
            <w:pPr>
              <w:pStyle w:val="10"/>
              <w:spacing w:before="69" w:line="219" w:lineRule="auto"/>
              <w:ind w:left="364" w:leftChars="0"/>
              <w:rPr>
                <w:rFonts w:ascii="Arial"/>
                <w:color w:val="auto"/>
                <w:sz w:val="21"/>
                <w:highlight w:val="none"/>
              </w:rPr>
            </w:pPr>
            <w:r>
              <w:rPr>
                <w:color w:val="auto"/>
                <w:spacing w:val="-2"/>
                <w:highlight w:val="none"/>
              </w:rPr>
              <w:t>最高投标限价</w:t>
            </w:r>
          </w:p>
        </w:tc>
        <w:tc>
          <w:tcPr>
            <w:tcW w:w="5673" w:type="dxa"/>
            <w:vAlign w:val="top"/>
          </w:tcPr>
          <w:p>
            <w:pPr>
              <w:pStyle w:val="10"/>
              <w:spacing w:before="79" w:line="219" w:lineRule="auto"/>
              <w:ind w:left="134"/>
              <w:rPr>
                <w:color w:val="auto"/>
                <w:highlight w:val="none"/>
              </w:rPr>
            </w:pPr>
            <w:r>
              <w:rPr>
                <w:color w:val="auto"/>
                <w:spacing w:val="-3"/>
                <w:highlight w:val="none"/>
              </w:rPr>
              <w:t>□不设最高投标限价</w:t>
            </w:r>
          </w:p>
          <w:p>
            <w:pPr>
              <w:pStyle w:val="10"/>
              <w:spacing w:before="72" w:line="219" w:lineRule="auto"/>
              <w:ind w:left="134"/>
              <w:rPr>
                <w:color w:val="auto"/>
                <w:highlight w:val="none"/>
              </w:rPr>
            </w:pPr>
            <w:r>
              <w:rPr>
                <w:rFonts w:hint="eastAsia"/>
                <w:color w:val="auto"/>
                <w:spacing w:val="-12"/>
                <w:highlight w:val="none"/>
                <w:lang w:eastAsia="zh-CN"/>
              </w:rPr>
              <w:t>☑</w:t>
            </w:r>
            <w:r>
              <w:rPr>
                <w:color w:val="auto"/>
                <w:spacing w:val="-12"/>
                <w:highlight w:val="none"/>
              </w:rPr>
              <w:t>设最高投标限价， 最高投标限价：</w:t>
            </w:r>
            <w:r>
              <w:rPr>
                <w:rFonts w:hint="eastAsia"/>
                <w:color w:val="auto"/>
                <w:spacing w:val="-12"/>
                <w:highlight w:val="none"/>
                <w:u w:val="single"/>
              </w:rPr>
              <w:t>9</w:t>
            </w:r>
            <w:r>
              <w:rPr>
                <w:rFonts w:hint="eastAsia"/>
                <w:color w:val="auto"/>
                <w:spacing w:val="-12"/>
                <w:highlight w:val="none"/>
                <w:u w:val="single"/>
                <w:lang w:val="en-US" w:eastAsia="zh-CN"/>
              </w:rPr>
              <w:t>,</w:t>
            </w:r>
            <w:r>
              <w:rPr>
                <w:rFonts w:hint="eastAsia"/>
                <w:color w:val="auto"/>
                <w:spacing w:val="-12"/>
                <w:highlight w:val="none"/>
                <w:u w:val="single"/>
              </w:rPr>
              <w:t>340</w:t>
            </w:r>
            <w:r>
              <w:rPr>
                <w:rFonts w:hint="eastAsia"/>
                <w:color w:val="auto"/>
                <w:spacing w:val="-12"/>
                <w:highlight w:val="none"/>
                <w:u w:val="single"/>
                <w:lang w:val="en-US" w:eastAsia="zh-CN"/>
              </w:rPr>
              <w:t>,</w:t>
            </w:r>
            <w:r>
              <w:rPr>
                <w:rFonts w:hint="eastAsia"/>
                <w:color w:val="auto"/>
                <w:spacing w:val="-12"/>
                <w:highlight w:val="none"/>
                <w:u w:val="single"/>
              </w:rPr>
              <w:t>398</w:t>
            </w:r>
            <w:r>
              <w:rPr>
                <w:rFonts w:hint="eastAsia"/>
                <w:color w:val="auto"/>
                <w:spacing w:val="-12"/>
                <w:highlight w:val="none"/>
                <w:u w:val="single"/>
                <w:lang w:val="en-US" w:eastAsia="zh-CN"/>
              </w:rPr>
              <w:t>.</w:t>
            </w:r>
            <w:r>
              <w:rPr>
                <w:rFonts w:hint="eastAsia"/>
                <w:color w:val="auto"/>
                <w:spacing w:val="-12"/>
                <w:highlight w:val="none"/>
                <w:u w:val="single"/>
              </w:rPr>
              <w:t>99</w:t>
            </w:r>
            <w:r>
              <w:rPr>
                <w:color w:val="auto"/>
                <w:spacing w:val="17"/>
                <w:highlight w:val="none"/>
                <w:u w:val="single" w:color="auto"/>
              </w:rPr>
              <w:t xml:space="preserve"> </w:t>
            </w:r>
            <w:r>
              <w:rPr>
                <w:color w:val="auto"/>
                <w:spacing w:val="-93"/>
                <w:highlight w:val="none"/>
              </w:rPr>
              <w:t xml:space="preserve"> </w:t>
            </w:r>
            <w:r>
              <w:rPr>
                <w:color w:val="auto"/>
                <w:spacing w:val="-12"/>
                <w:highlight w:val="none"/>
              </w:rPr>
              <w:t>元。</w:t>
            </w:r>
          </w:p>
          <w:p>
            <w:pPr>
              <w:pStyle w:val="10"/>
              <w:spacing w:before="71" w:line="244" w:lineRule="auto"/>
              <w:ind w:left="114" w:right="-11" w:rightChars="0" w:firstLine="1"/>
              <w:rPr>
                <w:color w:val="auto"/>
                <w:highlight w:val="none"/>
              </w:rPr>
            </w:pPr>
            <w:r>
              <w:rPr>
                <w:color w:val="auto"/>
                <w:spacing w:val="-7"/>
                <w:highlight w:val="none"/>
              </w:rPr>
              <w:t>最高投标限价公布时间： 投标截止时间</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60"/>
                <w:highlight w:val="none"/>
              </w:rPr>
              <w:t xml:space="preserve"> </w:t>
            </w:r>
            <w:r>
              <w:rPr>
                <w:color w:val="auto"/>
                <w:spacing w:val="-7"/>
                <w:highlight w:val="none"/>
              </w:rPr>
              <w:t>日前。</w:t>
            </w:r>
            <w:r>
              <w:rPr>
                <w:color w:val="auto"/>
                <w:highlight w:val="none"/>
              </w:rPr>
              <w:t xml:space="preserve"> </w:t>
            </w:r>
          </w:p>
          <w:p>
            <w:pPr>
              <w:pStyle w:val="10"/>
              <w:spacing w:before="71" w:line="244" w:lineRule="auto"/>
              <w:ind w:left="114" w:leftChars="0" w:right="-11" w:rightChars="0" w:firstLine="1" w:firstLineChars="0"/>
              <w:rPr>
                <w:color w:val="auto"/>
                <w:spacing w:val="-5"/>
                <w:highlight w:val="none"/>
              </w:rPr>
            </w:pPr>
            <w:r>
              <w:rPr>
                <w:color w:val="auto"/>
                <w:spacing w:val="-7"/>
                <w:highlight w:val="none"/>
              </w:rPr>
              <w:t>其他要求：</w:t>
            </w:r>
            <w:r>
              <w:rPr>
                <w:rFonts w:hint="eastAsia"/>
                <w:color w:val="auto"/>
                <w:spacing w:val="-7"/>
                <w:highlight w:val="none"/>
              </w:rPr>
              <w:t>投标人的投标报价不得高于招标控制价</w:t>
            </w:r>
            <w:r>
              <w:rPr>
                <w:rFonts w:hint="eastAsia"/>
                <w:color w:val="auto"/>
                <w:spacing w:val="-7"/>
                <w:highlight w:val="none"/>
                <w:lang w:eastAsia="zh-CN"/>
              </w:rPr>
              <w:t>，</w:t>
            </w:r>
            <w:r>
              <w:rPr>
                <w:rFonts w:hint="eastAsia"/>
                <w:color w:val="auto"/>
                <w:spacing w:val="-7"/>
                <w:highlight w:val="none"/>
              </w:rPr>
              <w:t>超过招标控制价的投标将被否决。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56" w:type="dxa"/>
            <w:vAlign w:val="top"/>
          </w:tcPr>
          <w:p>
            <w:pPr>
              <w:pStyle w:val="10"/>
              <w:spacing w:before="181" w:line="182" w:lineRule="auto"/>
              <w:ind w:left="175" w:leftChars="0"/>
              <w:rPr>
                <w:rFonts w:ascii="Arial" w:hAnsi="宋体" w:eastAsia="宋体" w:cs="宋体"/>
                <w:snapToGrid w:val="0"/>
                <w:color w:val="auto"/>
                <w:kern w:val="0"/>
                <w:sz w:val="21"/>
                <w:szCs w:val="21"/>
                <w:highlight w:val="none"/>
                <w:lang w:val="en-US" w:eastAsia="en-US" w:bidi="ar-SA"/>
              </w:rPr>
            </w:pPr>
            <w:r>
              <w:rPr>
                <w:color w:val="auto"/>
                <w:spacing w:val="-2"/>
                <w:highlight w:val="none"/>
              </w:rPr>
              <w:t>3.2.5</w:t>
            </w:r>
          </w:p>
        </w:tc>
        <w:tc>
          <w:tcPr>
            <w:tcW w:w="1977" w:type="dxa"/>
            <w:vAlign w:val="top"/>
          </w:tcPr>
          <w:p>
            <w:pPr>
              <w:pStyle w:val="10"/>
              <w:spacing w:before="146" w:line="219" w:lineRule="auto"/>
              <w:ind w:left="568" w:leftChars="0"/>
              <w:rPr>
                <w:rFonts w:ascii="Arial" w:hAnsi="宋体" w:eastAsia="宋体" w:cs="宋体"/>
                <w:snapToGrid w:val="0"/>
                <w:color w:val="auto"/>
                <w:kern w:val="0"/>
                <w:sz w:val="21"/>
                <w:szCs w:val="21"/>
                <w:highlight w:val="none"/>
                <w:lang w:val="en-US" w:eastAsia="en-US" w:bidi="ar-SA"/>
              </w:rPr>
            </w:pPr>
            <w:r>
              <w:rPr>
                <w:color w:val="auto"/>
                <w:spacing w:val="-1"/>
                <w:highlight w:val="none"/>
              </w:rPr>
              <w:t>报价说明</w:t>
            </w:r>
          </w:p>
        </w:tc>
        <w:tc>
          <w:tcPr>
            <w:tcW w:w="5673" w:type="dxa"/>
            <w:vAlign w:val="center"/>
          </w:tcPr>
          <w:p>
            <w:pPr>
              <w:jc w:val="both"/>
              <w:rPr>
                <w:rFonts w:hint="eastAsia" w:ascii="Arial" w:hAnsi="Arial" w:eastAsia="Arial" w:cs="Arial"/>
                <w:snapToGrid w:val="0"/>
                <w:color w:val="auto"/>
                <w:spacing w:val="-5"/>
                <w:kern w:val="0"/>
                <w:sz w:val="21"/>
                <w:szCs w:val="21"/>
                <w:highlight w:val="none"/>
                <w:lang w:val="en-US" w:eastAsia="en-US" w:bidi="ar-SA"/>
              </w:rPr>
            </w:pPr>
            <w:r>
              <w:rPr>
                <w:rFonts w:hint="eastAsia" w:ascii="宋体" w:hAnsi="宋体" w:eastAsia="宋体" w:cs="宋体"/>
                <w:snapToGrid w:val="0"/>
                <w:color w:val="auto"/>
                <w:spacing w:val="-7"/>
                <w:kern w:val="0"/>
                <w:sz w:val="21"/>
                <w:szCs w:val="21"/>
                <w:highlight w:val="none"/>
                <w:lang w:val="en-US" w:eastAsia="en-US" w:bidi="ar-SA"/>
              </w:rPr>
              <w:t>采用清单定额报价方式。固定总价合同。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56" w:type="dxa"/>
            <w:vAlign w:val="top"/>
          </w:tcPr>
          <w:p>
            <w:pPr>
              <w:pStyle w:val="10"/>
              <w:spacing w:before="180" w:line="183" w:lineRule="auto"/>
              <w:ind w:left="1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3.3.1</w:t>
            </w:r>
          </w:p>
        </w:tc>
        <w:tc>
          <w:tcPr>
            <w:tcW w:w="1977" w:type="dxa"/>
            <w:vAlign w:val="top"/>
          </w:tcPr>
          <w:p>
            <w:pPr>
              <w:pStyle w:val="10"/>
              <w:spacing w:before="146" w:line="221" w:lineRule="auto"/>
              <w:ind w:left="467"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投标有效期</w:t>
            </w:r>
          </w:p>
        </w:tc>
        <w:tc>
          <w:tcPr>
            <w:tcW w:w="5673" w:type="dxa"/>
            <w:vAlign w:val="top"/>
          </w:tcPr>
          <w:p>
            <w:pPr>
              <w:pStyle w:val="10"/>
              <w:spacing w:before="146" w:line="221" w:lineRule="auto"/>
              <w:ind w:left="147" w:leftChars="0"/>
              <w:rPr>
                <w:rFonts w:hint="eastAsia" w:ascii="宋体" w:hAnsi="宋体" w:eastAsia="宋体" w:cs="宋体"/>
                <w:snapToGrid w:val="0"/>
                <w:color w:val="auto"/>
                <w:kern w:val="0"/>
                <w:sz w:val="21"/>
                <w:szCs w:val="21"/>
                <w:highlight w:val="none"/>
                <w:lang w:val="en-US" w:eastAsia="en-US" w:bidi="ar-SA"/>
              </w:rPr>
            </w:pPr>
            <w:r>
              <w:rPr>
                <w:color w:val="auto"/>
                <w:spacing w:val="-7"/>
                <w:highlight w:val="none"/>
              </w:rPr>
              <w:t>自投标截止之日起</w:t>
            </w:r>
            <w:r>
              <w:rPr>
                <w:color w:val="auto"/>
                <w:spacing w:val="-105"/>
                <w:highlight w:val="none"/>
              </w:rPr>
              <w:t xml:space="preserve"> </w:t>
            </w:r>
            <w:r>
              <w:rPr>
                <w:color w:val="auto"/>
                <w:highlight w:val="none"/>
                <w:u w:val="single"/>
              </w:rPr>
              <w:t xml:space="preserve"> </w:t>
            </w:r>
            <w:r>
              <w:rPr>
                <w:rFonts w:hint="eastAsia"/>
                <w:color w:val="auto"/>
                <w:highlight w:val="none"/>
                <w:u w:val="single"/>
                <w:lang w:val="en-US" w:eastAsia="zh-CN"/>
              </w:rPr>
              <w:t>120</w:t>
            </w:r>
            <w:r>
              <w:rPr>
                <w:color w:val="auto"/>
                <w:highlight w:val="none"/>
                <w:u w:val="single"/>
              </w:rPr>
              <w:t xml:space="preserve"> </w:t>
            </w:r>
            <w:r>
              <w:rPr>
                <w:color w:val="auto"/>
                <w:spacing w:val="-7"/>
                <w:highlight w:val="none"/>
              </w:rPr>
              <w:t>日内有效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9" w:hRule="atLeast"/>
        </w:trPr>
        <w:tc>
          <w:tcPr>
            <w:tcW w:w="856" w:type="dxa"/>
            <w:vAlign w:val="center"/>
          </w:tcPr>
          <w:p>
            <w:pPr>
              <w:jc w:val="center"/>
              <w:rPr>
                <w:rFonts w:ascii="Arial"/>
                <w:color w:val="auto"/>
                <w:sz w:val="21"/>
                <w:highlight w:val="none"/>
              </w:rPr>
            </w:pPr>
            <w:r>
              <w:rPr>
                <w:rFonts w:ascii="宋体" w:hAnsi="宋体" w:eastAsia="宋体" w:cs="宋体"/>
                <w:snapToGrid w:val="0"/>
                <w:color w:val="auto"/>
                <w:spacing w:val="-2"/>
                <w:kern w:val="0"/>
                <w:sz w:val="21"/>
                <w:szCs w:val="21"/>
                <w:highlight w:val="none"/>
                <w:lang w:val="en-US" w:eastAsia="en-US" w:bidi="ar-SA"/>
              </w:rPr>
              <w:t>3.4.1</w:t>
            </w:r>
          </w:p>
        </w:tc>
        <w:tc>
          <w:tcPr>
            <w:tcW w:w="1977" w:type="dxa"/>
            <w:vAlign w:val="center"/>
          </w:tcPr>
          <w:p>
            <w:pPr>
              <w:pStyle w:val="10"/>
              <w:spacing w:before="68" w:line="221" w:lineRule="auto"/>
              <w:jc w:val="center"/>
              <w:rPr>
                <w:rFonts w:ascii="宋体" w:hAnsi="宋体" w:eastAsia="宋体" w:cs="宋体"/>
                <w:snapToGrid w:val="0"/>
                <w:color w:val="auto"/>
                <w:kern w:val="0"/>
                <w:sz w:val="21"/>
                <w:szCs w:val="21"/>
                <w:highlight w:val="none"/>
                <w:lang w:val="en-US" w:eastAsia="en-US" w:bidi="ar-SA"/>
              </w:rPr>
            </w:pPr>
            <w:r>
              <w:rPr>
                <w:color w:val="auto"/>
                <w:spacing w:val="-2"/>
                <w:highlight w:val="none"/>
              </w:rPr>
              <w:t>投标保证金</w:t>
            </w:r>
          </w:p>
        </w:tc>
        <w:tc>
          <w:tcPr>
            <w:tcW w:w="5673" w:type="dxa"/>
            <w:vAlign w:val="top"/>
          </w:tcPr>
          <w:p>
            <w:pPr>
              <w:pStyle w:val="10"/>
              <w:spacing w:before="79" w:line="322" w:lineRule="exact"/>
              <w:ind w:left="134"/>
              <w:rPr>
                <w:color w:val="auto"/>
                <w:highlight w:val="none"/>
              </w:rPr>
            </w:pPr>
            <w:r>
              <w:rPr>
                <w:color w:val="auto"/>
                <w:spacing w:val="-7"/>
                <w:position w:val="8"/>
                <w:highlight w:val="none"/>
              </w:rPr>
              <w:t>□不提交</w:t>
            </w:r>
          </w:p>
          <w:p>
            <w:pPr>
              <w:pStyle w:val="10"/>
              <w:spacing w:line="221" w:lineRule="auto"/>
              <w:ind w:left="134"/>
              <w:rPr>
                <w:color w:val="auto"/>
                <w:highlight w:val="none"/>
              </w:rPr>
            </w:pPr>
            <w:r>
              <w:rPr>
                <w:rFonts w:hint="eastAsia"/>
                <w:color w:val="auto"/>
                <w:spacing w:val="-7"/>
                <w:highlight w:val="none"/>
                <w:lang w:eastAsia="zh-CN"/>
              </w:rPr>
              <w:t>☑</w:t>
            </w:r>
            <w:r>
              <w:rPr>
                <w:color w:val="auto"/>
                <w:spacing w:val="-7"/>
                <w:highlight w:val="none"/>
              </w:rPr>
              <w:t>提交，</w:t>
            </w:r>
          </w:p>
          <w:p>
            <w:pPr>
              <w:pStyle w:val="10"/>
              <w:spacing w:before="67" w:line="250" w:lineRule="auto"/>
              <w:ind w:left="115" w:right="332" w:firstLine="13"/>
              <w:rPr>
                <w:color w:val="auto"/>
                <w:highlight w:val="none"/>
              </w:rPr>
            </w:pPr>
            <w:r>
              <w:rPr>
                <w:color w:val="auto"/>
                <w:spacing w:val="-5"/>
                <w:highlight w:val="none"/>
              </w:rPr>
              <w:t>1.递交截止时间（到账时间</w:t>
            </w:r>
            <w:r>
              <w:rPr>
                <w:color w:val="auto"/>
                <w:spacing w:val="-26"/>
                <w:highlight w:val="none"/>
              </w:rPr>
              <w:t>）：</w:t>
            </w:r>
            <w:r>
              <w:rPr>
                <w:color w:val="auto"/>
                <w:spacing w:val="26"/>
                <w:highlight w:val="none"/>
              </w:rPr>
              <w:t xml:space="preserve"> </w:t>
            </w:r>
            <w:r>
              <w:rPr>
                <w:color w:val="auto"/>
                <w:spacing w:val="-5"/>
                <w:highlight w:val="none"/>
                <w14:textOutline w14:w="3831" w14:cap="flat" w14:cmpd="sng">
                  <w14:solidFill>
                    <w14:srgbClr w14:val="000000"/>
                  </w14:solidFill>
                  <w14:prstDash w14:val="solid"/>
                  <w14:miter w14:val="0"/>
                </w14:textOutline>
              </w:rPr>
              <w:t>同本标段投标截</w:t>
            </w:r>
            <w:r>
              <w:rPr>
                <w:color w:val="auto"/>
                <w:spacing w:val="-6"/>
                <w:highlight w:val="none"/>
                <w14:textOutline w14:w="3831" w14:cap="flat" w14:cmpd="sng">
                  <w14:solidFill>
                    <w14:srgbClr w14:val="000000"/>
                  </w14:solidFill>
                  <w14:prstDash w14:val="solid"/>
                  <w14:miter w14:val="0"/>
                </w14:textOutline>
              </w:rPr>
              <w:t>止时间。</w:t>
            </w:r>
            <w:r>
              <w:rPr>
                <w:color w:val="auto"/>
                <w:highlight w:val="none"/>
              </w:rPr>
              <w:t xml:space="preserve"> </w:t>
            </w:r>
            <w:r>
              <w:rPr>
                <w:color w:val="auto"/>
                <w:spacing w:val="-4"/>
                <w:highlight w:val="none"/>
              </w:rPr>
              <w:t>2.金额：</w:t>
            </w:r>
            <w:r>
              <w:rPr>
                <w:color w:val="auto"/>
                <w:spacing w:val="-4"/>
                <w:highlight w:val="none"/>
                <w:u w:val="single" w:color="auto"/>
              </w:rPr>
              <w:t xml:space="preserve"> </w:t>
            </w:r>
            <w:r>
              <w:rPr>
                <w:rFonts w:hint="eastAsia"/>
                <w:color w:val="auto"/>
                <w:spacing w:val="-4"/>
                <w:highlight w:val="none"/>
                <w:u w:val="single" w:color="auto"/>
                <w:lang w:val="en-US" w:eastAsia="zh-CN"/>
              </w:rPr>
              <w:t>9万</w:t>
            </w:r>
            <w:r>
              <w:rPr>
                <w:color w:val="auto"/>
                <w:spacing w:val="-4"/>
                <w:highlight w:val="none"/>
                <w:u w:val="single" w:color="auto"/>
              </w:rPr>
              <w:t xml:space="preserve"> </w:t>
            </w:r>
            <w:r>
              <w:rPr>
                <w:color w:val="auto"/>
                <w:spacing w:val="-95"/>
                <w:highlight w:val="none"/>
              </w:rPr>
              <w:t xml:space="preserve"> </w:t>
            </w:r>
            <w:r>
              <w:rPr>
                <w:color w:val="auto"/>
                <w:spacing w:val="-4"/>
                <w:highlight w:val="none"/>
              </w:rPr>
              <w:t>元。</w:t>
            </w:r>
          </w:p>
          <w:p>
            <w:pPr>
              <w:pStyle w:val="10"/>
              <w:spacing w:before="72" w:line="221" w:lineRule="auto"/>
              <w:ind w:left="117"/>
              <w:rPr>
                <w:color w:val="auto"/>
                <w:highlight w:val="none"/>
              </w:rPr>
            </w:pPr>
            <w:r>
              <w:rPr>
                <w:color w:val="auto"/>
                <w:spacing w:val="-4"/>
                <w:highlight w:val="none"/>
              </w:rPr>
              <w:t>3.形式：</w:t>
            </w:r>
            <w:r>
              <w:rPr>
                <w:color w:val="auto"/>
                <w:spacing w:val="-60"/>
                <w:highlight w:val="none"/>
              </w:rPr>
              <w:t xml:space="preserve"> </w:t>
            </w:r>
            <w:r>
              <w:rPr>
                <w:rFonts w:hint="eastAsia"/>
                <w:color w:val="auto"/>
                <w:spacing w:val="-4"/>
                <w:highlight w:val="none"/>
                <w:lang w:eastAsia="zh-CN"/>
              </w:rPr>
              <w:t>☑</w:t>
            </w:r>
            <w:r>
              <w:rPr>
                <w:color w:val="auto"/>
                <w:spacing w:val="-4"/>
                <w:highlight w:val="none"/>
              </w:rPr>
              <w:t xml:space="preserve">现金   </w:t>
            </w:r>
            <w:r>
              <w:rPr>
                <w:rFonts w:hint="eastAsia"/>
                <w:color w:val="auto"/>
                <w:spacing w:val="-4"/>
                <w:highlight w:val="none"/>
                <w:lang w:eastAsia="zh-CN"/>
              </w:rPr>
              <w:t>☑</w:t>
            </w:r>
            <w:r>
              <w:rPr>
                <w:color w:val="auto"/>
                <w:spacing w:val="-4"/>
                <w:highlight w:val="none"/>
              </w:rPr>
              <w:t>保函（保险）</w:t>
            </w:r>
            <w:r>
              <w:rPr>
                <w:color w:val="auto"/>
                <w:spacing w:val="18"/>
                <w:highlight w:val="none"/>
              </w:rPr>
              <w:t xml:space="preserve">  </w:t>
            </w:r>
            <w:r>
              <w:rPr>
                <w:color w:val="auto"/>
                <w:spacing w:val="-4"/>
                <w:highlight w:val="none"/>
              </w:rPr>
              <w:t>□其他形式</w:t>
            </w:r>
          </w:p>
          <w:p>
            <w:pPr>
              <w:pStyle w:val="10"/>
              <w:spacing w:before="67" w:line="211" w:lineRule="auto"/>
              <w:ind w:left="112" w:leftChars="0"/>
              <w:rPr>
                <w:color w:val="auto"/>
                <w:spacing w:val="-5"/>
                <w:highlight w:val="none"/>
              </w:rPr>
            </w:pPr>
            <w:r>
              <w:rPr>
                <w:color w:val="auto"/>
                <w:spacing w:val="-5"/>
                <w:highlight w:val="none"/>
              </w:rPr>
              <w:t>4.递交方式：</w:t>
            </w:r>
          </w:p>
          <w:p>
            <w:pPr>
              <w:pStyle w:val="10"/>
              <w:spacing w:before="76" w:line="221" w:lineRule="auto"/>
              <w:ind w:left="112"/>
              <w:rPr>
                <w:color w:val="auto"/>
                <w:highlight w:val="none"/>
              </w:rPr>
            </w:pPr>
            <w:r>
              <w:rPr>
                <w:color w:val="auto"/>
                <w:spacing w:val="-3"/>
                <w:highlight w:val="none"/>
              </w:rPr>
              <w:t>4.1</w:t>
            </w:r>
            <w:r>
              <w:rPr>
                <w:color w:val="auto"/>
                <w:spacing w:val="-39"/>
                <w:highlight w:val="none"/>
              </w:rPr>
              <w:t xml:space="preserve"> </w:t>
            </w:r>
            <w:r>
              <w:rPr>
                <w:color w:val="auto"/>
                <w:spacing w:val="-3"/>
                <w:highlight w:val="none"/>
              </w:rPr>
              <w:t>现金</w:t>
            </w:r>
          </w:p>
          <w:p>
            <w:pPr>
              <w:pStyle w:val="10"/>
              <w:spacing w:before="66" w:line="240" w:lineRule="auto"/>
              <w:ind w:left="539"/>
              <w:rPr>
                <w:color w:val="auto"/>
                <w:highlight w:val="none"/>
              </w:rPr>
            </w:pPr>
            <w:r>
              <w:rPr>
                <w:color w:val="auto"/>
                <w:spacing w:val="-3"/>
                <w:highlight w:val="none"/>
              </w:rPr>
              <w:t>（1）收款信息</w:t>
            </w:r>
          </w:p>
          <w:p>
            <w:pPr>
              <w:pStyle w:val="10"/>
              <w:spacing w:before="69" w:line="240" w:lineRule="auto"/>
              <w:ind w:left="112" w:right="308" w:firstLine="423"/>
              <w:rPr>
                <w:color w:val="auto"/>
                <w:spacing w:val="-1"/>
                <w:highlight w:val="none"/>
              </w:rPr>
            </w:pPr>
            <w:r>
              <w:rPr>
                <w:color w:val="auto"/>
                <w:spacing w:val="-1"/>
                <w:highlight w:val="none"/>
              </w:rPr>
              <w:t>收款单位：</w:t>
            </w:r>
            <w:r>
              <w:rPr>
                <w:rFonts w:hint="eastAsia"/>
                <w:color w:val="auto"/>
                <w:spacing w:val="-1"/>
                <w:highlight w:val="none"/>
              </w:rPr>
              <w:t>辽宁惠信工程造价咨询有限公司</w:t>
            </w:r>
            <w:r>
              <w:rPr>
                <w:color w:val="auto"/>
                <w:spacing w:val="-1"/>
                <w:highlight w:val="none"/>
              </w:rPr>
              <w:t>；</w:t>
            </w:r>
          </w:p>
          <w:p>
            <w:pPr>
              <w:pStyle w:val="10"/>
              <w:spacing w:before="69" w:line="240" w:lineRule="auto"/>
              <w:ind w:left="112" w:right="308" w:firstLine="423"/>
              <w:rPr>
                <w:color w:val="auto"/>
                <w:spacing w:val="-1"/>
                <w:highlight w:val="none"/>
              </w:rPr>
            </w:pPr>
            <w:r>
              <w:rPr>
                <w:color w:val="auto"/>
                <w:spacing w:val="-1"/>
                <w:highlight w:val="none"/>
              </w:rPr>
              <w:t>开户银行：</w:t>
            </w:r>
            <w:r>
              <w:rPr>
                <w:rFonts w:hint="eastAsia"/>
                <w:color w:val="auto"/>
                <w:spacing w:val="-1"/>
                <w:highlight w:val="none"/>
              </w:rPr>
              <w:t>兴业银行营口分行</w:t>
            </w:r>
            <w:r>
              <w:rPr>
                <w:color w:val="auto"/>
                <w:spacing w:val="-1"/>
                <w:highlight w:val="none"/>
              </w:rPr>
              <w:t>；</w:t>
            </w:r>
          </w:p>
          <w:p>
            <w:pPr>
              <w:pStyle w:val="10"/>
              <w:spacing w:before="69" w:line="240" w:lineRule="auto"/>
              <w:ind w:left="112" w:right="308" w:firstLine="423"/>
              <w:rPr>
                <w:color w:val="auto"/>
                <w:spacing w:val="-1"/>
                <w:highlight w:val="none"/>
              </w:rPr>
            </w:pPr>
            <w:r>
              <w:rPr>
                <w:color w:val="auto"/>
                <w:spacing w:val="-1"/>
                <w:highlight w:val="none"/>
              </w:rPr>
              <w:t>账户账号：</w:t>
            </w:r>
            <w:r>
              <w:rPr>
                <w:rFonts w:hint="eastAsia"/>
                <w:color w:val="auto"/>
                <w:spacing w:val="-1"/>
                <w:highlight w:val="none"/>
              </w:rPr>
              <w:t>426010100100222267</w:t>
            </w:r>
            <w:r>
              <w:rPr>
                <w:color w:val="auto"/>
                <w:spacing w:val="-1"/>
                <w:highlight w:val="none"/>
              </w:rPr>
              <w:t>。</w:t>
            </w:r>
          </w:p>
          <w:p>
            <w:pPr>
              <w:pStyle w:val="10"/>
              <w:spacing w:before="69" w:line="240" w:lineRule="auto"/>
              <w:ind w:left="539"/>
              <w:rPr>
                <w:color w:val="auto"/>
                <w:highlight w:val="none"/>
              </w:rPr>
            </w:pPr>
            <w:r>
              <w:rPr>
                <w:color w:val="auto"/>
                <w:spacing w:val="-4"/>
                <w:highlight w:val="none"/>
              </w:rPr>
              <w:t>（2）收款说明</w:t>
            </w:r>
          </w:p>
          <w:p>
            <w:pPr>
              <w:pStyle w:val="10"/>
              <w:spacing w:before="69" w:line="240" w:lineRule="auto"/>
              <w:ind w:left="112" w:right="308" w:firstLine="423"/>
              <w:rPr>
                <w:color w:val="auto"/>
                <w:spacing w:val="-1"/>
                <w:highlight w:val="none"/>
              </w:rPr>
            </w:pPr>
            <w:r>
              <w:rPr>
                <w:color w:val="auto"/>
                <w:spacing w:val="-1"/>
                <w:highlight w:val="none"/>
              </w:rPr>
              <w:t>投标人应在投标截止时间前通过企业基本账户递交至</w:t>
            </w:r>
            <w:r>
              <w:rPr>
                <w:color w:val="auto"/>
                <w:spacing w:val="15"/>
                <w:highlight w:val="none"/>
              </w:rPr>
              <w:t xml:space="preserve"> </w:t>
            </w:r>
            <w:r>
              <w:rPr>
                <w:color w:val="auto"/>
                <w:spacing w:val="-1"/>
                <w:highlight w:val="none"/>
              </w:rPr>
              <w:t>4.1（1）规定的账户，否则视为无效投标保证金。</w:t>
            </w:r>
          </w:p>
          <w:p>
            <w:pPr>
              <w:pStyle w:val="10"/>
              <w:spacing w:before="69" w:line="240" w:lineRule="auto"/>
              <w:ind w:left="112" w:right="308" w:firstLine="423"/>
              <w:rPr>
                <w:rFonts w:hint="eastAsia"/>
                <w:color w:val="auto"/>
                <w:spacing w:val="-1"/>
                <w:highlight w:val="none"/>
              </w:rPr>
            </w:pPr>
            <w:r>
              <w:rPr>
                <w:rFonts w:hint="eastAsia"/>
                <w:color w:val="auto"/>
                <w:spacing w:val="-1"/>
                <w:highlight w:val="none"/>
              </w:rPr>
              <w:t>请投标人在汇款时务必注明所投标项目的名称，项目编号，否则因款项用途不明导致投标无效等后果由投标人自行承担。</w:t>
            </w:r>
          </w:p>
          <w:p>
            <w:pPr>
              <w:pStyle w:val="10"/>
              <w:spacing w:before="69" w:line="240" w:lineRule="auto"/>
              <w:ind w:left="112" w:right="308" w:firstLine="423"/>
              <w:rPr>
                <w:color w:val="auto"/>
                <w:spacing w:val="-1"/>
                <w:highlight w:val="none"/>
              </w:rPr>
            </w:pPr>
            <w:r>
              <w:rPr>
                <w:rFonts w:hint="eastAsia"/>
                <w:color w:val="auto"/>
                <w:spacing w:val="-1"/>
                <w:highlight w:val="none"/>
              </w:rPr>
              <w:t>投标人请自行将投标保证金银行汇款凭证（复印件加盖公章）附在投标文件指定的位置作为投标文件的一部分（即保证金缴纳情况证明材料，按照招标文件的具体要求），代理机构不再对投标保证金开具收据。</w:t>
            </w:r>
          </w:p>
          <w:p>
            <w:pPr>
              <w:pStyle w:val="10"/>
              <w:spacing w:before="70" w:line="221" w:lineRule="auto"/>
              <w:ind w:left="112"/>
              <w:rPr>
                <w:color w:val="auto"/>
                <w:highlight w:val="none"/>
              </w:rPr>
            </w:pPr>
            <w:r>
              <w:rPr>
                <w:color w:val="auto"/>
                <w:spacing w:val="-2"/>
                <w:highlight w:val="none"/>
              </w:rPr>
              <w:t>4.2</w:t>
            </w:r>
            <w:r>
              <w:rPr>
                <w:color w:val="auto"/>
                <w:spacing w:val="-40"/>
                <w:highlight w:val="none"/>
              </w:rPr>
              <w:t xml:space="preserve"> </w:t>
            </w:r>
            <w:r>
              <w:rPr>
                <w:color w:val="auto"/>
                <w:spacing w:val="-2"/>
                <w:highlight w:val="none"/>
              </w:rPr>
              <w:t>保函（保险）</w:t>
            </w:r>
          </w:p>
          <w:p>
            <w:pPr>
              <w:pStyle w:val="10"/>
              <w:spacing w:before="68" w:line="266" w:lineRule="auto"/>
              <w:ind w:left="113" w:right="214" w:firstLine="426"/>
              <w:rPr>
                <w:color w:val="auto"/>
                <w:highlight w:val="none"/>
              </w:rPr>
            </w:pPr>
            <w:r>
              <w:rPr>
                <w:color w:val="auto"/>
                <w:spacing w:val="-1"/>
                <w:highlight w:val="none"/>
              </w:rPr>
              <w:t>（1）投标人可通过辽宁省工程建设项目电子保函保险</w:t>
            </w:r>
            <w:r>
              <w:rPr>
                <w:color w:val="auto"/>
                <w:spacing w:val="2"/>
                <w:highlight w:val="none"/>
              </w:rPr>
              <w:t xml:space="preserve"> </w:t>
            </w:r>
            <w:r>
              <w:rPr>
                <w:color w:val="auto"/>
                <w:highlight w:val="none"/>
              </w:rPr>
              <w:t>基础服务平台跨地区、跨行业自由服务试点金融平</w:t>
            </w:r>
            <w:r>
              <w:rPr>
                <w:color w:val="auto"/>
                <w:spacing w:val="-1"/>
                <w:highlight w:val="none"/>
              </w:rPr>
              <w:t>台或金</w:t>
            </w:r>
            <w:r>
              <w:rPr>
                <w:color w:val="auto"/>
                <w:highlight w:val="none"/>
              </w:rPr>
              <w:t xml:space="preserve">  </w:t>
            </w:r>
            <w:r>
              <w:rPr>
                <w:color w:val="auto"/>
                <w:spacing w:val="-1"/>
                <w:highlight w:val="none"/>
              </w:rPr>
              <w:t>融机构任一渠道自主选择购买保函（保险</w:t>
            </w:r>
            <w:r>
              <w:rPr>
                <w:color w:val="auto"/>
                <w:spacing w:val="-32"/>
                <w:highlight w:val="none"/>
              </w:rPr>
              <w:t>），</w:t>
            </w:r>
            <w:r>
              <w:rPr>
                <w:color w:val="auto"/>
                <w:spacing w:val="-1"/>
                <w:highlight w:val="none"/>
              </w:rPr>
              <w:t>鼓励企业使</w:t>
            </w:r>
            <w:r>
              <w:rPr>
                <w:color w:val="auto"/>
                <w:highlight w:val="none"/>
              </w:rPr>
              <w:t xml:space="preserve">  </w:t>
            </w:r>
            <w:r>
              <w:rPr>
                <w:color w:val="auto"/>
                <w:spacing w:val="-5"/>
                <w:highlight w:val="none"/>
              </w:rPr>
              <w:t>用电子保函（保险）</w:t>
            </w:r>
            <w:r>
              <w:rPr>
                <w:color w:val="auto"/>
                <w:spacing w:val="-34"/>
                <w:highlight w:val="none"/>
              </w:rPr>
              <w:t xml:space="preserve"> </w:t>
            </w:r>
            <w:r>
              <w:rPr>
                <w:color w:val="auto"/>
                <w:spacing w:val="-5"/>
                <w:highlight w:val="none"/>
              </w:rPr>
              <w:t>等形式提交保证金。</w:t>
            </w:r>
          </w:p>
          <w:p>
            <w:pPr>
              <w:pStyle w:val="10"/>
              <w:spacing w:before="71" w:line="271" w:lineRule="auto"/>
              <w:ind w:left="113" w:right="216" w:firstLine="426"/>
              <w:rPr>
                <w:color w:val="auto"/>
                <w:highlight w:val="none"/>
              </w:rPr>
            </w:pPr>
            <w:r>
              <w:rPr>
                <w:color w:val="auto"/>
                <w:spacing w:val="-1"/>
                <w:highlight w:val="none"/>
              </w:rPr>
              <w:t>（2）投标人应在投标截止时间前购买完成并生效。购</w:t>
            </w:r>
            <w:r>
              <w:rPr>
                <w:color w:val="auto"/>
                <w:highlight w:val="none"/>
              </w:rPr>
              <w:t xml:space="preserve"> </w:t>
            </w:r>
            <w:r>
              <w:rPr>
                <w:color w:val="auto"/>
                <w:spacing w:val="-4"/>
                <w:highlight w:val="none"/>
              </w:rPr>
              <w:t>买保函（保险） 的财务费用应当通过企业基本账</w:t>
            </w:r>
            <w:r>
              <w:rPr>
                <w:color w:val="auto"/>
                <w:spacing w:val="-5"/>
                <w:highlight w:val="none"/>
              </w:rPr>
              <w:t>户或主体</w:t>
            </w:r>
            <w:r>
              <w:rPr>
                <w:color w:val="auto"/>
                <w:highlight w:val="none"/>
              </w:rPr>
              <w:t xml:space="preserve">  信息库登记的企业账户缴纳。纸质保函（保险）和</w:t>
            </w:r>
            <w:r>
              <w:rPr>
                <w:color w:val="auto"/>
                <w:spacing w:val="-1"/>
                <w:highlight w:val="none"/>
              </w:rPr>
              <w:t>电子保</w:t>
            </w:r>
            <w:r>
              <w:rPr>
                <w:color w:val="auto"/>
                <w:highlight w:val="none"/>
              </w:rPr>
              <w:t xml:space="preserve">  </w:t>
            </w:r>
            <w:r>
              <w:rPr>
                <w:color w:val="auto"/>
                <w:spacing w:val="-3"/>
                <w:highlight w:val="none"/>
              </w:rPr>
              <w:t>函（保险）</w:t>
            </w:r>
            <w:r>
              <w:rPr>
                <w:color w:val="auto"/>
                <w:spacing w:val="-33"/>
                <w:highlight w:val="none"/>
              </w:rPr>
              <w:t xml:space="preserve"> </w:t>
            </w:r>
            <w:r>
              <w:rPr>
                <w:color w:val="auto"/>
                <w:spacing w:val="-3"/>
                <w:highlight w:val="none"/>
              </w:rPr>
              <w:t>均能实现出函机构官方媒介或政府部门业务系</w:t>
            </w:r>
            <w:r>
              <w:rPr>
                <w:color w:val="auto"/>
                <w:highlight w:val="none"/>
              </w:rPr>
              <w:t xml:space="preserve">  </w:t>
            </w:r>
            <w:r>
              <w:rPr>
                <w:color w:val="auto"/>
                <w:spacing w:val="-6"/>
                <w:highlight w:val="none"/>
              </w:rPr>
              <w:t>统在线验真。购买保函（保险）的财务费用不是通过企业</w:t>
            </w:r>
            <w:r>
              <w:rPr>
                <w:color w:val="auto"/>
                <w:highlight w:val="none"/>
              </w:rPr>
              <w:t xml:space="preserve">  </w:t>
            </w:r>
            <w:r>
              <w:rPr>
                <w:color w:val="auto"/>
                <w:spacing w:val="-3"/>
                <w:highlight w:val="none"/>
              </w:rPr>
              <w:t>账户缴纳或无法在线验真的保函（保险）</w:t>
            </w:r>
            <w:r>
              <w:rPr>
                <w:color w:val="auto"/>
                <w:spacing w:val="-37"/>
                <w:highlight w:val="none"/>
              </w:rPr>
              <w:t xml:space="preserve"> </w:t>
            </w:r>
            <w:r>
              <w:rPr>
                <w:color w:val="auto"/>
                <w:spacing w:val="-3"/>
                <w:highlight w:val="none"/>
              </w:rPr>
              <w:t>视为无效保函</w:t>
            </w:r>
          </w:p>
          <w:p>
            <w:pPr>
              <w:pStyle w:val="10"/>
              <w:spacing w:before="69" w:line="221" w:lineRule="auto"/>
              <w:ind w:left="119"/>
              <w:rPr>
                <w:color w:val="auto"/>
                <w:highlight w:val="none"/>
              </w:rPr>
            </w:pPr>
            <w:r>
              <w:rPr>
                <w:color w:val="auto"/>
                <w:spacing w:val="-7"/>
                <w:highlight w:val="none"/>
              </w:rPr>
              <w:t>（保险）。</w:t>
            </w:r>
          </w:p>
        </w:tc>
      </w:tr>
    </w:tbl>
    <w:p>
      <w:pPr>
        <w:pStyle w:val="2"/>
        <w:rPr>
          <w:color w:val="auto"/>
          <w:highlight w:val="none"/>
        </w:rPr>
      </w:pPr>
    </w:p>
    <w:p>
      <w:pPr>
        <w:spacing w:line="91" w:lineRule="auto"/>
        <w:rPr>
          <w:rFonts w:ascii="Arial"/>
          <w:color w:val="auto"/>
          <w:sz w:val="2"/>
          <w:highlight w:val="none"/>
        </w:rPr>
      </w:pPr>
    </w:p>
    <w:tbl>
      <w:tblPr>
        <w:tblStyle w:val="9"/>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0"/>
              <w:spacing w:before="168" w:line="221" w:lineRule="auto"/>
              <w:ind w:left="117"/>
              <w:rPr>
                <w:color w:val="auto"/>
                <w:highlight w:val="none"/>
              </w:rPr>
            </w:pPr>
            <w:bookmarkStart w:id="55" w:name="bookmark85"/>
            <w:bookmarkEnd w:id="55"/>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rPr>
                <w:color w:val="auto"/>
                <w:highlight w:val="none"/>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856" w:type="dxa"/>
            <w:vAlign w:val="top"/>
          </w:tcPr>
          <w:p>
            <w:pPr>
              <w:pStyle w:val="10"/>
              <w:spacing w:before="68" w:line="182" w:lineRule="auto"/>
              <w:ind w:left="175" w:leftChars="0"/>
              <w:rPr>
                <w:color w:val="auto"/>
                <w:spacing w:val="-2"/>
                <w:highlight w:val="none"/>
              </w:rPr>
            </w:pPr>
          </w:p>
        </w:tc>
        <w:tc>
          <w:tcPr>
            <w:tcW w:w="1977" w:type="dxa"/>
            <w:vAlign w:val="top"/>
          </w:tcPr>
          <w:p>
            <w:pPr>
              <w:pStyle w:val="10"/>
              <w:spacing w:before="68" w:line="253" w:lineRule="auto"/>
              <w:ind w:left="674" w:leftChars="0" w:right="250" w:rightChars="0" w:hanging="418" w:firstLineChars="0"/>
              <w:rPr>
                <w:color w:val="auto"/>
                <w:spacing w:val="-1"/>
                <w:highlight w:val="none"/>
              </w:rPr>
            </w:pPr>
          </w:p>
        </w:tc>
        <w:tc>
          <w:tcPr>
            <w:tcW w:w="5673" w:type="dxa"/>
            <w:vAlign w:val="top"/>
          </w:tcPr>
          <w:p>
            <w:pPr>
              <w:kinsoku w:val="0"/>
              <w:autoSpaceDE w:val="0"/>
              <w:autoSpaceDN w:val="0"/>
              <w:adjustRightInd w:val="0"/>
              <w:snapToGrid w:val="0"/>
              <w:spacing w:before="69" w:line="221" w:lineRule="auto"/>
              <w:ind w:left="119"/>
              <w:jc w:val="left"/>
              <w:textAlignment w:val="baseline"/>
              <w:rPr>
                <w:rFonts w:hint="eastAsia" w:ascii="宋体" w:hAnsi="宋体" w:eastAsia="宋体" w:cs="宋体"/>
                <w:snapToGrid w:val="0"/>
                <w:color w:val="auto"/>
                <w:spacing w:val="-7"/>
                <w:kern w:val="0"/>
                <w:sz w:val="21"/>
                <w:szCs w:val="21"/>
                <w:highlight w:val="none"/>
                <w:lang w:val="en-US" w:eastAsia="en-US" w:bidi="ar-SA"/>
              </w:rPr>
            </w:pPr>
            <w:r>
              <w:rPr>
                <w:rFonts w:hint="eastAsia"/>
                <w:color w:val="auto"/>
                <w:spacing w:val="-7"/>
                <w:highlight w:val="none"/>
                <w:lang w:eastAsia="zh-CN"/>
              </w:rPr>
              <w:t>注：</w:t>
            </w:r>
            <w:r>
              <w:rPr>
                <w:rFonts w:hint="eastAsia"/>
                <w:color w:val="auto"/>
                <w:spacing w:val="-7"/>
                <w:highlight w:val="none"/>
              </w:rPr>
              <w:t>使用银行保函或担保保函形式缴纳投标保证金的投标人应</w:t>
            </w:r>
            <w:r>
              <w:rPr>
                <w:rFonts w:hint="eastAsia" w:ascii="宋体" w:hAnsi="宋体" w:eastAsia="宋体" w:cs="宋体"/>
                <w:snapToGrid w:val="0"/>
                <w:color w:val="auto"/>
                <w:spacing w:val="-7"/>
                <w:kern w:val="0"/>
                <w:sz w:val="21"/>
                <w:szCs w:val="21"/>
                <w:highlight w:val="none"/>
                <w:lang w:val="en-US" w:eastAsia="en-US" w:bidi="ar-SA"/>
              </w:rPr>
              <w:t>在投标保证金截止时间前将保函原件正本递交给代理公司（开标现场递交），投标保证金截止时间之后递交的将被拒绝。</w:t>
            </w:r>
          </w:p>
          <w:p>
            <w:pPr>
              <w:kinsoku w:val="0"/>
              <w:autoSpaceDE w:val="0"/>
              <w:autoSpaceDN w:val="0"/>
              <w:adjustRightInd w:val="0"/>
              <w:snapToGrid w:val="0"/>
              <w:spacing w:before="69" w:line="221" w:lineRule="auto"/>
              <w:ind w:left="119" w:firstLine="392" w:firstLineChars="200"/>
              <w:jc w:val="left"/>
              <w:textAlignment w:val="baseline"/>
              <w:rPr>
                <w:rFonts w:hint="eastAsia" w:ascii="宋体" w:hAnsi="宋体" w:eastAsia="宋体" w:cs="宋体"/>
                <w:snapToGrid w:val="0"/>
                <w:color w:val="auto"/>
                <w:spacing w:val="-7"/>
                <w:kern w:val="0"/>
                <w:sz w:val="21"/>
                <w:szCs w:val="21"/>
                <w:highlight w:val="none"/>
                <w:lang w:val="en-US" w:eastAsia="en-US" w:bidi="ar-SA"/>
              </w:rPr>
            </w:pPr>
            <w:r>
              <w:rPr>
                <w:rFonts w:hint="eastAsia" w:ascii="宋体" w:hAnsi="宋体" w:eastAsia="宋体" w:cs="宋体"/>
                <w:snapToGrid w:val="0"/>
                <w:color w:val="auto"/>
                <w:spacing w:val="-7"/>
                <w:kern w:val="0"/>
                <w:sz w:val="21"/>
                <w:szCs w:val="21"/>
                <w:highlight w:val="none"/>
                <w:lang w:val="en-US" w:eastAsia="en-US" w:bidi="ar-SA"/>
              </w:rPr>
              <w:t>保函上需注明所投项目名称及标段，否则由此导致投标无效等后果由投标人自行承担。</w:t>
            </w:r>
          </w:p>
          <w:p>
            <w:pPr>
              <w:kinsoku w:val="0"/>
              <w:autoSpaceDE w:val="0"/>
              <w:autoSpaceDN w:val="0"/>
              <w:adjustRightInd w:val="0"/>
              <w:snapToGrid w:val="0"/>
              <w:spacing w:before="69" w:line="221" w:lineRule="auto"/>
              <w:ind w:left="119" w:firstLine="392" w:firstLineChars="200"/>
              <w:jc w:val="left"/>
              <w:textAlignment w:val="baseline"/>
              <w:rPr>
                <w:rFonts w:hint="eastAsia" w:ascii="宋体" w:hAnsi="宋体" w:eastAsia="宋体" w:cs="宋体"/>
                <w:snapToGrid w:val="0"/>
                <w:color w:val="auto"/>
                <w:spacing w:val="-7"/>
                <w:kern w:val="0"/>
                <w:sz w:val="21"/>
                <w:szCs w:val="21"/>
                <w:highlight w:val="none"/>
                <w:lang w:val="en-US" w:eastAsia="en-US" w:bidi="ar-SA"/>
              </w:rPr>
            </w:pPr>
            <w:r>
              <w:rPr>
                <w:rFonts w:hint="eastAsia" w:ascii="宋体" w:hAnsi="宋体" w:eastAsia="宋体" w:cs="宋体"/>
                <w:snapToGrid w:val="0"/>
                <w:color w:val="auto"/>
                <w:spacing w:val="-7"/>
                <w:kern w:val="0"/>
                <w:sz w:val="21"/>
                <w:szCs w:val="21"/>
                <w:highlight w:val="none"/>
                <w:lang w:val="en-US" w:eastAsia="en-US" w:bidi="ar-SA"/>
              </w:rPr>
              <w:t>采用电子保函方式缴纳的，应在投标截止时间前开具完成，按照招标文件中投标文件格式要求填写缴纳信息并附担保文书、保函财务费用支付凭证、基本户开户许可证等证明材料，并提供电子化保函验真渠道，由于无法查验核实或验证未通过则视为投标保函未提交，造成的一切后果由投标人自行承担。</w:t>
            </w:r>
          </w:p>
          <w:p>
            <w:pPr>
              <w:kinsoku w:val="0"/>
              <w:autoSpaceDE w:val="0"/>
              <w:autoSpaceDN w:val="0"/>
              <w:adjustRightInd w:val="0"/>
              <w:snapToGrid w:val="0"/>
              <w:spacing w:before="69" w:line="221" w:lineRule="auto"/>
              <w:ind w:left="119" w:firstLine="392" w:firstLineChars="200"/>
              <w:jc w:val="left"/>
              <w:textAlignment w:val="baseline"/>
              <w:rPr>
                <w:rFonts w:hint="eastAsia" w:ascii="宋体" w:hAnsi="宋体" w:eastAsia="宋体" w:cs="宋体"/>
                <w:snapToGrid w:val="0"/>
                <w:color w:val="auto"/>
                <w:spacing w:val="-7"/>
                <w:kern w:val="0"/>
                <w:sz w:val="21"/>
                <w:szCs w:val="21"/>
                <w:highlight w:val="none"/>
                <w:lang w:val="en-US" w:eastAsia="en-US" w:bidi="ar-SA"/>
              </w:rPr>
            </w:pPr>
            <w:r>
              <w:rPr>
                <w:rFonts w:hint="eastAsia" w:ascii="宋体" w:hAnsi="宋体" w:eastAsia="宋体" w:cs="宋体"/>
                <w:snapToGrid w:val="0"/>
                <w:color w:val="auto"/>
                <w:spacing w:val="-7"/>
                <w:kern w:val="0"/>
                <w:sz w:val="21"/>
                <w:szCs w:val="21"/>
                <w:highlight w:val="none"/>
                <w:lang w:val="en-US" w:eastAsia="en-US" w:bidi="ar-SA"/>
              </w:rPr>
              <w:t>保函复印件加盖公章，附在投标文件指定的位置作为投标文件的一部分（即保证金缴纳情况证明材料，按照招标文件的具体要求）。</w:t>
            </w:r>
          </w:p>
          <w:p>
            <w:pPr>
              <w:kinsoku w:val="0"/>
              <w:autoSpaceDE w:val="0"/>
              <w:autoSpaceDN w:val="0"/>
              <w:adjustRightInd w:val="0"/>
              <w:snapToGrid w:val="0"/>
              <w:spacing w:before="69" w:line="221" w:lineRule="auto"/>
              <w:ind w:left="119" w:firstLine="392" w:firstLineChars="200"/>
              <w:jc w:val="left"/>
              <w:textAlignment w:val="baseline"/>
              <w:rPr>
                <w:rFonts w:hint="eastAsia" w:ascii="宋体" w:hAnsi="宋体" w:eastAsia="宋体" w:cs="宋体"/>
                <w:snapToGrid w:val="0"/>
                <w:color w:val="auto"/>
                <w:spacing w:val="-7"/>
                <w:kern w:val="0"/>
                <w:sz w:val="21"/>
                <w:szCs w:val="21"/>
                <w:highlight w:val="none"/>
                <w:lang w:val="en-US" w:eastAsia="en-US" w:bidi="ar-SA"/>
              </w:rPr>
            </w:pPr>
            <w:r>
              <w:rPr>
                <w:rFonts w:hint="eastAsia" w:ascii="宋体" w:hAnsi="宋体" w:eastAsia="宋体" w:cs="宋体"/>
                <w:snapToGrid w:val="0"/>
                <w:color w:val="auto"/>
                <w:spacing w:val="-7"/>
                <w:kern w:val="0"/>
                <w:sz w:val="21"/>
                <w:szCs w:val="21"/>
                <w:highlight w:val="none"/>
                <w:lang w:val="en-US" w:eastAsia="en-US" w:bidi="ar-SA"/>
              </w:rPr>
              <w:t>保函的有效期与投标有效期保持一致或长于投标有效期。</w:t>
            </w:r>
          </w:p>
          <w:p>
            <w:pPr>
              <w:kinsoku w:val="0"/>
              <w:autoSpaceDE w:val="0"/>
              <w:autoSpaceDN w:val="0"/>
              <w:adjustRightInd w:val="0"/>
              <w:snapToGrid w:val="0"/>
              <w:spacing w:before="70" w:line="221" w:lineRule="auto"/>
              <w:ind w:left="112"/>
              <w:jc w:val="left"/>
              <w:textAlignment w:val="baseline"/>
              <w:rPr>
                <w:rFonts w:ascii="宋体" w:hAnsi="宋体" w:eastAsia="宋体" w:cs="宋体"/>
                <w:snapToGrid w:val="0"/>
                <w:color w:val="auto"/>
                <w:kern w:val="0"/>
                <w:sz w:val="21"/>
                <w:szCs w:val="21"/>
                <w:highlight w:val="none"/>
                <w:lang w:val="en-US" w:eastAsia="en-US" w:bidi="ar-SA"/>
              </w:rPr>
            </w:pPr>
            <w:r>
              <w:rPr>
                <w:rFonts w:ascii="宋体" w:hAnsi="宋体" w:eastAsia="宋体" w:cs="宋体"/>
                <w:snapToGrid w:val="0"/>
                <w:color w:val="auto"/>
                <w:spacing w:val="-3"/>
                <w:kern w:val="0"/>
                <w:sz w:val="21"/>
                <w:szCs w:val="21"/>
                <w:highlight w:val="none"/>
                <w:lang w:val="en-US" w:eastAsia="en-US" w:bidi="ar-SA"/>
              </w:rPr>
              <w:t>4.3</w:t>
            </w:r>
            <w:r>
              <w:rPr>
                <w:rFonts w:ascii="宋体" w:hAnsi="宋体" w:eastAsia="宋体" w:cs="宋体"/>
                <w:snapToGrid w:val="0"/>
                <w:color w:val="auto"/>
                <w:spacing w:val="-40"/>
                <w:kern w:val="0"/>
                <w:sz w:val="21"/>
                <w:szCs w:val="21"/>
                <w:highlight w:val="none"/>
                <w:lang w:val="en-US" w:eastAsia="en-US" w:bidi="ar-SA"/>
              </w:rPr>
              <w:t xml:space="preserve"> </w:t>
            </w:r>
            <w:r>
              <w:rPr>
                <w:rFonts w:ascii="宋体" w:hAnsi="宋体" w:eastAsia="宋体" w:cs="宋体"/>
                <w:snapToGrid w:val="0"/>
                <w:color w:val="auto"/>
                <w:spacing w:val="-3"/>
                <w:kern w:val="0"/>
                <w:sz w:val="21"/>
                <w:szCs w:val="21"/>
                <w:highlight w:val="none"/>
                <w:lang w:val="en-US" w:eastAsia="en-US" w:bidi="ar-SA"/>
              </w:rPr>
              <w:t>其他</w:t>
            </w:r>
          </w:p>
          <w:p>
            <w:pPr>
              <w:pStyle w:val="10"/>
              <w:spacing w:before="66" w:line="257" w:lineRule="auto"/>
              <w:ind w:left="6" w:leftChars="0" w:right="104" w:rightChars="0" w:firstLine="108" w:firstLineChars="0"/>
              <w:rPr>
                <w:rFonts w:hint="eastAsia"/>
                <w:color w:val="auto"/>
                <w:spacing w:val="-18"/>
                <w:highlight w:val="none"/>
              </w:rPr>
            </w:pPr>
            <w:r>
              <w:rPr>
                <w:rFonts w:ascii="宋体" w:hAnsi="宋体" w:eastAsia="宋体" w:cs="宋体"/>
                <w:snapToGrid w:val="0"/>
                <w:color w:val="auto"/>
                <w:spacing w:val="-5"/>
                <w:kern w:val="0"/>
                <w:sz w:val="21"/>
                <w:szCs w:val="21"/>
                <w:highlight w:val="none"/>
                <w:lang w:val="en-US" w:eastAsia="en-US" w:bidi="ar-SA"/>
              </w:rPr>
              <w:t>采用汇票等其他方式缴纳投标保证金的，也应参照现</w:t>
            </w:r>
            <w:r>
              <w:rPr>
                <w:rFonts w:ascii="宋体" w:hAnsi="宋体" w:eastAsia="宋体" w:cs="宋体"/>
                <w:snapToGrid w:val="0"/>
                <w:color w:val="auto"/>
                <w:kern w:val="0"/>
                <w:sz w:val="21"/>
                <w:szCs w:val="21"/>
                <w:highlight w:val="none"/>
                <w:lang w:val="en-US" w:eastAsia="en-US" w:bidi="ar-SA"/>
              </w:rPr>
              <w:t>金方式缴纳要求执行。招标人要求可以不缴纳</w:t>
            </w:r>
            <w:r>
              <w:rPr>
                <w:rFonts w:ascii="宋体" w:hAnsi="宋体" w:eastAsia="宋体" w:cs="宋体"/>
                <w:snapToGrid w:val="0"/>
                <w:color w:val="auto"/>
                <w:spacing w:val="-1"/>
                <w:kern w:val="0"/>
                <w:sz w:val="21"/>
                <w:szCs w:val="21"/>
                <w:highlight w:val="none"/>
                <w:lang w:val="en-US" w:eastAsia="en-US" w:bidi="ar-SA"/>
              </w:rPr>
              <w:t>投标保证金</w:t>
            </w:r>
            <w:r>
              <w:rPr>
                <w:rFonts w:ascii="宋体" w:hAnsi="宋体" w:eastAsia="宋体" w:cs="宋体"/>
                <w:snapToGrid w:val="0"/>
                <w:color w:val="auto"/>
                <w:spacing w:val="-2"/>
                <w:kern w:val="0"/>
                <w:sz w:val="21"/>
                <w:szCs w:val="21"/>
                <w:highlight w:val="none"/>
                <w:lang w:val="en-US" w:eastAsia="en-US" w:bidi="ar-SA"/>
              </w:rPr>
              <w:t>的除外。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6" w:type="dxa"/>
            <w:vAlign w:val="top"/>
          </w:tcPr>
          <w:p>
            <w:pPr>
              <w:spacing w:line="341" w:lineRule="auto"/>
              <w:rPr>
                <w:rFonts w:ascii="Arial"/>
                <w:color w:val="auto"/>
                <w:sz w:val="21"/>
                <w:highlight w:val="none"/>
              </w:rPr>
            </w:pPr>
          </w:p>
          <w:p>
            <w:pPr>
              <w:spacing w:line="341" w:lineRule="auto"/>
              <w:rPr>
                <w:rFonts w:ascii="Arial"/>
                <w:color w:val="auto"/>
                <w:sz w:val="21"/>
                <w:highlight w:val="none"/>
              </w:rPr>
            </w:pPr>
          </w:p>
          <w:p>
            <w:pPr>
              <w:pStyle w:val="10"/>
              <w:spacing w:before="68" w:line="182" w:lineRule="auto"/>
              <w:ind w:left="1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3.4.3</w:t>
            </w:r>
          </w:p>
        </w:tc>
        <w:tc>
          <w:tcPr>
            <w:tcW w:w="1977" w:type="dxa"/>
            <w:vAlign w:val="top"/>
          </w:tcPr>
          <w:p>
            <w:pPr>
              <w:spacing w:line="243" w:lineRule="auto"/>
              <w:rPr>
                <w:rFonts w:ascii="Arial"/>
                <w:color w:val="auto"/>
                <w:sz w:val="21"/>
                <w:highlight w:val="none"/>
              </w:rPr>
            </w:pPr>
          </w:p>
          <w:p>
            <w:pPr>
              <w:spacing w:line="243" w:lineRule="auto"/>
              <w:rPr>
                <w:rFonts w:ascii="Arial"/>
                <w:color w:val="auto"/>
                <w:sz w:val="21"/>
                <w:highlight w:val="none"/>
              </w:rPr>
            </w:pPr>
          </w:p>
          <w:p>
            <w:pPr>
              <w:pStyle w:val="10"/>
              <w:spacing w:before="68" w:line="253" w:lineRule="auto"/>
              <w:ind w:left="674" w:leftChars="0" w:right="250" w:rightChars="0" w:hanging="418" w:firstLineChars="0"/>
              <w:rPr>
                <w:rFonts w:ascii="宋体" w:hAnsi="宋体" w:eastAsia="宋体" w:cs="宋体"/>
                <w:snapToGrid w:val="0"/>
                <w:color w:val="auto"/>
                <w:kern w:val="0"/>
                <w:sz w:val="21"/>
                <w:szCs w:val="21"/>
                <w:highlight w:val="none"/>
                <w:lang w:val="en-US" w:eastAsia="en-US" w:bidi="ar-SA"/>
              </w:rPr>
            </w:pPr>
            <w:r>
              <w:rPr>
                <w:color w:val="auto"/>
                <w:spacing w:val="-1"/>
                <w:highlight w:val="none"/>
              </w:rPr>
              <w:t>退还投标保证金</w:t>
            </w:r>
            <w:r>
              <w:rPr>
                <w:color w:val="auto"/>
                <w:highlight w:val="none"/>
              </w:rPr>
              <w:t xml:space="preserve"> </w:t>
            </w:r>
            <w:r>
              <w:rPr>
                <w:color w:val="auto"/>
                <w:spacing w:val="-1"/>
                <w:highlight w:val="none"/>
              </w:rPr>
              <w:t>及利息</w:t>
            </w:r>
          </w:p>
        </w:tc>
        <w:tc>
          <w:tcPr>
            <w:tcW w:w="5673" w:type="dxa"/>
            <w:vAlign w:val="top"/>
          </w:tcPr>
          <w:p>
            <w:pPr>
              <w:pStyle w:val="10"/>
              <w:spacing w:before="77" w:line="221" w:lineRule="auto"/>
              <w:ind w:left="113"/>
              <w:rPr>
                <w:color w:val="auto"/>
                <w:highlight w:val="none"/>
              </w:rPr>
            </w:pPr>
            <w:r>
              <w:rPr>
                <w:color w:val="auto"/>
                <w:spacing w:val="-10"/>
                <w:highlight w:val="none"/>
              </w:rPr>
              <w:t xml:space="preserve">计息标准： </w:t>
            </w:r>
            <w:r>
              <w:rPr>
                <w:color w:val="auto"/>
                <w:spacing w:val="-10"/>
                <w:highlight w:val="none"/>
                <w:u w:val="single" w:color="auto"/>
              </w:rPr>
              <w:t>人民银行同期活期存款利率。</w:t>
            </w:r>
            <w:r>
              <w:rPr>
                <w:color w:val="auto"/>
                <w:spacing w:val="12"/>
                <w:highlight w:val="none"/>
                <w:u w:val="single" w:color="auto"/>
              </w:rPr>
              <w:t xml:space="preserve"> </w:t>
            </w:r>
          </w:p>
          <w:p>
            <w:pPr>
              <w:pStyle w:val="10"/>
              <w:spacing w:before="71" w:line="221" w:lineRule="auto"/>
              <w:ind w:left="113"/>
              <w:rPr>
                <w:color w:val="auto"/>
                <w:highlight w:val="none"/>
              </w:rPr>
            </w:pPr>
            <w:r>
              <w:rPr>
                <w:color w:val="auto"/>
                <w:spacing w:val="-8"/>
                <w:highlight w:val="none"/>
              </w:rPr>
              <w:t xml:space="preserve">计息时间： </w:t>
            </w:r>
            <w:r>
              <w:rPr>
                <w:color w:val="auto"/>
                <w:spacing w:val="-8"/>
                <w:highlight w:val="none"/>
                <w:u w:val="single" w:color="auto"/>
              </w:rPr>
              <w:t>投标保证金到账之日至退还的前一日。</w:t>
            </w:r>
            <w:r>
              <w:rPr>
                <w:color w:val="auto"/>
                <w:spacing w:val="6"/>
                <w:highlight w:val="none"/>
                <w:u w:val="single" w:color="auto"/>
              </w:rPr>
              <w:t xml:space="preserve"> </w:t>
            </w:r>
          </w:p>
          <w:p>
            <w:pPr>
              <w:pStyle w:val="10"/>
              <w:spacing w:before="66" w:line="257" w:lineRule="auto"/>
              <w:ind w:left="1166" w:right="104" w:hanging="1052"/>
              <w:rPr>
                <w:rFonts w:hint="eastAsia"/>
                <w:color w:val="auto"/>
                <w:spacing w:val="-18"/>
                <w:highlight w:val="none"/>
              </w:rPr>
            </w:pPr>
            <w:r>
              <w:rPr>
                <w:color w:val="auto"/>
                <w:spacing w:val="-6"/>
                <w:highlight w:val="none"/>
              </w:rPr>
              <w:t>退还办法：</w:t>
            </w:r>
            <w:r>
              <w:rPr>
                <w:color w:val="auto"/>
                <w:spacing w:val="-18"/>
                <w:highlight w:val="none"/>
              </w:rPr>
              <w:t xml:space="preserve"> </w:t>
            </w:r>
            <w:r>
              <w:rPr>
                <w:rFonts w:hint="eastAsia"/>
                <w:color w:val="auto"/>
                <w:spacing w:val="-18"/>
                <w:highlight w:val="none"/>
              </w:rPr>
              <w:t>投标保函原件正本由代理公司代为保存，中标通知书发放后，未中标投标人如无异议，可申请退返保函；中标人可在签订合同后5日内申请退返保函。</w:t>
            </w:r>
          </w:p>
          <w:p>
            <w:pPr>
              <w:pStyle w:val="10"/>
              <w:spacing w:before="66" w:line="257" w:lineRule="auto"/>
              <w:ind w:left="1157" w:leftChars="551" w:right="104" w:firstLine="0" w:firstLineChars="0"/>
              <w:rPr>
                <w:rFonts w:hint="eastAsia"/>
                <w:color w:val="auto"/>
                <w:spacing w:val="-18"/>
                <w:highlight w:val="none"/>
              </w:rPr>
            </w:pPr>
            <w:r>
              <w:rPr>
                <w:rFonts w:hint="eastAsia"/>
                <w:color w:val="auto"/>
                <w:spacing w:val="-18"/>
                <w:highlight w:val="none"/>
              </w:rPr>
              <w:t>保证金退还方式：电汇或保函</w:t>
            </w:r>
          </w:p>
          <w:p>
            <w:pPr>
              <w:pStyle w:val="10"/>
              <w:spacing w:before="66" w:line="257" w:lineRule="auto"/>
              <w:ind w:left="1157" w:leftChars="551" w:right="104" w:firstLine="0" w:firstLineChars="0"/>
              <w:rPr>
                <w:rFonts w:hint="eastAsia"/>
                <w:color w:val="auto"/>
                <w:spacing w:val="-18"/>
                <w:highlight w:val="none"/>
              </w:rPr>
            </w:pPr>
            <w:r>
              <w:rPr>
                <w:rFonts w:hint="eastAsia"/>
                <w:color w:val="auto"/>
                <w:spacing w:val="-18"/>
                <w:highlight w:val="none"/>
              </w:rPr>
              <w:t xml:space="preserve">按照《招投标法实施条例》第五十七条规定：保证金退返时间最迟应在书面合同签订后5日内。  </w:t>
            </w:r>
          </w:p>
          <w:p>
            <w:pPr>
              <w:pStyle w:val="10"/>
              <w:spacing w:before="66" w:line="257" w:lineRule="auto"/>
              <w:ind w:left="1166" w:leftChars="0" w:right="104" w:rightChars="0" w:hanging="1052" w:firstLineChars="0"/>
              <w:rPr>
                <w:rFonts w:ascii="宋体" w:hAnsi="宋体" w:eastAsia="宋体" w:cs="宋体"/>
                <w:snapToGrid w:val="0"/>
                <w:color w:val="auto"/>
                <w:kern w:val="0"/>
                <w:sz w:val="21"/>
                <w:szCs w:val="21"/>
                <w:highlight w:val="none"/>
                <w:lang w:val="en-US" w:eastAsia="en-US" w:bidi="ar-SA"/>
              </w:rPr>
            </w:pPr>
            <w:r>
              <w:rPr>
                <w:rFonts w:hint="eastAsia"/>
                <w:color w:val="auto"/>
                <w:spacing w:val="-18"/>
                <w:highlight w:val="none"/>
              </w:rPr>
              <w:t>保证金退还咨询电话：0417-2988810  耿</w:t>
            </w:r>
            <w:r>
              <w:rPr>
                <w:rFonts w:hint="eastAsia" w:ascii="宋体" w:hAnsi="宋体" w:eastAsia="宋体" w:cs="宋体"/>
                <w:color w:val="auto"/>
                <w:spacing w:val="-18"/>
                <w:highlight w:val="none"/>
              </w:rPr>
              <w:t xml:space="preserve">女士。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6" w:type="dxa"/>
            <w:vAlign w:val="top"/>
          </w:tcPr>
          <w:p>
            <w:pPr>
              <w:pStyle w:val="10"/>
              <w:spacing w:before="275" w:line="182" w:lineRule="auto"/>
              <w:ind w:left="1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3.5.2</w:t>
            </w:r>
          </w:p>
        </w:tc>
        <w:tc>
          <w:tcPr>
            <w:tcW w:w="1977" w:type="dxa"/>
            <w:vAlign w:val="top"/>
          </w:tcPr>
          <w:p>
            <w:pPr>
              <w:pStyle w:val="10"/>
              <w:spacing w:before="78" w:line="245" w:lineRule="auto"/>
              <w:ind w:left="481" w:leftChars="0" w:right="147" w:rightChars="0" w:hanging="328" w:firstLineChars="0"/>
              <w:rPr>
                <w:rFonts w:ascii="宋体" w:hAnsi="宋体" w:eastAsia="宋体" w:cs="宋体"/>
                <w:snapToGrid w:val="0"/>
                <w:color w:val="auto"/>
                <w:kern w:val="0"/>
                <w:sz w:val="21"/>
                <w:szCs w:val="21"/>
                <w:highlight w:val="none"/>
                <w:lang w:val="en-US" w:eastAsia="en-US" w:bidi="ar-SA"/>
              </w:rPr>
            </w:pPr>
            <w:r>
              <w:rPr>
                <w:color w:val="auto"/>
                <w:spacing w:val="-2"/>
                <w:highlight w:val="none"/>
              </w:rPr>
              <w:t>企业近年财务状况</w:t>
            </w:r>
            <w:r>
              <w:rPr>
                <w:color w:val="auto"/>
                <w:spacing w:val="6"/>
                <w:highlight w:val="none"/>
              </w:rPr>
              <w:t xml:space="preserve"> </w:t>
            </w:r>
            <w:r>
              <w:rPr>
                <w:color w:val="auto"/>
                <w:spacing w:val="-5"/>
                <w:highlight w:val="none"/>
              </w:rPr>
              <w:t>的年份要求</w:t>
            </w:r>
          </w:p>
        </w:tc>
        <w:tc>
          <w:tcPr>
            <w:tcW w:w="5673" w:type="dxa"/>
            <w:vAlign w:val="top"/>
          </w:tcPr>
          <w:p>
            <w:pPr>
              <w:pStyle w:val="10"/>
              <w:spacing w:before="239" w:line="221" w:lineRule="auto"/>
              <w:ind w:left="112" w:leftChars="0"/>
              <w:rPr>
                <w:rFonts w:ascii="宋体" w:hAnsi="宋体" w:eastAsia="宋体" w:cs="宋体"/>
                <w:snapToGrid w:val="0"/>
                <w:color w:val="auto"/>
                <w:kern w:val="0"/>
                <w:sz w:val="21"/>
                <w:szCs w:val="21"/>
                <w:highlight w:val="none"/>
                <w:lang w:val="en-US" w:eastAsia="en-US" w:bidi="ar-SA"/>
              </w:rPr>
            </w:pPr>
            <w:r>
              <w:rPr>
                <w:color w:val="auto"/>
                <w:spacing w:val="-14"/>
                <w:highlight w:val="none"/>
              </w:rPr>
              <w:t>近</w:t>
            </w:r>
            <w:r>
              <w:rPr>
                <w:color w:val="auto"/>
                <w:spacing w:val="-14"/>
                <w:highlight w:val="none"/>
                <w:u w:val="single" w:color="auto"/>
              </w:rPr>
              <w:t xml:space="preserve">  </w:t>
            </w:r>
            <w:r>
              <w:rPr>
                <w:rFonts w:hint="eastAsia"/>
                <w:color w:val="auto"/>
                <w:spacing w:val="-14"/>
                <w:highlight w:val="none"/>
                <w:u w:val="single" w:color="auto"/>
                <w:lang w:val="en-US" w:eastAsia="zh-CN"/>
              </w:rPr>
              <w:t>/</w:t>
            </w:r>
            <w:r>
              <w:rPr>
                <w:color w:val="auto"/>
                <w:spacing w:val="-14"/>
                <w:highlight w:val="none"/>
                <w:u w:val="single" w:color="auto"/>
              </w:rPr>
              <w:t xml:space="preserve"> </w:t>
            </w:r>
            <w:r>
              <w:rPr>
                <w:color w:val="auto"/>
                <w:spacing w:val="-86"/>
                <w:highlight w:val="none"/>
              </w:rPr>
              <w:t xml:space="preserve"> </w:t>
            </w:r>
            <w:r>
              <w:rPr>
                <w:color w:val="auto"/>
                <w:spacing w:val="-14"/>
                <w:highlight w:val="none"/>
              </w:rPr>
              <w:t>年， 指</w:t>
            </w:r>
            <w:r>
              <w:rPr>
                <w:color w:val="auto"/>
                <w:highlight w:val="none"/>
                <w:u w:val="single" w:color="auto"/>
              </w:rPr>
              <w:t xml:space="preserve">     </w:t>
            </w:r>
            <w:r>
              <w:rPr>
                <w:color w:val="auto"/>
                <w:spacing w:val="-95"/>
                <w:highlight w:val="none"/>
              </w:rPr>
              <w:t xml:space="preserve"> </w:t>
            </w:r>
            <w:r>
              <w:rPr>
                <w:color w:val="auto"/>
                <w:spacing w:val="-14"/>
                <w:highlight w:val="none"/>
              </w:rPr>
              <w:t>年度、</w:t>
            </w:r>
            <w:r>
              <w:rPr>
                <w:color w:val="auto"/>
                <w:spacing w:val="-40"/>
                <w:highlight w:val="none"/>
              </w:rPr>
              <w:t xml:space="preserve"> </w:t>
            </w:r>
            <w:r>
              <w:rPr>
                <w:color w:val="auto"/>
                <w:highlight w:val="none"/>
                <w:u w:val="single" w:color="auto"/>
              </w:rPr>
              <w:t xml:space="preserve">     </w:t>
            </w:r>
            <w:r>
              <w:rPr>
                <w:color w:val="auto"/>
                <w:spacing w:val="-95"/>
                <w:highlight w:val="none"/>
              </w:rPr>
              <w:t xml:space="preserve"> </w:t>
            </w:r>
            <w:r>
              <w:rPr>
                <w:color w:val="auto"/>
                <w:spacing w:val="-14"/>
                <w:highlight w:val="none"/>
              </w:rPr>
              <w:t>年度和</w:t>
            </w:r>
            <w:r>
              <w:rPr>
                <w:color w:val="auto"/>
                <w:spacing w:val="25"/>
                <w:highlight w:val="none"/>
                <w:u w:val="single" w:color="auto"/>
              </w:rPr>
              <w:t xml:space="preserve">    </w:t>
            </w:r>
            <w:r>
              <w:rPr>
                <w:color w:val="auto"/>
                <w:spacing w:val="-93"/>
                <w:highlight w:val="none"/>
              </w:rPr>
              <w:t xml:space="preserve"> </w:t>
            </w:r>
            <w:r>
              <w:rPr>
                <w:color w:val="auto"/>
                <w:spacing w:val="-14"/>
                <w:highlight w:val="none"/>
              </w:rPr>
              <w:t>年度。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6" w:type="dxa"/>
            <w:vAlign w:val="top"/>
          </w:tcPr>
          <w:p>
            <w:pPr>
              <w:spacing w:line="362" w:lineRule="auto"/>
              <w:rPr>
                <w:rFonts w:ascii="Arial"/>
                <w:color w:val="auto"/>
                <w:sz w:val="21"/>
                <w:highlight w:val="none"/>
              </w:rPr>
            </w:pPr>
          </w:p>
          <w:p>
            <w:pPr>
              <w:pStyle w:val="10"/>
              <w:spacing w:before="69" w:line="182" w:lineRule="auto"/>
              <w:ind w:left="1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3.5.3</w:t>
            </w:r>
          </w:p>
        </w:tc>
        <w:tc>
          <w:tcPr>
            <w:tcW w:w="1977" w:type="dxa"/>
            <w:vAlign w:val="top"/>
          </w:tcPr>
          <w:p>
            <w:pPr>
              <w:pStyle w:val="10"/>
              <w:spacing w:before="78" w:line="221" w:lineRule="auto"/>
              <w:ind w:left="153"/>
              <w:rPr>
                <w:color w:val="auto"/>
                <w:highlight w:val="none"/>
              </w:rPr>
            </w:pPr>
            <w:r>
              <w:rPr>
                <w:color w:val="auto"/>
                <w:spacing w:val="-1"/>
                <w:highlight w:val="none"/>
              </w:rPr>
              <w:t>企业近年已完成的</w:t>
            </w:r>
          </w:p>
          <w:p>
            <w:pPr>
              <w:pStyle w:val="10"/>
              <w:spacing w:before="67" w:line="221" w:lineRule="auto"/>
              <w:ind w:left="150"/>
              <w:rPr>
                <w:color w:val="auto"/>
                <w:highlight w:val="none"/>
              </w:rPr>
            </w:pPr>
            <w:r>
              <w:rPr>
                <w:color w:val="auto"/>
                <w:spacing w:val="-1"/>
                <w:highlight w:val="none"/>
              </w:rPr>
              <w:t>类似项目的年份要</w:t>
            </w:r>
          </w:p>
          <w:p>
            <w:pPr>
              <w:pStyle w:val="10"/>
              <w:spacing w:before="70" w:line="206" w:lineRule="auto"/>
              <w:ind w:left="886" w:leftChars="0"/>
              <w:rPr>
                <w:rFonts w:ascii="宋体" w:hAnsi="宋体" w:eastAsia="宋体" w:cs="宋体"/>
                <w:snapToGrid w:val="0"/>
                <w:color w:val="auto"/>
                <w:kern w:val="0"/>
                <w:sz w:val="21"/>
                <w:szCs w:val="21"/>
                <w:highlight w:val="none"/>
                <w:lang w:val="en-US" w:eastAsia="en-US" w:bidi="ar-SA"/>
              </w:rPr>
            </w:pPr>
            <w:r>
              <w:rPr>
                <w:color w:val="auto"/>
                <w:highlight w:val="none"/>
              </w:rPr>
              <w:t>求</w:t>
            </w:r>
          </w:p>
        </w:tc>
        <w:tc>
          <w:tcPr>
            <w:tcW w:w="5673" w:type="dxa"/>
            <w:vAlign w:val="top"/>
          </w:tcPr>
          <w:p>
            <w:pPr>
              <w:spacing w:line="327" w:lineRule="auto"/>
              <w:rPr>
                <w:rFonts w:ascii="Arial"/>
                <w:color w:val="auto"/>
                <w:sz w:val="21"/>
                <w:highlight w:val="none"/>
              </w:rPr>
            </w:pPr>
          </w:p>
          <w:p>
            <w:pPr>
              <w:pStyle w:val="10"/>
              <w:spacing w:before="68" w:line="221" w:lineRule="auto"/>
              <w:ind w:left="112" w:leftChars="0"/>
              <w:rPr>
                <w:rFonts w:ascii="宋体" w:hAnsi="宋体" w:eastAsia="宋体" w:cs="宋体"/>
                <w:snapToGrid w:val="0"/>
                <w:color w:val="auto"/>
                <w:kern w:val="0"/>
                <w:sz w:val="21"/>
                <w:szCs w:val="21"/>
                <w:highlight w:val="none"/>
                <w:lang w:val="en-US" w:eastAsia="en-US" w:bidi="ar-SA"/>
              </w:rPr>
            </w:pPr>
            <w:r>
              <w:rPr>
                <w:color w:val="auto"/>
                <w:spacing w:val="-14"/>
                <w:highlight w:val="none"/>
              </w:rPr>
              <w:t>指</w:t>
            </w:r>
            <w:r>
              <w:rPr>
                <w:rFonts w:hint="eastAsia"/>
                <w:color w:val="auto"/>
                <w:spacing w:val="52"/>
                <w:highlight w:val="none"/>
                <w:u w:val="single" w:color="auto"/>
                <w:lang w:val="en-US" w:eastAsia="zh-CN"/>
              </w:rPr>
              <w:t>2021</w:t>
            </w:r>
            <w:r>
              <w:rPr>
                <w:color w:val="auto"/>
                <w:spacing w:val="-14"/>
                <w:highlight w:val="none"/>
              </w:rPr>
              <w:t>年</w:t>
            </w:r>
            <w:r>
              <w:rPr>
                <w:color w:val="auto"/>
                <w:spacing w:val="-104"/>
                <w:highlight w:val="none"/>
              </w:rPr>
              <w:t xml:space="preserve"> </w:t>
            </w:r>
            <w:r>
              <w:rPr>
                <w:rFonts w:hint="eastAsia"/>
                <w:color w:val="auto"/>
                <w:spacing w:val="52"/>
                <w:highlight w:val="none"/>
                <w:u w:val="single" w:color="auto"/>
                <w:lang w:val="en-US" w:eastAsia="zh-CN"/>
              </w:rPr>
              <w:t>01</w:t>
            </w:r>
            <w:r>
              <w:rPr>
                <w:color w:val="auto"/>
                <w:spacing w:val="-14"/>
                <w:highlight w:val="none"/>
              </w:rPr>
              <w:t>月</w:t>
            </w:r>
            <w:r>
              <w:rPr>
                <w:rFonts w:hint="eastAsia"/>
                <w:color w:val="auto"/>
                <w:spacing w:val="51"/>
                <w:highlight w:val="none"/>
                <w:u w:val="single" w:color="auto"/>
                <w:lang w:val="en-US" w:eastAsia="zh-CN"/>
              </w:rPr>
              <w:t>01</w:t>
            </w:r>
            <w:r>
              <w:rPr>
                <w:color w:val="auto"/>
                <w:spacing w:val="-14"/>
                <w:highlight w:val="none"/>
              </w:rPr>
              <w:t>日</w:t>
            </w:r>
            <w:r>
              <w:rPr>
                <w:rFonts w:hint="eastAsia"/>
                <w:color w:val="auto"/>
                <w:spacing w:val="-14"/>
                <w:highlight w:val="none"/>
              </w:rPr>
              <w:t>至今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6" w:type="dxa"/>
            <w:vAlign w:val="top"/>
          </w:tcPr>
          <w:p>
            <w:pPr>
              <w:spacing w:line="363" w:lineRule="auto"/>
              <w:rPr>
                <w:rFonts w:ascii="Arial"/>
                <w:color w:val="auto"/>
                <w:sz w:val="21"/>
                <w:highlight w:val="none"/>
              </w:rPr>
            </w:pPr>
          </w:p>
          <w:p>
            <w:pPr>
              <w:pStyle w:val="10"/>
              <w:spacing w:before="68" w:line="182" w:lineRule="auto"/>
              <w:ind w:left="1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3.5.5</w:t>
            </w:r>
          </w:p>
        </w:tc>
        <w:tc>
          <w:tcPr>
            <w:tcW w:w="1977" w:type="dxa"/>
            <w:vAlign w:val="top"/>
          </w:tcPr>
          <w:p>
            <w:pPr>
              <w:pStyle w:val="10"/>
              <w:spacing w:before="78" w:line="221" w:lineRule="auto"/>
              <w:ind w:left="153"/>
              <w:rPr>
                <w:color w:val="auto"/>
                <w:highlight w:val="none"/>
              </w:rPr>
            </w:pPr>
            <w:r>
              <w:rPr>
                <w:color w:val="auto"/>
                <w:spacing w:val="-1"/>
                <w:highlight w:val="none"/>
              </w:rPr>
              <w:t>企业近年发生的诉</w:t>
            </w:r>
          </w:p>
          <w:p>
            <w:pPr>
              <w:pStyle w:val="10"/>
              <w:spacing w:before="67" w:line="221" w:lineRule="auto"/>
              <w:ind w:left="150"/>
              <w:rPr>
                <w:color w:val="auto"/>
                <w:highlight w:val="none"/>
              </w:rPr>
            </w:pPr>
            <w:r>
              <w:rPr>
                <w:color w:val="auto"/>
                <w:spacing w:val="-1"/>
                <w:highlight w:val="none"/>
              </w:rPr>
              <w:t>讼及仲裁情况的年</w:t>
            </w:r>
          </w:p>
          <w:p>
            <w:pPr>
              <w:pStyle w:val="10"/>
              <w:spacing w:before="70" w:line="206" w:lineRule="auto"/>
              <w:ind w:left="6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份要求</w:t>
            </w:r>
          </w:p>
        </w:tc>
        <w:tc>
          <w:tcPr>
            <w:tcW w:w="5673" w:type="dxa"/>
            <w:vAlign w:val="top"/>
          </w:tcPr>
          <w:p>
            <w:pPr>
              <w:spacing w:line="327" w:lineRule="auto"/>
              <w:rPr>
                <w:rFonts w:ascii="Arial"/>
                <w:color w:val="auto"/>
                <w:sz w:val="21"/>
                <w:highlight w:val="none"/>
              </w:rPr>
            </w:pPr>
          </w:p>
          <w:p>
            <w:pPr>
              <w:pStyle w:val="10"/>
              <w:spacing w:before="69" w:line="221" w:lineRule="auto"/>
              <w:ind w:left="112" w:leftChars="0"/>
              <w:rPr>
                <w:rFonts w:ascii="宋体" w:hAnsi="宋体" w:eastAsia="宋体" w:cs="宋体"/>
                <w:snapToGrid w:val="0"/>
                <w:color w:val="auto"/>
                <w:kern w:val="0"/>
                <w:sz w:val="21"/>
                <w:szCs w:val="21"/>
                <w:highlight w:val="none"/>
                <w:lang w:val="en-US" w:eastAsia="en-US" w:bidi="ar-SA"/>
              </w:rPr>
            </w:pPr>
            <w:r>
              <w:rPr>
                <w:color w:val="auto"/>
                <w:spacing w:val="-14"/>
                <w:highlight w:val="none"/>
              </w:rPr>
              <w:t>指</w:t>
            </w:r>
            <w:r>
              <w:rPr>
                <w:rFonts w:hint="eastAsia"/>
                <w:color w:val="auto"/>
                <w:spacing w:val="52"/>
                <w:highlight w:val="none"/>
                <w:u w:val="single" w:color="auto"/>
                <w:lang w:val="en-US" w:eastAsia="zh-CN"/>
              </w:rPr>
              <w:t>2021</w:t>
            </w:r>
            <w:r>
              <w:rPr>
                <w:color w:val="auto"/>
                <w:spacing w:val="-14"/>
                <w:highlight w:val="none"/>
              </w:rPr>
              <w:t>年</w:t>
            </w:r>
            <w:r>
              <w:rPr>
                <w:color w:val="auto"/>
                <w:spacing w:val="-104"/>
                <w:highlight w:val="none"/>
              </w:rPr>
              <w:t xml:space="preserve"> </w:t>
            </w:r>
            <w:r>
              <w:rPr>
                <w:rFonts w:hint="eastAsia"/>
                <w:color w:val="auto"/>
                <w:spacing w:val="52"/>
                <w:highlight w:val="none"/>
                <w:u w:val="single" w:color="auto"/>
                <w:lang w:val="en-US" w:eastAsia="zh-CN"/>
              </w:rPr>
              <w:t>01</w:t>
            </w:r>
            <w:r>
              <w:rPr>
                <w:color w:val="auto"/>
                <w:spacing w:val="-14"/>
                <w:highlight w:val="none"/>
              </w:rPr>
              <w:t>月</w:t>
            </w:r>
            <w:r>
              <w:rPr>
                <w:rFonts w:hint="eastAsia"/>
                <w:color w:val="auto"/>
                <w:spacing w:val="51"/>
                <w:highlight w:val="none"/>
                <w:u w:val="single" w:color="auto"/>
                <w:lang w:val="en-US" w:eastAsia="zh-CN"/>
              </w:rPr>
              <w:t>01</w:t>
            </w:r>
            <w:r>
              <w:rPr>
                <w:color w:val="auto"/>
                <w:spacing w:val="-14"/>
                <w:highlight w:val="none"/>
              </w:rPr>
              <w:t>日</w:t>
            </w:r>
            <w:r>
              <w:rPr>
                <w:rFonts w:hint="eastAsia"/>
                <w:color w:val="auto"/>
                <w:spacing w:val="-14"/>
                <w:highlight w:val="none"/>
              </w:rPr>
              <w:t>至今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6" w:type="dxa"/>
            <w:vAlign w:val="top"/>
          </w:tcPr>
          <w:p>
            <w:pPr>
              <w:spacing w:line="366" w:lineRule="auto"/>
              <w:rPr>
                <w:rFonts w:ascii="Arial"/>
                <w:color w:val="auto"/>
                <w:sz w:val="21"/>
                <w:highlight w:val="none"/>
              </w:rPr>
            </w:pPr>
          </w:p>
          <w:p>
            <w:pPr>
              <w:pStyle w:val="10"/>
              <w:spacing w:before="68" w:line="182" w:lineRule="auto"/>
              <w:ind w:left="1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3.5.9</w:t>
            </w:r>
          </w:p>
        </w:tc>
        <w:tc>
          <w:tcPr>
            <w:tcW w:w="1977" w:type="dxa"/>
            <w:vAlign w:val="top"/>
          </w:tcPr>
          <w:p>
            <w:pPr>
              <w:pStyle w:val="10"/>
              <w:spacing w:before="79" w:line="221" w:lineRule="auto"/>
              <w:ind w:left="153"/>
              <w:rPr>
                <w:color w:val="auto"/>
                <w:highlight w:val="none"/>
              </w:rPr>
            </w:pPr>
            <w:r>
              <w:rPr>
                <w:color w:val="auto"/>
                <w:spacing w:val="-1"/>
                <w:highlight w:val="none"/>
              </w:rPr>
              <w:t>项目经理近年已完</w:t>
            </w:r>
          </w:p>
          <w:p>
            <w:pPr>
              <w:pStyle w:val="10"/>
              <w:spacing w:before="70" w:line="221" w:lineRule="auto"/>
              <w:ind w:left="152"/>
              <w:rPr>
                <w:color w:val="auto"/>
                <w:highlight w:val="none"/>
              </w:rPr>
            </w:pPr>
            <w:r>
              <w:rPr>
                <w:color w:val="auto"/>
                <w:spacing w:val="-1"/>
                <w:highlight w:val="none"/>
              </w:rPr>
              <w:t>成的类似项目的年</w:t>
            </w:r>
          </w:p>
          <w:p>
            <w:pPr>
              <w:pStyle w:val="10"/>
              <w:spacing w:before="68" w:line="206" w:lineRule="auto"/>
              <w:ind w:left="675"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份要求</w:t>
            </w:r>
          </w:p>
        </w:tc>
        <w:tc>
          <w:tcPr>
            <w:tcW w:w="5673" w:type="dxa"/>
            <w:vAlign w:val="top"/>
          </w:tcPr>
          <w:p>
            <w:pPr>
              <w:spacing w:line="330" w:lineRule="auto"/>
              <w:rPr>
                <w:rFonts w:ascii="Arial"/>
                <w:color w:val="auto"/>
                <w:sz w:val="21"/>
                <w:highlight w:val="none"/>
              </w:rPr>
            </w:pPr>
          </w:p>
          <w:p>
            <w:pPr>
              <w:pStyle w:val="10"/>
              <w:spacing w:before="69" w:line="221" w:lineRule="auto"/>
              <w:ind w:left="112" w:leftChars="0"/>
              <w:rPr>
                <w:rFonts w:ascii="宋体" w:hAnsi="宋体" w:eastAsia="宋体" w:cs="宋体"/>
                <w:snapToGrid w:val="0"/>
                <w:color w:val="auto"/>
                <w:kern w:val="0"/>
                <w:sz w:val="21"/>
                <w:szCs w:val="21"/>
                <w:highlight w:val="none"/>
                <w:lang w:val="en-US" w:eastAsia="en-US" w:bidi="ar-SA"/>
              </w:rPr>
            </w:pPr>
            <w:r>
              <w:rPr>
                <w:color w:val="auto"/>
                <w:spacing w:val="-14"/>
                <w:highlight w:val="none"/>
              </w:rPr>
              <w:t>指</w:t>
            </w:r>
            <w:r>
              <w:rPr>
                <w:rFonts w:hint="eastAsia"/>
                <w:color w:val="auto"/>
                <w:spacing w:val="52"/>
                <w:highlight w:val="none"/>
                <w:u w:val="single" w:color="auto"/>
                <w:lang w:val="en-US" w:eastAsia="zh-CN"/>
              </w:rPr>
              <w:t>2021</w:t>
            </w:r>
            <w:r>
              <w:rPr>
                <w:color w:val="auto"/>
                <w:spacing w:val="-14"/>
                <w:highlight w:val="none"/>
              </w:rPr>
              <w:t>年</w:t>
            </w:r>
            <w:r>
              <w:rPr>
                <w:color w:val="auto"/>
                <w:spacing w:val="-104"/>
                <w:highlight w:val="none"/>
              </w:rPr>
              <w:t xml:space="preserve"> </w:t>
            </w:r>
            <w:r>
              <w:rPr>
                <w:rFonts w:hint="eastAsia"/>
                <w:color w:val="auto"/>
                <w:spacing w:val="52"/>
                <w:highlight w:val="none"/>
                <w:u w:val="single" w:color="auto"/>
                <w:lang w:val="en-US" w:eastAsia="zh-CN"/>
              </w:rPr>
              <w:t>01</w:t>
            </w:r>
            <w:r>
              <w:rPr>
                <w:color w:val="auto"/>
                <w:spacing w:val="-14"/>
                <w:highlight w:val="none"/>
              </w:rPr>
              <w:t>月</w:t>
            </w:r>
            <w:r>
              <w:rPr>
                <w:rFonts w:hint="eastAsia"/>
                <w:color w:val="auto"/>
                <w:spacing w:val="51"/>
                <w:highlight w:val="none"/>
                <w:u w:val="single" w:color="auto"/>
                <w:lang w:val="en-US" w:eastAsia="zh-CN"/>
              </w:rPr>
              <w:t>01</w:t>
            </w:r>
            <w:r>
              <w:rPr>
                <w:color w:val="auto"/>
                <w:spacing w:val="-14"/>
                <w:highlight w:val="none"/>
              </w:rPr>
              <w:t>日</w:t>
            </w:r>
            <w:r>
              <w:rPr>
                <w:rFonts w:hint="eastAsia"/>
                <w:color w:val="auto"/>
                <w:spacing w:val="-14"/>
                <w:highlight w:val="none"/>
              </w:rPr>
              <w:t>至今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6" w:type="dxa"/>
            <w:vAlign w:val="center"/>
          </w:tcPr>
          <w:p>
            <w:pPr>
              <w:jc w:val="center"/>
              <w:rPr>
                <w:rFonts w:ascii="Arial"/>
                <w:color w:val="auto"/>
                <w:sz w:val="21"/>
                <w:highlight w:val="none"/>
              </w:rPr>
            </w:pPr>
            <w:r>
              <w:rPr>
                <w:rFonts w:hint="eastAsia" w:ascii="宋体" w:hAnsi="宋体" w:eastAsia="宋体" w:cs="宋体"/>
                <w:snapToGrid w:val="0"/>
                <w:color w:val="auto"/>
                <w:spacing w:val="-2"/>
                <w:kern w:val="0"/>
                <w:sz w:val="21"/>
                <w:szCs w:val="21"/>
                <w:highlight w:val="none"/>
                <w:lang w:val="en-US" w:eastAsia="en-US" w:bidi="ar-SA"/>
              </w:rPr>
              <w:t>3.6</w:t>
            </w:r>
          </w:p>
        </w:tc>
        <w:tc>
          <w:tcPr>
            <w:tcW w:w="1977" w:type="dxa"/>
            <w:vAlign w:val="top"/>
          </w:tcPr>
          <w:p>
            <w:pPr>
              <w:pStyle w:val="10"/>
              <w:spacing w:before="76" w:line="221" w:lineRule="auto"/>
              <w:ind w:left="10" w:leftChars="0" w:hanging="10" w:hangingChars="5"/>
              <w:jc w:val="center"/>
              <w:rPr>
                <w:color w:val="auto"/>
                <w:highlight w:val="none"/>
              </w:rPr>
            </w:pPr>
            <w:r>
              <w:rPr>
                <w:rFonts w:hint="eastAsia" w:ascii="宋体" w:hAnsi="宋体" w:eastAsia="宋体" w:cs="宋体"/>
                <w:color w:val="auto"/>
                <w:spacing w:val="-2"/>
                <w:highlight w:val="none"/>
              </w:rPr>
              <w:t>是否允许递交备选</w:t>
            </w:r>
            <w:r>
              <w:rPr>
                <w:rFonts w:ascii="宋体" w:hAnsi="宋体" w:eastAsia="宋体" w:cs="宋体"/>
                <w:color w:val="auto"/>
                <w:spacing w:val="-2"/>
                <w:highlight w:val="none"/>
              </w:rPr>
              <w:t>投标方案</w:t>
            </w:r>
          </w:p>
        </w:tc>
        <w:tc>
          <w:tcPr>
            <w:tcW w:w="5673" w:type="dxa"/>
            <w:vAlign w:val="center"/>
          </w:tcPr>
          <w:p>
            <w:pPr>
              <w:jc w:val="both"/>
              <w:rPr>
                <w:rFonts w:ascii="Arial"/>
                <w:color w:val="auto"/>
                <w:sz w:val="21"/>
                <w:highlight w:val="none"/>
              </w:rPr>
            </w:pPr>
            <w:r>
              <w:rPr>
                <w:color w:val="auto"/>
                <w:spacing w:val="-2"/>
                <w:highlight w:val="none"/>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271" w:line="182" w:lineRule="auto"/>
              <w:ind w:left="175"/>
              <w:rPr>
                <w:color w:val="auto"/>
                <w:highlight w:val="none"/>
              </w:rPr>
            </w:pPr>
            <w:r>
              <w:rPr>
                <w:color w:val="auto"/>
                <w:spacing w:val="-2"/>
                <w:highlight w:val="none"/>
              </w:rPr>
              <w:t>3.7.4</w:t>
            </w:r>
          </w:p>
        </w:tc>
        <w:tc>
          <w:tcPr>
            <w:tcW w:w="1977" w:type="dxa"/>
            <w:vAlign w:val="top"/>
          </w:tcPr>
          <w:p>
            <w:pPr>
              <w:pStyle w:val="10"/>
              <w:spacing w:before="75" w:line="246" w:lineRule="auto"/>
              <w:ind w:left="790" w:right="250" w:hanging="531"/>
              <w:rPr>
                <w:color w:val="auto"/>
                <w:highlight w:val="none"/>
              </w:rPr>
            </w:pPr>
            <w:r>
              <w:rPr>
                <w:color w:val="auto"/>
                <w:spacing w:val="-2"/>
                <w:highlight w:val="none"/>
              </w:rPr>
              <w:t>是否采用模块化</w:t>
            </w:r>
            <w:r>
              <w:rPr>
                <w:color w:val="auto"/>
                <w:spacing w:val="5"/>
                <w:highlight w:val="none"/>
              </w:rPr>
              <w:t xml:space="preserve"> </w:t>
            </w:r>
            <w:r>
              <w:rPr>
                <w:color w:val="auto"/>
                <w:spacing w:val="-4"/>
                <w:highlight w:val="none"/>
              </w:rPr>
              <w:t>暗标</w:t>
            </w:r>
          </w:p>
        </w:tc>
        <w:tc>
          <w:tcPr>
            <w:tcW w:w="5673" w:type="dxa"/>
            <w:vAlign w:val="top"/>
          </w:tcPr>
          <w:p>
            <w:pPr>
              <w:pStyle w:val="10"/>
              <w:spacing w:before="75" w:line="220" w:lineRule="auto"/>
              <w:ind w:left="134"/>
              <w:rPr>
                <w:color w:val="auto"/>
                <w:highlight w:val="none"/>
              </w:rPr>
            </w:pPr>
            <w:r>
              <w:rPr>
                <w:color w:val="auto"/>
                <w:spacing w:val="-6"/>
                <w:highlight w:val="none"/>
              </w:rPr>
              <w:t>□采用</w:t>
            </w:r>
          </w:p>
          <w:p>
            <w:pPr>
              <w:pStyle w:val="10"/>
              <w:spacing w:before="69" w:line="211" w:lineRule="auto"/>
              <w:ind w:left="134"/>
              <w:rPr>
                <w:color w:val="auto"/>
                <w:highlight w:val="none"/>
              </w:rPr>
            </w:pPr>
            <w:r>
              <w:rPr>
                <w:rFonts w:hint="eastAsia"/>
                <w:color w:val="auto"/>
                <w:spacing w:val="-7"/>
                <w:highlight w:val="none"/>
                <w:lang w:eastAsia="zh-CN"/>
              </w:rPr>
              <w:t>☑</w:t>
            </w:r>
            <w:r>
              <w:rPr>
                <w:color w:val="auto"/>
                <w:spacing w:val="-7"/>
                <w:highlight w:val="none"/>
              </w:rPr>
              <w:t>不采用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6" w:type="dxa"/>
            <w:vAlign w:val="top"/>
          </w:tcPr>
          <w:p>
            <w:pPr>
              <w:pStyle w:val="10"/>
              <w:spacing w:before="278" w:line="183" w:lineRule="auto"/>
              <w:ind w:left="170"/>
              <w:rPr>
                <w:color w:val="auto"/>
                <w:highlight w:val="none"/>
              </w:rPr>
            </w:pPr>
            <w:r>
              <w:rPr>
                <w:color w:val="auto"/>
                <w:spacing w:val="-1"/>
                <w:highlight w:val="none"/>
              </w:rPr>
              <w:t>4.2.1</w:t>
            </w:r>
          </w:p>
        </w:tc>
        <w:tc>
          <w:tcPr>
            <w:tcW w:w="1977" w:type="dxa"/>
            <w:vAlign w:val="top"/>
          </w:tcPr>
          <w:p>
            <w:pPr>
              <w:pStyle w:val="10"/>
              <w:spacing w:before="244" w:line="221" w:lineRule="auto"/>
              <w:ind w:left="364"/>
              <w:rPr>
                <w:color w:val="auto"/>
                <w:highlight w:val="none"/>
              </w:rPr>
            </w:pPr>
            <w:r>
              <w:rPr>
                <w:color w:val="auto"/>
                <w:spacing w:val="-2"/>
                <w:highlight w:val="none"/>
              </w:rPr>
              <w:t>投标截止时间</w:t>
            </w:r>
          </w:p>
        </w:tc>
        <w:tc>
          <w:tcPr>
            <w:tcW w:w="5673" w:type="dxa"/>
            <w:vAlign w:val="top"/>
          </w:tcPr>
          <w:p>
            <w:pPr>
              <w:pStyle w:val="10"/>
              <w:tabs>
                <w:tab w:val="left" w:pos="840"/>
              </w:tabs>
              <w:spacing w:before="243" w:line="221" w:lineRule="auto"/>
              <w:ind w:left="104"/>
              <w:rPr>
                <w:color w:val="auto"/>
                <w:highlight w:val="none"/>
              </w:rPr>
            </w:pPr>
            <w:r>
              <w:rPr>
                <w:rFonts w:hint="eastAsia"/>
                <w:color w:val="auto"/>
                <w:highlight w:val="none"/>
                <w:u w:val="single" w:color="auto"/>
                <w:lang w:val="en-US" w:eastAsia="zh-CN"/>
              </w:rPr>
              <w:t>2024</w:t>
            </w:r>
            <w:r>
              <w:rPr>
                <w:color w:val="auto"/>
                <w:spacing w:val="-96"/>
                <w:highlight w:val="none"/>
              </w:rPr>
              <w:t xml:space="preserve"> </w:t>
            </w:r>
            <w:r>
              <w:rPr>
                <w:color w:val="auto"/>
                <w:spacing w:val="-17"/>
                <w:highlight w:val="none"/>
              </w:rPr>
              <w:t>年</w:t>
            </w:r>
            <w:r>
              <w:rPr>
                <w:rFonts w:hint="eastAsia"/>
                <w:color w:val="auto"/>
                <w:spacing w:val="20"/>
                <w:highlight w:val="none"/>
                <w:u w:val="single" w:color="auto"/>
                <w:lang w:val="en-US" w:eastAsia="zh-CN"/>
              </w:rPr>
              <w:t>**</w:t>
            </w:r>
            <w:r>
              <w:rPr>
                <w:color w:val="auto"/>
                <w:spacing w:val="-88"/>
                <w:highlight w:val="none"/>
              </w:rPr>
              <w:t xml:space="preserve"> </w:t>
            </w:r>
            <w:r>
              <w:rPr>
                <w:color w:val="auto"/>
                <w:spacing w:val="-17"/>
                <w:highlight w:val="none"/>
              </w:rPr>
              <w:t>月</w:t>
            </w:r>
            <w:r>
              <w:rPr>
                <w:rFonts w:hint="eastAsia" w:cs="宋体"/>
                <w:color w:val="auto"/>
                <w:spacing w:val="20"/>
                <w:highlight w:val="none"/>
                <w:u w:val="single" w:color="auto"/>
                <w:lang w:val="en-US" w:eastAsia="zh-CN"/>
              </w:rPr>
              <w:t>**</w:t>
            </w:r>
            <w:r>
              <w:rPr>
                <w:rFonts w:hint="eastAsia" w:ascii="宋体" w:hAnsi="宋体" w:eastAsia="宋体" w:cs="宋体"/>
                <w:color w:val="auto"/>
                <w:spacing w:val="20"/>
                <w:highlight w:val="none"/>
                <w:u w:val="none" w:color="auto"/>
                <w:lang w:val="en-US" w:eastAsia="zh-CN"/>
              </w:rPr>
              <w:t>日</w:t>
            </w:r>
            <w:r>
              <w:rPr>
                <w:rFonts w:hint="eastAsia" w:eastAsia="宋体"/>
                <w:color w:val="auto"/>
                <w:highlight w:val="none"/>
                <w:u w:val="single" w:color="auto"/>
                <w:lang w:val="en-US" w:eastAsia="zh-CN"/>
              </w:rPr>
              <w:t>10</w:t>
            </w:r>
            <w:r>
              <w:rPr>
                <w:color w:val="auto"/>
                <w:spacing w:val="-85"/>
                <w:highlight w:val="none"/>
              </w:rPr>
              <w:t xml:space="preserve"> </w:t>
            </w:r>
            <w:r>
              <w:rPr>
                <w:color w:val="auto"/>
                <w:spacing w:val="-17"/>
                <w:highlight w:val="none"/>
              </w:rPr>
              <w:t>时</w:t>
            </w:r>
            <w:r>
              <w:rPr>
                <w:rFonts w:hint="eastAsia"/>
                <w:color w:val="auto"/>
                <w:spacing w:val="25"/>
                <w:highlight w:val="none"/>
                <w:u w:val="single" w:color="auto"/>
                <w:lang w:val="en-US" w:eastAsia="zh-CN"/>
              </w:rPr>
              <w:t>00</w:t>
            </w:r>
            <w:r>
              <w:rPr>
                <w:color w:val="auto"/>
                <w:spacing w:val="-17"/>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pPr>
              <w:pStyle w:val="10"/>
              <w:spacing w:before="168" w:line="221" w:lineRule="auto"/>
              <w:ind w:left="117" w:leftChars="0"/>
              <w:rPr>
                <w:rFonts w:ascii="宋体" w:hAnsi="宋体" w:eastAsia="宋体" w:cs="宋体"/>
                <w:snapToGrid w:val="0"/>
                <w:color w:val="auto"/>
                <w:kern w:val="0"/>
                <w:sz w:val="21"/>
                <w:szCs w:val="21"/>
                <w:highlight w:val="none"/>
                <w:lang w:val="en-US" w:eastAsia="en-US" w:bidi="ar-SA"/>
              </w:rPr>
            </w:pPr>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leftChars="0"/>
              <w:rPr>
                <w:rFonts w:ascii="宋体" w:hAnsi="宋体" w:eastAsia="宋体" w:cs="宋体"/>
                <w:snapToGrid w:val="0"/>
                <w:color w:val="auto"/>
                <w:kern w:val="0"/>
                <w:sz w:val="21"/>
                <w:szCs w:val="21"/>
                <w:highlight w:val="none"/>
                <w:lang w:val="en-US" w:eastAsia="en-US" w:bidi="ar-SA"/>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leftChars="0"/>
              <w:rPr>
                <w:rFonts w:ascii="宋体" w:hAnsi="宋体" w:eastAsia="宋体" w:cs="宋体"/>
                <w:snapToGrid w:val="0"/>
                <w:color w:val="auto"/>
                <w:kern w:val="0"/>
                <w:sz w:val="21"/>
                <w:szCs w:val="21"/>
                <w:highlight w:val="none"/>
                <w:lang w:val="en-US" w:eastAsia="en-US" w:bidi="ar-SA"/>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856" w:type="dxa"/>
            <w:vAlign w:val="top"/>
          </w:tcPr>
          <w:p>
            <w:pPr>
              <w:spacing w:line="246" w:lineRule="auto"/>
              <w:rPr>
                <w:rFonts w:ascii="Arial"/>
                <w:color w:val="auto"/>
                <w:sz w:val="21"/>
                <w:highlight w:val="none"/>
              </w:rPr>
            </w:pPr>
          </w:p>
          <w:p>
            <w:pPr>
              <w:pStyle w:val="10"/>
              <w:spacing w:before="68" w:line="182" w:lineRule="auto"/>
              <w:ind w:left="170"/>
              <w:rPr>
                <w:color w:val="auto"/>
                <w:highlight w:val="none"/>
              </w:rPr>
            </w:pPr>
            <w:r>
              <w:rPr>
                <w:color w:val="auto"/>
                <w:spacing w:val="-1"/>
                <w:highlight w:val="none"/>
              </w:rPr>
              <w:t>4.2.3</w:t>
            </w:r>
          </w:p>
        </w:tc>
        <w:tc>
          <w:tcPr>
            <w:tcW w:w="1977" w:type="dxa"/>
            <w:vAlign w:val="top"/>
          </w:tcPr>
          <w:p>
            <w:pPr>
              <w:pStyle w:val="10"/>
              <w:spacing w:before="279" w:line="221" w:lineRule="auto"/>
              <w:ind w:left="153"/>
              <w:rPr>
                <w:color w:val="auto"/>
                <w:highlight w:val="none"/>
              </w:rPr>
            </w:pPr>
            <w:r>
              <w:rPr>
                <w:color w:val="auto"/>
                <w:spacing w:val="-1"/>
                <w:highlight w:val="none"/>
              </w:rPr>
              <w:t>是否退还投标文件</w:t>
            </w:r>
          </w:p>
        </w:tc>
        <w:tc>
          <w:tcPr>
            <w:tcW w:w="5673" w:type="dxa"/>
            <w:vAlign w:val="top"/>
          </w:tcPr>
          <w:p>
            <w:pPr>
              <w:pStyle w:val="10"/>
              <w:spacing w:before="119" w:line="221" w:lineRule="auto"/>
              <w:ind w:left="134"/>
              <w:rPr>
                <w:color w:val="auto"/>
                <w:highlight w:val="none"/>
              </w:rPr>
            </w:pPr>
            <w:r>
              <w:rPr>
                <w:rFonts w:hint="eastAsia"/>
                <w:color w:val="auto"/>
                <w:spacing w:val="-7"/>
                <w:highlight w:val="none"/>
                <w:lang w:eastAsia="zh-CN"/>
              </w:rPr>
              <w:t>☑</w:t>
            </w:r>
            <w:r>
              <w:rPr>
                <w:color w:val="auto"/>
                <w:spacing w:val="-7"/>
                <w:highlight w:val="none"/>
              </w:rPr>
              <w:t>否</w:t>
            </w:r>
          </w:p>
          <w:p>
            <w:pPr>
              <w:pStyle w:val="10"/>
              <w:spacing w:before="69" w:line="222" w:lineRule="auto"/>
              <w:ind w:left="134"/>
              <w:rPr>
                <w:color w:val="auto"/>
                <w:highlight w:val="none"/>
              </w:rPr>
            </w:pPr>
            <w:r>
              <w:rPr>
                <w:color w:val="auto"/>
                <w:spacing w:val="-12"/>
                <w:highlight w:val="none"/>
              </w:rPr>
              <w:t>□是， 退还具体安排：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56" w:type="dxa"/>
            <w:vAlign w:val="top"/>
          </w:tcPr>
          <w:p>
            <w:pPr>
              <w:spacing w:line="291" w:lineRule="auto"/>
              <w:rPr>
                <w:rFonts w:ascii="Arial"/>
                <w:color w:val="auto"/>
                <w:sz w:val="21"/>
                <w:highlight w:val="none"/>
              </w:rPr>
            </w:pPr>
          </w:p>
          <w:p>
            <w:pPr>
              <w:spacing w:line="292" w:lineRule="auto"/>
              <w:rPr>
                <w:rFonts w:ascii="Arial"/>
                <w:color w:val="auto"/>
                <w:sz w:val="21"/>
                <w:highlight w:val="none"/>
              </w:rPr>
            </w:pPr>
          </w:p>
          <w:p>
            <w:pPr>
              <w:pStyle w:val="10"/>
              <w:spacing w:before="69" w:line="183" w:lineRule="auto"/>
              <w:ind w:left="175"/>
              <w:rPr>
                <w:color w:val="auto"/>
                <w:highlight w:val="none"/>
              </w:rPr>
            </w:pPr>
            <w:r>
              <w:rPr>
                <w:color w:val="auto"/>
                <w:spacing w:val="-2"/>
                <w:highlight w:val="none"/>
              </w:rPr>
              <w:t>5.1.1</w:t>
            </w:r>
          </w:p>
        </w:tc>
        <w:tc>
          <w:tcPr>
            <w:tcW w:w="1977" w:type="dxa"/>
            <w:vAlign w:val="top"/>
          </w:tcPr>
          <w:p>
            <w:pPr>
              <w:spacing w:line="275" w:lineRule="auto"/>
              <w:rPr>
                <w:rFonts w:ascii="Arial"/>
                <w:color w:val="auto"/>
                <w:sz w:val="21"/>
                <w:highlight w:val="none"/>
              </w:rPr>
            </w:pPr>
          </w:p>
          <w:p>
            <w:pPr>
              <w:spacing w:line="275" w:lineRule="auto"/>
              <w:rPr>
                <w:rFonts w:ascii="Arial"/>
                <w:color w:val="auto"/>
                <w:sz w:val="21"/>
                <w:highlight w:val="none"/>
              </w:rPr>
            </w:pPr>
          </w:p>
          <w:p>
            <w:pPr>
              <w:pStyle w:val="10"/>
              <w:spacing w:before="68" w:line="221" w:lineRule="auto"/>
              <w:ind w:left="362"/>
              <w:rPr>
                <w:color w:val="auto"/>
                <w:highlight w:val="none"/>
              </w:rPr>
            </w:pPr>
            <w:r>
              <w:rPr>
                <w:color w:val="auto"/>
                <w:spacing w:val="-1"/>
                <w:highlight w:val="none"/>
              </w:rPr>
              <w:t>开标组织方式</w:t>
            </w:r>
          </w:p>
        </w:tc>
        <w:tc>
          <w:tcPr>
            <w:tcW w:w="5673" w:type="dxa"/>
            <w:vAlign w:val="top"/>
          </w:tcPr>
          <w:p>
            <w:pPr>
              <w:pStyle w:val="10"/>
              <w:spacing w:before="141" w:line="221" w:lineRule="auto"/>
              <w:ind w:left="134"/>
              <w:rPr>
                <w:color w:val="auto"/>
                <w:highlight w:val="none"/>
              </w:rPr>
            </w:pPr>
            <w:r>
              <w:rPr>
                <w:color w:val="auto"/>
                <w:spacing w:val="-4"/>
                <w:highlight w:val="none"/>
              </w:rPr>
              <w:t>□现场集中开标</w:t>
            </w:r>
          </w:p>
          <w:p>
            <w:pPr>
              <w:pStyle w:val="10"/>
              <w:spacing w:before="67" w:line="221" w:lineRule="auto"/>
              <w:ind w:left="134"/>
              <w:rPr>
                <w:color w:val="auto"/>
                <w:highlight w:val="none"/>
              </w:rPr>
            </w:pPr>
            <w:r>
              <w:rPr>
                <w:rFonts w:hint="eastAsia"/>
                <w:color w:val="auto"/>
                <w:spacing w:val="-4"/>
                <w:highlight w:val="none"/>
                <w:lang w:eastAsia="zh-CN"/>
              </w:rPr>
              <w:t>☑</w:t>
            </w:r>
            <w:r>
              <w:rPr>
                <w:color w:val="auto"/>
                <w:spacing w:val="-4"/>
                <w:highlight w:val="none"/>
              </w:rPr>
              <w:t>远程不见面开标</w:t>
            </w:r>
          </w:p>
          <w:p>
            <w:pPr>
              <w:pStyle w:val="10"/>
              <w:spacing w:before="70" w:line="251" w:lineRule="auto"/>
              <w:ind w:left="114" w:right="106" w:firstLine="19"/>
              <w:rPr>
                <w:color w:val="auto"/>
                <w:spacing w:val="-1"/>
                <w:highlight w:val="none"/>
              </w:rPr>
            </w:pPr>
            <w:r>
              <w:rPr>
                <w:color w:val="auto"/>
                <w:spacing w:val="7"/>
                <w:highlight w:val="none"/>
              </w:rPr>
              <w:t>□现场集中和远程不见面开标同时进行。投标人自行选择</w:t>
            </w:r>
            <w:r>
              <w:rPr>
                <w:color w:val="auto"/>
                <w:spacing w:val="1"/>
                <w:highlight w:val="none"/>
              </w:rPr>
              <w:t xml:space="preserve"> </w:t>
            </w:r>
            <w:r>
              <w:rPr>
                <w:color w:val="auto"/>
                <w:spacing w:val="-1"/>
                <w:highlight w:val="none"/>
              </w:rPr>
              <w:t>参与开标的方式。</w:t>
            </w:r>
          </w:p>
          <w:p>
            <w:pPr>
              <w:pStyle w:val="10"/>
              <w:spacing w:before="70" w:line="251" w:lineRule="auto"/>
              <w:ind w:left="114" w:right="106" w:firstLine="19"/>
              <w:rPr>
                <w:rFonts w:hint="eastAsia"/>
                <w:color w:val="auto"/>
                <w:spacing w:val="-1"/>
                <w:highlight w:val="none"/>
              </w:rPr>
            </w:pPr>
            <w:r>
              <w:rPr>
                <w:rFonts w:hint="eastAsia"/>
                <w:color w:val="auto"/>
                <w:spacing w:val="-1"/>
                <w:highlight w:val="none"/>
              </w:rPr>
              <w:t>纸质版备份投标文件在投标截止时间前递交至大石桥市审批技术审查与公共资源交易中心（大石桥财政局西源源水务二楼）。若遇系统故障，无法进行电子开评标将按纸质版备份件开标、评标，若投标人未在投标文件递交截止时间递交纸质版备份件，若遇系统故障，将视为自动放弃本项目中标资格。</w:t>
            </w:r>
          </w:p>
          <w:p>
            <w:pPr>
              <w:pStyle w:val="10"/>
              <w:spacing w:before="70" w:line="251" w:lineRule="auto"/>
              <w:ind w:left="114" w:right="106" w:firstLine="19"/>
              <w:rPr>
                <w:color w:val="auto"/>
                <w:spacing w:val="-1"/>
                <w:highlight w:val="none"/>
              </w:rPr>
            </w:pPr>
            <w:r>
              <w:rPr>
                <w:rFonts w:hint="eastAsia"/>
                <w:color w:val="auto"/>
                <w:spacing w:val="-1"/>
                <w:highlight w:val="none"/>
              </w:rPr>
              <w:t>纸质版备份件数量：1份正本 （须与电子投标文件保持一致）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56" w:type="dxa"/>
            <w:vAlign w:val="top"/>
          </w:tcPr>
          <w:p>
            <w:pPr>
              <w:pStyle w:val="10"/>
              <w:spacing w:before="231" w:line="183" w:lineRule="auto"/>
              <w:ind w:left="175"/>
              <w:rPr>
                <w:color w:val="auto"/>
                <w:highlight w:val="none"/>
              </w:rPr>
            </w:pPr>
            <w:r>
              <w:rPr>
                <w:color w:val="auto"/>
                <w:spacing w:val="-2"/>
                <w:highlight w:val="none"/>
              </w:rPr>
              <w:t>5.1.2</w:t>
            </w:r>
          </w:p>
        </w:tc>
        <w:tc>
          <w:tcPr>
            <w:tcW w:w="1977" w:type="dxa"/>
            <w:vAlign w:val="top"/>
          </w:tcPr>
          <w:p>
            <w:pPr>
              <w:pStyle w:val="10"/>
              <w:spacing w:before="197" w:line="221" w:lineRule="auto"/>
              <w:ind w:left="364"/>
              <w:rPr>
                <w:color w:val="auto"/>
                <w:highlight w:val="none"/>
              </w:rPr>
            </w:pPr>
            <w:r>
              <w:rPr>
                <w:color w:val="auto"/>
                <w:spacing w:val="-2"/>
                <w:highlight w:val="none"/>
              </w:rPr>
              <w:t>组织开标地点</w:t>
            </w:r>
          </w:p>
        </w:tc>
        <w:tc>
          <w:tcPr>
            <w:tcW w:w="5673" w:type="dxa"/>
            <w:vAlign w:val="top"/>
          </w:tcPr>
          <w:p>
            <w:pPr>
              <w:rPr>
                <w:rFonts w:ascii="Arial"/>
                <w:color w:val="auto"/>
                <w:sz w:val="21"/>
                <w:highlight w:val="none"/>
              </w:rPr>
            </w:pPr>
            <w:r>
              <w:rPr>
                <w:rFonts w:hint="eastAsia" w:ascii="Arial"/>
                <w:color w:val="auto"/>
                <w:sz w:val="21"/>
                <w:highlight w:val="none"/>
              </w:rPr>
              <w:t>大石桥市审批技术审查与公共资源交易中心（大石桥市二高街2号源源水务二楼）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856" w:type="dxa"/>
            <w:vAlign w:val="top"/>
          </w:tcPr>
          <w:p>
            <w:pPr>
              <w:spacing w:line="263" w:lineRule="auto"/>
              <w:rPr>
                <w:rFonts w:ascii="Arial"/>
                <w:color w:val="auto"/>
                <w:sz w:val="21"/>
                <w:highlight w:val="none"/>
              </w:rPr>
            </w:pPr>
          </w:p>
          <w:p>
            <w:pPr>
              <w:pStyle w:val="10"/>
              <w:spacing w:before="69" w:line="243" w:lineRule="auto"/>
              <w:ind w:left="177" w:right="159" w:hanging="2"/>
              <w:rPr>
                <w:color w:val="auto"/>
                <w:highlight w:val="none"/>
              </w:rPr>
            </w:pPr>
            <w:r>
              <w:rPr>
                <w:color w:val="auto"/>
                <w:spacing w:val="-2"/>
                <w:highlight w:val="none"/>
              </w:rPr>
              <w:t>5.2.1</w:t>
            </w:r>
            <w:r>
              <w:rPr>
                <w:color w:val="auto"/>
                <w:highlight w:val="none"/>
              </w:rPr>
              <w:t xml:space="preserve"> </w:t>
            </w:r>
            <w:r>
              <w:rPr>
                <w:color w:val="auto"/>
                <w:spacing w:val="-5"/>
                <w:highlight w:val="none"/>
              </w:rPr>
              <w:t>（9）</w:t>
            </w:r>
          </w:p>
        </w:tc>
        <w:tc>
          <w:tcPr>
            <w:tcW w:w="1977" w:type="dxa"/>
            <w:vAlign w:val="top"/>
          </w:tcPr>
          <w:p>
            <w:pPr>
              <w:spacing w:line="390" w:lineRule="auto"/>
              <w:rPr>
                <w:rFonts w:ascii="Arial"/>
                <w:color w:val="auto"/>
                <w:sz w:val="21"/>
                <w:highlight w:val="none"/>
              </w:rPr>
            </w:pPr>
          </w:p>
          <w:p>
            <w:pPr>
              <w:pStyle w:val="10"/>
              <w:spacing w:before="68" w:line="221" w:lineRule="auto"/>
              <w:ind w:left="569"/>
              <w:rPr>
                <w:color w:val="auto"/>
                <w:highlight w:val="none"/>
              </w:rPr>
            </w:pPr>
            <w:r>
              <w:rPr>
                <w:color w:val="auto"/>
                <w:spacing w:val="-1"/>
                <w:highlight w:val="none"/>
              </w:rPr>
              <w:t>解密时间</w:t>
            </w:r>
          </w:p>
        </w:tc>
        <w:tc>
          <w:tcPr>
            <w:tcW w:w="5673" w:type="dxa"/>
            <w:vAlign w:val="top"/>
          </w:tcPr>
          <w:p>
            <w:pPr>
              <w:pStyle w:val="10"/>
              <w:spacing w:before="140" w:line="261" w:lineRule="auto"/>
              <w:ind w:left="113" w:right="104"/>
              <w:jc w:val="both"/>
              <w:rPr>
                <w:color w:val="auto"/>
                <w:highlight w:val="none"/>
              </w:rPr>
            </w:pPr>
            <w:r>
              <w:rPr>
                <w:color w:val="auto"/>
                <w:spacing w:val="-1"/>
                <w:highlight w:val="none"/>
              </w:rPr>
              <w:t>招标人发出解密提示后</w:t>
            </w:r>
            <w:r>
              <w:rPr>
                <w:color w:val="auto"/>
                <w:spacing w:val="-97"/>
                <w:highlight w:val="none"/>
              </w:rPr>
              <w:t xml:space="preserve"> </w:t>
            </w:r>
            <w:r>
              <w:rPr>
                <w:color w:val="auto"/>
                <w:spacing w:val="19"/>
                <w:highlight w:val="none"/>
                <w:u w:val="single" w:color="auto"/>
              </w:rPr>
              <w:t xml:space="preserve">  </w:t>
            </w:r>
            <w:r>
              <w:rPr>
                <w:rFonts w:hint="eastAsia"/>
                <w:color w:val="auto"/>
                <w:spacing w:val="19"/>
                <w:highlight w:val="none"/>
                <w:u w:val="single" w:color="auto"/>
                <w:lang w:val="en-US" w:eastAsia="zh-CN"/>
              </w:rPr>
              <w:t>30</w:t>
            </w:r>
            <w:r>
              <w:rPr>
                <w:color w:val="auto"/>
                <w:spacing w:val="19"/>
                <w:highlight w:val="none"/>
                <w:u w:val="single" w:color="auto"/>
              </w:rPr>
              <w:t xml:space="preserve"> </w:t>
            </w:r>
            <w:r>
              <w:rPr>
                <w:color w:val="auto"/>
                <w:spacing w:val="-92"/>
                <w:highlight w:val="none"/>
              </w:rPr>
              <w:t xml:space="preserve"> </w:t>
            </w:r>
            <w:r>
              <w:rPr>
                <w:color w:val="auto"/>
                <w:spacing w:val="-1"/>
                <w:highlight w:val="none"/>
              </w:rPr>
              <w:t>分钟内。遇到投标人较多或其</w:t>
            </w:r>
            <w:r>
              <w:rPr>
                <w:color w:val="auto"/>
                <w:highlight w:val="none"/>
              </w:rPr>
              <w:t xml:space="preserve"> </w:t>
            </w:r>
            <w:r>
              <w:rPr>
                <w:color w:val="auto"/>
                <w:spacing w:val="-4"/>
                <w:highlight w:val="none"/>
              </w:rPr>
              <w:t>他特殊情况在</w:t>
            </w:r>
            <w:r>
              <w:rPr>
                <w:color w:val="auto"/>
                <w:spacing w:val="-4"/>
                <w:highlight w:val="none"/>
                <w:u w:val="single" w:color="auto"/>
              </w:rPr>
              <w:t xml:space="preserve"> </w:t>
            </w:r>
            <w:r>
              <w:rPr>
                <w:rFonts w:hint="eastAsia"/>
                <w:color w:val="auto"/>
                <w:spacing w:val="-4"/>
                <w:highlight w:val="none"/>
                <w:u w:val="single" w:color="auto"/>
                <w:lang w:val="en-US" w:eastAsia="zh-CN"/>
              </w:rPr>
              <w:t>30</w:t>
            </w:r>
            <w:r>
              <w:rPr>
                <w:color w:val="auto"/>
                <w:spacing w:val="-4"/>
                <w:highlight w:val="none"/>
                <w:u w:val="single" w:color="auto"/>
              </w:rPr>
              <w:t xml:space="preserve"> </w:t>
            </w:r>
            <w:r>
              <w:rPr>
                <w:color w:val="auto"/>
                <w:spacing w:val="-84"/>
                <w:highlight w:val="none"/>
              </w:rPr>
              <w:t xml:space="preserve"> </w:t>
            </w:r>
            <w:r>
              <w:rPr>
                <w:color w:val="auto"/>
                <w:spacing w:val="-4"/>
                <w:highlight w:val="none"/>
              </w:rPr>
              <w:t>分钟内无法完成解密的，可报项目行政</w:t>
            </w:r>
            <w:r>
              <w:rPr>
                <w:color w:val="auto"/>
                <w:highlight w:val="none"/>
              </w:rPr>
              <w:t xml:space="preserve"> </w:t>
            </w:r>
            <w:r>
              <w:rPr>
                <w:color w:val="auto"/>
                <w:spacing w:val="-2"/>
                <w:highlight w:val="none"/>
              </w:rPr>
              <w:t>监督部门适当延长解密时间。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5" w:hRule="atLeast"/>
        </w:trPr>
        <w:tc>
          <w:tcPr>
            <w:tcW w:w="856" w:type="dxa"/>
            <w:vAlign w:val="top"/>
          </w:tcPr>
          <w:p>
            <w:pPr>
              <w:spacing w:line="312" w:lineRule="auto"/>
              <w:rPr>
                <w:rFonts w:ascii="Arial"/>
                <w:color w:val="auto"/>
                <w:sz w:val="21"/>
                <w:highlight w:val="none"/>
              </w:rPr>
            </w:pPr>
          </w:p>
          <w:p>
            <w:pPr>
              <w:spacing w:line="313" w:lineRule="auto"/>
              <w:rPr>
                <w:rFonts w:ascii="Arial"/>
                <w:color w:val="auto"/>
                <w:sz w:val="21"/>
                <w:highlight w:val="none"/>
              </w:rPr>
            </w:pPr>
          </w:p>
          <w:p>
            <w:pPr>
              <w:pStyle w:val="10"/>
              <w:spacing w:before="69" w:line="183" w:lineRule="auto"/>
              <w:ind w:left="172"/>
              <w:rPr>
                <w:color w:val="auto"/>
                <w:highlight w:val="none"/>
              </w:rPr>
            </w:pPr>
            <w:r>
              <w:rPr>
                <w:color w:val="auto"/>
                <w:spacing w:val="-2"/>
                <w:highlight w:val="none"/>
              </w:rPr>
              <w:t>6.1.1</w:t>
            </w:r>
          </w:p>
        </w:tc>
        <w:tc>
          <w:tcPr>
            <w:tcW w:w="1977" w:type="dxa"/>
            <w:vAlign w:val="top"/>
          </w:tcPr>
          <w:p>
            <w:pPr>
              <w:spacing w:line="295" w:lineRule="auto"/>
              <w:rPr>
                <w:rFonts w:ascii="Arial"/>
                <w:color w:val="auto"/>
                <w:sz w:val="21"/>
                <w:highlight w:val="none"/>
              </w:rPr>
            </w:pPr>
          </w:p>
          <w:p>
            <w:pPr>
              <w:spacing w:line="296" w:lineRule="auto"/>
              <w:rPr>
                <w:rFonts w:ascii="Arial"/>
                <w:color w:val="auto"/>
                <w:sz w:val="21"/>
                <w:highlight w:val="none"/>
              </w:rPr>
            </w:pPr>
          </w:p>
          <w:p>
            <w:pPr>
              <w:pStyle w:val="10"/>
              <w:spacing w:before="68" w:line="220" w:lineRule="auto"/>
              <w:ind w:left="149"/>
              <w:rPr>
                <w:color w:val="auto"/>
                <w:highlight w:val="none"/>
              </w:rPr>
            </w:pPr>
            <w:r>
              <w:rPr>
                <w:color w:val="auto"/>
                <w:spacing w:val="-1"/>
                <w:highlight w:val="none"/>
              </w:rPr>
              <w:t>评标委员会的组建</w:t>
            </w:r>
          </w:p>
        </w:tc>
        <w:tc>
          <w:tcPr>
            <w:tcW w:w="5673" w:type="dxa"/>
            <w:vAlign w:val="top"/>
          </w:tcPr>
          <w:p>
            <w:pPr>
              <w:pStyle w:val="10"/>
              <w:spacing w:before="183" w:line="251" w:lineRule="auto"/>
              <w:ind w:left="113" w:right="152" w:hanging="1"/>
              <w:rPr>
                <w:color w:val="auto"/>
                <w:highlight w:val="none"/>
              </w:rPr>
            </w:pPr>
            <w:r>
              <w:rPr>
                <w:color w:val="auto"/>
                <w:spacing w:val="-2"/>
                <w:highlight w:val="none"/>
              </w:rPr>
              <w:t>评标委员会构成：</w:t>
            </w:r>
            <w:r>
              <w:rPr>
                <w:rFonts w:hint="eastAsia"/>
                <w:color w:val="auto"/>
                <w:spacing w:val="16"/>
                <w:highlight w:val="none"/>
                <w:u w:val="single" w:color="auto"/>
                <w:lang w:val="en-US" w:eastAsia="zh-CN"/>
              </w:rPr>
              <w:t>7</w:t>
            </w:r>
            <w:r>
              <w:rPr>
                <w:color w:val="auto"/>
                <w:spacing w:val="-2"/>
                <w:highlight w:val="none"/>
              </w:rPr>
              <w:t>人，其中招标人代表</w:t>
            </w:r>
            <w:r>
              <w:rPr>
                <w:rFonts w:hint="eastAsia"/>
                <w:color w:val="auto"/>
                <w:spacing w:val="-2"/>
                <w:highlight w:val="none"/>
                <w:u w:val="single" w:color="auto"/>
                <w:lang w:val="en-US" w:eastAsia="zh-CN"/>
              </w:rPr>
              <w:t>2</w:t>
            </w:r>
            <w:r>
              <w:rPr>
                <w:color w:val="auto"/>
                <w:spacing w:val="-95"/>
                <w:highlight w:val="none"/>
              </w:rPr>
              <w:t xml:space="preserve"> </w:t>
            </w:r>
            <w:r>
              <w:rPr>
                <w:color w:val="auto"/>
                <w:spacing w:val="-2"/>
                <w:highlight w:val="none"/>
              </w:rPr>
              <w:t>人，</w:t>
            </w:r>
            <w:r>
              <w:rPr>
                <w:color w:val="auto"/>
                <w:spacing w:val="-9"/>
                <w:highlight w:val="none"/>
              </w:rPr>
              <w:t>专家</w:t>
            </w:r>
            <w:r>
              <w:rPr>
                <w:rFonts w:hint="eastAsia"/>
                <w:color w:val="auto"/>
                <w:highlight w:val="none"/>
                <w:u w:val="single" w:color="auto"/>
                <w:lang w:val="en-US" w:eastAsia="zh-CN"/>
              </w:rPr>
              <w:t>5</w:t>
            </w:r>
            <w:r>
              <w:rPr>
                <w:color w:val="auto"/>
                <w:spacing w:val="-9"/>
                <w:highlight w:val="none"/>
              </w:rPr>
              <w:t>人；</w:t>
            </w:r>
          </w:p>
          <w:p>
            <w:pPr>
              <w:pStyle w:val="10"/>
              <w:spacing w:before="68" w:line="251" w:lineRule="auto"/>
              <w:ind w:left="124" w:right="108" w:hanging="12"/>
              <w:rPr>
                <w:color w:val="auto"/>
                <w:highlight w:val="none"/>
              </w:rPr>
            </w:pPr>
            <w:r>
              <w:rPr>
                <w:color w:val="auto"/>
                <w:spacing w:val="1"/>
                <w:highlight w:val="none"/>
              </w:rPr>
              <w:t>评标专家确定方式：</w:t>
            </w:r>
            <w:r>
              <w:rPr>
                <w:color w:val="auto"/>
                <w:spacing w:val="1"/>
                <w:highlight w:val="none"/>
                <w:u w:val="single" w:color="auto"/>
              </w:rPr>
              <w:t>从辽宁省综合评标专家库相应专</w:t>
            </w:r>
            <w:r>
              <w:rPr>
                <w:color w:val="auto"/>
                <w:highlight w:val="none"/>
                <w:u w:val="single" w:color="auto"/>
              </w:rPr>
              <w:t>业中</w:t>
            </w:r>
            <w:r>
              <w:rPr>
                <w:color w:val="auto"/>
                <w:highlight w:val="none"/>
              </w:rPr>
              <w:t xml:space="preserve"> </w:t>
            </w:r>
            <w:r>
              <w:rPr>
                <w:color w:val="auto"/>
                <w:spacing w:val="-13"/>
                <w:highlight w:val="none"/>
                <w:u w:val="single" w:color="auto"/>
              </w:rPr>
              <w:t>随机抽取产生。</w:t>
            </w:r>
            <w:r>
              <w:rPr>
                <w:color w:val="auto"/>
                <w:spacing w:val="5"/>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56" w:type="dxa"/>
            <w:vAlign w:val="top"/>
          </w:tcPr>
          <w:p>
            <w:pPr>
              <w:pStyle w:val="10"/>
              <w:spacing w:before="209" w:line="182" w:lineRule="auto"/>
              <w:ind w:left="278"/>
              <w:rPr>
                <w:color w:val="auto"/>
                <w:highlight w:val="none"/>
              </w:rPr>
            </w:pPr>
            <w:r>
              <w:rPr>
                <w:color w:val="auto"/>
                <w:spacing w:val="-2"/>
                <w:highlight w:val="none"/>
              </w:rPr>
              <w:t>6.3</w:t>
            </w:r>
          </w:p>
        </w:tc>
        <w:tc>
          <w:tcPr>
            <w:tcW w:w="1977" w:type="dxa"/>
            <w:vAlign w:val="top"/>
          </w:tcPr>
          <w:p>
            <w:pPr>
              <w:pStyle w:val="10"/>
              <w:spacing w:before="174" w:line="220" w:lineRule="auto"/>
              <w:ind w:left="360"/>
              <w:rPr>
                <w:color w:val="auto"/>
                <w:highlight w:val="none"/>
              </w:rPr>
            </w:pPr>
            <w:r>
              <w:rPr>
                <w:color w:val="auto"/>
                <w:spacing w:val="-1"/>
                <w:highlight w:val="none"/>
              </w:rPr>
              <w:t>评标采用方式</w:t>
            </w:r>
          </w:p>
        </w:tc>
        <w:tc>
          <w:tcPr>
            <w:tcW w:w="5673" w:type="dxa"/>
            <w:vAlign w:val="top"/>
          </w:tcPr>
          <w:p>
            <w:pPr>
              <w:pStyle w:val="10"/>
              <w:spacing w:before="174" w:line="220" w:lineRule="auto"/>
              <w:ind w:left="134"/>
              <w:rPr>
                <w:color w:val="auto"/>
                <w:highlight w:val="none"/>
              </w:rPr>
            </w:pPr>
            <w:r>
              <w:rPr>
                <w:rFonts w:hint="eastAsia"/>
                <w:color w:val="auto"/>
                <w:spacing w:val="-1"/>
                <w:highlight w:val="none"/>
                <w:lang w:eastAsia="zh-CN"/>
              </w:rPr>
              <w:t>☑</w:t>
            </w:r>
            <w:r>
              <w:rPr>
                <w:color w:val="auto"/>
                <w:spacing w:val="-1"/>
                <w:highlight w:val="none"/>
              </w:rPr>
              <w:t>本地集中评标方式       □远程异地评</w:t>
            </w:r>
            <w:r>
              <w:rPr>
                <w:color w:val="auto"/>
                <w:spacing w:val="-2"/>
                <w:highlight w:val="none"/>
              </w:rPr>
              <w:t>标方式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6" w:type="dxa"/>
            <w:vAlign w:val="top"/>
          </w:tcPr>
          <w:p>
            <w:pPr>
              <w:spacing w:line="381" w:lineRule="auto"/>
              <w:rPr>
                <w:rFonts w:ascii="Arial"/>
                <w:color w:val="auto"/>
                <w:sz w:val="21"/>
                <w:highlight w:val="none"/>
              </w:rPr>
            </w:pPr>
          </w:p>
          <w:p>
            <w:pPr>
              <w:pStyle w:val="10"/>
              <w:spacing w:before="68" w:line="182" w:lineRule="auto"/>
              <w:ind w:left="278"/>
              <w:rPr>
                <w:color w:val="auto"/>
                <w:highlight w:val="none"/>
              </w:rPr>
            </w:pPr>
            <w:r>
              <w:rPr>
                <w:color w:val="auto"/>
                <w:spacing w:val="-2"/>
                <w:highlight w:val="none"/>
              </w:rPr>
              <w:t>6.4</w:t>
            </w:r>
          </w:p>
        </w:tc>
        <w:tc>
          <w:tcPr>
            <w:tcW w:w="1977" w:type="dxa"/>
            <w:vAlign w:val="top"/>
          </w:tcPr>
          <w:p>
            <w:pPr>
              <w:spacing w:line="346" w:lineRule="auto"/>
              <w:rPr>
                <w:rFonts w:ascii="Arial"/>
                <w:color w:val="auto"/>
                <w:sz w:val="21"/>
                <w:highlight w:val="none"/>
              </w:rPr>
            </w:pPr>
          </w:p>
          <w:p>
            <w:pPr>
              <w:pStyle w:val="10"/>
              <w:spacing w:before="68" w:line="220" w:lineRule="auto"/>
              <w:ind w:left="149"/>
              <w:rPr>
                <w:color w:val="auto"/>
                <w:highlight w:val="none"/>
              </w:rPr>
            </w:pPr>
            <w:r>
              <w:rPr>
                <w:color w:val="auto"/>
                <w:spacing w:val="-1"/>
                <w:highlight w:val="none"/>
              </w:rPr>
              <w:t>评标结果公示媒介</w:t>
            </w:r>
          </w:p>
        </w:tc>
        <w:tc>
          <w:tcPr>
            <w:tcW w:w="5673" w:type="dxa"/>
            <w:vAlign w:val="top"/>
          </w:tcPr>
          <w:p>
            <w:pPr>
              <w:pStyle w:val="10"/>
              <w:spacing w:before="257" w:line="281" w:lineRule="auto"/>
              <w:ind w:left="134"/>
              <w:rPr>
                <w:color w:val="auto"/>
                <w:highlight w:val="none"/>
              </w:rPr>
            </w:pPr>
            <w:r>
              <w:rPr>
                <w:rFonts w:hint="eastAsia"/>
                <w:color w:val="auto"/>
                <w:spacing w:val="-3"/>
                <w:highlight w:val="none"/>
                <w:lang w:eastAsia="zh-CN"/>
              </w:rPr>
              <w:t>☑</w:t>
            </w:r>
            <w:r>
              <w:rPr>
                <w:color w:val="auto"/>
                <w:spacing w:val="-3"/>
                <w:highlight w:val="none"/>
                <w:u w:val="single" w:color="auto"/>
              </w:rPr>
              <w:t>辽宁省招标投标监管网</w:t>
            </w:r>
          </w:p>
          <w:p>
            <w:pPr>
              <w:pStyle w:val="10"/>
              <w:ind w:left="134"/>
              <w:rPr>
                <w:rFonts w:hint="eastAsia" w:eastAsia="宋体"/>
                <w:color w:val="auto"/>
                <w:highlight w:val="none"/>
                <w:lang w:eastAsia="zh-CN"/>
              </w:rPr>
            </w:pPr>
            <w:r>
              <w:rPr>
                <w:rFonts w:hint="eastAsia"/>
                <w:color w:val="auto"/>
                <w:spacing w:val="-9"/>
                <w:highlight w:val="none"/>
                <w:lang w:eastAsia="zh-CN"/>
              </w:rPr>
              <w:t>☑辽宁省公共资源交易网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trPr>
        <w:tc>
          <w:tcPr>
            <w:tcW w:w="856" w:type="dxa"/>
            <w:vAlign w:val="top"/>
          </w:tcPr>
          <w:p>
            <w:pPr>
              <w:spacing w:line="332" w:lineRule="auto"/>
              <w:rPr>
                <w:rFonts w:ascii="Arial"/>
                <w:color w:val="auto"/>
                <w:sz w:val="21"/>
                <w:highlight w:val="none"/>
              </w:rPr>
            </w:pPr>
          </w:p>
          <w:p>
            <w:pPr>
              <w:pStyle w:val="10"/>
              <w:spacing w:before="68" w:line="183" w:lineRule="auto"/>
              <w:ind w:left="281"/>
              <w:rPr>
                <w:color w:val="auto"/>
                <w:highlight w:val="none"/>
              </w:rPr>
            </w:pPr>
            <w:r>
              <w:rPr>
                <w:color w:val="auto"/>
                <w:spacing w:val="-3"/>
                <w:highlight w:val="none"/>
              </w:rPr>
              <w:t>7.1</w:t>
            </w:r>
          </w:p>
        </w:tc>
        <w:tc>
          <w:tcPr>
            <w:tcW w:w="1977" w:type="dxa"/>
            <w:vAlign w:val="top"/>
          </w:tcPr>
          <w:p>
            <w:pPr>
              <w:pStyle w:val="10"/>
              <w:spacing w:before="211" w:line="250" w:lineRule="auto"/>
              <w:ind w:left="359" w:right="147" w:hanging="206"/>
              <w:rPr>
                <w:color w:val="auto"/>
                <w:highlight w:val="none"/>
              </w:rPr>
            </w:pPr>
            <w:r>
              <w:rPr>
                <w:color w:val="auto"/>
                <w:spacing w:val="-2"/>
                <w:highlight w:val="none"/>
              </w:rPr>
              <w:t>是否授权评标委员</w:t>
            </w:r>
            <w:r>
              <w:rPr>
                <w:color w:val="auto"/>
                <w:spacing w:val="6"/>
                <w:highlight w:val="none"/>
              </w:rPr>
              <w:t xml:space="preserve"> </w:t>
            </w:r>
            <w:r>
              <w:rPr>
                <w:color w:val="auto"/>
                <w:spacing w:val="-1"/>
                <w:highlight w:val="none"/>
              </w:rPr>
              <w:t>会确定中标人</w:t>
            </w:r>
          </w:p>
        </w:tc>
        <w:tc>
          <w:tcPr>
            <w:tcW w:w="5673" w:type="dxa"/>
            <w:vAlign w:val="top"/>
          </w:tcPr>
          <w:p>
            <w:pPr>
              <w:pStyle w:val="10"/>
              <w:spacing w:before="210" w:line="224" w:lineRule="auto"/>
              <w:ind w:left="134"/>
              <w:rPr>
                <w:color w:val="auto"/>
                <w:highlight w:val="none"/>
              </w:rPr>
            </w:pPr>
            <w:r>
              <w:rPr>
                <w:color w:val="auto"/>
                <w:spacing w:val="-7"/>
                <w:highlight w:val="none"/>
              </w:rPr>
              <w:t>□是</w:t>
            </w:r>
          </w:p>
          <w:p>
            <w:pPr>
              <w:pStyle w:val="10"/>
              <w:spacing w:before="64" w:line="220" w:lineRule="auto"/>
              <w:ind w:left="134"/>
              <w:rPr>
                <w:color w:val="auto"/>
                <w:highlight w:val="none"/>
              </w:rPr>
            </w:pPr>
            <w:r>
              <w:rPr>
                <w:rFonts w:hint="eastAsia"/>
                <w:color w:val="auto"/>
                <w:spacing w:val="-12"/>
                <w:highlight w:val="none"/>
                <w:lang w:eastAsia="zh-CN"/>
              </w:rPr>
              <w:t>☑</w:t>
            </w:r>
            <w:r>
              <w:rPr>
                <w:color w:val="auto"/>
                <w:spacing w:val="-12"/>
                <w:highlight w:val="none"/>
              </w:rPr>
              <w:t>否， 推荐的中标候选人数：</w:t>
            </w:r>
            <w:r>
              <w:rPr>
                <w:color w:val="auto"/>
                <w:spacing w:val="-21"/>
                <w:highlight w:val="none"/>
              </w:rPr>
              <w:t xml:space="preserve"> </w:t>
            </w:r>
            <w:r>
              <w:rPr>
                <w:color w:val="auto"/>
                <w:spacing w:val="25"/>
                <w:highlight w:val="none"/>
                <w:u w:val="single" w:color="auto"/>
              </w:rPr>
              <w:t xml:space="preserve"> </w:t>
            </w:r>
            <w:r>
              <w:rPr>
                <w:color w:val="auto"/>
                <w:spacing w:val="-12"/>
                <w:highlight w:val="none"/>
                <w:u w:val="single" w:color="auto"/>
              </w:rPr>
              <w:t>3</w:t>
            </w:r>
            <w:r>
              <w:rPr>
                <w:color w:val="auto"/>
                <w:spacing w:val="-44"/>
                <w:highlight w:val="none"/>
                <w:u w:val="single" w:color="auto"/>
              </w:rPr>
              <w:t xml:space="preserve"> </w:t>
            </w:r>
            <w:r>
              <w:rPr>
                <w:color w:val="auto"/>
                <w:spacing w:val="-12"/>
                <w:highlight w:val="none"/>
                <w:u w:val="single" w:color="auto"/>
              </w:rPr>
              <w:t xml:space="preserve">名  </w:t>
            </w:r>
            <w:r>
              <w:rPr>
                <w:color w:val="auto"/>
                <w:spacing w:val="-12"/>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856" w:type="dxa"/>
            <w:vAlign w:val="top"/>
          </w:tcPr>
          <w:p>
            <w:pPr>
              <w:spacing w:line="289" w:lineRule="auto"/>
              <w:rPr>
                <w:rFonts w:ascii="Arial"/>
                <w:color w:val="auto"/>
                <w:sz w:val="21"/>
                <w:highlight w:val="none"/>
              </w:rPr>
            </w:pPr>
          </w:p>
          <w:p>
            <w:pPr>
              <w:spacing w:line="290" w:lineRule="auto"/>
              <w:rPr>
                <w:rFonts w:ascii="Arial"/>
                <w:color w:val="auto"/>
                <w:sz w:val="21"/>
                <w:highlight w:val="none"/>
              </w:rPr>
            </w:pPr>
          </w:p>
          <w:p>
            <w:pPr>
              <w:pStyle w:val="10"/>
              <w:spacing w:before="68" w:line="183" w:lineRule="auto"/>
              <w:ind w:left="176"/>
              <w:rPr>
                <w:color w:val="auto"/>
                <w:highlight w:val="none"/>
              </w:rPr>
            </w:pPr>
            <w:r>
              <w:rPr>
                <w:color w:val="auto"/>
                <w:spacing w:val="-2"/>
                <w:highlight w:val="none"/>
              </w:rPr>
              <w:t>7.3.1</w:t>
            </w:r>
          </w:p>
        </w:tc>
        <w:tc>
          <w:tcPr>
            <w:tcW w:w="1977" w:type="dxa"/>
            <w:vAlign w:val="top"/>
          </w:tcPr>
          <w:p>
            <w:pPr>
              <w:spacing w:line="272" w:lineRule="auto"/>
              <w:rPr>
                <w:rFonts w:ascii="Arial"/>
                <w:color w:val="auto"/>
                <w:sz w:val="21"/>
                <w:highlight w:val="none"/>
              </w:rPr>
            </w:pPr>
          </w:p>
          <w:p>
            <w:pPr>
              <w:spacing w:line="273" w:lineRule="auto"/>
              <w:rPr>
                <w:rFonts w:ascii="Arial"/>
                <w:color w:val="auto"/>
                <w:sz w:val="21"/>
                <w:highlight w:val="none"/>
              </w:rPr>
            </w:pPr>
          </w:p>
          <w:p>
            <w:pPr>
              <w:pStyle w:val="10"/>
              <w:spacing w:before="68" w:line="221" w:lineRule="auto"/>
              <w:ind w:left="468"/>
              <w:rPr>
                <w:color w:val="auto"/>
                <w:highlight w:val="none"/>
              </w:rPr>
            </w:pPr>
            <w:r>
              <w:rPr>
                <w:color w:val="auto"/>
                <w:spacing w:val="-2"/>
                <w:highlight w:val="none"/>
              </w:rPr>
              <w:t>履约保证金</w:t>
            </w:r>
          </w:p>
        </w:tc>
        <w:tc>
          <w:tcPr>
            <w:tcW w:w="5673" w:type="dxa"/>
            <w:vAlign w:val="top"/>
          </w:tcPr>
          <w:p>
            <w:pPr>
              <w:pStyle w:val="10"/>
              <w:spacing w:before="136" w:line="221" w:lineRule="auto"/>
              <w:ind w:left="134"/>
              <w:rPr>
                <w:color w:val="auto"/>
                <w:highlight w:val="none"/>
              </w:rPr>
            </w:pPr>
            <w:r>
              <w:rPr>
                <w:color w:val="auto"/>
                <w:spacing w:val="-7"/>
                <w:highlight w:val="none"/>
              </w:rPr>
              <w:t>□不提交</w:t>
            </w:r>
          </w:p>
          <w:p>
            <w:pPr>
              <w:pStyle w:val="10"/>
              <w:spacing w:before="67" w:line="221" w:lineRule="auto"/>
              <w:ind w:left="134"/>
              <w:rPr>
                <w:color w:val="auto"/>
                <w:highlight w:val="none"/>
              </w:rPr>
            </w:pPr>
            <w:r>
              <w:rPr>
                <w:rFonts w:hint="eastAsia"/>
                <w:color w:val="auto"/>
                <w:spacing w:val="-4"/>
                <w:highlight w:val="none"/>
                <w:lang w:eastAsia="zh-CN"/>
              </w:rPr>
              <w:t>☑</w:t>
            </w:r>
            <w:r>
              <w:rPr>
                <w:color w:val="auto"/>
                <w:spacing w:val="-4"/>
                <w:highlight w:val="none"/>
              </w:rPr>
              <w:t>提交，履约保证金的形式：</w:t>
            </w:r>
          </w:p>
          <w:p>
            <w:pPr>
              <w:pStyle w:val="10"/>
              <w:spacing w:before="70" w:line="221" w:lineRule="auto"/>
              <w:ind w:left="974"/>
              <w:rPr>
                <w:color w:val="auto"/>
                <w:highlight w:val="none"/>
              </w:rPr>
            </w:pPr>
            <w:r>
              <w:rPr>
                <w:rFonts w:hint="eastAsia"/>
                <w:color w:val="auto"/>
                <w:spacing w:val="-10"/>
                <w:highlight w:val="none"/>
                <w:lang w:eastAsia="zh-CN"/>
              </w:rPr>
              <w:t>☑</w:t>
            </w:r>
            <w:r>
              <w:rPr>
                <w:color w:val="auto"/>
                <w:spacing w:val="-10"/>
                <w:highlight w:val="none"/>
              </w:rPr>
              <w:t>现金</w:t>
            </w:r>
            <w:r>
              <w:rPr>
                <w:color w:val="auto"/>
                <w:spacing w:val="5"/>
                <w:highlight w:val="none"/>
              </w:rPr>
              <w:t xml:space="preserve">      </w:t>
            </w:r>
            <w:r>
              <w:rPr>
                <w:rFonts w:hint="eastAsia"/>
                <w:color w:val="auto"/>
                <w:spacing w:val="-10"/>
                <w:highlight w:val="none"/>
                <w:lang w:eastAsia="zh-CN"/>
              </w:rPr>
              <w:t>☑</w:t>
            </w:r>
            <w:r>
              <w:rPr>
                <w:color w:val="auto"/>
                <w:spacing w:val="-10"/>
                <w:highlight w:val="none"/>
              </w:rPr>
              <w:t>担保（保险）</w:t>
            </w:r>
            <w:r>
              <w:rPr>
                <w:color w:val="auto"/>
                <w:spacing w:val="93"/>
                <w:highlight w:val="none"/>
              </w:rPr>
              <w:t xml:space="preserve"> </w:t>
            </w:r>
            <w:r>
              <w:rPr>
                <w:color w:val="auto"/>
                <w:spacing w:val="-10"/>
                <w:highlight w:val="none"/>
              </w:rPr>
              <w:t>□其他形式</w:t>
            </w:r>
          </w:p>
          <w:p>
            <w:pPr>
              <w:pStyle w:val="10"/>
              <w:spacing w:before="67" w:line="219" w:lineRule="auto"/>
              <w:ind w:left="116" w:firstLine="194" w:firstLineChars="100"/>
              <w:rPr>
                <w:rFonts w:hint="eastAsia" w:ascii="宋体" w:hAnsi="宋体" w:eastAsia="宋体" w:cs="宋体"/>
                <w:color w:val="auto"/>
                <w:spacing w:val="-8"/>
                <w:highlight w:val="none"/>
              </w:rPr>
            </w:pPr>
            <w:r>
              <w:rPr>
                <w:rFonts w:hint="eastAsia" w:ascii="宋体" w:hAnsi="宋体" w:eastAsia="宋体" w:cs="宋体"/>
                <w:color w:val="auto"/>
                <w:spacing w:val="-8"/>
                <w:highlight w:val="none"/>
              </w:rPr>
              <w:t>1.履约担保形式：电汇或银行保函。银行保函应当从项目所在地市范围内的全国性国有银行出具，保函格式可采用银行格式。</w:t>
            </w:r>
          </w:p>
          <w:p>
            <w:pPr>
              <w:pStyle w:val="10"/>
              <w:spacing w:before="67" w:line="219" w:lineRule="auto"/>
              <w:ind w:left="116" w:firstLine="194" w:firstLineChars="100"/>
              <w:rPr>
                <w:color w:val="auto"/>
                <w:spacing w:val="-8"/>
                <w:highlight w:val="none"/>
              </w:rPr>
            </w:pPr>
            <w:r>
              <w:rPr>
                <w:rFonts w:hint="eastAsia" w:ascii="宋体" w:hAnsi="宋体" w:eastAsia="宋体" w:cs="宋体"/>
                <w:color w:val="auto"/>
                <w:spacing w:val="-8"/>
                <w:highlight w:val="none"/>
              </w:rPr>
              <w:t>2.履约担保金额：中标金额的5%（与中标通知书所标注的金额相一致。中标人提供履约担保时间为取得中标通知书后签订施工合同前）。</w:t>
            </w:r>
          </w:p>
        </w:tc>
      </w:tr>
    </w:tbl>
    <w:p>
      <w:pPr>
        <w:pStyle w:val="2"/>
        <w:rPr>
          <w:color w:val="auto"/>
          <w:highlight w:val="none"/>
        </w:rPr>
      </w:pPr>
    </w:p>
    <w:p>
      <w:pPr>
        <w:rPr>
          <w:color w:val="auto"/>
          <w:highlight w:val="none"/>
        </w:rPr>
        <w:sectPr>
          <w:footerReference r:id="rId14" w:type="default"/>
          <w:pgSz w:w="11905" w:h="16843"/>
          <w:pgMar w:top="1769" w:right="1548" w:bottom="1003" w:left="1542" w:header="0" w:footer="828" w:gutter="0"/>
          <w:pgNumType w:fmt="numberInDash"/>
          <w:cols w:space="0" w:num="1"/>
          <w:rtlGutter w:val="0"/>
          <w:docGrid w:linePitch="0" w:charSpace="0"/>
        </w:sectPr>
      </w:pPr>
    </w:p>
    <w:p>
      <w:pPr>
        <w:spacing w:line="91" w:lineRule="auto"/>
        <w:rPr>
          <w:rFonts w:ascii="Arial"/>
          <w:color w:val="auto"/>
          <w:sz w:val="2"/>
          <w:highlight w:val="none"/>
        </w:rPr>
      </w:pPr>
    </w:p>
    <w:tbl>
      <w:tblPr>
        <w:tblStyle w:val="9"/>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0"/>
              <w:spacing w:before="168" w:line="221" w:lineRule="auto"/>
              <w:ind w:left="117"/>
              <w:rPr>
                <w:color w:val="auto"/>
                <w:highlight w:val="none"/>
              </w:rPr>
            </w:pPr>
            <w:bookmarkStart w:id="56" w:name="bookmark86"/>
            <w:bookmarkEnd w:id="56"/>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rPr>
                <w:color w:val="auto"/>
                <w:highlight w:val="none"/>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dxa"/>
            <w:vAlign w:val="top"/>
          </w:tcPr>
          <w:p>
            <w:pPr>
              <w:spacing w:line="272" w:lineRule="auto"/>
              <w:rPr>
                <w:rFonts w:ascii="Arial"/>
                <w:color w:val="auto"/>
                <w:sz w:val="21"/>
                <w:highlight w:val="none"/>
              </w:rPr>
            </w:pPr>
          </w:p>
          <w:p>
            <w:pPr>
              <w:spacing w:line="272" w:lineRule="auto"/>
              <w:rPr>
                <w:rFonts w:ascii="Arial"/>
                <w:color w:val="auto"/>
                <w:sz w:val="21"/>
                <w:highlight w:val="none"/>
              </w:rPr>
            </w:pPr>
          </w:p>
          <w:p>
            <w:pPr>
              <w:spacing w:line="273" w:lineRule="auto"/>
              <w:rPr>
                <w:rFonts w:ascii="Arial"/>
                <w:color w:val="auto"/>
                <w:sz w:val="21"/>
                <w:highlight w:val="none"/>
              </w:rPr>
            </w:pPr>
          </w:p>
          <w:p>
            <w:pPr>
              <w:pStyle w:val="10"/>
              <w:spacing w:before="68" w:line="182" w:lineRule="auto"/>
              <w:ind w:left="277"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9.5</w:t>
            </w:r>
          </w:p>
        </w:tc>
        <w:tc>
          <w:tcPr>
            <w:tcW w:w="1977" w:type="dxa"/>
            <w:tcBorders>
              <w:right w:val="single" w:color="auto" w:sz="4" w:space="0"/>
            </w:tcBorders>
            <w:vAlign w:val="top"/>
          </w:tcPr>
          <w:p>
            <w:pPr>
              <w:spacing w:line="260" w:lineRule="auto"/>
              <w:rPr>
                <w:rFonts w:ascii="Arial"/>
                <w:color w:val="auto"/>
                <w:sz w:val="21"/>
                <w:highlight w:val="none"/>
              </w:rPr>
            </w:pPr>
          </w:p>
          <w:p>
            <w:pPr>
              <w:spacing w:line="260" w:lineRule="auto"/>
              <w:rPr>
                <w:rFonts w:ascii="Arial"/>
                <w:color w:val="auto"/>
                <w:sz w:val="21"/>
                <w:highlight w:val="none"/>
              </w:rPr>
            </w:pPr>
          </w:p>
          <w:p>
            <w:pPr>
              <w:spacing w:line="261" w:lineRule="auto"/>
              <w:rPr>
                <w:rFonts w:ascii="Arial"/>
                <w:color w:val="auto"/>
                <w:sz w:val="21"/>
                <w:highlight w:val="none"/>
              </w:rPr>
            </w:pPr>
          </w:p>
          <w:p>
            <w:pPr>
              <w:pStyle w:val="10"/>
              <w:spacing w:before="68" w:line="221" w:lineRule="auto"/>
              <w:ind w:left="364" w:leftChars="0"/>
              <w:rPr>
                <w:rFonts w:ascii="宋体" w:hAnsi="宋体" w:eastAsia="宋体" w:cs="宋体"/>
                <w:snapToGrid w:val="0"/>
                <w:color w:val="auto"/>
                <w:kern w:val="0"/>
                <w:sz w:val="21"/>
                <w:szCs w:val="21"/>
                <w:highlight w:val="none"/>
                <w:lang w:val="en-US" w:eastAsia="en-US" w:bidi="ar-SA"/>
              </w:rPr>
            </w:pPr>
            <w:r>
              <w:rPr>
                <w:color w:val="auto"/>
                <w:spacing w:val="-2"/>
                <w:highlight w:val="none"/>
              </w:rPr>
              <w:t>行政监督部门</w:t>
            </w:r>
          </w:p>
        </w:tc>
        <w:tc>
          <w:tcPr>
            <w:tcW w:w="5673" w:type="dxa"/>
            <w:tcBorders>
              <w:left w:val="single" w:color="auto" w:sz="4" w:space="0"/>
            </w:tcBorders>
            <w:vAlign w:val="top"/>
          </w:tcPr>
          <w:p>
            <w:pPr>
              <w:pStyle w:val="10"/>
              <w:spacing w:before="214" w:line="319" w:lineRule="exact"/>
              <w:ind w:left="115"/>
              <w:rPr>
                <w:color w:val="auto"/>
                <w:highlight w:val="none"/>
              </w:rPr>
            </w:pPr>
            <w:r>
              <w:rPr>
                <w:color w:val="auto"/>
                <w:spacing w:val="-13"/>
                <w:position w:val="7"/>
                <w:highlight w:val="none"/>
              </w:rPr>
              <w:t>名</w:t>
            </w:r>
            <w:r>
              <w:rPr>
                <w:color w:val="auto"/>
                <w:spacing w:val="2"/>
                <w:position w:val="7"/>
                <w:highlight w:val="none"/>
              </w:rPr>
              <w:t xml:space="preserve">    </w:t>
            </w:r>
            <w:r>
              <w:rPr>
                <w:color w:val="auto"/>
                <w:spacing w:val="-13"/>
                <w:position w:val="7"/>
                <w:highlight w:val="none"/>
              </w:rPr>
              <w:t>称：</w:t>
            </w:r>
            <w:r>
              <w:rPr>
                <w:rFonts w:hint="eastAsia"/>
                <w:color w:val="auto"/>
                <w:spacing w:val="-13"/>
                <w:position w:val="7"/>
                <w:highlight w:val="none"/>
              </w:rPr>
              <w:t>大石桥市发展和改革局</w:t>
            </w:r>
          </w:p>
          <w:p>
            <w:pPr>
              <w:pStyle w:val="10"/>
              <w:spacing w:before="1" w:line="229" w:lineRule="auto"/>
              <w:ind w:left="113"/>
              <w:rPr>
                <w:color w:val="auto"/>
                <w:highlight w:val="none"/>
              </w:rPr>
            </w:pPr>
            <w:r>
              <w:rPr>
                <w:color w:val="auto"/>
                <w:spacing w:val="-12"/>
                <w:highlight w:val="none"/>
              </w:rPr>
              <w:t>地</w:t>
            </w:r>
            <w:r>
              <w:rPr>
                <w:color w:val="auto"/>
                <w:spacing w:val="2"/>
                <w:highlight w:val="none"/>
              </w:rPr>
              <w:t xml:space="preserve">    </w:t>
            </w:r>
            <w:r>
              <w:rPr>
                <w:color w:val="auto"/>
                <w:spacing w:val="-12"/>
                <w:highlight w:val="none"/>
              </w:rPr>
              <w:t>址：</w:t>
            </w:r>
            <w:r>
              <w:rPr>
                <w:rFonts w:hint="eastAsia"/>
                <w:color w:val="auto"/>
                <w:spacing w:val="-12"/>
                <w:highlight w:val="none"/>
              </w:rPr>
              <w:t>大石桥市胜利大街36号</w:t>
            </w:r>
          </w:p>
          <w:p>
            <w:pPr>
              <w:pStyle w:val="10"/>
              <w:spacing w:before="59" w:line="223" w:lineRule="auto"/>
              <w:ind w:left="137"/>
              <w:rPr>
                <w:color w:val="auto"/>
                <w:highlight w:val="none"/>
              </w:rPr>
            </w:pPr>
            <w:r>
              <w:rPr>
                <w:color w:val="auto"/>
                <w:spacing w:val="-20"/>
                <w:highlight w:val="none"/>
              </w:rPr>
              <w:t>电</w:t>
            </w:r>
            <w:r>
              <w:rPr>
                <w:color w:val="auto"/>
                <w:spacing w:val="2"/>
                <w:highlight w:val="none"/>
              </w:rPr>
              <w:t xml:space="preserve">    </w:t>
            </w:r>
            <w:r>
              <w:rPr>
                <w:color w:val="auto"/>
                <w:spacing w:val="-20"/>
                <w:highlight w:val="none"/>
              </w:rPr>
              <w:t>话：</w:t>
            </w:r>
            <w:r>
              <w:rPr>
                <w:rFonts w:hint="eastAsia"/>
                <w:color w:val="auto"/>
                <w:spacing w:val="-20"/>
                <w:highlight w:val="none"/>
              </w:rPr>
              <w:t>0417-5620156</w:t>
            </w:r>
          </w:p>
          <w:p>
            <w:pPr>
              <w:pStyle w:val="10"/>
              <w:spacing w:before="65" w:line="220" w:lineRule="auto"/>
              <w:ind w:left="111"/>
              <w:rPr>
                <w:rFonts w:hint="eastAsia" w:eastAsia="宋体"/>
                <w:color w:val="auto"/>
                <w:highlight w:val="none"/>
                <w:lang w:val="en-US" w:eastAsia="zh-CN"/>
              </w:rPr>
            </w:pPr>
            <w:r>
              <w:rPr>
                <w:color w:val="auto"/>
                <w:spacing w:val="-12"/>
                <w:highlight w:val="none"/>
              </w:rPr>
              <w:t>传</w:t>
            </w:r>
            <w:r>
              <w:rPr>
                <w:color w:val="auto"/>
                <w:spacing w:val="2"/>
                <w:highlight w:val="none"/>
              </w:rPr>
              <w:t xml:space="preserve">    </w:t>
            </w:r>
            <w:r>
              <w:rPr>
                <w:color w:val="auto"/>
                <w:spacing w:val="-12"/>
                <w:highlight w:val="none"/>
              </w:rPr>
              <w:t>真：</w:t>
            </w:r>
            <w:r>
              <w:rPr>
                <w:rFonts w:hint="eastAsia"/>
                <w:color w:val="auto"/>
                <w:spacing w:val="-12"/>
                <w:highlight w:val="none"/>
                <w:lang w:val="en-US" w:eastAsia="zh-CN"/>
              </w:rPr>
              <w:t>/</w:t>
            </w:r>
          </w:p>
          <w:p>
            <w:pPr>
              <w:pStyle w:val="10"/>
              <w:spacing w:before="69" w:line="221" w:lineRule="auto"/>
              <w:ind w:left="128" w:leftChars="0"/>
              <w:rPr>
                <w:rFonts w:hint="default" w:ascii="宋体" w:hAnsi="宋体" w:eastAsia="宋体" w:cs="宋体"/>
                <w:snapToGrid w:val="0"/>
                <w:color w:val="auto"/>
                <w:kern w:val="0"/>
                <w:sz w:val="21"/>
                <w:szCs w:val="21"/>
                <w:highlight w:val="none"/>
                <w:lang w:val="en-US" w:eastAsia="zh-CN" w:bidi="ar-SA"/>
              </w:rPr>
            </w:pPr>
            <w:r>
              <w:rPr>
                <w:color w:val="auto"/>
                <w:spacing w:val="-9"/>
                <w:highlight w:val="none"/>
              </w:rPr>
              <w:t>邮政编码：</w:t>
            </w:r>
            <w:r>
              <w:rPr>
                <w:rFonts w:hint="eastAsia"/>
                <w:color w:val="auto"/>
                <w:spacing w:val="-9"/>
                <w:highlight w:val="none"/>
                <w:lang w:val="en-US" w:eastAsia="zh-CN"/>
              </w:rPr>
              <w:t>115100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dxa"/>
            <w:vAlign w:val="top"/>
          </w:tcPr>
          <w:p>
            <w:pPr>
              <w:pStyle w:val="10"/>
              <w:spacing w:before="218" w:line="183" w:lineRule="auto"/>
              <w:ind w:left="342"/>
              <w:rPr>
                <w:color w:val="auto"/>
                <w:highlight w:val="none"/>
              </w:rPr>
            </w:pPr>
            <w:r>
              <w:rPr>
                <w:color w:val="auto"/>
                <w:spacing w:val="-6"/>
                <w:highlight w:val="none"/>
              </w:rPr>
              <w:t>10</w:t>
            </w:r>
          </w:p>
        </w:tc>
        <w:tc>
          <w:tcPr>
            <w:tcW w:w="7650" w:type="dxa"/>
            <w:gridSpan w:val="2"/>
            <w:vAlign w:val="top"/>
          </w:tcPr>
          <w:p>
            <w:pPr>
              <w:pStyle w:val="10"/>
              <w:spacing w:before="183" w:line="221" w:lineRule="auto"/>
              <w:ind w:left="121"/>
              <w:rPr>
                <w:color w:val="auto"/>
                <w:highlight w:val="none"/>
              </w:rPr>
            </w:pPr>
            <w:r>
              <w:rPr>
                <w:color w:val="auto"/>
                <w:spacing w:val="-1"/>
                <w:highlight w:val="none"/>
                <w14:textOutline w14:w="3831" w14:cap="flat" w14:cmpd="sng">
                  <w14:solidFill>
                    <w14:srgbClr w14:val="000000"/>
                  </w14:solidFill>
                  <w14:prstDash w14:val="solid"/>
                  <w14:miter w14:val="0"/>
                </w14:textOutline>
              </w:rPr>
              <w:t>需要补充的其他内容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6" w:type="dxa"/>
            <w:vAlign w:val="top"/>
          </w:tcPr>
          <w:p>
            <w:pPr>
              <w:pStyle w:val="10"/>
              <w:spacing w:before="225" w:line="183" w:lineRule="auto"/>
              <w:ind w:left="239"/>
              <w:rPr>
                <w:color w:val="auto"/>
                <w:highlight w:val="none"/>
              </w:rPr>
            </w:pPr>
            <w:r>
              <w:rPr>
                <w:color w:val="auto"/>
                <w:spacing w:val="-5"/>
                <w:highlight w:val="none"/>
              </w:rPr>
              <w:t>10.1</w:t>
            </w:r>
          </w:p>
        </w:tc>
        <w:tc>
          <w:tcPr>
            <w:tcW w:w="7650" w:type="dxa"/>
            <w:gridSpan w:val="2"/>
            <w:vAlign w:val="top"/>
          </w:tcPr>
          <w:p>
            <w:pPr>
              <w:pStyle w:val="10"/>
              <w:spacing w:before="191" w:line="221" w:lineRule="auto"/>
              <w:ind w:left="111"/>
              <w:rPr>
                <w:color w:val="auto"/>
                <w:highlight w:val="none"/>
              </w:rPr>
            </w:pPr>
            <w:r>
              <w:rPr>
                <w:color w:val="auto"/>
                <w:spacing w:val="-1"/>
                <w:highlight w:val="none"/>
                <w14:textOutline w14:w="3831" w14:cap="flat" w14:cmpd="sng">
                  <w14:solidFill>
                    <w14:srgbClr w14:val="000000"/>
                  </w14:solidFill>
                  <w14:prstDash w14:val="solid"/>
                  <w14:miter w14:val="0"/>
                </w14:textOutline>
              </w:rPr>
              <w:t>词语定义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271" w:line="183" w:lineRule="auto"/>
              <w:ind w:left="134"/>
              <w:rPr>
                <w:color w:val="auto"/>
                <w:highlight w:val="none"/>
              </w:rPr>
            </w:pPr>
            <w:r>
              <w:rPr>
                <w:color w:val="auto"/>
                <w:spacing w:val="-3"/>
                <w:highlight w:val="none"/>
              </w:rPr>
              <w:t>10.1.1</w:t>
            </w:r>
          </w:p>
        </w:tc>
        <w:tc>
          <w:tcPr>
            <w:tcW w:w="1977" w:type="dxa"/>
            <w:vAlign w:val="top"/>
          </w:tcPr>
          <w:p>
            <w:pPr>
              <w:pStyle w:val="10"/>
              <w:spacing w:before="236" w:line="221" w:lineRule="auto"/>
              <w:ind w:left="570"/>
              <w:rPr>
                <w:color w:val="auto"/>
                <w:highlight w:val="none"/>
              </w:rPr>
            </w:pPr>
            <w:r>
              <w:rPr>
                <w:color w:val="auto"/>
                <w:spacing w:val="-2"/>
                <w:highlight w:val="none"/>
              </w:rPr>
              <w:t>类似项目</w:t>
            </w:r>
          </w:p>
        </w:tc>
        <w:tc>
          <w:tcPr>
            <w:tcW w:w="5673" w:type="dxa"/>
            <w:vAlign w:val="top"/>
          </w:tcPr>
          <w:p>
            <w:pPr>
              <w:pStyle w:val="10"/>
              <w:spacing w:before="77" w:line="245" w:lineRule="auto"/>
              <w:ind w:left="112" w:right="104" w:firstLine="3"/>
              <w:rPr>
                <w:color w:val="auto"/>
                <w:highlight w:val="none"/>
              </w:rPr>
            </w:pPr>
            <w:r>
              <w:rPr>
                <w:color w:val="auto"/>
                <w:spacing w:val="-2"/>
                <w:highlight w:val="none"/>
              </w:rPr>
              <w:t>指合同金额大于</w:t>
            </w:r>
            <w:r>
              <w:rPr>
                <w:rFonts w:hint="eastAsia"/>
                <w:color w:val="auto"/>
                <w:spacing w:val="38"/>
                <w:highlight w:val="none"/>
                <w:u w:val="single" w:color="auto"/>
                <w:lang w:val="en-US" w:eastAsia="zh-CN"/>
              </w:rPr>
              <w:t>900</w:t>
            </w:r>
            <w:r>
              <w:rPr>
                <w:color w:val="auto"/>
                <w:spacing w:val="-90"/>
                <w:highlight w:val="none"/>
              </w:rPr>
              <w:t xml:space="preserve"> </w:t>
            </w:r>
            <w:r>
              <w:rPr>
                <w:color w:val="auto"/>
                <w:spacing w:val="-2"/>
                <w:highlight w:val="none"/>
              </w:rPr>
              <w:t>万元</w:t>
            </w:r>
            <w:r>
              <w:rPr>
                <w:color w:val="auto"/>
                <w:spacing w:val="33"/>
                <w:highlight w:val="none"/>
                <w:u w:val="single"/>
                <w:lang w:eastAsia="zh-CN"/>
              </w:rPr>
              <w:t xml:space="preserve"> </w:t>
            </w:r>
            <w:r>
              <w:rPr>
                <w:rFonts w:hint="eastAsia"/>
                <w:color w:val="auto"/>
                <w:spacing w:val="33"/>
                <w:highlight w:val="none"/>
                <w:u w:val="single"/>
                <w:lang w:eastAsia="zh-CN"/>
              </w:rPr>
              <w:t>类似农业</w:t>
            </w:r>
            <w:r>
              <w:rPr>
                <w:color w:val="auto"/>
                <w:spacing w:val="-2"/>
                <w:highlight w:val="none"/>
                <w:lang w:eastAsia="zh-CN"/>
              </w:rPr>
              <w:t>工程</w:t>
            </w:r>
            <w:r>
              <w:rPr>
                <w:color w:val="auto"/>
                <w:spacing w:val="-2"/>
                <w:highlight w:val="none"/>
              </w:rPr>
              <w:t>，且项目已完成工程竣工</w:t>
            </w:r>
            <w:r>
              <w:rPr>
                <w:color w:val="auto"/>
                <w:highlight w:val="none"/>
              </w:rPr>
              <w:t xml:space="preserve"> </w:t>
            </w:r>
            <w:r>
              <w:rPr>
                <w:color w:val="auto"/>
                <w:spacing w:val="-8"/>
                <w:highlight w:val="none"/>
              </w:rPr>
              <w:t>验收。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dxa"/>
            <w:vAlign w:val="top"/>
          </w:tcPr>
          <w:p>
            <w:pPr>
              <w:pStyle w:val="10"/>
              <w:spacing w:before="218" w:line="183" w:lineRule="auto"/>
              <w:ind w:left="134"/>
              <w:rPr>
                <w:color w:val="auto"/>
                <w:highlight w:val="none"/>
              </w:rPr>
            </w:pPr>
            <w:r>
              <w:rPr>
                <w:color w:val="auto"/>
                <w:spacing w:val="-3"/>
                <w:highlight w:val="none"/>
              </w:rPr>
              <w:t>10.1.2</w:t>
            </w:r>
          </w:p>
        </w:tc>
        <w:tc>
          <w:tcPr>
            <w:tcW w:w="1977" w:type="dxa"/>
            <w:vAlign w:val="top"/>
          </w:tcPr>
          <w:p>
            <w:pPr>
              <w:pStyle w:val="10"/>
              <w:spacing w:before="184" w:line="221" w:lineRule="auto"/>
              <w:ind w:left="361"/>
              <w:rPr>
                <w:color w:val="auto"/>
                <w:highlight w:val="none"/>
              </w:rPr>
            </w:pPr>
            <w:r>
              <w:rPr>
                <w:color w:val="auto"/>
                <w:spacing w:val="-1"/>
                <w:highlight w:val="none"/>
              </w:rPr>
              <w:t>类似项目时间</w:t>
            </w:r>
          </w:p>
        </w:tc>
        <w:tc>
          <w:tcPr>
            <w:tcW w:w="5673" w:type="dxa"/>
            <w:vAlign w:val="top"/>
          </w:tcPr>
          <w:p>
            <w:pPr>
              <w:pStyle w:val="10"/>
              <w:spacing w:before="184" w:line="221" w:lineRule="auto"/>
              <w:ind w:left="134"/>
              <w:rPr>
                <w:color w:val="auto"/>
                <w:highlight w:val="none"/>
              </w:rPr>
            </w:pPr>
            <w:r>
              <w:rPr>
                <w:color w:val="auto"/>
                <w:spacing w:val="-2"/>
                <w:highlight w:val="none"/>
              </w:rPr>
              <w:t xml:space="preserve">□合同签订时间为准    </w:t>
            </w:r>
            <w:r>
              <w:rPr>
                <w:rFonts w:hint="eastAsia"/>
                <w:color w:val="auto"/>
                <w:spacing w:val="-2"/>
                <w:highlight w:val="none"/>
                <w:lang w:eastAsia="zh-CN"/>
              </w:rPr>
              <w:t>☑</w:t>
            </w:r>
            <w:r>
              <w:rPr>
                <w:color w:val="auto"/>
                <w:spacing w:val="-2"/>
                <w:highlight w:val="none"/>
              </w:rPr>
              <w:t>竣工验收时间为准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271" w:line="183" w:lineRule="auto"/>
              <w:ind w:left="134"/>
              <w:rPr>
                <w:color w:val="auto"/>
                <w:highlight w:val="none"/>
              </w:rPr>
            </w:pPr>
            <w:r>
              <w:rPr>
                <w:color w:val="auto"/>
                <w:spacing w:val="-4"/>
                <w:highlight w:val="none"/>
              </w:rPr>
              <w:t>10.1.3</w:t>
            </w:r>
          </w:p>
        </w:tc>
        <w:tc>
          <w:tcPr>
            <w:tcW w:w="1977" w:type="dxa"/>
            <w:vAlign w:val="top"/>
          </w:tcPr>
          <w:p>
            <w:pPr>
              <w:pStyle w:val="10"/>
              <w:spacing w:before="237" w:line="220" w:lineRule="auto"/>
              <w:ind w:left="782"/>
              <w:rPr>
                <w:color w:val="auto"/>
                <w:highlight w:val="none"/>
              </w:rPr>
            </w:pPr>
            <w:r>
              <w:rPr>
                <w:color w:val="auto"/>
                <w:spacing w:val="-2"/>
                <w:highlight w:val="none"/>
              </w:rPr>
              <w:t>盖章</w:t>
            </w:r>
          </w:p>
        </w:tc>
        <w:tc>
          <w:tcPr>
            <w:tcW w:w="5673" w:type="dxa"/>
            <w:vAlign w:val="top"/>
          </w:tcPr>
          <w:p>
            <w:pPr>
              <w:pStyle w:val="10"/>
              <w:spacing w:before="77" w:line="245" w:lineRule="auto"/>
              <w:ind w:left="130" w:right="106" w:hanging="16"/>
              <w:rPr>
                <w:color w:val="auto"/>
                <w:highlight w:val="none"/>
              </w:rPr>
            </w:pPr>
            <w:r>
              <w:rPr>
                <w:color w:val="auto"/>
                <w:spacing w:val="8"/>
                <w:highlight w:val="none"/>
              </w:rPr>
              <w:t>盖单位章指盖单位公章，签章指法定代表人或授</w:t>
            </w:r>
            <w:r>
              <w:rPr>
                <w:color w:val="auto"/>
                <w:spacing w:val="7"/>
                <w:highlight w:val="none"/>
              </w:rPr>
              <w:t>权委托人</w:t>
            </w:r>
            <w:r>
              <w:rPr>
                <w:color w:val="auto"/>
                <w:highlight w:val="none"/>
              </w:rPr>
              <w:t xml:space="preserve"> </w:t>
            </w:r>
            <w:r>
              <w:rPr>
                <w:color w:val="auto"/>
                <w:spacing w:val="-6"/>
                <w:highlight w:val="none"/>
              </w:rPr>
              <w:t>的个人印鉴或签字， 以上均为法定意义上电子签名。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pPr>
              <w:pStyle w:val="10"/>
              <w:spacing w:before="181" w:line="183" w:lineRule="auto"/>
              <w:ind w:left="134"/>
              <w:rPr>
                <w:color w:val="auto"/>
                <w:highlight w:val="none"/>
              </w:rPr>
            </w:pPr>
            <w:r>
              <w:rPr>
                <w:color w:val="auto"/>
                <w:spacing w:val="-4"/>
                <w:highlight w:val="none"/>
              </w:rPr>
              <w:t>10.1.4</w:t>
            </w:r>
          </w:p>
        </w:tc>
        <w:tc>
          <w:tcPr>
            <w:tcW w:w="1977" w:type="dxa"/>
            <w:vAlign w:val="top"/>
          </w:tcPr>
          <w:p>
            <w:pPr>
              <w:pStyle w:val="10"/>
              <w:spacing w:before="146" w:line="221" w:lineRule="auto"/>
              <w:ind w:left="364"/>
              <w:rPr>
                <w:color w:val="auto"/>
                <w:highlight w:val="none"/>
              </w:rPr>
            </w:pPr>
            <w:r>
              <w:rPr>
                <w:color w:val="auto"/>
                <w:spacing w:val="-2"/>
                <w:highlight w:val="none"/>
              </w:rPr>
              <w:t>获奖表彰时间</w:t>
            </w:r>
          </w:p>
        </w:tc>
        <w:tc>
          <w:tcPr>
            <w:tcW w:w="5673" w:type="dxa"/>
            <w:vAlign w:val="top"/>
          </w:tcPr>
          <w:p>
            <w:pPr>
              <w:pStyle w:val="10"/>
              <w:spacing w:before="147" w:line="220" w:lineRule="auto"/>
              <w:ind w:left="137"/>
              <w:rPr>
                <w:color w:val="auto"/>
                <w:highlight w:val="none"/>
              </w:rPr>
            </w:pPr>
            <w:r>
              <w:rPr>
                <w:color w:val="auto"/>
                <w:spacing w:val="-3"/>
                <w:highlight w:val="none"/>
              </w:rPr>
              <w:t>以表彰文件、获奖证书的颁发时间为准。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272" w:line="183" w:lineRule="auto"/>
              <w:ind w:left="134"/>
              <w:rPr>
                <w:color w:val="auto"/>
                <w:highlight w:val="none"/>
              </w:rPr>
            </w:pPr>
            <w:r>
              <w:rPr>
                <w:color w:val="auto"/>
                <w:spacing w:val="-4"/>
                <w:highlight w:val="none"/>
              </w:rPr>
              <w:t>10.1.5</w:t>
            </w:r>
          </w:p>
        </w:tc>
        <w:tc>
          <w:tcPr>
            <w:tcW w:w="1977" w:type="dxa"/>
            <w:vAlign w:val="top"/>
          </w:tcPr>
          <w:p>
            <w:pPr>
              <w:pStyle w:val="10"/>
              <w:spacing w:before="238" w:line="221" w:lineRule="auto"/>
              <w:ind w:left="573"/>
              <w:rPr>
                <w:color w:val="auto"/>
                <w:highlight w:val="none"/>
              </w:rPr>
            </w:pPr>
            <w:r>
              <w:rPr>
                <w:color w:val="auto"/>
                <w:spacing w:val="-3"/>
                <w:highlight w:val="none"/>
              </w:rPr>
              <w:t>不良行为</w:t>
            </w:r>
          </w:p>
        </w:tc>
        <w:tc>
          <w:tcPr>
            <w:tcW w:w="5673" w:type="dxa"/>
            <w:vAlign w:val="top"/>
          </w:tcPr>
          <w:p>
            <w:pPr>
              <w:pStyle w:val="10"/>
              <w:spacing w:before="77" w:line="245" w:lineRule="auto"/>
              <w:ind w:left="115" w:right="477"/>
              <w:rPr>
                <w:color w:val="auto"/>
                <w:highlight w:val="none"/>
              </w:rPr>
            </w:pPr>
            <w:r>
              <w:rPr>
                <w:color w:val="auto"/>
                <w:spacing w:val="-2"/>
                <w:highlight w:val="none"/>
              </w:rPr>
              <w:t>指投标人须知前附表第</w:t>
            </w:r>
            <w:r>
              <w:rPr>
                <w:color w:val="auto"/>
                <w:spacing w:val="-15"/>
                <w:highlight w:val="none"/>
              </w:rPr>
              <w:t xml:space="preserve"> </w:t>
            </w:r>
            <w:r>
              <w:rPr>
                <w:color w:val="auto"/>
                <w:spacing w:val="-2"/>
                <w:highlight w:val="none"/>
              </w:rPr>
              <w:t>1.4.3（9）至（16）目规定的情</w:t>
            </w:r>
            <w:r>
              <w:rPr>
                <w:color w:val="auto"/>
                <w:highlight w:val="none"/>
              </w:rPr>
              <w:t xml:space="preserve"> </w:t>
            </w:r>
            <w:r>
              <w:rPr>
                <w:color w:val="auto"/>
                <w:spacing w:val="-10"/>
                <w:highlight w:val="none"/>
              </w:rP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273" w:line="183" w:lineRule="auto"/>
              <w:ind w:left="134"/>
              <w:rPr>
                <w:color w:val="auto"/>
                <w:highlight w:val="none"/>
              </w:rPr>
            </w:pPr>
            <w:r>
              <w:rPr>
                <w:color w:val="auto"/>
                <w:spacing w:val="-4"/>
                <w:highlight w:val="none"/>
              </w:rPr>
              <w:t>10.1.6</w:t>
            </w:r>
          </w:p>
        </w:tc>
        <w:tc>
          <w:tcPr>
            <w:tcW w:w="1977" w:type="dxa"/>
            <w:vAlign w:val="top"/>
          </w:tcPr>
          <w:p>
            <w:pPr>
              <w:pStyle w:val="10"/>
              <w:spacing w:before="239" w:line="221" w:lineRule="auto"/>
              <w:ind w:left="783"/>
              <w:rPr>
                <w:color w:val="auto"/>
                <w:highlight w:val="none"/>
              </w:rPr>
            </w:pPr>
            <w:r>
              <w:rPr>
                <w:color w:val="auto"/>
                <w:spacing w:val="-2"/>
                <w:highlight w:val="none"/>
              </w:rPr>
              <w:t>现金</w:t>
            </w:r>
          </w:p>
        </w:tc>
        <w:tc>
          <w:tcPr>
            <w:tcW w:w="5673" w:type="dxa"/>
            <w:vAlign w:val="top"/>
          </w:tcPr>
          <w:p>
            <w:pPr>
              <w:pStyle w:val="10"/>
              <w:spacing w:before="77" w:line="245" w:lineRule="auto"/>
              <w:ind w:left="114" w:right="316"/>
              <w:rPr>
                <w:color w:val="auto"/>
                <w:highlight w:val="none"/>
              </w:rPr>
            </w:pPr>
            <w:r>
              <w:rPr>
                <w:color w:val="auto"/>
                <w:spacing w:val="-1"/>
                <w:highlight w:val="none"/>
              </w:rPr>
              <w:t>投标保证金、履约保证金现金缴纳方式指通过电汇、支票</w:t>
            </w:r>
            <w:r>
              <w:rPr>
                <w:color w:val="auto"/>
                <w:spacing w:val="10"/>
                <w:highlight w:val="none"/>
              </w:rPr>
              <w:t xml:space="preserve"> </w:t>
            </w:r>
            <w:r>
              <w:rPr>
                <w:color w:val="auto"/>
                <w:spacing w:val="-2"/>
                <w:highlight w:val="none"/>
              </w:rPr>
              <w:t>等广义现金方式缴纳而非现金钞票。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pPr>
              <w:pStyle w:val="10"/>
              <w:spacing w:before="273" w:line="183" w:lineRule="auto"/>
              <w:ind w:left="239"/>
              <w:rPr>
                <w:color w:val="auto"/>
                <w:highlight w:val="none"/>
              </w:rPr>
            </w:pPr>
            <w:r>
              <w:rPr>
                <w:color w:val="auto"/>
                <w:spacing w:val="-5"/>
                <w:highlight w:val="none"/>
              </w:rPr>
              <w:t>10.2</w:t>
            </w:r>
          </w:p>
        </w:tc>
        <w:tc>
          <w:tcPr>
            <w:tcW w:w="1977" w:type="dxa"/>
            <w:vAlign w:val="top"/>
          </w:tcPr>
          <w:p>
            <w:pPr>
              <w:pStyle w:val="10"/>
              <w:spacing w:before="77" w:line="245" w:lineRule="auto"/>
              <w:ind w:left="362" w:right="250" w:hanging="87"/>
              <w:rPr>
                <w:color w:val="auto"/>
                <w:highlight w:val="none"/>
              </w:rPr>
            </w:pPr>
            <w:r>
              <w:rPr>
                <w:color w:val="auto"/>
                <w:spacing w:val="-4"/>
                <w:highlight w:val="none"/>
              </w:rPr>
              <w:t>中标后须提交的</w:t>
            </w:r>
            <w:r>
              <w:rPr>
                <w:color w:val="auto"/>
                <w:spacing w:val="2"/>
                <w:highlight w:val="none"/>
              </w:rPr>
              <w:t xml:space="preserve"> </w:t>
            </w:r>
            <w:r>
              <w:rPr>
                <w:color w:val="auto"/>
                <w:spacing w:val="-2"/>
                <w:highlight w:val="none"/>
              </w:rPr>
              <w:t>纸质投标文件</w:t>
            </w:r>
          </w:p>
        </w:tc>
        <w:tc>
          <w:tcPr>
            <w:tcW w:w="5673" w:type="dxa"/>
            <w:vAlign w:val="top"/>
          </w:tcPr>
          <w:p>
            <w:pPr>
              <w:pStyle w:val="10"/>
              <w:spacing w:before="77" w:line="245" w:lineRule="auto"/>
              <w:ind w:left="130" w:right="203" w:hanging="17"/>
              <w:rPr>
                <w:color w:val="auto"/>
                <w:highlight w:val="none"/>
              </w:rPr>
            </w:pPr>
            <w:r>
              <w:rPr>
                <w:color w:val="auto"/>
                <w:spacing w:val="-4"/>
                <w:highlight w:val="none"/>
              </w:rPr>
              <w:t>份数：</w:t>
            </w:r>
            <w:r>
              <w:rPr>
                <w:color w:val="auto"/>
                <w:spacing w:val="-4"/>
                <w:highlight w:val="none"/>
                <w:u w:val="single" w:color="auto"/>
              </w:rPr>
              <w:t xml:space="preserve">  </w:t>
            </w:r>
            <w:r>
              <w:rPr>
                <w:rFonts w:hint="eastAsia"/>
                <w:color w:val="auto"/>
                <w:spacing w:val="-4"/>
                <w:highlight w:val="none"/>
                <w:u w:val="single" w:color="auto"/>
                <w:lang w:val="en-US" w:eastAsia="zh-CN"/>
              </w:rPr>
              <w:t>6</w:t>
            </w:r>
            <w:r>
              <w:rPr>
                <w:color w:val="auto"/>
                <w:spacing w:val="-4"/>
                <w:highlight w:val="none"/>
                <w:u w:val="single" w:color="auto"/>
              </w:rPr>
              <w:t xml:space="preserve"> </w:t>
            </w:r>
            <w:r>
              <w:rPr>
                <w:color w:val="auto"/>
                <w:spacing w:val="-97"/>
                <w:highlight w:val="none"/>
              </w:rPr>
              <w:t xml:space="preserve"> </w:t>
            </w:r>
            <w:r>
              <w:rPr>
                <w:color w:val="auto"/>
                <w:spacing w:val="-4"/>
                <w:highlight w:val="none"/>
              </w:rPr>
              <w:t>份，中标人提交的纸质投标文件应当与投</w:t>
            </w:r>
            <w:r>
              <w:rPr>
                <w:color w:val="auto"/>
                <w:spacing w:val="-5"/>
                <w:highlight w:val="none"/>
              </w:rPr>
              <w:t>标时</w:t>
            </w:r>
            <w:r>
              <w:rPr>
                <w:color w:val="auto"/>
                <w:highlight w:val="none"/>
              </w:rPr>
              <w:t xml:space="preserve"> </w:t>
            </w:r>
            <w:r>
              <w:rPr>
                <w:color w:val="auto"/>
                <w:spacing w:val="-2"/>
                <w:highlight w:val="none"/>
              </w:rPr>
              <w:t>的电子投标文件内容一致。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7" w:hRule="atLeast"/>
        </w:trPr>
        <w:tc>
          <w:tcPr>
            <w:tcW w:w="856" w:type="dxa"/>
            <w:vAlign w:val="top"/>
          </w:tcPr>
          <w:p>
            <w:pPr>
              <w:spacing w:line="259" w:lineRule="auto"/>
              <w:rPr>
                <w:rFonts w:ascii="Arial"/>
                <w:color w:val="auto"/>
                <w:sz w:val="21"/>
                <w:highlight w:val="none"/>
              </w:rPr>
            </w:pPr>
          </w:p>
          <w:p>
            <w:pPr>
              <w:spacing w:line="260" w:lineRule="auto"/>
              <w:rPr>
                <w:rFonts w:ascii="Arial"/>
                <w:color w:val="auto"/>
                <w:sz w:val="21"/>
                <w:highlight w:val="none"/>
              </w:rPr>
            </w:pPr>
          </w:p>
          <w:p>
            <w:pPr>
              <w:spacing w:line="260" w:lineRule="auto"/>
              <w:rPr>
                <w:rFonts w:ascii="Arial"/>
                <w:color w:val="auto"/>
                <w:sz w:val="21"/>
                <w:highlight w:val="none"/>
              </w:rPr>
            </w:pPr>
          </w:p>
          <w:p>
            <w:pPr>
              <w:spacing w:line="260" w:lineRule="auto"/>
              <w:rPr>
                <w:rFonts w:ascii="Arial"/>
                <w:color w:val="auto"/>
                <w:sz w:val="21"/>
                <w:highlight w:val="none"/>
              </w:rPr>
            </w:pPr>
          </w:p>
          <w:p>
            <w:pPr>
              <w:pStyle w:val="10"/>
              <w:spacing w:before="69" w:line="183" w:lineRule="auto"/>
              <w:ind w:left="239"/>
              <w:rPr>
                <w:color w:val="auto"/>
                <w:highlight w:val="none"/>
              </w:rPr>
            </w:pPr>
            <w:r>
              <w:rPr>
                <w:color w:val="auto"/>
                <w:spacing w:val="-5"/>
                <w:highlight w:val="none"/>
              </w:rPr>
              <w:t>10.6</w:t>
            </w:r>
          </w:p>
        </w:tc>
        <w:tc>
          <w:tcPr>
            <w:tcW w:w="1977" w:type="dxa"/>
            <w:vAlign w:val="top"/>
          </w:tcPr>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2" w:lineRule="auto"/>
              <w:rPr>
                <w:rFonts w:ascii="Arial"/>
                <w:color w:val="auto"/>
                <w:sz w:val="21"/>
                <w:highlight w:val="none"/>
              </w:rPr>
            </w:pPr>
          </w:p>
          <w:p>
            <w:pPr>
              <w:pStyle w:val="10"/>
              <w:spacing w:before="68" w:line="221" w:lineRule="auto"/>
              <w:ind w:left="256"/>
              <w:rPr>
                <w:color w:val="auto"/>
                <w:highlight w:val="none"/>
              </w:rPr>
            </w:pPr>
            <w:r>
              <w:rPr>
                <w:color w:val="auto"/>
                <w:spacing w:val="-1"/>
                <w:highlight w:val="none"/>
              </w:rPr>
              <w:t>招标代理服务费</w:t>
            </w:r>
          </w:p>
        </w:tc>
        <w:tc>
          <w:tcPr>
            <w:tcW w:w="5673" w:type="dxa"/>
            <w:vAlign w:val="top"/>
          </w:tcPr>
          <w:p>
            <w:pPr>
              <w:pStyle w:val="10"/>
              <w:spacing w:before="119" w:line="220" w:lineRule="auto"/>
              <w:ind w:left="134"/>
              <w:rPr>
                <w:color w:val="auto"/>
                <w:highlight w:val="none"/>
              </w:rPr>
            </w:pPr>
            <w:r>
              <w:rPr>
                <w:color w:val="auto"/>
                <w:spacing w:val="-2"/>
                <w:highlight w:val="none"/>
              </w:rPr>
              <w:t>□本项目不收取招标代理服务费。</w:t>
            </w:r>
          </w:p>
          <w:p>
            <w:pPr>
              <w:pStyle w:val="10"/>
              <w:spacing w:before="71" w:line="220" w:lineRule="auto"/>
              <w:ind w:left="134"/>
              <w:rPr>
                <w:color w:val="auto"/>
                <w:highlight w:val="none"/>
              </w:rPr>
            </w:pPr>
            <w:r>
              <w:rPr>
                <w:rFonts w:hint="eastAsia"/>
                <w:color w:val="auto"/>
                <w:spacing w:val="-2"/>
                <w:highlight w:val="none"/>
                <w:lang w:eastAsia="zh-CN"/>
              </w:rPr>
              <w:t>☑</w:t>
            </w:r>
            <w:r>
              <w:rPr>
                <w:color w:val="auto"/>
                <w:spacing w:val="-2"/>
                <w:highlight w:val="none"/>
              </w:rPr>
              <w:t>本项目收取招标代理服务费。具体要求如下：</w:t>
            </w:r>
          </w:p>
          <w:p>
            <w:pPr>
              <w:pStyle w:val="10"/>
              <w:spacing w:before="69" w:line="221" w:lineRule="auto"/>
              <w:ind w:left="345"/>
              <w:rPr>
                <w:color w:val="auto"/>
                <w:highlight w:val="none"/>
              </w:rPr>
            </w:pPr>
            <w:r>
              <w:rPr>
                <w:color w:val="auto"/>
                <w:spacing w:val="-4"/>
                <w:highlight w:val="none"/>
              </w:rPr>
              <w:t>□由招标人支付。</w:t>
            </w:r>
          </w:p>
          <w:p>
            <w:pPr>
              <w:pStyle w:val="10"/>
              <w:spacing w:before="67" w:line="221" w:lineRule="auto"/>
              <w:ind w:left="345"/>
              <w:rPr>
                <w:color w:val="auto"/>
                <w:highlight w:val="none"/>
              </w:rPr>
            </w:pPr>
            <w:r>
              <w:rPr>
                <w:rFonts w:hint="eastAsia"/>
                <w:color w:val="auto"/>
                <w:spacing w:val="-4"/>
                <w:highlight w:val="none"/>
                <w:lang w:eastAsia="zh-CN"/>
              </w:rPr>
              <w:t>☑</w:t>
            </w:r>
            <w:r>
              <w:rPr>
                <w:color w:val="auto"/>
                <w:spacing w:val="-4"/>
                <w:highlight w:val="none"/>
              </w:rPr>
              <w:t>由中标人支付。</w:t>
            </w:r>
          </w:p>
          <w:p>
            <w:pPr>
              <w:pStyle w:val="10"/>
              <w:spacing w:before="70" w:line="281" w:lineRule="auto"/>
              <w:ind w:left="639"/>
              <w:rPr>
                <w:color w:val="auto"/>
                <w:highlight w:val="none"/>
              </w:rPr>
            </w:pPr>
            <w:r>
              <w:rPr>
                <w:color w:val="auto"/>
                <w:spacing w:val="-2"/>
                <w:highlight w:val="none"/>
              </w:rPr>
              <w:t>支付标准</w:t>
            </w:r>
            <w:r>
              <w:rPr>
                <w:color w:val="auto"/>
                <w:spacing w:val="-1"/>
                <w:highlight w:val="none"/>
              </w:rPr>
              <w:t>：</w:t>
            </w:r>
            <w:r>
              <w:rPr>
                <w:rFonts w:hint="eastAsia"/>
                <w:color w:val="auto"/>
                <w:spacing w:val="5"/>
                <w:highlight w:val="none"/>
                <w:u w:val="single" w:color="auto"/>
              </w:rPr>
              <w:t>按照国家计委《招标代理服务费收取管理暂行办法》（计价格[2002]1980号）、《国家发展改革委办公厅关于招标代理服务收费有关问题的通知》（发改办[2003]857号文件）、《国家发展改革委关于降低部分建设项目收费标准规范收费行为等有关问题的通知》（发改价格[2011]534号文件）规定执行，本项目代理服务费由中标人支付</w:t>
            </w:r>
            <w:r>
              <w:rPr>
                <w:color w:val="auto"/>
                <w:spacing w:val="16"/>
                <w:highlight w:val="none"/>
              </w:rPr>
              <w:t xml:space="preserve"> </w:t>
            </w:r>
            <w:r>
              <w:rPr>
                <w:color w:val="auto"/>
                <w:spacing w:val="-1"/>
                <w:highlight w:val="none"/>
              </w:rPr>
              <w:t>；</w:t>
            </w:r>
          </w:p>
          <w:p>
            <w:pPr>
              <w:pStyle w:val="10"/>
              <w:spacing w:line="220" w:lineRule="auto"/>
              <w:ind w:left="639"/>
              <w:rPr>
                <w:color w:val="auto"/>
                <w:highlight w:val="none"/>
              </w:rPr>
            </w:pPr>
            <w:r>
              <w:rPr>
                <w:color w:val="auto"/>
                <w:spacing w:val="-2"/>
                <w:highlight w:val="none"/>
              </w:rPr>
              <w:t>支付方式</w:t>
            </w:r>
            <w:r>
              <w:rPr>
                <w:color w:val="auto"/>
                <w:spacing w:val="-1"/>
                <w:highlight w:val="none"/>
              </w:rPr>
              <w:t>：</w:t>
            </w:r>
            <w:r>
              <w:rPr>
                <w:color w:val="auto"/>
                <w:highlight w:val="none"/>
                <w:u w:val="single" w:color="auto"/>
              </w:rPr>
              <w:t xml:space="preserve"> </w:t>
            </w:r>
            <w:r>
              <w:rPr>
                <w:rFonts w:hint="eastAsia"/>
                <w:color w:val="auto"/>
                <w:highlight w:val="none"/>
                <w:u w:val="single" w:color="auto"/>
              </w:rPr>
              <w:t xml:space="preserve">电汇或现金 </w:t>
            </w:r>
            <w:r>
              <w:rPr>
                <w:color w:val="auto"/>
                <w:highlight w:val="none"/>
                <w:u w:val="single" w:color="auto"/>
              </w:rPr>
              <w:t xml:space="preserve">       </w:t>
            </w:r>
            <w:r>
              <w:rPr>
                <w:color w:val="auto"/>
                <w:spacing w:val="-1"/>
                <w:highlight w:val="none"/>
              </w:rPr>
              <w:t>；</w:t>
            </w:r>
          </w:p>
          <w:p>
            <w:pPr>
              <w:pStyle w:val="10"/>
              <w:spacing w:before="68" w:line="221" w:lineRule="auto"/>
              <w:ind w:left="639"/>
              <w:rPr>
                <w:color w:val="auto"/>
                <w:highlight w:val="none"/>
              </w:rPr>
            </w:pPr>
            <w:r>
              <w:rPr>
                <w:color w:val="auto"/>
                <w:spacing w:val="-1"/>
                <w:highlight w:val="none"/>
              </w:rPr>
              <w:t>支付时间：</w:t>
            </w:r>
            <w:r>
              <w:rPr>
                <w:color w:val="auto"/>
                <w:spacing w:val="-1"/>
                <w:highlight w:val="none"/>
                <w:u w:val="single" w:color="auto"/>
              </w:rPr>
              <w:t xml:space="preserve"> </w:t>
            </w:r>
            <w:r>
              <w:rPr>
                <w:rFonts w:hint="eastAsia"/>
                <w:color w:val="auto"/>
                <w:spacing w:val="-1"/>
                <w:highlight w:val="none"/>
                <w:u w:val="single" w:color="auto"/>
              </w:rPr>
              <w:t>在</w:t>
            </w:r>
            <w:r>
              <w:rPr>
                <w:rFonts w:hint="eastAsia"/>
                <w:color w:val="auto"/>
                <w:spacing w:val="-1"/>
                <w:highlight w:val="none"/>
                <w:u w:val="single" w:color="auto"/>
                <w:lang w:eastAsia="zh-CN"/>
              </w:rPr>
              <w:t>领取</w:t>
            </w:r>
            <w:r>
              <w:rPr>
                <w:rFonts w:hint="eastAsia"/>
                <w:color w:val="auto"/>
                <w:spacing w:val="-1"/>
                <w:highlight w:val="none"/>
                <w:u w:val="single" w:color="auto"/>
              </w:rPr>
              <w:t>《中标通知书》时一次性交纳招标服务费</w:t>
            </w:r>
            <w:r>
              <w:rPr>
                <w:color w:val="auto"/>
                <w:spacing w:val="-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6" w:type="dxa"/>
            <w:vAlign w:val="center"/>
          </w:tcPr>
          <w:p>
            <w:pPr>
              <w:spacing w:line="456" w:lineRule="auto"/>
              <w:jc w:val="center"/>
              <w:rPr>
                <w:rFonts w:ascii="Arial"/>
                <w:color w:val="auto"/>
                <w:sz w:val="21"/>
                <w:highlight w:val="none"/>
              </w:rPr>
            </w:pPr>
          </w:p>
          <w:p>
            <w:pPr>
              <w:pStyle w:val="10"/>
              <w:spacing w:before="68" w:line="183" w:lineRule="auto"/>
              <w:ind w:left="239"/>
              <w:jc w:val="center"/>
              <w:rPr>
                <w:color w:val="auto"/>
                <w:highlight w:val="none"/>
              </w:rPr>
            </w:pPr>
            <w:r>
              <w:rPr>
                <w:color w:val="auto"/>
                <w:spacing w:val="-6"/>
                <w:highlight w:val="none"/>
              </w:rPr>
              <w:t>10.7</w:t>
            </w:r>
          </w:p>
        </w:tc>
        <w:tc>
          <w:tcPr>
            <w:tcW w:w="1977" w:type="dxa"/>
            <w:vAlign w:val="center"/>
          </w:tcPr>
          <w:p>
            <w:pPr>
              <w:spacing w:line="263" w:lineRule="auto"/>
              <w:jc w:val="center"/>
              <w:rPr>
                <w:rFonts w:ascii="Arial"/>
                <w:color w:val="auto"/>
                <w:sz w:val="21"/>
                <w:highlight w:val="none"/>
              </w:rPr>
            </w:pPr>
          </w:p>
          <w:p>
            <w:pPr>
              <w:pStyle w:val="10"/>
              <w:spacing w:before="69" w:line="251" w:lineRule="auto"/>
              <w:ind w:left="806" w:right="147" w:hanging="655"/>
              <w:jc w:val="center"/>
              <w:rPr>
                <w:color w:val="auto"/>
                <w:highlight w:val="none"/>
              </w:rPr>
            </w:pPr>
            <w:r>
              <w:rPr>
                <w:color w:val="auto"/>
                <w:spacing w:val="-1"/>
                <w:highlight w:val="none"/>
              </w:rPr>
              <w:t>招标人补充的其他</w:t>
            </w:r>
            <w:r>
              <w:rPr>
                <w:color w:val="auto"/>
                <w:highlight w:val="none"/>
              </w:rPr>
              <w:t xml:space="preserve"> </w:t>
            </w:r>
            <w:r>
              <w:rPr>
                <w:color w:val="auto"/>
                <w:spacing w:val="-8"/>
                <w:highlight w:val="none"/>
              </w:rPr>
              <w:t>内容</w:t>
            </w:r>
          </w:p>
        </w:tc>
        <w:tc>
          <w:tcPr>
            <w:tcW w:w="5673" w:type="dxa"/>
            <w:vAlign w:val="top"/>
          </w:tcPr>
          <w:p>
            <w:pPr>
              <w:pStyle w:val="10"/>
              <w:numPr>
                <w:ilvl w:val="0"/>
                <w:numId w:val="2"/>
              </w:numPr>
              <w:spacing w:before="68" w:line="332" w:lineRule="exact"/>
              <w:ind w:left="126"/>
              <w:rPr>
                <w:rFonts w:hint="eastAsia"/>
                <w:color w:val="auto"/>
                <w:highlight w:val="none"/>
              </w:rPr>
            </w:pPr>
            <w:r>
              <w:rPr>
                <w:rFonts w:hint="eastAsia"/>
                <w:color w:val="auto"/>
                <w:highlight w:val="none"/>
              </w:rPr>
              <w:t>交易中心服务费：根据辽发改价格 (2023) 128 号文件规定计取交易中心服务费，本项目交易中心服务费由中标人支付，但此项费用不得在投标报价中单列。</w:t>
            </w:r>
          </w:p>
          <w:p>
            <w:pPr>
              <w:pStyle w:val="10"/>
              <w:numPr>
                <w:ilvl w:val="0"/>
                <w:numId w:val="2"/>
              </w:numPr>
              <w:spacing w:before="68" w:line="332" w:lineRule="exact"/>
              <w:ind w:left="126" w:leftChars="0" w:firstLine="0" w:firstLineChars="0"/>
              <w:rPr>
                <w:rFonts w:hint="eastAsia"/>
                <w:color w:val="auto"/>
                <w:highlight w:val="none"/>
                <w:lang w:val="en-US" w:eastAsia="zh-CN"/>
              </w:rPr>
            </w:pPr>
            <w:r>
              <w:rPr>
                <w:rFonts w:hint="eastAsia"/>
                <w:color w:val="auto"/>
                <w:highlight w:val="none"/>
                <w:lang w:val="en-US" w:eastAsia="zh-CN"/>
              </w:rPr>
              <w:t>施工场地伐树、迁坟等由施工方自己解决。相应费用已包含在招标控制价中。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dxa"/>
            <w:vAlign w:val="top"/>
          </w:tcPr>
          <w:p>
            <w:pPr>
              <w:pStyle w:val="10"/>
              <w:spacing w:before="168" w:line="221" w:lineRule="auto"/>
              <w:ind w:left="117" w:leftChars="0"/>
              <w:rPr>
                <w:rFonts w:ascii="宋体" w:hAnsi="宋体" w:eastAsia="宋体" w:cs="宋体"/>
                <w:snapToGrid w:val="0"/>
                <w:color w:val="auto"/>
                <w:kern w:val="0"/>
                <w:sz w:val="21"/>
                <w:szCs w:val="21"/>
                <w:highlight w:val="none"/>
                <w:lang w:val="en-US" w:eastAsia="en-US" w:bidi="ar-SA"/>
              </w:rPr>
            </w:pPr>
            <w:r>
              <w:rPr>
                <w:color w:val="auto"/>
                <w:spacing w:val="-2"/>
                <w:highlight w:val="none"/>
                <w14:textOutline w14:w="3831" w14:cap="flat" w14:cmpd="sng">
                  <w14:solidFill>
                    <w14:srgbClr w14:val="000000"/>
                  </w14:solidFill>
                  <w14:prstDash w14:val="solid"/>
                  <w14:miter w14:val="0"/>
                </w14:textOutline>
              </w:rPr>
              <w:t>条款号</w:t>
            </w:r>
          </w:p>
        </w:tc>
        <w:tc>
          <w:tcPr>
            <w:tcW w:w="1977" w:type="dxa"/>
            <w:vAlign w:val="top"/>
          </w:tcPr>
          <w:p>
            <w:pPr>
              <w:pStyle w:val="10"/>
              <w:spacing w:before="168" w:line="221" w:lineRule="auto"/>
              <w:ind w:left="255" w:leftChars="0"/>
              <w:rPr>
                <w:rFonts w:ascii="宋体" w:hAnsi="宋体" w:eastAsia="宋体" w:cs="宋体"/>
                <w:snapToGrid w:val="0"/>
                <w:color w:val="auto"/>
                <w:kern w:val="0"/>
                <w:sz w:val="21"/>
                <w:szCs w:val="21"/>
                <w:highlight w:val="none"/>
                <w:lang w:val="en-US" w:eastAsia="en-US" w:bidi="ar-SA"/>
              </w:rPr>
            </w:pPr>
            <w:r>
              <w:rPr>
                <w:color w:val="auto"/>
                <w:spacing w:val="-7"/>
                <w:highlight w:val="none"/>
                <w14:textOutline w14:w="3831" w14:cap="flat" w14:cmpd="sng">
                  <w14:solidFill>
                    <w14:srgbClr w14:val="000000"/>
                  </w14:solidFill>
                  <w14:prstDash w14:val="solid"/>
                  <w14:miter w14:val="0"/>
                </w14:textOutline>
              </w:rPr>
              <w:t>条</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款</w:t>
            </w:r>
            <w:r>
              <w:rPr>
                <w:color w:val="auto"/>
                <w:spacing w:val="6"/>
                <w:highlight w:val="none"/>
              </w:rPr>
              <w:t xml:space="preserve">  </w:t>
            </w:r>
            <w:r>
              <w:rPr>
                <w:color w:val="auto"/>
                <w:spacing w:val="-7"/>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称</w:t>
            </w:r>
          </w:p>
        </w:tc>
        <w:tc>
          <w:tcPr>
            <w:tcW w:w="5673" w:type="dxa"/>
            <w:vAlign w:val="top"/>
          </w:tcPr>
          <w:p>
            <w:pPr>
              <w:pStyle w:val="10"/>
              <w:spacing w:before="168" w:line="221" w:lineRule="auto"/>
              <w:ind w:left="2102" w:leftChars="0"/>
              <w:rPr>
                <w:rFonts w:hint="eastAsia" w:ascii="宋体" w:hAnsi="宋体" w:eastAsia="宋体" w:cs="宋体"/>
                <w:snapToGrid w:val="0"/>
                <w:color w:val="auto"/>
                <w:kern w:val="0"/>
                <w:sz w:val="21"/>
                <w:szCs w:val="21"/>
                <w:highlight w:val="none"/>
                <w:lang w:val="en-US" w:eastAsia="zh-CN" w:bidi="ar-SA"/>
              </w:rPr>
            </w:pPr>
            <w:r>
              <w:rPr>
                <w:color w:val="auto"/>
                <w:spacing w:val="-14"/>
                <w:highlight w:val="none"/>
                <w14:textOutline w14:w="3831" w14:cap="flat" w14:cmpd="sng">
                  <w14:solidFill>
                    <w14:srgbClr w14:val="000000"/>
                  </w14:solidFill>
                  <w14:prstDash w14:val="solid"/>
                  <w14:miter w14:val="0"/>
                </w14:textOutline>
              </w:rPr>
              <w:t>编</w:t>
            </w:r>
            <w:r>
              <w:rPr>
                <w:color w:val="auto"/>
                <w:spacing w:val="8"/>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17"/>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6"/>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dxa"/>
            <w:vAlign w:val="top"/>
          </w:tcPr>
          <w:p>
            <w:pPr>
              <w:pStyle w:val="10"/>
              <w:spacing w:before="168" w:line="221" w:lineRule="auto"/>
              <w:ind w:left="117" w:leftChars="0"/>
              <w:rPr>
                <w:color w:val="auto"/>
                <w:spacing w:val="-2"/>
                <w:highlight w:val="none"/>
                <w14:textOutline w14:w="3831" w14:cap="flat" w14:cmpd="sng">
                  <w14:solidFill>
                    <w14:srgbClr w14:val="000000"/>
                  </w14:solidFill>
                  <w14:prstDash w14:val="solid"/>
                  <w14:miter w14:val="0"/>
                </w14:textOutline>
              </w:rPr>
            </w:pPr>
          </w:p>
        </w:tc>
        <w:tc>
          <w:tcPr>
            <w:tcW w:w="1977" w:type="dxa"/>
            <w:vAlign w:val="top"/>
          </w:tcPr>
          <w:p>
            <w:pPr>
              <w:pStyle w:val="10"/>
              <w:spacing w:before="168" w:line="221" w:lineRule="auto"/>
              <w:ind w:left="255" w:leftChars="0"/>
              <w:rPr>
                <w:color w:val="auto"/>
                <w:spacing w:val="-7"/>
                <w:highlight w:val="none"/>
                <w14:textOutline w14:w="3831" w14:cap="flat" w14:cmpd="sng">
                  <w14:solidFill>
                    <w14:srgbClr w14:val="000000"/>
                  </w14:solidFill>
                  <w14:prstDash w14:val="solid"/>
                  <w14:miter w14:val="0"/>
                </w14:textOutline>
              </w:rPr>
            </w:pPr>
          </w:p>
        </w:tc>
        <w:tc>
          <w:tcPr>
            <w:tcW w:w="5673" w:type="dxa"/>
            <w:vAlign w:val="top"/>
          </w:tcPr>
          <w:p>
            <w:pPr>
              <w:pStyle w:val="10"/>
              <w:numPr>
                <w:ilvl w:val="0"/>
                <w:numId w:val="0"/>
              </w:numPr>
              <w:spacing w:before="68" w:line="332" w:lineRule="exact"/>
              <w:ind w:left="126" w:leftChars="0"/>
              <w:rPr>
                <w:color w:val="auto"/>
                <w:spacing w:val="-14"/>
                <w:highlight w:val="none"/>
                <w14:textOutline w14:w="3831" w14:cap="flat" w14:cmpd="sng">
                  <w14:solidFill>
                    <w14:srgbClr w14:val="000000"/>
                  </w14:solidFill>
                  <w14:prstDash w14:val="solid"/>
                  <w14:miter w14:val="0"/>
                </w14:textOutline>
              </w:rPr>
            </w:pPr>
            <w:r>
              <w:rPr>
                <w:rFonts w:hint="eastAsia"/>
                <w:color w:val="auto"/>
                <w:highlight w:val="none"/>
                <w:lang w:val="en-US" w:eastAsia="zh-CN"/>
              </w:rPr>
              <w:t>3、承包人应按《关于印发大石桥市解决拖欠农民工工资问题实施意见的通知》大政办发【2016】26号文件进行农民工管理。中标人在中标后需持中标通知书到项目建设所在地人社劳动部门办理存储农民工工资保证金相关手续。落实农民工工资保证金制度；施工企业要依法与雇用的农民工签订劳动合同，建立职工名册，加强农民工实名制管理、完善各项</w:t>
            </w:r>
            <w:r>
              <w:rPr>
                <w:rFonts w:hint="eastAsia" w:ascii="宋体" w:hAnsi="宋体" w:eastAsia="宋体" w:cs="宋体"/>
                <w:color w:val="auto"/>
                <w:highlight w:val="none"/>
                <w:lang w:val="en-US" w:eastAsia="zh-CN"/>
              </w:rPr>
              <w:t>管理台账；执行农民工工资专用账户管理，将不低于应付工程款的 20%—30%部分或施工总承包企业提供的人工费用数额，单独拨付到总承包企业设立的工资专用账户；推行银行代发工资制度，施工企业应委托银行设立农民工工资（劳务费）专用（预储）账户，按约定实行农民工工资支付银行卡管理。关于“农民工工资保证金制度”以有关部门发布的最新文件规定执行（如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56" w:type="dxa"/>
            <w:vAlign w:val="top"/>
          </w:tcPr>
          <w:p>
            <w:pPr>
              <w:pStyle w:val="10"/>
              <w:spacing w:before="168" w:line="221" w:lineRule="auto"/>
              <w:ind w:left="117" w:leftChars="0"/>
              <w:rPr>
                <w:color w:val="auto"/>
                <w:spacing w:val="-2"/>
                <w:highlight w:val="none"/>
                <w14:textOutline w14:w="3831" w14:cap="flat" w14:cmpd="sng">
                  <w14:solidFill>
                    <w14:srgbClr w14:val="000000"/>
                  </w14:solidFill>
                  <w14:prstDash w14:val="solid"/>
                  <w14:miter w14:val="0"/>
                </w14:textOutline>
              </w:rPr>
            </w:pPr>
          </w:p>
        </w:tc>
        <w:tc>
          <w:tcPr>
            <w:tcW w:w="1977" w:type="dxa"/>
            <w:vAlign w:val="top"/>
          </w:tcPr>
          <w:p>
            <w:pPr>
              <w:spacing w:line="290" w:lineRule="auto"/>
              <w:rPr>
                <w:rFonts w:hint="eastAsia" w:ascii="宋体" w:hAnsi="宋体" w:eastAsia="宋体" w:cs="宋体"/>
                <w:color w:val="auto"/>
                <w:sz w:val="20"/>
                <w:szCs w:val="20"/>
                <w:highlight w:val="none"/>
              </w:rPr>
            </w:pPr>
          </w:p>
          <w:p>
            <w:pPr>
              <w:spacing w:line="290" w:lineRule="auto"/>
              <w:rPr>
                <w:rFonts w:hint="eastAsia" w:ascii="宋体" w:hAnsi="宋体" w:eastAsia="宋体" w:cs="宋体"/>
                <w:color w:val="auto"/>
                <w:sz w:val="20"/>
                <w:szCs w:val="20"/>
                <w:highlight w:val="none"/>
              </w:rPr>
            </w:pPr>
          </w:p>
          <w:p>
            <w:pPr>
              <w:spacing w:line="293" w:lineRule="auto"/>
              <w:rPr>
                <w:rFonts w:hint="eastAsia" w:ascii="宋体" w:hAnsi="宋体" w:eastAsia="宋体" w:cs="宋体"/>
                <w:color w:val="auto"/>
                <w:sz w:val="20"/>
                <w:szCs w:val="20"/>
                <w:highlight w:val="none"/>
              </w:rPr>
            </w:pPr>
          </w:p>
          <w:p>
            <w:pPr>
              <w:pStyle w:val="10"/>
              <w:spacing w:before="65" w:line="228" w:lineRule="auto"/>
              <w:jc w:val="center"/>
              <w:rPr>
                <w:rFonts w:hint="eastAsia" w:ascii="宋体" w:hAnsi="宋体" w:eastAsia="宋体" w:cs="宋体"/>
                <w:snapToGrid w:val="0"/>
                <w:color w:val="auto"/>
                <w:kern w:val="0"/>
                <w:sz w:val="20"/>
                <w:szCs w:val="20"/>
                <w:highlight w:val="none"/>
                <w:lang w:val="en-US" w:eastAsia="en-US" w:bidi="ar-SA"/>
              </w:rPr>
            </w:pPr>
            <w:r>
              <w:rPr>
                <w:rFonts w:hint="eastAsia" w:ascii="宋体" w:hAnsi="宋体" w:eastAsia="宋体" w:cs="宋体"/>
                <w:color w:val="auto"/>
                <w:spacing w:val="7"/>
                <w:sz w:val="20"/>
                <w:szCs w:val="20"/>
                <w:highlight w:val="none"/>
              </w:rPr>
              <w:t>付款方式</w:t>
            </w:r>
          </w:p>
        </w:tc>
        <w:tc>
          <w:tcPr>
            <w:tcW w:w="5673" w:type="dxa"/>
            <w:vAlign w:val="top"/>
          </w:tcPr>
          <w:p>
            <w:pPr>
              <w:pStyle w:val="10"/>
              <w:spacing w:before="147" w:line="370" w:lineRule="auto"/>
              <w:ind w:left="114" w:leftChars="0" w:right="107" w:rightChars="0"/>
              <w:jc w:val="both"/>
              <w:rPr>
                <w:rFonts w:hint="eastAsia" w:ascii="宋体" w:hAnsi="宋体" w:eastAsia="宋体" w:cs="宋体"/>
                <w:snapToGrid w:val="0"/>
                <w:color w:val="auto"/>
                <w:spacing w:val="8"/>
                <w:kern w:val="0"/>
                <w:sz w:val="20"/>
                <w:szCs w:val="20"/>
                <w:highlight w:val="none"/>
                <w:lang w:val="en-US" w:eastAsia="zh-CN" w:bidi="ar-SA"/>
              </w:rPr>
            </w:pPr>
            <w:r>
              <w:rPr>
                <w:rFonts w:hint="eastAsia" w:ascii="宋体" w:hAnsi="宋体" w:eastAsia="宋体" w:cs="宋体"/>
                <w:color w:val="auto"/>
                <w:spacing w:val="8"/>
                <w:sz w:val="20"/>
                <w:szCs w:val="20"/>
                <w:highlight w:val="none"/>
                <w:lang w:eastAsia="zh-CN"/>
              </w:rPr>
              <w:t>完</w:t>
            </w:r>
            <w:r>
              <w:rPr>
                <w:rFonts w:hint="eastAsia" w:ascii="宋体" w:hAnsi="宋体" w:eastAsia="宋体" w:cs="宋体"/>
                <w:color w:val="auto"/>
                <w:highlight w:val="none"/>
                <w:lang w:val="en-US" w:eastAsia="zh-CN"/>
              </w:rPr>
              <w:t>成工程量的50%后支付总工程款（中标价）的40%，完成工程量90%后支付到总工程款（中标价）的80%，工程竣工验收合格审计决算后支付到总工程款（结算价）的97%，余下3%的工程质保金，质保期一年，期满后无质量问题一次性结清（不计利息）。</w:t>
            </w:r>
          </w:p>
        </w:tc>
      </w:tr>
    </w:tbl>
    <w:p>
      <w:pPr>
        <w:pStyle w:val="2"/>
        <w:rPr>
          <w:color w:val="auto"/>
          <w:highlight w:val="none"/>
        </w:rPr>
      </w:pPr>
    </w:p>
    <w:p>
      <w:pPr>
        <w:rPr>
          <w:color w:val="auto"/>
          <w:highlight w:val="none"/>
        </w:rPr>
        <w:sectPr>
          <w:footerReference r:id="rId15" w:type="default"/>
          <w:pgSz w:w="11905" w:h="16843"/>
          <w:pgMar w:top="1769" w:right="1548" w:bottom="1003" w:left="1542" w:header="0" w:footer="828" w:gutter="0"/>
          <w:pgNumType w:fmt="numberInDash"/>
          <w:cols w:space="0" w:num="1"/>
          <w:rtlGutter w:val="0"/>
          <w:docGrid w:linePitch="0" w:charSpace="0"/>
        </w:sectPr>
      </w:pPr>
    </w:p>
    <w:p>
      <w:pPr>
        <w:spacing w:before="156" w:line="459" w:lineRule="exact"/>
        <w:ind w:left="23"/>
        <w:rPr>
          <w:rFonts w:ascii="黑体" w:hAnsi="黑体" w:eastAsia="黑体" w:cs="黑体"/>
          <w:color w:val="auto"/>
          <w:sz w:val="28"/>
          <w:szCs w:val="28"/>
          <w:highlight w:val="none"/>
        </w:rPr>
      </w:pPr>
      <w:bookmarkStart w:id="57" w:name="bookmark87"/>
      <w:bookmarkEnd w:id="57"/>
      <w:r>
        <w:rPr>
          <w:rFonts w:ascii="黑体" w:hAnsi="黑体" w:eastAsia="黑体" w:cs="黑体"/>
          <w:color w:val="auto"/>
          <w:spacing w:val="-1"/>
          <w:position w:val="13"/>
          <w:sz w:val="28"/>
          <w:szCs w:val="28"/>
          <w:highlight w:val="none"/>
        </w:rPr>
        <w:t>投标人须知正文部分</w:t>
      </w:r>
    </w:p>
    <w:p>
      <w:pPr>
        <w:spacing w:line="219" w:lineRule="auto"/>
        <w:ind w:left="47"/>
        <w:rPr>
          <w:rFonts w:ascii="黑体" w:hAnsi="黑体" w:eastAsia="黑体" w:cs="黑体"/>
          <w:color w:val="auto"/>
          <w:sz w:val="28"/>
          <w:szCs w:val="28"/>
          <w:highlight w:val="none"/>
        </w:rPr>
      </w:pPr>
      <w:r>
        <w:rPr>
          <w:rFonts w:ascii="Times New Roman" w:hAnsi="Times New Roman" w:eastAsia="Times New Roman" w:cs="Times New Roman"/>
          <w:color w:val="auto"/>
          <w:spacing w:val="-8"/>
          <w:sz w:val="28"/>
          <w:szCs w:val="28"/>
          <w:highlight w:val="none"/>
        </w:rPr>
        <w:t>1.</w:t>
      </w:r>
      <w:r>
        <w:rPr>
          <w:rFonts w:ascii="黑体" w:hAnsi="黑体" w:eastAsia="黑体" w:cs="黑体"/>
          <w:color w:val="auto"/>
          <w:spacing w:val="-8"/>
          <w:sz w:val="28"/>
          <w:szCs w:val="28"/>
          <w:highlight w:val="none"/>
        </w:rPr>
        <w:t>总则</w:t>
      </w:r>
    </w:p>
    <w:p>
      <w:pPr>
        <w:spacing w:before="62" w:line="218"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 xml:space="preserve">1.1 </w:t>
      </w:r>
      <w:r>
        <w:rPr>
          <w:rFonts w:ascii="黑体" w:hAnsi="黑体" w:eastAsia="黑体" w:cs="黑体"/>
          <w:color w:val="auto"/>
          <w:spacing w:val="-4"/>
          <w:sz w:val="24"/>
          <w:szCs w:val="24"/>
          <w:highlight w:val="none"/>
        </w:rPr>
        <w:t>项目概况</w:t>
      </w:r>
    </w:p>
    <w:p>
      <w:pPr>
        <w:spacing w:before="149" w:line="240" w:lineRule="auto"/>
        <w:ind w:left="19" w:leftChars="0" w:firstLine="438" w:firstLineChars="211"/>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1.1.1  根据《中华人民共和国招标投标法》等有关法律、法规和规章的规定，本招标项目已具备招标条件， 现对该项目进行施工招标。</w:t>
      </w:r>
    </w:p>
    <w:p>
      <w:pPr>
        <w:spacing w:before="149" w:line="240" w:lineRule="auto"/>
        <w:ind w:left="19" w:leftChars="0" w:firstLine="438" w:firstLineChars="211"/>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1.1.2  招标人： 见投标人须知前附表。</w:t>
      </w:r>
    </w:p>
    <w:p>
      <w:pPr>
        <w:spacing w:before="151" w:line="240" w:lineRule="auto"/>
        <w:ind w:left="45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1.1.3  招标代理机构：见投标人须知前附表。</w:t>
      </w:r>
    </w:p>
    <w:p>
      <w:pPr>
        <w:spacing w:before="150" w:line="240" w:lineRule="auto"/>
        <w:ind w:left="45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1.1.4  招标项目名称：见投标人须知前附表。</w:t>
      </w:r>
    </w:p>
    <w:p>
      <w:pPr>
        <w:spacing w:before="149" w:line="240" w:lineRule="auto"/>
        <w:ind w:left="45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1.1.5  项目建设地点：见投标人须知前附表。</w:t>
      </w:r>
    </w:p>
    <w:p>
      <w:pPr>
        <w:spacing w:before="117" w:line="240" w:lineRule="auto"/>
        <w:ind w:left="45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1.1.6</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3"/>
          <w:sz w:val="21"/>
          <w:szCs w:val="21"/>
          <w:highlight w:val="none"/>
        </w:rPr>
        <w:t>电子交易系统：见投标人须知前附表。</w:t>
      </w:r>
    </w:p>
    <w:p>
      <w:pPr>
        <w:spacing w:before="85" w:line="218"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1.2  </w:t>
      </w:r>
      <w:r>
        <w:rPr>
          <w:rFonts w:ascii="黑体" w:hAnsi="黑体" w:eastAsia="黑体" w:cs="黑体"/>
          <w:color w:val="auto"/>
          <w:spacing w:val="-2"/>
          <w:sz w:val="24"/>
          <w:szCs w:val="24"/>
          <w:highlight w:val="none"/>
        </w:rPr>
        <w:t>项目的资金来源和落实情况</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1.2.1  资金来源：见投标人须知前附表。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1.2.2  出资比例：见投标人须知前附表。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1.2.3  标段合同估算价：见投标人须知前附表。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1.2.4  资金落实情况：见投标人须知前附表。</w:t>
      </w:r>
    </w:p>
    <w:p>
      <w:pPr>
        <w:spacing w:before="92"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1.3  </w:t>
      </w:r>
      <w:r>
        <w:rPr>
          <w:rFonts w:ascii="黑体" w:hAnsi="黑体" w:eastAsia="黑体" w:cs="黑体"/>
          <w:color w:val="auto"/>
          <w:spacing w:val="-2"/>
          <w:sz w:val="24"/>
          <w:szCs w:val="24"/>
          <w:highlight w:val="none"/>
        </w:rPr>
        <w:t>招标范围、计划工期和质量标准</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1.3.1  招标范围：见投标人须知前附表。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1.3.2  计划工期：见投标人须知前附表。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1.3.3  质量标准：见投标人须知前附表。</w:t>
      </w:r>
    </w:p>
    <w:p>
      <w:pPr>
        <w:spacing w:before="92"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1.4  </w:t>
      </w:r>
      <w:r>
        <w:rPr>
          <w:rFonts w:ascii="黑体" w:hAnsi="黑体" w:eastAsia="黑体" w:cs="黑体"/>
          <w:color w:val="auto"/>
          <w:spacing w:val="-3"/>
          <w:sz w:val="24"/>
          <w:szCs w:val="24"/>
          <w:highlight w:val="none"/>
        </w:rPr>
        <w:t>投标人资格要求</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 xml:space="preserve">1.4.1  投标人资质条件、能力和信誉   </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（1）资质要求：见投标人须知前附表。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（2）财务要求：见投标人须知前附表（如适用）。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（3）业绩要求：见投标人须知前附表（如适用）。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（4）信誉要求：见投标人须知前附表。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（5）项目经理的资格要求： 应当具备工程施工类注册执业资格，具体要求见投标人须</w:t>
      </w:r>
    </w:p>
    <w:p>
      <w:pPr>
        <w:spacing w:before="134" w:line="240" w:lineRule="auto"/>
        <w:ind w:left="0" w:leftChars="0" w:right="9" w:firstLine="0" w:firstLineChars="0"/>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（6）施工机械设备要求：见投标人须知前附表（如适用）。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（7）项目管理机构主要人员要求：见投标人须知前附表（如适用）。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（8）其他要求：见投标人须知前附表。</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1.4.2  投标人须知前附表规定接受联合体投标的， 除应符合本章第 1.4.1  项和投标人须知前附表的要求外， 还应遵守以下规定：</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（1）联合体各方应按招标文件提供的格式签订联合体协议书，明确联合体牵头人和各方权利义务；</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（2）由同一专业的单位组成的联合体，按照资质等级较低的单位确定资质等级；</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bookmarkStart w:id="58" w:name="bookmark88"/>
      <w:bookmarkEnd w:id="58"/>
      <w:r>
        <w:rPr>
          <w:rFonts w:hint="eastAsia" w:ascii="宋体" w:hAnsi="宋体" w:eastAsia="宋体" w:cs="宋体"/>
          <w:color w:val="auto"/>
          <w:spacing w:val="-2"/>
          <w:position w:val="14"/>
          <w:sz w:val="21"/>
          <w:szCs w:val="21"/>
          <w:highlight w:val="none"/>
        </w:rPr>
        <w:t>（3）联合体各方不得再以自己名义单独或参加其他联合体在本招标项目中投标，否则各相关投标均无效。</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1.4.3  投标人不得存在下列情形之一：</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（1）为招标人不具有独立法人资格的附属机构（单位）；</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（2）为本标段前期准备提供设计或咨询服务的，但设计施工总承包的除外；</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（3）为本标段的监理人；</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（4）为本标段的代建人；</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（5）为本标段提供招标代理服务；</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（6）与本标段的监理人或代建人或招标代理机构同为一个法定代表人；</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（7）与本标段的监理人或代建人或招标代理机构相互控股或参股；</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（8）与本标段的监理人或代建人或招标代理机构相互任职或工作；</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（9）被依法暂停或取消投标资格（指被本招标项目所在地县级及以上农业农村主管部门暂停或取消投标资格或禁止进入该区域市场且处于有效期内）；</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（10）被责令停产停业、暂扣或者吊销许可证、暂扣或者吊销执照；</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（11）财产被接管或冻结的；进入清算程序，或被宣告破产，或其他丧失履约能力的情形；</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（12）在最近三年内有骗取中标或严重违约或重大工程质量问题的（以相关行业主管部门的行政处罚决定或司法机关出具的有关法律文书为准）；</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（13）在“国家企业信用信息公示系统”（www.gsxt.gov.cn）中被列入严重违法失信企业名单；</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（14） 在“信用中国”网站（</w:t>
      </w:r>
      <w:r>
        <w:rPr>
          <w:rFonts w:hint="eastAsia" w:ascii="宋体" w:hAnsi="宋体" w:eastAsia="宋体" w:cs="宋体"/>
          <w:color w:val="auto"/>
          <w:spacing w:val="-2"/>
          <w:position w:val="14"/>
          <w:sz w:val="21"/>
          <w:szCs w:val="21"/>
          <w:highlight w:val="none"/>
        </w:rPr>
        <w:fldChar w:fldCharType="begin"/>
      </w:r>
      <w:r>
        <w:rPr>
          <w:rFonts w:hint="eastAsia" w:ascii="宋体" w:hAnsi="宋体" w:eastAsia="宋体" w:cs="宋体"/>
          <w:color w:val="auto"/>
          <w:spacing w:val="-2"/>
          <w:position w:val="14"/>
          <w:sz w:val="21"/>
          <w:szCs w:val="21"/>
          <w:highlight w:val="none"/>
        </w:rPr>
        <w:instrText xml:space="preserve"> HYPERLINK "http://www.creditchina.gov.cn/" </w:instrText>
      </w:r>
      <w:r>
        <w:rPr>
          <w:rFonts w:hint="eastAsia" w:ascii="宋体" w:hAnsi="宋体" w:eastAsia="宋体" w:cs="宋体"/>
          <w:color w:val="auto"/>
          <w:spacing w:val="-2"/>
          <w:position w:val="14"/>
          <w:sz w:val="21"/>
          <w:szCs w:val="21"/>
          <w:highlight w:val="none"/>
        </w:rPr>
        <w:fldChar w:fldCharType="separate"/>
      </w:r>
      <w:r>
        <w:rPr>
          <w:rFonts w:hint="eastAsia" w:ascii="宋体" w:hAnsi="宋体" w:eastAsia="宋体" w:cs="宋体"/>
          <w:color w:val="auto"/>
          <w:spacing w:val="-2"/>
          <w:position w:val="14"/>
          <w:sz w:val="21"/>
          <w:szCs w:val="21"/>
          <w:highlight w:val="none"/>
        </w:rPr>
        <w:t>www.creditchina.gov.cn）</w:t>
      </w:r>
      <w:r>
        <w:rPr>
          <w:rFonts w:hint="eastAsia" w:ascii="宋体" w:hAnsi="宋体" w:eastAsia="宋体" w:cs="宋体"/>
          <w:color w:val="auto"/>
          <w:spacing w:val="-2"/>
          <w:position w:val="14"/>
          <w:sz w:val="21"/>
          <w:szCs w:val="21"/>
          <w:highlight w:val="none"/>
        </w:rPr>
        <w:fldChar w:fldCharType="end"/>
      </w:r>
      <w:r>
        <w:rPr>
          <w:rFonts w:hint="eastAsia" w:ascii="宋体" w:hAnsi="宋体" w:eastAsia="宋体" w:cs="宋体"/>
          <w:color w:val="auto"/>
          <w:spacing w:val="-2"/>
          <w:position w:val="14"/>
          <w:sz w:val="21"/>
          <w:szCs w:val="21"/>
          <w:highlight w:val="none"/>
        </w:rPr>
        <w:t xml:space="preserve"> 或“中国执行信息公开网”</w:t>
      </w:r>
      <w:r>
        <w:rPr>
          <w:rFonts w:hint="eastAsia" w:ascii="宋体" w:hAnsi="宋体" w:eastAsia="宋体" w:cs="宋体"/>
          <w:color w:val="auto"/>
          <w:spacing w:val="-2"/>
          <w:position w:val="14"/>
          <w:sz w:val="21"/>
          <w:szCs w:val="21"/>
          <w:highlight w:val="none"/>
        </w:rPr>
        <w:fldChar w:fldCharType="begin"/>
      </w:r>
      <w:r>
        <w:rPr>
          <w:rFonts w:hint="eastAsia" w:ascii="宋体" w:hAnsi="宋体" w:eastAsia="宋体" w:cs="宋体"/>
          <w:color w:val="auto"/>
          <w:spacing w:val="-2"/>
          <w:position w:val="14"/>
          <w:sz w:val="21"/>
          <w:szCs w:val="21"/>
          <w:highlight w:val="none"/>
        </w:rPr>
        <w:instrText xml:space="preserve"> HYPERLINK "http://zxgk.court.gov.cn/shixin/" </w:instrText>
      </w:r>
      <w:r>
        <w:rPr>
          <w:rFonts w:hint="eastAsia" w:ascii="宋体" w:hAnsi="宋体" w:eastAsia="宋体" w:cs="宋体"/>
          <w:color w:val="auto"/>
          <w:spacing w:val="-2"/>
          <w:position w:val="14"/>
          <w:sz w:val="21"/>
          <w:szCs w:val="21"/>
          <w:highlight w:val="none"/>
        </w:rPr>
        <w:fldChar w:fldCharType="separate"/>
      </w:r>
      <w:r>
        <w:rPr>
          <w:rFonts w:hint="eastAsia" w:ascii="宋体" w:hAnsi="宋体" w:eastAsia="宋体" w:cs="宋体"/>
          <w:color w:val="auto"/>
          <w:spacing w:val="-2"/>
          <w:position w:val="14"/>
          <w:sz w:val="21"/>
          <w:szCs w:val="21"/>
          <w:highlight w:val="none"/>
        </w:rPr>
        <w:t>（http://zxgk.court.gov.cn/shixin/）</w:t>
      </w:r>
      <w:r>
        <w:rPr>
          <w:rFonts w:hint="eastAsia" w:ascii="宋体" w:hAnsi="宋体" w:eastAsia="宋体" w:cs="宋体"/>
          <w:color w:val="auto"/>
          <w:spacing w:val="-2"/>
          <w:position w:val="14"/>
          <w:sz w:val="21"/>
          <w:szCs w:val="21"/>
          <w:highlight w:val="none"/>
        </w:rPr>
        <w:fldChar w:fldCharType="end"/>
      </w:r>
      <w:r>
        <w:rPr>
          <w:rFonts w:hint="eastAsia" w:ascii="宋体" w:hAnsi="宋体" w:eastAsia="宋体" w:cs="宋体"/>
          <w:color w:val="auto"/>
          <w:spacing w:val="-2"/>
          <w:position w:val="14"/>
          <w:sz w:val="21"/>
          <w:szCs w:val="21"/>
          <w:highlight w:val="none"/>
        </w:rPr>
        <w:t xml:space="preserve"> 被列入失信被执行人名单；</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（15）法律法规规定的其他情形。</w:t>
      </w:r>
    </w:p>
    <w:p>
      <w:pPr>
        <w:spacing w:before="91"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1.5</w:t>
      </w:r>
      <w:r>
        <w:rPr>
          <w:rFonts w:ascii="Times New Roman" w:hAnsi="Times New Roman" w:eastAsia="Times New Roman" w:cs="Times New Roman"/>
          <w:color w:val="auto"/>
          <w:spacing w:val="7"/>
          <w:sz w:val="24"/>
          <w:szCs w:val="24"/>
          <w:highlight w:val="none"/>
        </w:rPr>
        <w:t xml:space="preserve">  </w:t>
      </w:r>
      <w:r>
        <w:rPr>
          <w:rFonts w:ascii="黑体" w:hAnsi="黑体" w:eastAsia="黑体" w:cs="黑体"/>
          <w:color w:val="auto"/>
          <w:spacing w:val="-6"/>
          <w:sz w:val="24"/>
          <w:szCs w:val="24"/>
          <w:highlight w:val="none"/>
        </w:rPr>
        <w:t>费用承担</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投标人准备和参加投标活动发生的费用自理。</w:t>
      </w:r>
    </w:p>
    <w:p>
      <w:pPr>
        <w:spacing w:before="91" w:line="218"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7"/>
          <w:sz w:val="24"/>
          <w:szCs w:val="24"/>
          <w:highlight w:val="none"/>
        </w:rPr>
        <w:t>1.6</w:t>
      </w:r>
      <w:r>
        <w:rPr>
          <w:rFonts w:ascii="Times New Roman" w:hAnsi="Times New Roman" w:eastAsia="Times New Roman" w:cs="Times New Roman"/>
          <w:color w:val="auto"/>
          <w:spacing w:val="4"/>
          <w:sz w:val="24"/>
          <w:szCs w:val="24"/>
          <w:highlight w:val="none"/>
        </w:rPr>
        <w:t xml:space="preserve">  </w:t>
      </w:r>
      <w:r>
        <w:rPr>
          <w:rFonts w:ascii="黑体" w:hAnsi="黑体" w:eastAsia="黑体" w:cs="黑体"/>
          <w:color w:val="auto"/>
          <w:spacing w:val="-7"/>
          <w:sz w:val="24"/>
          <w:szCs w:val="24"/>
          <w:highlight w:val="none"/>
        </w:rPr>
        <w:t>保密</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参与招标投标活动的各方应对招标文件和投标文件中的商业和技术等秘密保密，否则</w:t>
      </w:r>
    </w:p>
    <w:p>
      <w:pPr>
        <w:spacing w:before="134" w:line="240" w:lineRule="auto"/>
        <w:ind w:right="9"/>
        <w:jc w:val="left"/>
        <w:rPr>
          <w:rFonts w:ascii="宋体" w:hAnsi="宋体" w:eastAsia="宋体" w:cs="宋体"/>
          <w:color w:val="auto"/>
          <w:sz w:val="21"/>
          <w:szCs w:val="21"/>
          <w:highlight w:val="none"/>
        </w:rPr>
      </w:pPr>
      <w:r>
        <w:rPr>
          <w:rFonts w:hint="eastAsia" w:ascii="宋体" w:hAnsi="宋体" w:eastAsia="宋体" w:cs="宋体"/>
          <w:color w:val="auto"/>
          <w:spacing w:val="-2"/>
          <w:position w:val="14"/>
          <w:sz w:val="21"/>
          <w:szCs w:val="21"/>
          <w:highlight w:val="none"/>
        </w:rPr>
        <w:t>应承担相应的法律责任。</w:t>
      </w:r>
    </w:p>
    <w:p>
      <w:pPr>
        <w:spacing w:before="91"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1.7  </w:t>
      </w:r>
      <w:r>
        <w:rPr>
          <w:rFonts w:ascii="黑体" w:hAnsi="黑体" w:eastAsia="黑体" w:cs="黑体"/>
          <w:color w:val="auto"/>
          <w:spacing w:val="-3"/>
          <w:sz w:val="24"/>
          <w:szCs w:val="24"/>
          <w:highlight w:val="none"/>
        </w:rPr>
        <w:t>语言文字</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招标投标文件使用的语言文字为中文。专用术语使用外文的， 应附有中文注释。</w:t>
      </w:r>
    </w:p>
    <w:p>
      <w:pPr>
        <w:spacing w:before="91"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1.8</w:t>
      </w:r>
      <w:r>
        <w:rPr>
          <w:rFonts w:ascii="Times New Roman" w:hAnsi="Times New Roman" w:eastAsia="Times New Roman" w:cs="Times New Roman"/>
          <w:color w:val="auto"/>
          <w:spacing w:val="7"/>
          <w:sz w:val="24"/>
          <w:szCs w:val="24"/>
          <w:highlight w:val="none"/>
        </w:rPr>
        <w:t xml:space="preserve">  </w:t>
      </w:r>
      <w:r>
        <w:rPr>
          <w:rFonts w:ascii="黑体" w:hAnsi="黑体" w:eastAsia="黑体" w:cs="黑体"/>
          <w:color w:val="auto"/>
          <w:spacing w:val="-6"/>
          <w:sz w:val="24"/>
          <w:szCs w:val="24"/>
          <w:highlight w:val="none"/>
        </w:rPr>
        <w:t>计量单位</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所有计量均采用中华人民共和国法定计量单位。</w:t>
      </w:r>
    </w:p>
    <w:p>
      <w:pPr>
        <w:spacing w:before="92"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1.9</w:t>
      </w:r>
      <w:r>
        <w:rPr>
          <w:rFonts w:ascii="Times New Roman" w:hAnsi="Times New Roman" w:eastAsia="Times New Roman" w:cs="Times New Roman"/>
          <w:color w:val="auto"/>
          <w:spacing w:val="7"/>
          <w:sz w:val="24"/>
          <w:szCs w:val="24"/>
          <w:highlight w:val="none"/>
        </w:rPr>
        <w:t xml:space="preserve">  </w:t>
      </w:r>
      <w:r>
        <w:rPr>
          <w:rFonts w:ascii="黑体" w:hAnsi="黑体" w:eastAsia="黑体" w:cs="黑体"/>
          <w:color w:val="auto"/>
          <w:spacing w:val="-6"/>
          <w:sz w:val="24"/>
          <w:szCs w:val="24"/>
          <w:highlight w:val="none"/>
        </w:rPr>
        <w:t>踏勘现场</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1.9.1  投标人须知前附表规定组织踏勘现场的， 招标人按投标人须知前附表规定的时间、</w:t>
      </w:r>
      <w:bookmarkStart w:id="59" w:name="bookmark89"/>
      <w:bookmarkEnd w:id="59"/>
      <w:r>
        <w:rPr>
          <w:rFonts w:hint="eastAsia" w:ascii="宋体" w:hAnsi="宋体" w:eastAsia="宋体" w:cs="宋体"/>
          <w:color w:val="auto"/>
          <w:spacing w:val="-2"/>
          <w:position w:val="14"/>
          <w:sz w:val="21"/>
          <w:szCs w:val="21"/>
          <w:highlight w:val="none"/>
        </w:rPr>
        <w:t>地点组织投标人踏勘项目现场。</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1.9.2  投标人踏勘现场发生的费用自理。</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1.9.3  除招标人的原因外， 投标人自行负责在踏勘现场中所发生的人员伤亡和财产损失。</w:t>
      </w:r>
    </w:p>
    <w:p>
      <w:pPr>
        <w:spacing w:before="134" w:line="240" w:lineRule="auto"/>
        <w:ind w:left="0" w:leftChars="0" w:right="9" w:firstLine="418" w:firstLineChars="203"/>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1.9.4  招标人在踏勘现场中介绍的工程场地和相关的周边环境情况，供投标人在编制投</w:t>
      </w:r>
    </w:p>
    <w:p>
      <w:pPr>
        <w:spacing w:before="134" w:line="240" w:lineRule="auto"/>
        <w:ind w:right="9"/>
        <w:jc w:val="left"/>
        <w:rPr>
          <w:rFonts w:hint="eastAsia" w:ascii="宋体" w:hAnsi="宋体" w:eastAsia="宋体" w:cs="宋体"/>
          <w:color w:val="auto"/>
          <w:spacing w:val="-2"/>
          <w:position w:val="14"/>
          <w:sz w:val="21"/>
          <w:szCs w:val="21"/>
          <w:highlight w:val="none"/>
        </w:rPr>
      </w:pPr>
      <w:r>
        <w:rPr>
          <w:rFonts w:hint="eastAsia" w:ascii="宋体" w:hAnsi="宋体" w:eastAsia="宋体" w:cs="宋体"/>
          <w:color w:val="auto"/>
          <w:spacing w:val="-2"/>
          <w:position w:val="14"/>
          <w:sz w:val="21"/>
          <w:szCs w:val="21"/>
          <w:highlight w:val="none"/>
        </w:rPr>
        <w:t>标文件时参考， 招标人不对投标人据此作出的判断和决策负责。</w:t>
      </w:r>
    </w:p>
    <w:p>
      <w:pPr>
        <w:spacing w:before="92"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1.10  </w:t>
      </w:r>
      <w:r>
        <w:rPr>
          <w:rFonts w:ascii="黑体" w:hAnsi="黑体" w:eastAsia="黑体" w:cs="黑体"/>
          <w:color w:val="auto"/>
          <w:spacing w:val="-3"/>
          <w:sz w:val="24"/>
          <w:szCs w:val="24"/>
          <w:highlight w:val="none"/>
        </w:rPr>
        <w:t>投标预备会</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1.10.1  投标人须知前附表规定召开投标预备会的，招标人按投标人须知前附表规定的时间和地点召开投标预备会，澄清投标人提出的问题。</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1.10.2  在投标人须知前附表规定的时间前，投标人应通过电子交易系统以书面形式将提出的问题送达招标人，以便招标人在会议期间澄清。</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1.10.3  投标预备会后，招标人将对投标人所提问题的澄清，以投标人须知前附表规定的时间内以书面形式通过法定公告公示信息发布媒介、电子交易系统等渠道通知所有下载招标文件的投标人。 该澄清内容为招标文件的组成部分。</w:t>
      </w:r>
    </w:p>
    <w:p>
      <w:pPr>
        <w:spacing w:before="91"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8"/>
          <w:sz w:val="24"/>
          <w:szCs w:val="24"/>
          <w:highlight w:val="none"/>
        </w:rPr>
        <w:t>1.11</w:t>
      </w:r>
      <w:r>
        <w:rPr>
          <w:rFonts w:ascii="Times New Roman" w:hAnsi="Times New Roman" w:eastAsia="Times New Roman" w:cs="Times New Roman"/>
          <w:color w:val="auto"/>
          <w:spacing w:val="8"/>
          <w:sz w:val="24"/>
          <w:szCs w:val="24"/>
          <w:highlight w:val="none"/>
        </w:rPr>
        <w:t xml:space="preserve">  </w:t>
      </w:r>
      <w:r>
        <w:rPr>
          <w:rFonts w:ascii="黑体" w:hAnsi="黑体" w:eastAsia="黑体" w:cs="黑体"/>
          <w:color w:val="auto"/>
          <w:spacing w:val="-8"/>
          <w:sz w:val="24"/>
          <w:szCs w:val="24"/>
          <w:highlight w:val="none"/>
        </w:rPr>
        <w:t>分包</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1.11.1  投标人须知前附表规定应当由分包人实施的非主体、非关键性工作，投标人应当按照第五章“发包人要求”的规定提供分包人侯选名单及其相应资料。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1.11.2  投标人拟在中标后将中标项目的部分非主体、非关键性工作进行分包的，应符合投标人须知前附表规定的分包内容、分包金额和资质要求等限制性条件。</w:t>
      </w:r>
    </w:p>
    <w:p>
      <w:pPr>
        <w:spacing w:before="92"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1.12</w:t>
      </w:r>
      <w:r>
        <w:rPr>
          <w:rFonts w:ascii="Times New Roman" w:hAnsi="Times New Roman" w:eastAsia="Times New Roman" w:cs="Times New Roman"/>
          <w:color w:val="auto"/>
          <w:spacing w:val="5"/>
          <w:sz w:val="24"/>
          <w:szCs w:val="24"/>
          <w:highlight w:val="none"/>
        </w:rPr>
        <w:t xml:space="preserve">  </w:t>
      </w:r>
      <w:r>
        <w:rPr>
          <w:rFonts w:ascii="黑体" w:hAnsi="黑体" w:eastAsia="黑体" w:cs="黑体"/>
          <w:color w:val="auto"/>
          <w:spacing w:val="-6"/>
          <w:sz w:val="24"/>
          <w:szCs w:val="24"/>
          <w:highlight w:val="none"/>
        </w:rPr>
        <w:t>偏离</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投标人须知前附表允许投标文件偏离招标文件某些要求的，偏离应当符合招标文件规定的偏离范围和幅度。</w:t>
      </w:r>
    </w:p>
    <w:p>
      <w:pPr>
        <w:spacing w:before="160" w:line="219" w:lineRule="auto"/>
        <w:ind w:left="20"/>
        <w:rPr>
          <w:rFonts w:ascii="黑体" w:hAnsi="黑体" w:eastAsia="黑体" w:cs="黑体"/>
          <w:color w:val="auto"/>
          <w:sz w:val="28"/>
          <w:szCs w:val="28"/>
          <w:highlight w:val="none"/>
        </w:rPr>
      </w:pPr>
      <w:r>
        <w:rPr>
          <w:rFonts w:ascii="Times New Roman" w:hAnsi="Times New Roman" w:eastAsia="Times New Roman" w:cs="Times New Roman"/>
          <w:color w:val="auto"/>
          <w:spacing w:val="-1"/>
          <w:sz w:val="28"/>
          <w:szCs w:val="28"/>
          <w:highlight w:val="none"/>
        </w:rPr>
        <w:t xml:space="preserve">2.  </w:t>
      </w:r>
      <w:r>
        <w:rPr>
          <w:rFonts w:ascii="黑体" w:hAnsi="黑体" w:eastAsia="黑体" w:cs="黑体"/>
          <w:color w:val="auto"/>
          <w:spacing w:val="-1"/>
          <w:sz w:val="28"/>
          <w:szCs w:val="28"/>
          <w:highlight w:val="none"/>
        </w:rPr>
        <w:t>招标文件</w:t>
      </w:r>
    </w:p>
    <w:p>
      <w:pPr>
        <w:spacing w:before="62" w:line="219" w:lineRule="auto"/>
        <w:ind w:left="137"/>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2.1  </w:t>
      </w:r>
      <w:r>
        <w:rPr>
          <w:rFonts w:ascii="黑体" w:hAnsi="黑体" w:eastAsia="黑体" w:cs="黑体"/>
          <w:color w:val="auto"/>
          <w:spacing w:val="-1"/>
          <w:sz w:val="24"/>
          <w:szCs w:val="24"/>
          <w:highlight w:val="none"/>
        </w:rPr>
        <w:t>招标文件的组成</w:t>
      </w:r>
    </w:p>
    <w:p>
      <w:pPr>
        <w:keepNext w:val="0"/>
        <w:keepLines w:val="0"/>
        <w:pageBreakBefore w:val="0"/>
        <w:widowControl/>
        <w:kinsoku w:val="0"/>
        <w:wordWrap/>
        <w:overflowPunct/>
        <w:topLinePunct w:val="0"/>
        <w:autoSpaceDE w:val="0"/>
        <w:autoSpaceDN w:val="0"/>
        <w:bidi w:val="0"/>
        <w:adjustRightInd w:val="0"/>
        <w:snapToGrid w:val="0"/>
        <w:spacing w:before="131" w:line="288" w:lineRule="auto"/>
        <w:ind w:left="441"/>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2.1.1 招标文件包括下列内容：</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（1）招标公告（或投标邀请书）；</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（2）投标人须知；</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（3）评标办法；</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（4）合同条款及格式；</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（5）工程量清单；</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（6）图纸；</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（7）技术标准和要求；</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（8）投标文件格式；</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（9）投标人须知前附表规定的其他资料。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2.1.2  根据本章第 1.10 款、第 2.2 款和第 2.3 款对招标文件所作的澄清、修改，构成招标文件的组成部分。</w:t>
      </w:r>
    </w:p>
    <w:p>
      <w:pPr>
        <w:spacing w:before="90" w:line="219" w:lineRule="auto"/>
        <w:ind w:left="137"/>
        <w:rPr>
          <w:rFonts w:ascii="黑体" w:hAnsi="黑体" w:eastAsia="黑体" w:cs="黑体"/>
          <w:color w:val="auto"/>
          <w:sz w:val="24"/>
          <w:szCs w:val="24"/>
          <w:highlight w:val="none"/>
        </w:rPr>
      </w:pPr>
      <w:bookmarkStart w:id="60" w:name="bookmark90"/>
      <w:bookmarkEnd w:id="60"/>
      <w:r>
        <w:rPr>
          <w:rFonts w:ascii="Times New Roman" w:hAnsi="Times New Roman" w:eastAsia="Times New Roman" w:cs="Times New Roman"/>
          <w:color w:val="auto"/>
          <w:spacing w:val="-1"/>
          <w:sz w:val="24"/>
          <w:szCs w:val="24"/>
          <w:highlight w:val="none"/>
        </w:rPr>
        <w:t xml:space="preserve">2.2  </w:t>
      </w:r>
      <w:r>
        <w:rPr>
          <w:rFonts w:ascii="黑体" w:hAnsi="黑体" w:eastAsia="黑体" w:cs="黑体"/>
          <w:color w:val="auto"/>
          <w:spacing w:val="-1"/>
          <w:sz w:val="24"/>
          <w:szCs w:val="24"/>
          <w:highlight w:val="none"/>
        </w:rPr>
        <w:t>招标文件的澄清</w:t>
      </w:r>
    </w:p>
    <w:p>
      <w:pPr>
        <w:keepNext w:val="0"/>
        <w:keepLines w:val="0"/>
        <w:pageBreakBefore w:val="0"/>
        <w:widowControl/>
        <w:kinsoku w:val="0"/>
        <w:wordWrap/>
        <w:overflowPunct/>
        <w:topLinePunct w:val="0"/>
        <w:autoSpaceDE w:val="0"/>
        <w:autoSpaceDN w:val="0"/>
        <w:bidi w:val="0"/>
        <w:adjustRightInd w:val="0"/>
        <w:snapToGrid w:val="0"/>
        <w:spacing w:before="130" w:line="240"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2.2.1  投标人应仔细阅读和检查招标文件的全部内容。如发现缺页或附件不全，应及时向招标人提出，以便补齐。如有疑问，应在投标人须知前附表规定的时间前，通过法定</w:t>
      </w:r>
      <w:r>
        <w:rPr>
          <w:rFonts w:hint="eastAsia" w:ascii="宋体" w:hAnsi="宋体" w:eastAsia="宋体" w:cs="宋体"/>
          <w:color w:val="auto"/>
          <w:spacing w:val="4"/>
          <w:position w:val="14"/>
          <w:sz w:val="21"/>
          <w:szCs w:val="21"/>
          <w:highlight w:val="none"/>
          <w:lang w:eastAsia="zh-CN"/>
        </w:rPr>
        <w:t>公</w:t>
      </w:r>
      <w:r>
        <w:rPr>
          <w:rFonts w:hint="eastAsia" w:ascii="宋体" w:hAnsi="宋体" w:eastAsia="宋体" w:cs="宋体"/>
          <w:color w:val="auto"/>
          <w:spacing w:val="4"/>
          <w:position w:val="14"/>
          <w:sz w:val="21"/>
          <w:szCs w:val="21"/>
          <w:highlight w:val="none"/>
        </w:rPr>
        <w:t>告公示信息发布媒介、电子交易系统等渠道以书面形式要求招标人对招标文件予以澄清。</w:t>
      </w:r>
    </w:p>
    <w:p>
      <w:pPr>
        <w:keepNext w:val="0"/>
        <w:keepLines w:val="0"/>
        <w:pageBreakBefore w:val="0"/>
        <w:widowControl/>
        <w:kinsoku w:val="0"/>
        <w:wordWrap/>
        <w:overflowPunct/>
        <w:topLinePunct w:val="0"/>
        <w:autoSpaceDE w:val="0"/>
        <w:autoSpaceDN w:val="0"/>
        <w:bidi w:val="0"/>
        <w:adjustRightInd w:val="0"/>
        <w:snapToGrid w:val="0"/>
        <w:spacing w:before="130" w:line="240"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2.2.2  招标人对招标文件的澄清通过法定公告公示信息发布媒介、电子交易系统等渠道以书面形式发给所有下载招标文件的投标人，但不指明澄清问题的来源。澄清发出的时间距投标人须知前附表规定的投标截止时间不足15天的，并且澄清内容影响投标文件编制的，将相应延长投标截止时间。</w:t>
      </w:r>
    </w:p>
    <w:p>
      <w:pPr>
        <w:keepNext w:val="0"/>
        <w:keepLines w:val="0"/>
        <w:pageBreakBefore w:val="0"/>
        <w:widowControl/>
        <w:kinsoku w:val="0"/>
        <w:wordWrap/>
        <w:overflowPunct/>
        <w:topLinePunct w:val="0"/>
        <w:autoSpaceDE w:val="0"/>
        <w:autoSpaceDN w:val="0"/>
        <w:bidi w:val="0"/>
        <w:adjustRightInd w:val="0"/>
        <w:snapToGrid w:val="0"/>
        <w:spacing w:before="130" w:line="240"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2.2.3  投标人应实时自行关注法定公告公示信息发布媒介、电子交易系统等渠道上发出的澄清通知，因投标人自身原因未及时获知澄清内容而导致的任何后果将由投标人自行承担。</w:t>
      </w:r>
    </w:p>
    <w:p>
      <w:pPr>
        <w:keepNext w:val="0"/>
        <w:keepLines w:val="0"/>
        <w:pageBreakBefore w:val="0"/>
        <w:widowControl/>
        <w:kinsoku w:val="0"/>
        <w:wordWrap/>
        <w:overflowPunct/>
        <w:topLinePunct w:val="0"/>
        <w:autoSpaceDE w:val="0"/>
        <w:autoSpaceDN w:val="0"/>
        <w:bidi w:val="0"/>
        <w:adjustRightInd w:val="0"/>
        <w:snapToGrid w:val="0"/>
        <w:spacing w:before="130" w:line="240" w:lineRule="auto"/>
        <w:ind w:left="0" w:firstLine="436"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pacing w:val="4"/>
          <w:position w:val="14"/>
          <w:sz w:val="21"/>
          <w:szCs w:val="21"/>
          <w:highlight w:val="none"/>
        </w:rPr>
        <w:t>2.2.4  除非招标人认为确有必要答复，否则，招标人有权拒绝回复投标人在本章前附表第 2.2.1项规定的时间后的任何澄清要求。</w:t>
      </w:r>
    </w:p>
    <w:p>
      <w:pPr>
        <w:spacing w:before="91" w:line="219" w:lineRule="auto"/>
        <w:ind w:left="137"/>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2.3  </w:t>
      </w:r>
      <w:r>
        <w:rPr>
          <w:rFonts w:ascii="黑体" w:hAnsi="黑体" w:eastAsia="黑体" w:cs="黑体"/>
          <w:color w:val="auto"/>
          <w:spacing w:val="-1"/>
          <w:sz w:val="24"/>
          <w:szCs w:val="24"/>
          <w:highlight w:val="none"/>
        </w:rPr>
        <w:t>招标文件的修改</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2.3.1  招标人可以书面形式修改招标文件，并通过法定公告公示信息发布媒介、电子交 易系统等渠道通知所有已下载招标文件的投标人。修改招标文件的时间距投标人须知前附表规定的投标截止时间不足15天的，并且澄清内容影响投标文件编制的，将相应延长投标截止时间。</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pacing w:val="4"/>
          <w:position w:val="14"/>
          <w:sz w:val="21"/>
          <w:szCs w:val="21"/>
          <w:highlight w:val="none"/>
        </w:rPr>
        <w:t>2.3.2  投标人应实时自行关注法定公告公示信息发布媒介、电子交易系统等渠道上发出的修改通知，因投标人自身原因未及时获知修改内容而导致的任何后果将由投标人自行承担。</w:t>
      </w:r>
    </w:p>
    <w:p>
      <w:pPr>
        <w:spacing w:before="90" w:line="219" w:lineRule="auto"/>
        <w:ind w:left="137"/>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2.4  </w:t>
      </w:r>
      <w:r>
        <w:rPr>
          <w:rFonts w:ascii="黑体" w:hAnsi="黑体" w:eastAsia="黑体" w:cs="黑体"/>
          <w:color w:val="auto"/>
          <w:spacing w:val="-1"/>
          <w:sz w:val="24"/>
          <w:szCs w:val="24"/>
          <w:highlight w:val="none"/>
        </w:rPr>
        <w:t>招标文件的异议</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或者其他利害关系人对招标文件有异议的，应当在投标截止时间10日前以书面形式提出。招标人将在收到异议之日起3日内作出答复；作出答复前，将暂停招标投标活动。逾期提出的，招标人可不予受理。异议与答复应通过电子交易系统以书面形式进行。</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本处所称异议是指投标人或者其他利害关系人认为招标文件的内容违反法律、法规、规章的强制性规定，违反公开、公平、公正和诚实信用原则，影响投标人投标而向招标人提出的质疑。未在法定时间期限内未提出异议视为投标人权利灭失。</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有关异议受理部门及联系方式见投标人须知前附表。</w:t>
      </w:r>
    </w:p>
    <w:p>
      <w:pPr>
        <w:spacing w:before="150" w:line="219" w:lineRule="auto"/>
        <w:ind w:left="26"/>
        <w:rPr>
          <w:rFonts w:ascii="黑体" w:hAnsi="黑体" w:eastAsia="黑体" w:cs="黑体"/>
          <w:color w:val="auto"/>
          <w:sz w:val="28"/>
          <w:szCs w:val="28"/>
          <w:highlight w:val="none"/>
        </w:rPr>
      </w:pPr>
      <w:r>
        <w:rPr>
          <w:rFonts w:ascii="Times New Roman" w:hAnsi="Times New Roman" w:eastAsia="Times New Roman" w:cs="Times New Roman"/>
          <w:color w:val="auto"/>
          <w:spacing w:val="-1"/>
          <w:sz w:val="28"/>
          <w:szCs w:val="28"/>
          <w:highlight w:val="none"/>
        </w:rPr>
        <w:t xml:space="preserve">3.  </w:t>
      </w:r>
      <w:r>
        <w:rPr>
          <w:rFonts w:ascii="黑体" w:hAnsi="黑体" w:eastAsia="黑体" w:cs="黑体"/>
          <w:color w:val="auto"/>
          <w:spacing w:val="-1"/>
          <w:sz w:val="28"/>
          <w:szCs w:val="28"/>
          <w:highlight w:val="none"/>
        </w:rPr>
        <w:t>投标文件</w:t>
      </w:r>
    </w:p>
    <w:p>
      <w:pPr>
        <w:spacing w:before="62" w:line="219"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投标文件的组成</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bookmarkStart w:id="61" w:name="bookmark91"/>
      <w:bookmarkEnd w:id="61"/>
      <w:r>
        <w:rPr>
          <w:rFonts w:hint="eastAsia" w:ascii="宋体" w:hAnsi="宋体" w:eastAsia="宋体" w:cs="宋体"/>
          <w:color w:val="auto"/>
          <w:spacing w:val="-1"/>
          <w:sz w:val="21"/>
          <w:szCs w:val="21"/>
          <w:highlight w:val="none"/>
        </w:rPr>
        <w:t>3.1.1  投标文件应包括下列内容：</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（1）投标函及投标函附录等；</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（2）法定代表人身份证明；</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（2）授权委托书；</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（3）投标保证金；</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（4）联合体协议书（如有）；</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（5）拟分包项目情况表；</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（6）项目管理机构；</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（7）资格审查资料；</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（8）已标价工程量清单；</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（9）施工组织设计；</w:t>
      </w:r>
    </w:p>
    <w:p>
      <w:pPr>
        <w:keepNext w:val="0"/>
        <w:keepLines w:val="0"/>
        <w:pageBreakBefore w:val="0"/>
        <w:widowControl/>
        <w:kinsoku w:val="0"/>
        <w:wordWrap/>
        <w:overflowPunct/>
        <w:topLinePunct w:val="0"/>
        <w:autoSpaceDE w:val="0"/>
        <w:autoSpaceDN w:val="0"/>
        <w:bidi w:val="0"/>
        <w:adjustRightInd w:val="0"/>
        <w:snapToGrid w:val="0"/>
        <w:spacing w:before="151" w:line="288" w:lineRule="auto"/>
        <w:ind w:left="459"/>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（10）其他材料。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3.1.2  投标人须知前附表规定不接受联合体投标的，或投标人没有组成联合体的，投标文件不包括本章第 3.1.1（4）目所指的联合体协议书。</w:t>
      </w:r>
    </w:p>
    <w:p>
      <w:pPr>
        <w:spacing w:before="92" w:line="219"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投标报价</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3.2.1  投标人应按第八章“投标文件格式”的要求填写价格清单。</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3.2.2  投标人在投标截止时间前修改投标函中的投标总报价 应同时修改第五章“工程量清单”中的相应报价。此修改须符合本章第 4.3 款的有关要求。</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3.2.3  投标人在投标截止时间前修改投标函中的投标报价总额，应同时修改投标文件 “ 已标价工程量清单”中的相应报价，投标报价总额为各分项金额之和。此修改须符合本章第 4.3 款的有关要求。</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3.2.4  招标人设有最高投标限价的， 投标人的投标报价不得超过最高投标限价，最高投标限价或其计算方法在投标人须知前附表中载明。</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3.2.5  投标报价的其他要求见投标人须知前附表。</w:t>
      </w:r>
    </w:p>
    <w:p>
      <w:pPr>
        <w:spacing w:before="93" w:line="218"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投标有效期</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3.3.1  除投标人须知前附表另有规定外，投标有效期为 120 天。</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3.3.2  在投标有效期内，投标人撤销或修改其投标文件的，应承担招标文件和法律规定的责任。</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3.3.3  出现特殊情况需要延长投标有效期的，招标人以书面形式通知所有投标人延长投 标有效期。投标人同意延长的，应相应延长其投标保证金的有效期，但不得要求或被允许修改或撤销其投标文件；投标人拒绝延长的，其投标失效，但投标人有权收回其投标保证金。</w:t>
      </w:r>
    </w:p>
    <w:p>
      <w:pPr>
        <w:spacing w:before="83" w:line="220"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黑体" w:hAnsi="黑体" w:eastAsia="黑体" w:cs="黑体"/>
          <w:color w:val="auto"/>
          <w:spacing w:val="-1"/>
          <w:sz w:val="24"/>
          <w:szCs w:val="24"/>
          <w:highlight w:val="none"/>
        </w:rPr>
        <w:t>投标保证金</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lang w:eastAsia="zh-CN"/>
        </w:rPr>
      </w:pPr>
      <w:r>
        <w:rPr>
          <w:rFonts w:hint="eastAsia" w:ascii="宋体" w:hAnsi="宋体" w:eastAsia="宋体" w:cs="宋体"/>
          <w:color w:val="auto"/>
          <w:spacing w:val="4"/>
          <w:position w:val="14"/>
          <w:sz w:val="21"/>
          <w:szCs w:val="21"/>
          <w:highlight w:val="none"/>
        </w:rPr>
        <w:t>3.4.2  投标人不按本章第3.4.1项要求提交投标保证金的，评标委员会将否决其投标</w:t>
      </w:r>
      <w:r>
        <w:rPr>
          <w:rFonts w:hint="eastAsia" w:ascii="宋体" w:hAnsi="宋体" w:eastAsia="宋体" w:cs="宋体"/>
          <w:color w:val="auto"/>
          <w:spacing w:val="4"/>
          <w:position w:val="14"/>
          <w:sz w:val="21"/>
          <w:szCs w:val="21"/>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3.4.3  招标人最迟将在中标人签订合同后5日内，向未中标的投标人和中标人退还投标保证金。投标保证金以现金或者支票形式递交的，还应退还银行同期存款利息</w:t>
      </w:r>
      <w:r>
        <w:rPr>
          <w:rFonts w:hint="eastAsia" w:ascii="宋体" w:hAnsi="宋体" w:eastAsia="宋体" w:cs="宋体"/>
          <w:color w:val="auto"/>
          <w:spacing w:val="4"/>
          <w:position w:val="14"/>
          <w:sz w:val="21"/>
          <w:szCs w:val="21"/>
          <w:highlight w:val="none"/>
          <w:lang w:eastAsia="zh-CN"/>
        </w:rPr>
        <w:t>。</w:t>
      </w:r>
      <w:r>
        <w:rPr>
          <w:rFonts w:hint="eastAsia" w:ascii="宋体" w:hAnsi="宋体" w:eastAsia="宋体" w:cs="宋体"/>
          <w:color w:val="auto"/>
          <w:spacing w:val="4"/>
          <w:position w:val="14"/>
          <w:sz w:val="21"/>
          <w:szCs w:val="21"/>
          <w:highlight w:val="none"/>
        </w:rPr>
        <w:t>投标保证金及利息的计息标准和退还方式见投标人须知前附表。投标保证金缴纳及退还信息应在法</w:t>
      </w:r>
      <w:bookmarkStart w:id="62" w:name="bookmark92"/>
      <w:bookmarkEnd w:id="62"/>
      <w:r>
        <w:rPr>
          <w:rFonts w:hint="eastAsia" w:ascii="宋体" w:hAnsi="宋体" w:eastAsia="宋体" w:cs="宋体"/>
          <w:color w:val="auto"/>
          <w:spacing w:val="4"/>
          <w:position w:val="14"/>
          <w:sz w:val="21"/>
          <w:szCs w:val="21"/>
          <w:highlight w:val="none"/>
        </w:rPr>
        <w:t>定公告公示信息发布媒介等进行公示，接受社会监督。</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3.4.4  有下列情形之一的，投标保证金将不予退还：</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（1）投标人在规定的投标有效期内撤销或修改其投标文件；</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（2）投标人在投标过程中有弄虚作假、围标串标等违法违规行为的；</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（3）中标人在收到中标通知书后，无正当理由拒签合同、在签订合同时向招标人提出附加条件或未按招标文件规定提交履约保证金。</w:t>
      </w:r>
    </w:p>
    <w:p>
      <w:pPr>
        <w:spacing w:before="93" w:line="219"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3.5</w:t>
      </w:r>
      <w:r>
        <w:rPr>
          <w:rFonts w:ascii="Times New Roman" w:hAnsi="Times New Roman" w:eastAsia="Times New Roman" w:cs="Times New Roman"/>
          <w:color w:val="auto"/>
          <w:spacing w:val="9"/>
          <w:sz w:val="24"/>
          <w:szCs w:val="24"/>
          <w:highlight w:val="none"/>
        </w:rPr>
        <w:t xml:space="preserve">  </w:t>
      </w:r>
      <w:r>
        <w:rPr>
          <w:rFonts w:ascii="黑体" w:hAnsi="黑体" w:eastAsia="黑体" w:cs="黑体"/>
          <w:color w:val="auto"/>
          <w:spacing w:val="-3"/>
          <w:sz w:val="24"/>
          <w:szCs w:val="24"/>
          <w:highlight w:val="none"/>
        </w:rPr>
        <w:t>资格审查资料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3.5.1 “投标人基本情况表”应附投标人营业执照、资质证书和安全生产许可证等材料。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3.5.2 “近年财务状况表”应附经会计师事务所或审计机构审计的财务会计报表，具体年份要求见投标人须知前附表。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3.5.3  “近年完成的类似项目情况表”应附中标通知书和（或）合同协议书、工程接收证书（工程竣工验收证书）等材料。具体年份要求见投标人须知前附表，每张表格只填写一个项目，并标明序号。</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3.5.4 “正在实施和新承接的项目情况表”应附中标通知书和（或）合同协议书等材料。每张表格只填写一个项目，并标明序号。</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3.5.5 “近年发生的诉讼及仲裁情况”应说明相关情况，并附法院或仲裁机构作出的判决、裁决等有关法律文书，具体年份要求见投标人须知前附表。</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3.5.6 投标人须知前附表规定接受联合体投标的</w:t>
      </w:r>
      <w:r>
        <w:rPr>
          <w:rFonts w:hint="eastAsia" w:ascii="宋体" w:hAnsi="宋体" w:eastAsia="宋体" w:cs="宋体"/>
          <w:color w:val="auto"/>
          <w:spacing w:val="4"/>
          <w:position w:val="14"/>
          <w:sz w:val="21"/>
          <w:szCs w:val="21"/>
          <w:highlight w:val="none"/>
          <w:lang w:val="en-US" w:eastAsia="zh-CN"/>
        </w:rPr>
        <w:t>,</w:t>
      </w:r>
      <w:r>
        <w:rPr>
          <w:rFonts w:hint="eastAsia" w:ascii="宋体" w:hAnsi="宋体" w:eastAsia="宋体" w:cs="宋体"/>
          <w:color w:val="auto"/>
          <w:spacing w:val="4"/>
          <w:position w:val="14"/>
          <w:sz w:val="21"/>
          <w:szCs w:val="21"/>
          <w:highlight w:val="none"/>
        </w:rPr>
        <w:t>本章第 3.5.1 项至第3.5.5项规定的表格和资料应包括联合体各方相关情况。</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3.5.7 投标人应按招标文件第八章“投标文件格式”中规定的表格内容填写资格审查表，并按各资格审查表的具体要求提供相关证件及证明材料。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3.5.8 本招标文件中“类似项目”的定义见投标人须知前附表第 10.1.1条目规定。</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3.5.9 项目经理的已完成的类似项目的业绩，具体年份要求见投标人须知前附表。</w:t>
      </w:r>
    </w:p>
    <w:p>
      <w:pPr>
        <w:spacing w:before="92" w:line="218"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3.6  </w:t>
      </w:r>
      <w:r>
        <w:rPr>
          <w:rFonts w:ascii="黑体" w:hAnsi="黑体" w:eastAsia="黑体" w:cs="黑体"/>
          <w:color w:val="auto"/>
          <w:spacing w:val="-1"/>
          <w:sz w:val="24"/>
          <w:szCs w:val="24"/>
          <w:highlight w:val="none"/>
        </w:rPr>
        <w:t>备选投标方案</w:t>
      </w:r>
    </w:p>
    <w:p>
      <w:pPr>
        <w:spacing w:before="132" w:line="353" w:lineRule="auto"/>
        <w:ind w:left="21" w:right="182" w:firstLine="433"/>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除投标人须知前附表另有规定外，投标人不得递</w:t>
      </w:r>
      <w:r>
        <w:rPr>
          <w:rFonts w:ascii="宋体" w:hAnsi="宋体" w:eastAsia="宋体" w:cs="宋体"/>
          <w:color w:val="auto"/>
          <w:spacing w:val="2"/>
          <w:sz w:val="21"/>
          <w:szCs w:val="21"/>
          <w:highlight w:val="none"/>
        </w:rPr>
        <w:t>交备选投标方案。允许投标人递交备</w:t>
      </w:r>
      <w:r>
        <w:rPr>
          <w:rFonts w:ascii="宋体" w:hAnsi="宋体" w:eastAsia="宋体" w:cs="宋体"/>
          <w:color w:val="auto"/>
          <w:sz w:val="21"/>
          <w:szCs w:val="21"/>
          <w:highlight w:val="none"/>
        </w:rPr>
        <w:t xml:space="preserve"> 选投标方案的，只有中标人所递交的备选投标方案方可予以考虑。评标委员会认为中</w:t>
      </w:r>
      <w:r>
        <w:rPr>
          <w:rFonts w:ascii="宋体" w:hAnsi="宋体" w:eastAsia="宋体" w:cs="宋体"/>
          <w:color w:val="auto"/>
          <w:spacing w:val="-1"/>
          <w:sz w:val="21"/>
          <w:szCs w:val="21"/>
          <w:highlight w:val="none"/>
        </w:rPr>
        <w:t>标人</w:t>
      </w:r>
      <w:r>
        <w:rPr>
          <w:rFonts w:ascii="宋体" w:hAnsi="宋体" w:eastAsia="宋体" w:cs="宋体"/>
          <w:color w:val="auto"/>
          <w:spacing w:val="2"/>
          <w:sz w:val="21"/>
          <w:szCs w:val="21"/>
          <w:highlight w:val="none"/>
        </w:rPr>
        <w:t>的备选投标方案优于其按照招标文件要求编制的投标方案的，招标人可以接受该备选投标</w:t>
      </w:r>
      <w:r>
        <w:rPr>
          <w:rFonts w:ascii="宋体" w:hAnsi="宋体" w:eastAsia="宋体" w:cs="宋体"/>
          <w:color w:val="auto"/>
          <w:spacing w:val="-9"/>
          <w:sz w:val="21"/>
          <w:szCs w:val="21"/>
          <w:highlight w:val="none"/>
        </w:rPr>
        <w:t>方案。</w:t>
      </w:r>
    </w:p>
    <w:p>
      <w:pPr>
        <w:spacing w:before="91" w:line="218"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3.7  </w:t>
      </w:r>
      <w:r>
        <w:rPr>
          <w:rFonts w:ascii="黑体" w:hAnsi="黑体" w:eastAsia="黑体" w:cs="黑体"/>
          <w:color w:val="auto"/>
          <w:spacing w:val="-1"/>
          <w:sz w:val="24"/>
          <w:szCs w:val="24"/>
          <w:highlight w:val="none"/>
        </w:rPr>
        <w:t>投标文件的编制</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3.7.1  投标文件应按第八章“投标文件格式”进行编写，如有必要，可以增加附页，作为投标文件的组成部分。其中，投标函附录在满足招标文件实质性要求的基础上，可以提出比招标文件要求更有利于招标人的承诺。</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3.7.2  投标文件应当对招标文件有关工期、投标有效期、质量要求、技术标准和要求</w:t>
      </w:r>
      <w:r>
        <w:rPr>
          <w:rFonts w:hint="eastAsia" w:ascii="宋体" w:hAnsi="宋体" w:eastAsia="宋体" w:cs="宋体"/>
          <w:color w:val="auto"/>
          <w:spacing w:val="4"/>
          <w:position w:val="14"/>
          <w:sz w:val="21"/>
          <w:szCs w:val="21"/>
          <w:highlight w:val="none"/>
          <w:lang w:eastAsia="zh-CN"/>
        </w:rPr>
        <w:t>、</w:t>
      </w:r>
      <w:r>
        <w:rPr>
          <w:rFonts w:hint="eastAsia" w:ascii="宋体" w:hAnsi="宋体" w:eastAsia="宋体" w:cs="宋体"/>
          <w:color w:val="auto"/>
          <w:spacing w:val="4"/>
          <w:position w:val="14"/>
          <w:sz w:val="21"/>
          <w:szCs w:val="21"/>
          <w:highlight w:val="none"/>
        </w:rPr>
        <w:t>招标范围等实质性内容作出响应。</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3.7.3  投标文件制作</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bookmarkStart w:id="63" w:name="bookmark93"/>
      <w:bookmarkEnd w:id="63"/>
      <w:r>
        <w:rPr>
          <w:rFonts w:hint="eastAsia" w:ascii="宋体" w:hAnsi="宋体" w:eastAsia="宋体" w:cs="宋体"/>
          <w:color w:val="auto"/>
          <w:spacing w:val="4"/>
          <w:position w:val="14"/>
          <w:sz w:val="21"/>
          <w:szCs w:val="21"/>
          <w:highlight w:val="none"/>
        </w:rPr>
        <w:t>（1）投标文件由投标人使用符合标准的电子化投标文件制作生成。</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（2）投标人在编制投标文件时应当建立分级目录， 并按照标签提示录入相关内容。</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（3）投标文件中的附件信息和证明资料均应直接制作生成。</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联合体投标的，投标文件由联合体牵头人按上述规定在要求“盖单位章”的地方加盖联合体牵头人单位电子印章；在要求“签章”的地方加盖联合体牵头人法定代表人（授权委托人）的个人电子印章或电子签名。 招标文件有特别说明的除外。</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（5）投标文件执行工程量清单计价规范的项目，电子投标文件中的工程量清单报价文件。报表格式文件按招标文件给定格式编制。</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（6）投标文件制作完成后，将生成一份加密的电子投标文件。</w:t>
      </w:r>
    </w:p>
    <w:p>
      <w:pPr>
        <w:spacing w:before="150" w:line="220" w:lineRule="auto"/>
        <w:ind w:left="19"/>
        <w:rPr>
          <w:rFonts w:ascii="黑体" w:hAnsi="黑体" w:eastAsia="黑体" w:cs="黑体"/>
          <w:color w:val="auto"/>
          <w:sz w:val="28"/>
          <w:szCs w:val="28"/>
          <w:highlight w:val="none"/>
        </w:rPr>
      </w:pPr>
      <w:r>
        <w:rPr>
          <w:rFonts w:ascii="Times New Roman" w:hAnsi="Times New Roman" w:eastAsia="Times New Roman" w:cs="Times New Roman"/>
          <w:color w:val="auto"/>
          <w:spacing w:val="-2"/>
          <w:sz w:val="28"/>
          <w:szCs w:val="28"/>
          <w:highlight w:val="none"/>
        </w:rPr>
        <w:t>4.</w:t>
      </w:r>
      <w:r>
        <w:rPr>
          <w:rFonts w:ascii="Times New Roman" w:hAnsi="Times New Roman" w:eastAsia="Times New Roman" w:cs="Times New Roman"/>
          <w:color w:val="auto"/>
          <w:spacing w:val="3"/>
          <w:sz w:val="28"/>
          <w:szCs w:val="28"/>
          <w:highlight w:val="none"/>
        </w:rPr>
        <w:t xml:space="preserve">  </w:t>
      </w:r>
      <w:r>
        <w:rPr>
          <w:rFonts w:ascii="黑体" w:hAnsi="黑体" w:eastAsia="黑体" w:cs="黑体"/>
          <w:color w:val="auto"/>
          <w:spacing w:val="-2"/>
          <w:sz w:val="28"/>
          <w:szCs w:val="28"/>
          <w:highlight w:val="none"/>
        </w:rPr>
        <w:t>投标</w:t>
      </w:r>
    </w:p>
    <w:p>
      <w:pPr>
        <w:spacing w:before="62" w:line="218" w:lineRule="auto"/>
        <w:ind w:left="13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  </w:t>
      </w:r>
      <w:r>
        <w:rPr>
          <w:rFonts w:ascii="黑体" w:hAnsi="黑体" w:eastAsia="黑体" w:cs="黑体"/>
          <w:color w:val="auto"/>
          <w:spacing w:val="-1"/>
          <w:sz w:val="24"/>
          <w:szCs w:val="24"/>
          <w:highlight w:val="none"/>
        </w:rPr>
        <w:t>投标文件的加密</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投标人应当按照本章第 3.7.3 项要求制作投标文件， 并在投标时上传加密的投标文件， 未加密的投标文件， 招标人（电子交易系统） 将拒收并提示。</w:t>
      </w:r>
    </w:p>
    <w:p>
      <w:pPr>
        <w:spacing w:before="84" w:line="219" w:lineRule="auto"/>
        <w:ind w:left="13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4.2  </w:t>
      </w:r>
      <w:r>
        <w:rPr>
          <w:rFonts w:ascii="黑体" w:hAnsi="黑体" w:eastAsia="黑体" w:cs="黑体"/>
          <w:color w:val="auto"/>
          <w:spacing w:val="-1"/>
          <w:sz w:val="24"/>
          <w:szCs w:val="24"/>
          <w:highlight w:val="none"/>
        </w:rPr>
        <w:t>投标文件的递交</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4.2.1  投标人应在投标人须知前附表规定的投标截止时间前递交投标文件。</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4.2.2  投标人应当在投标截止时间前，通过辽宁省公共资源交易网https://www.lnsggzy.com/EpointSSO/login/oauth2login 网上递交，选择所投标段将加密的电子投标文件上传。逾期未完成上传或未加密的电子投标文件，招标人将拒收。纸质版备份投标文件递交至大石桥市审批技术审查与公共资源交易中心（大石桥财政局西源源水务二楼）。</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4.2.3  除投标人须知前附表另有规定外，投标人所递交的投标文件不予退还。</w:t>
      </w:r>
    </w:p>
    <w:p>
      <w:pPr>
        <w:spacing w:before="92" w:line="219" w:lineRule="auto"/>
        <w:ind w:left="13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4.3  </w:t>
      </w:r>
      <w:r>
        <w:rPr>
          <w:rFonts w:ascii="黑体" w:hAnsi="黑体" w:eastAsia="黑体" w:cs="黑体"/>
          <w:color w:val="auto"/>
          <w:spacing w:val="-1"/>
          <w:sz w:val="24"/>
          <w:szCs w:val="24"/>
          <w:highlight w:val="none"/>
        </w:rPr>
        <w:t>投标文件的修改与撤回</w:t>
      </w:r>
    </w:p>
    <w:p>
      <w:pPr>
        <w:spacing w:line="89" w:lineRule="exact"/>
        <w:rPr>
          <w:color w:val="auto"/>
          <w:highlight w:val="none"/>
        </w:rPr>
      </w:pP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w:t>
      </w:r>
      <w:r>
        <w:rPr>
          <w:rFonts w:hint="eastAsia" w:ascii="宋体" w:hAnsi="宋体" w:eastAsia="宋体" w:cs="宋体"/>
          <w:color w:val="auto"/>
          <w:spacing w:val="4"/>
          <w:position w:val="14"/>
          <w:sz w:val="21"/>
          <w:szCs w:val="21"/>
          <w:highlight w:val="none"/>
          <w:lang w:val="en-US" w:eastAsia="zh-CN"/>
        </w:rPr>
        <w:t>3</w:t>
      </w:r>
      <w:r>
        <w:rPr>
          <w:rFonts w:hint="eastAsia" w:ascii="宋体" w:hAnsi="宋体" w:eastAsia="宋体" w:cs="宋体"/>
          <w:color w:val="auto"/>
          <w:spacing w:val="4"/>
          <w:position w:val="14"/>
          <w:sz w:val="21"/>
          <w:szCs w:val="21"/>
          <w:highlight w:val="none"/>
        </w:rPr>
        <w:t>.1  在本章第4.2.1项规定的投标截止时间前，投标人可以修改或撤回已递交的投标</w:t>
      </w:r>
      <w:r>
        <w:rPr>
          <w:rFonts w:hint="eastAsia" w:ascii="宋体" w:hAnsi="宋体" w:eastAsia="宋体" w:cs="宋体"/>
          <w:color w:val="auto"/>
          <w:spacing w:val="4"/>
          <w:position w:val="14"/>
          <w:sz w:val="21"/>
          <w:szCs w:val="21"/>
          <w:highlight w:val="none"/>
          <w:lang w:val="en-US" w:eastAsia="zh-CN"/>
        </w:rPr>
        <w:t>文件</w:t>
      </w:r>
      <w:r>
        <w:rPr>
          <w:rFonts w:hint="eastAsia" w:ascii="宋体" w:hAnsi="宋体" w:eastAsia="宋体" w:cs="宋体"/>
          <w:color w:val="auto"/>
          <w:spacing w:val="4"/>
          <w:position w:val="14"/>
          <w:sz w:val="21"/>
          <w:szCs w:val="21"/>
          <w:highlight w:val="none"/>
        </w:rPr>
        <w:t>。</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w:t>
      </w:r>
      <w:r>
        <w:rPr>
          <w:rFonts w:hint="eastAsia" w:ascii="宋体" w:hAnsi="宋体" w:eastAsia="宋体" w:cs="宋体"/>
          <w:color w:val="auto"/>
          <w:spacing w:val="4"/>
          <w:position w:val="14"/>
          <w:sz w:val="21"/>
          <w:szCs w:val="21"/>
          <w:highlight w:val="none"/>
          <w:lang w:val="en-US" w:eastAsia="zh-CN"/>
        </w:rPr>
        <w:t>3</w:t>
      </w:r>
      <w:r>
        <w:rPr>
          <w:rFonts w:hint="eastAsia" w:ascii="宋体" w:hAnsi="宋体" w:eastAsia="宋体" w:cs="宋体"/>
          <w:color w:val="auto"/>
          <w:spacing w:val="4"/>
          <w:position w:val="14"/>
          <w:sz w:val="21"/>
          <w:szCs w:val="21"/>
          <w:highlight w:val="none"/>
        </w:rPr>
        <w:t>.2  投标人撤回投标文件的，在电子交易系统直接进行撤回操作。</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4"/>
          <w:position w:val="14"/>
          <w:sz w:val="21"/>
          <w:szCs w:val="21"/>
          <w:highlight w:val="none"/>
        </w:rPr>
        <w:t>4.</w:t>
      </w:r>
      <w:r>
        <w:rPr>
          <w:rFonts w:hint="eastAsia" w:ascii="宋体" w:hAnsi="宋体" w:eastAsia="宋体" w:cs="宋体"/>
          <w:color w:val="auto"/>
          <w:spacing w:val="4"/>
          <w:position w:val="14"/>
          <w:sz w:val="21"/>
          <w:szCs w:val="21"/>
          <w:highlight w:val="none"/>
          <w:lang w:val="en-US" w:eastAsia="zh-CN"/>
        </w:rPr>
        <w:t>3</w:t>
      </w:r>
      <w:r>
        <w:rPr>
          <w:rFonts w:hint="eastAsia" w:ascii="宋体" w:hAnsi="宋体" w:eastAsia="宋体" w:cs="宋体"/>
          <w:color w:val="auto"/>
          <w:spacing w:val="4"/>
          <w:position w:val="14"/>
          <w:sz w:val="21"/>
          <w:szCs w:val="21"/>
          <w:highlight w:val="none"/>
        </w:rPr>
        <w:t>.3  投标人修改投标文件的，应当先按本章第 4.3.2  项的规定撤回投标文件，再使用数字化投标文件制作软件制作成完整的投标文件， 并按照本章第 3 条、第 4 条规定进行编制和递交。</w:t>
      </w:r>
    </w:p>
    <w:p>
      <w:pPr>
        <w:spacing w:before="154" w:line="222" w:lineRule="auto"/>
        <w:ind w:left="27"/>
        <w:rPr>
          <w:rFonts w:ascii="黑体" w:hAnsi="黑体" w:eastAsia="黑体" w:cs="黑体"/>
          <w:color w:val="auto"/>
          <w:sz w:val="28"/>
          <w:szCs w:val="28"/>
          <w:highlight w:val="none"/>
        </w:rPr>
      </w:pPr>
      <w:r>
        <w:rPr>
          <w:rFonts w:ascii="Times New Roman" w:hAnsi="Times New Roman" w:eastAsia="Times New Roman" w:cs="Times New Roman"/>
          <w:color w:val="auto"/>
          <w:spacing w:val="-5"/>
          <w:sz w:val="28"/>
          <w:szCs w:val="28"/>
          <w:highlight w:val="none"/>
        </w:rPr>
        <w:t>5.</w:t>
      </w:r>
      <w:r>
        <w:rPr>
          <w:rFonts w:ascii="Times New Roman" w:hAnsi="Times New Roman" w:eastAsia="Times New Roman" w:cs="Times New Roman"/>
          <w:color w:val="auto"/>
          <w:spacing w:val="7"/>
          <w:sz w:val="28"/>
          <w:szCs w:val="28"/>
          <w:highlight w:val="none"/>
        </w:rPr>
        <w:t xml:space="preserve">  </w:t>
      </w:r>
      <w:r>
        <w:rPr>
          <w:rFonts w:ascii="黑体" w:hAnsi="黑体" w:eastAsia="黑体" w:cs="黑体"/>
          <w:color w:val="auto"/>
          <w:spacing w:val="-5"/>
          <w:sz w:val="28"/>
          <w:szCs w:val="28"/>
          <w:highlight w:val="none"/>
        </w:rPr>
        <w:t>开标</w:t>
      </w:r>
    </w:p>
    <w:p>
      <w:pPr>
        <w:spacing w:before="58" w:line="220" w:lineRule="auto"/>
        <w:ind w:left="14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5.1  </w:t>
      </w:r>
      <w:r>
        <w:rPr>
          <w:rFonts w:ascii="黑体" w:hAnsi="黑体" w:eastAsia="黑体" w:cs="黑体"/>
          <w:color w:val="auto"/>
          <w:spacing w:val="-1"/>
          <w:sz w:val="24"/>
          <w:szCs w:val="24"/>
          <w:highlight w:val="none"/>
        </w:rPr>
        <w:t>开标时间和地点</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5.1.1 招标人在本章第 4.2.1 项规定的投标截止时间（开标时间） 在辽宁省公共资源交易网上公开进行开标，所有投标人均应当参加开标。招标人按照投标人须知前附表规定的方式组织开标。</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5.1.2 招标人在投标人须知前附表规定的地点组织开标，并在投标截止时间 30 分钟前， 登录并进入辽宁省公共资源交易网选择相应标段作开标的准备工作。</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5.1.3  投标人应当在能够保证设施设备可靠、互联网畅通的任意地点，按照本章第5.1.1  项规定的组织方式，通过互联网远程在线或现场集中参加开标，使用加密其投标文件的数字证书（CA）登录辽宁省公共资源交易网选择所投标段进行签到，并实时关注招标人（招标代理机构） 的操作情况。</w:t>
      </w:r>
    </w:p>
    <w:p>
      <w:pPr>
        <w:spacing w:before="93" w:line="219" w:lineRule="auto"/>
        <w:ind w:left="143"/>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5.2</w:t>
      </w:r>
      <w:r>
        <w:rPr>
          <w:rFonts w:ascii="Times New Roman" w:hAnsi="Times New Roman" w:eastAsia="Times New Roman" w:cs="Times New Roman"/>
          <w:color w:val="auto"/>
          <w:spacing w:val="9"/>
          <w:sz w:val="24"/>
          <w:szCs w:val="24"/>
          <w:highlight w:val="none"/>
        </w:rPr>
        <w:t xml:space="preserve">  </w:t>
      </w:r>
      <w:r>
        <w:rPr>
          <w:rFonts w:ascii="黑体" w:hAnsi="黑体" w:eastAsia="黑体" w:cs="黑体"/>
          <w:color w:val="auto"/>
          <w:spacing w:val="-4"/>
          <w:sz w:val="24"/>
          <w:szCs w:val="24"/>
          <w:highlight w:val="none"/>
        </w:rPr>
        <w:t>开标程序</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5.2.1 主持人按下列程序在</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 xml:space="preserve">进行开标： </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（1）宣布开标纪律；</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（2）公布主持人、招标人代表、监标人等有关人员姓名；</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（3）公布在投标截止时间前投标文件的递交情况；</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 xml:space="preserve">（4）公布投标保证金递交情况（对担保保函、保证保险进行实时验真）； </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（5）投标人根据提示在投标人须知前附表规定的时间内解密投标文件；</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（6）读取已解密的投标文件的内容；</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（7）公布投标人名称、标段名称、投标保证金的递交情况、投标报价、项目经理姓名及其他内容，并生成开标记录；</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（8）投标人对开标记录进行确认；</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（9）开标结束。</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bookmarkStart w:id="64" w:name="bookmark95"/>
      <w:bookmarkEnd w:id="64"/>
      <w:r>
        <w:rPr>
          <w:rFonts w:hint="eastAsia" w:ascii="宋体" w:hAnsi="宋体" w:eastAsia="宋体" w:cs="宋体"/>
          <w:color w:val="auto"/>
          <w:spacing w:val="4"/>
          <w:position w:val="14"/>
          <w:sz w:val="21"/>
          <w:szCs w:val="21"/>
          <w:highlight w:val="none"/>
        </w:rPr>
        <w:t>5.2.2 生成开标记录后10分钟内，投标人通过</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对开标结果予以确认。未在规定时间内确认或未确认的视为对开标过程及结果无异议。</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5.2.3  在本章第 5.2.1（5）目规定的时间内，非因</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原因造成投标文件未解密的，视为投标人撤回投标文件。已解密的投标文件少于三个的，招标失败；已解密的投标文件不少于三个，开标继续进行。</w:t>
      </w:r>
    </w:p>
    <w:p>
      <w:pPr>
        <w:spacing w:before="91" w:line="219" w:lineRule="auto"/>
        <w:ind w:left="143"/>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5.3</w:t>
      </w:r>
      <w:r>
        <w:rPr>
          <w:rFonts w:ascii="Times New Roman" w:hAnsi="Times New Roman" w:eastAsia="Times New Roman" w:cs="Times New Roman"/>
          <w:color w:val="auto"/>
          <w:spacing w:val="9"/>
          <w:sz w:val="24"/>
          <w:szCs w:val="24"/>
          <w:highlight w:val="none"/>
        </w:rPr>
        <w:t xml:space="preserve">  </w:t>
      </w:r>
      <w:r>
        <w:rPr>
          <w:rFonts w:ascii="黑体" w:hAnsi="黑体" w:eastAsia="黑体" w:cs="黑体"/>
          <w:color w:val="auto"/>
          <w:spacing w:val="-4"/>
          <w:sz w:val="24"/>
          <w:szCs w:val="24"/>
          <w:highlight w:val="none"/>
        </w:rPr>
        <w:t>开标异议</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5.3.1  投标人对开标有异议的，应当在开标过程中提出；招标人当场对异议作出答复，并记入开标记录。异议与答复应通过</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以书面形</w:t>
      </w:r>
      <w:r>
        <w:rPr>
          <w:rFonts w:hint="eastAsia" w:ascii="宋体" w:hAnsi="宋体" w:eastAsia="宋体" w:cs="宋体"/>
          <w:color w:val="auto"/>
          <w:spacing w:val="4"/>
          <w:position w:val="14"/>
          <w:sz w:val="21"/>
          <w:szCs w:val="21"/>
          <w:highlight w:val="none"/>
          <w:lang w:eastAsia="zh-CN"/>
        </w:rPr>
        <w:t>式进</w:t>
      </w:r>
      <w:r>
        <w:rPr>
          <w:rFonts w:hint="eastAsia" w:ascii="宋体" w:hAnsi="宋体" w:eastAsia="宋体" w:cs="宋体"/>
          <w:color w:val="auto"/>
          <w:spacing w:val="4"/>
          <w:position w:val="14"/>
          <w:sz w:val="21"/>
          <w:szCs w:val="21"/>
          <w:highlight w:val="none"/>
        </w:rPr>
        <w:t>行。</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本处所称异议是指投标人在开标过程中对投标文件提交、投标截止时间、开标程序、开标记录以及投标人和招标人或者投标人相互之间存在利益冲突的情形等提出的质疑。</w:t>
      </w:r>
    </w:p>
    <w:p>
      <w:pPr>
        <w:keepNext w:val="0"/>
        <w:keepLines w:val="0"/>
        <w:pageBreakBefore w:val="0"/>
        <w:widowControl/>
        <w:kinsoku w:val="0"/>
        <w:wordWrap/>
        <w:overflowPunct/>
        <w:topLinePunct w:val="0"/>
        <w:autoSpaceDE w:val="0"/>
        <w:autoSpaceDN w:val="0"/>
        <w:bidi w:val="0"/>
        <w:adjustRightInd w:val="0"/>
        <w:snapToGrid w:val="0"/>
        <w:spacing w:before="130" w:line="240"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5.3.2  投标人异议成立的，招标人将及时采取纠正措施，或者提交评标委员会评审确认；投标人异议不成立的，招标人将当场给予解释说明。</w:t>
      </w:r>
    </w:p>
    <w:p>
      <w:pPr>
        <w:spacing w:before="92" w:line="240" w:lineRule="auto"/>
        <w:ind w:left="143"/>
        <w:rPr>
          <w:rFonts w:hint="eastAsia" w:ascii="宋体" w:hAnsi="宋体" w:eastAsia="宋体" w:cs="宋体"/>
          <w:color w:val="auto"/>
          <w:spacing w:val="4"/>
          <w:position w:val="14"/>
          <w:sz w:val="21"/>
          <w:szCs w:val="21"/>
          <w:highlight w:val="none"/>
          <w:lang w:eastAsia="zh-CN"/>
        </w:rPr>
      </w:pPr>
      <w:r>
        <w:rPr>
          <w:rFonts w:hint="eastAsia" w:ascii="宋体" w:hAnsi="宋体" w:eastAsia="宋体" w:cs="宋体"/>
          <w:color w:val="auto"/>
          <w:spacing w:val="4"/>
          <w:position w:val="14"/>
          <w:sz w:val="21"/>
          <w:szCs w:val="21"/>
          <w:highlight w:val="none"/>
        </w:rPr>
        <w:t>5.3.3 投标人未在开标过程中提出异议，视为异议权利灭失，不可再对开标提出异议</w:t>
      </w:r>
      <w:r>
        <w:rPr>
          <w:rFonts w:hint="eastAsia" w:ascii="宋体" w:hAnsi="宋体" w:eastAsia="宋体" w:cs="宋体"/>
          <w:color w:val="auto"/>
          <w:spacing w:val="4"/>
          <w:position w:val="14"/>
          <w:sz w:val="21"/>
          <w:szCs w:val="21"/>
          <w:highlight w:val="none"/>
          <w:lang w:eastAsia="zh-CN"/>
        </w:rPr>
        <w:t>。</w:t>
      </w:r>
    </w:p>
    <w:p>
      <w:pPr>
        <w:spacing w:before="92" w:line="240" w:lineRule="auto"/>
        <w:ind w:left="14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特殊情况的处置</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5.4.1  因</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故障导致无法投标的，管理部门及时通知招标人，招标人视情况决定是否顺延投标截止时间。因投标人自身原因导致无法完成投标的，由投标人自行承担后果。</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5.4.2  因</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统故障导致无法正常开标的，招标人将暂停开标，待系统恢复正常后继续开标。</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技术服务单位将立即启动应急响应机制，积极排查系统故障，解决问题，系统本身对用户或第三方不负任何责任。</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 xml:space="preserve">5.4.3  </w:t>
      </w:r>
      <w:r>
        <w:rPr>
          <w:rFonts w:hint="eastAsia" w:ascii="宋体" w:hAnsi="宋体" w:eastAsia="宋体" w:cs="宋体"/>
          <w:color w:val="auto"/>
          <w:spacing w:val="4"/>
          <w:position w:val="14"/>
          <w:sz w:val="21"/>
          <w:szCs w:val="21"/>
          <w:highlight w:val="none"/>
          <w:lang w:eastAsia="zh-CN"/>
        </w:rPr>
        <w:t>辽宁省公共资源交易网</w:t>
      </w:r>
      <w:r>
        <w:rPr>
          <w:rFonts w:hint="eastAsia" w:ascii="宋体" w:hAnsi="宋体" w:eastAsia="宋体" w:cs="宋体"/>
          <w:color w:val="auto"/>
          <w:spacing w:val="4"/>
          <w:position w:val="14"/>
          <w:sz w:val="21"/>
          <w:szCs w:val="21"/>
          <w:highlight w:val="none"/>
        </w:rPr>
        <w:t>故障是指下列情形：</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（1）系统服务器发生故障，无法访问或无法使用系统；</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（2）系统的软件或数据库出现错误， 不能进行正常操作；</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（3）系统发现有安全漏洞，有潜在的泄密危险；</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（4）系统出现网络攻击；</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（5）出现断电、断网事故；</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（6）出现法定不可抗力因素；</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（7）其他无法保证招投标过程正常进行的情形。</w:t>
      </w:r>
    </w:p>
    <w:p>
      <w:pPr>
        <w:spacing w:before="150" w:line="219" w:lineRule="auto"/>
        <w:ind w:left="26"/>
        <w:rPr>
          <w:rFonts w:ascii="黑体" w:hAnsi="黑体" w:eastAsia="黑体" w:cs="黑体"/>
          <w:color w:val="auto"/>
          <w:sz w:val="28"/>
          <w:szCs w:val="28"/>
          <w:highlight w:val="none"/>
        </w:rPr>
      </w:pPr>
      <w:r>
        <w:rPr>
          <w:rFonts w:ascii="Times New Roman" w:hAnsi="Times New Roman" w:eastAsia="Times New Roman" w:cs="Times New Roman"/>
          <w:color w:val="auto"/>
          <w:spacing w:val="-4"/>
          <w:sz w:val="28"/>
          <w:szCs w:val="28"/>
          <w:highlight w:val="none"/>
        </w:rPr>
        <w:t>6.</w:t>
      </w:r>
      <w:r>
        <w:rPr>
          <w:rFonts w:ascii="Times New Roman" w:hAnsi="Times New Roman" w:eastAsia="Times New Roman" w:cs="Times New Roman"/>
          <w:color w:val="auto"/>
          <w:spacing w:val="4"/>
          <w:sz w:val="28"/>
          <w:szCs w:val="28"/>
          <w:highlight w:val="none"/>
        </w:rPr>
        <w:t xml:space="preserve">  </w:t>
      </w:r>
      <w:r>
        <w:rPr>
          <w:rFonts w:ascii="黑体" w:hAnsi="黑体" w:eastAsia="黑体" w:cs="黑体"/>
          <w:color w:val="auto"/>
          <w:spacing w:val="-4"/>
          <w:sz w:val="28"/>
          <w:szCs w:val="28"/>
          <w:highlight w:val="none"/>
        </w:rPr>
        <w:t>评标</w:t>
      </w:r>
    </w:p>
    <w:p>
      <w:pPr>
        <w:spacing w:before="63" w:line="218" w:lineRule="auto"/>
        <w:ind w:left="142"/>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6.1  </w:t>
      </w:r>
      <w:r>
        <w:rPr>
          <w:rFonts w:ascii="黑体" w:hAnsi="黑体" w:eastAsia="黑体" w:cs="黑体"/>
          <w:color w:val="auto"/>
          <w:spacing w:val="-1"/>
          <w:sz w:val="24"/>
          <w:szCs w:val="24"/>
          <w:highlight w:val="none"/>
        </w:rPr>
        <w:t>评标委员会</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6.1.1  评标由招标人依法组建的评标委员会负责。评标委员会由招标人或其委托的招标 代理机构熟悉相关业务的代表，以及有关技术、经济等方面的专家组成。评标委员会成员人数以及技术、经济等方面专家的确定方式见投标人须知前附表。</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6.1.2  评标委员会成员有下列情形之一的， 应当回避：</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bookmarkStart w:id="65" w:name="bookmark96"/>
      <w:bookmarkEnd w:id="65"/>
      <w:r>
        <w:rPr>
          <w:rFonts w:hint="eastAsia" w:ascii="宋体" w:hAnsi="宋体" w:eastAsia="宋体" w:cs="宋体"/>
          <w:color w:val="auto"/>
          <w:spacing w:val="4"/>
          <w:position w:val="14"/>
          <w:sz w:val="21"/>
          <w:szCs w:val="21"/>
          <w:highlight w:val="none"/>
        </w:rPr>
        <w:t>（1）投标人或投标人主要负责人的近亲属；</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（2）项目主管部门或者行政监督部门的人员；</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（3）与投标人有经济利益关系， 可能影响对投标公正评审的；</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（4）曾因在招标、评标以及其他与招标投标有关活动中从事违法行为而受过行政处罚或刑事处罚的；</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（5）与投标人有其他利害关系。</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spacing w:before="93" w:line="219" w:lineRule="auto"/>
        <w:ind w:left="142"/>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6.2  </w:t>
      </w:r>
      <w:r>
        <w:rPr>
          <w:rFonts w:ascii="黑体" w:hAnsi="黑体" w:eastAsia="黑体" w:cs="黑体"/>
          <w:color w:val="auto"/>
          <w:spacing w:val="-1"/>
          <w:sz w:val="24"/>
          <w:szCs w:val="24"/>
          <w:highlight w:val="none"/>
        </w:rPr>
        <w:t>评标原则</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评标活动遵循公平、公正、科学和择优的原则。</w:t>
      </w:r>
    </w:p>
    <w:p>
      <w:pPr>
        <w:spacing w:before="92" w:line="219" w:lineRule="auto"/>
        <w:ind w:left="142"/>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6.3</w:t>
      </w:r>
      <w:r>
        <w:rPr>
          <w:rFonts w:ascii="Times New Roman" w:hAnsi="Times New Roman" w:eastAsia="Times New Roman" w:cs="Times New Roman"/>
          <w:color w:val="auto"/>
          <w:spacing w:val="4"/>
          <w:sz w:val="24"/>
          <w:szCs w:val="24"/>
          <w:highlight w:val="none"/>
        </w:rPr>
        <w:t xml:space="preserve">  </w:t>
      </w:r>
      <w:r>
        <w:rPr>
          <w:rFonts w:ascii="黑体" w:hAnsi="黑体" w:eastAsia="黑体" w:cs="黑体"/>
          <w:color w:val="auto"/>
          <w:spacing w:val="-3"/>
          <w:sz w:val="24"/>
          <w:szCs w:val="24"/>
          <w:highlight w:val="none"/>
        </w:rPr>
        <w:t>评标</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6.3.1  评标委员会按照第三章“评标办法”规定的方法、评审因素、标准和程序对投标文件进行评审。第三章“评标办法”没有规定的方法、评审因素和标准，不作为评标依据。</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6.3.2  评标完成后，评标委员会应当向招标人提交书面评标报告和中标候选人名单</w:t>
      </w:r>
      <w:r>
        <w:rPr>
          <w:rFonts w:hint="eastAsia" w:ascii="宋体" w:hAnsi="宋体" w:eastAsia="宋体" w:cs="宋体"/>
          <w:color w:val="auto"/>
          <w:spacing w:val="4"/>
          <w:position w:val="14"/>
          <w:sz w:val="21"/>
          <w:szCs w:val="21"/>
          <w:highlight w:val="none"/>
          <w:lang w:eastAsia="zh-CN"/>
        </w:rPr>
        <w:t>。</w:t>
      </w:r>
      <w:r>
        <w:rPr>
          <w:rFonts w:hint="eastAsia" w:ascii="宋体" w:hAnsi="宋体" w:eastAsia="宋体" w:cs="宋体"/>
          <w:color w:val="auto"/>
          <w:spacing w:val="4"/>
          <w:position w:val="14"/>
          <w:sz w:val="21"/>
          <w:szCs w:val="21"/>
          <w:highlight w:val="none"/>
        </w:rPr>
        <w:t>评标委员会推荐中标候选人的人数见投标人须知前附表。</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6.3.3 评标采用方式详见投标人须知前附表。</w:t>
      </w:r>
    </w:p>
    <w:p>
      <w:pPr>
        <w:spacing w:before="92" w:line="219" w:lineRule="auto"/>
        <w:ind w:left="142"/>
        <w:rPr>
          <w:rFonts w:ascii="黑体" w:hAnsi="黑体" w:eastAsia="黑体" w:cs="黑体"/>
          <w:color w:val="auto"/>
          <w:spacing w:val="-3"/>
          <w:sz w:val="24"/>
          <w:szCs w:val="24"/>
          <w:highlight w:val="none"/>
        </w:rPr>
      </w:pPr>
      <w:r>
        <w:rPr>
          <w:rFonts w:ascii="黑体" w:hAnsi="黑体" w:eastAsia="黑体" w:cs="黑体"/>
          <w:color w:val="auto"/>
          <w:spacing w:val="-3"/>
          <w:sz w:val="24"/>
          <w:szCs w:val="24"/>
          <w:highlight w:val="none"/>
        </w:rPr>
        <w:t>6.4  评标结果公示</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招标人将自收到评标报告之日起3日内，完成审查评标委员会提交的书面评标报告， 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投标人或者其他利害关系人对评标结果有异议的，应当在中标候选人公示（评标结果公示）期间提出。招标人自收到异议之日起</w:t>
      </w:r>
      <w:r>
        <w:rPr>
          <w:rFonts w:hint="eastAsia" w:ascii="宋体" w:hAnsi="宋体" w:eastAsia="宋体" w:cs="宋体"/>
          <w:color w:val="auto"/>
          <w:spacing w:val="4"/>
          <w:position w:val="14"/>
          <w:sz w:val="21"/>
          <w:szCs w:val="21"/>
          <w:highlight w:val="none"/>
          <w:lang w:val="en-US" w:eastAsia="zh-CN"/>
        </w:rPr>
        <w:t>3</w:t>
      </w:r>
      <w:r>
        <w:rPr>
          <w:rFonts w:hint="eastAsia" w:ascii="宋体" w:hAnsi="宋体" w:eastAsia="宋体" w:cs="宋体"/>
          <w:color w:val="auto"/>
          <w:spacing w:val="4"/>
          <w:position w:val="14"/>
          <w:sz w:val="21"/>
          <w:szCs w:val="21"/>
          <w:highlight w:val="none"/>
        </w:rPr>
        <w:t>日内作出答复；作出答复前，暂停招标投标活动。异议与答复应当通过电子交易系统以书面形式进行。在法定时间期限内未提出视为投标人权利灭失。</w:t>
      </w:r>
    </w:p>
    <w:p>
      <w:pPr>
        <w:spacing w:before="148" w:line="395" w:lineRule="exact"/>
        <w:ind w:left="24"/>
        <w:rPr>
          <w:rFonts w:ascii="黑体" w:hAnsi="黑体" w:eastAsia="黑体" w:cs="黑体"/>
          <w:color w:val="auto"/>
          <w:sz w:val="28"/>
          <w:szCs w:val="28"/>
          <w:highlight w:val="none"/>
        </w:rPr>
      </w:pPr>
      <w:r>
        <w:rPr>
          <w:rFonts w:ascii="Times New Roman" w:hAnsi="Times New Roman" w:eastAsia="Times New Roman" w:cs="Times New Roman"/>
          <w:color w:val="auto"/>
          <w:spacing w:val="-1"/>
          <w:position w:val="8"/>
          <w:sz w:val="28"/>
          <w:szCs w:val="28"/>
          <w:highlight w:val="none"/>
        </w:rPr>
        <w:t xml:space="preserve">7.  </w:t>
      </w:r>
      <w:r>
        <w:rPr>
          <w:rFonts w:ascii="黑体" w:hAnsi="黑体" w:eastAsia="黑体" w:cs="黑体"/>
          <w:color w:val="auto"/>
          <w:spacing w:val="-1"/>
          <w:position w:val="8"/>
          <w:sz w:val="28"/>
          <w:szCs w:val="28"/>
          <w:highlight w:val="none"/>
        </w:rPr>
        <w:t>合同授予</w:t>
      </w:r>
    </w:p>
    <w:p>
      <w:pPr>
        <w:spacing w:line="218"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7.1  </w:t>
      </w:r>
      <w:r>
        <w:rPr>
          <w:rFonts w:ascii="黑体" w:hAnsi="黑体" w:eastAsia="黑体" w:cs="黑体"/>
          <w:color w:val="auto"/>
          <w:spacing w:val="-1"/>
          <w:sz w:val="24"/>
          <w:szCs w:val="24"/>
          <w:highlight w:val="none"/>
        </w:rPr>
        <w:t>定标方式</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除投标人须知前附表规定评标委员会直接确定中标人外，招标人依据评标委员会推荐的中标候选人确定中标人，评标委员会推荐中标候选人的人数见投标人须知前附表。</w:t>
      </w:r>
    </w:p>
    <w:p>
      <w:pPr>
        <w:spacing w:before="84" w:line="220"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7.2</w:t>
      </w:r>
      <w:r>
        <w:rPr>
          <w:rFonts w:ascii="Times New Roman" w:hAnsi="Times New Roman" w:eastAsia="Times New Roman" w:cs="Times New Roman"/>
          <w:color w:val="auto"/>
          <w:spacing w:val="16"/>
          <w:sz w:val="24"/>
          <w:szCs w:val="24"/>
          <w:highlight w:val="none"/>
        </w:rPr>
        <w:t xml:space="preserve">  </w:t>
      </w:r>
      <w:r>
        <w:rPr>
          <w:rFonts w:ascii="黑体" w:hAnsi="黑体" w:eastAsia="黑体" w:cs="黑体"/>
          <w:color w:val="auto"/>
          <w:spacing w:val="-5"/>
          <w:sz w:val="24"/>
          <w:szCs w:val="24"/>
          <w:highlight w:val="none"/>
        </w:rPr>
        <w:t>中标通知</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在本章第3.3款规定的投标有效期内，招标人通过电子交易系统以书面形式向中标人发出经电子监督系统验证备案的中标通知书，同时将中标结果通知未中标的投标人。</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中标通知书发出的同时，招标人将在投标人须知前附表第6.4款规定的媒介发布中标结果公示。</w:t>
      </w:r>
    </w:p>
    <w:p>
      <w:pPr>
        <w:spacing w:before="83" w:line="219"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7.3  </w:t>
      </w:r>
      <w:r>
        <w:rPr>
          <w:rFonts w:ascii="黑体" w:hAnsi="黑体" w:eastAsia="黑体" w:cs="黑体"/>
          <w:color w:val="auto"/>
          <w:spacing w:val="-1"/>
          <w:sz w:val="24"/>
          <w:szCs w:val="24"/>
          <w:highlight w:val="none"/>
        </w:rPr>
        <w:t>履约担保</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7.3.1  在签订合同前，中标人应按投标人须知前附表规定的担保形式和招标文件第四章“合同条款及格式”规定的或者事先经过招标人书面认可的履约担保格式向招标人提交履约担保。联合体中标的，其履约担保由联合体各方或者联合体中牵头人的名义提交。</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7.3.2  中标人不能按本章第7.3.1项要求提交履约担保的</w:t>
      </w:r>
      <w:r>
        <w:rPr>
          <w:rFonts w:hint="eastAsia" w:ascii="宋体" w:hAnsi="宋体" w:eastAsia="宋体" w:cs="宋体"/>
          <w:color w:val="auto"/>
          <w:spacing w:val="4"/>
          <w:position w:val="14"/>
          <w:sz w:val="21"/>
          <w:szCs w:val="21"/>
          <w:highlight w:val="none"/>
          <w:lang w:eastAsia="zh-CN"/>
        </w:rPr>
        <w:t>，</w:t>
      </w:r>
      <w:r>
        <w:rPr>
          <w:rFonts w:hint="eastAsia" w:ascii="宋体" w:hAnsi="宋体" w:eastAsia="宋体" w:cs="宋体"/>
          <w:color w:val="auto"/>
          <w:spacing w:val="4"/>
          <w:position w:val="14"/>
          <w:sz w:val="21"/>
          <w:szCs w:val="21"/>
          <w:highlight w:val="none"/>
        </w:rPr>
        <w:t>视为放弃中标，其投标保证金不予退还，给招标人造成的损失超过投标保证金数额的，中标人还应当对超过部分予以赔偿。</w:t>
      </w:r>
    </w:p>
    <w:p>
      <w:pPr>
        <w:spacing w:before="92" w:line="220"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7.4  </w:t>
      </w:r>
      <w:r>
        <w:rPr>
          <w:rFonts w:ascii="黑体" w:hAnsi="黑体" w:eastAsia="黑体" w:cs="黑体"/>
          <w:color w:val="auto"/>
          <w:spacing w:val="-1"/>
          <w:sz w:val="24"/>
          <w:szCs w:val="24"/>
          <w:highlight w:val="none"/>
        </w:rPr>
        <w:t>签订合同</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7.4.1  招标人和中标人应当自中标通知书发出之日起30天内，根据招标文件和中标人的投标文件（以经评标委员会评审的文件版本为准）订立书面合同。中标人无正当理由拒签合同的，招标人取消其中标资格，其投标保证金不予退还；给招标人造成的损失超过投标保证金数额的，中标人还应当对超过部分予以赔偿。</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7.4.2  发出中标通知书后，招标人无正当理由拒签合同的，招标人向中标人退还投标保证金； 给中标人造成损失的，还应当赔偿损失。</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7.4.3  联合体中标的，联合体各方应当共同与招标人签订合同，就中标项目向招标人承担连带责任。</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7.4.4  签约合同价的确定原则如下：</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开标时投标函中大写投标总价应为签约合同价。按照第三章“评标办法”的规定，如投标报价有算术错误的，修正的价格经投标人书面确认后，以修正后的投标总价为签约</w:t>
      </w:r>
      <w:r>
        <w:rPr>
          <w:rFonts w:hint="eastAsia" w:ascii="宋体" w:hAnsi="宋体" w:eastAsia="宋体" w:cs="宋体"/>
          <w:color w:val="auto"/>
          <w:spacing w:val="4"/>
          <w:position w:val="14"/>
          <w:sz w:val="21"/>
          <w:szCs w:val="21"/>
          <w:highlight w:val="none"/>
          <w:lang w:eastAsia="zh-CN"/>
        </w:rPr>
        <w:t>合</w:t>
      </w:r>
      <w:r>
        <w:rPr>
          <w:rFonts w:hint="eastAsia" w:ascii="宋体" w:hAnsi="宋体" w:eastAsia="宋体" w:cs="宋体"/>
          <w:color w:val="auto"/>
          <w:spacing w:val="4"/>
          <w:position w:val="14"/>
          <w:sz w:val="21"/>
          <w:szCs w:val="21"/>
          <w:highlight w:val="none"/>
        </w:rPr>
        <w:t>同价。</w:t>
      </w:r>
    </w:p>
    <w:p>
      <w:pPr>
        <w:spacing w:before="151" w:line="395" w:lineRule="exact"/>
        <w:ind w:left="31"/>
        <w:rPr>
          <w:rFonts w:ascii="黑体" w:hAnsi="黑体" w:eastAsia="黑体" w:cs="黑体"/>
          <w:color w:val="auto"/>
          <w:sz w:val="28"/>
          <w:szCs w:val="28"/>
          <w:highlight w:val="none"/>
        </w:rPr>
      </w:pPr>
      <w:r>
        <w:rPr>
          <w:rFonts w:ascii="Times New Roman" w:hAnsi="Times New Roman" w:eastAsia="Times New Roman" w:cs="Times New Roman"/>
          <w:color w:val="auto"/>
          <w:spacing w:val="-1"/>
          <w:position w:val="8"/>
          <w:sz w:val="28"/>
          <w:szCs w:val="28"/>
          <w:highlight w:val="none"/>
        </w:rPr>
        <w:t xml:space="preserve">8.  </w:t>
      </w:r>
      <w:r>
        <w:rPr>
          <w:rFonts w:ascii="黑体" w:hAnsi="黑体" w:eastAsia="黑体" w:cs="黑体"/>
          <w:color w:val="auto"/>
          <w:spacing w:val="-1"/>
          <w:position w:val="8"/>
          <w:sz w:val="28"/>
          <w:szCs w:val="28"/>
          <w:highlight w:val="none"/>
        </w:rPr>
        <w:t>重新招标、不再招标和终止招标</w:t>
      </w:r>
    </w:p>
    <w:p>
      <w:pPr>
        <w:spacing w:line="218" w:lineRule="auto"/>
        <w:ind w:left="146"/>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8.1</w:t>
      </w:r>
      <w:r>
        <w:rPr>
          <w:rFonts w:ascii="Times New Roman" w:hAnsi="Times New Roman" w:eastAsia="Times New Roman" w:cs="Times New Roman"/>
          <w:color w:val="auto"/>
          <w:spacing w:val="8"/>
          <w:sz w:val="24"/>
          <w:szCs w:val="24"/>
          <w:highlight w:val="none"/>
        </w:rPr>
        <w:t xml:space="preserve">  </w:t>
      </w:r>
      <w:r>
        <w:rPr>
          <w:rFonts w:ascii="黑体" w:hAnsi="黑体" w:eastAsia="黑体" w:cs="黑体"/>
          <w:color w:val="auto"/>
          <w:spacing w:val="-4"/>
          <w:sz w:val="24"/>
          <w:szCs w:val="24"/>
          <w:highlight w:val="none"/>
        </w:rPr>
        <w:t>重新招标</w:t>
      </w:r>
    </w:p>
    <w:p>
      <w:pPr>
        <w:keepNext w:val="0"/>
        <w:keepLines w:val="0"/>
        <w:pageBreakBefore w:val="0"/>
        <w:widowControl/>
        <w:kinsoku w:val="0"/>
        <w:wordWrap/>
        <w:overflowPunct/>
        <w:topLinePunct w:val="0"/>
        <w:autoSpaceDE w:val="0"/>
        <w:autoSpaceDN w:val="0"/>
        <w:bidi w:val="0"/>
        <w:adjustRightInd w:val="0"/>
        <w:snapToGrid w:val="0"/>
        <w:spacing w:before="100" w:line="288" w:lineRule="auto"/>
        <w:ind w:left="383"/>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有下列情形之一的，招标人将重新招标：</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（1）投标截止时间止，投标人少于3个的；</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（2）经评标委员会评审后否决所有投标的；</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（3）第一中标候选人或所有中标候选人存在不同程度的问题，不能签订合同的；</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（4）在投标有效期内同意延长投标有效期的投标人少于三个的；</w:t>
      </w:r>
    </w:p>
    <w:p>
      <w:pPr>
        <w:spacing w:before="84" w:line="219" w:lineRule="auto"/>
        <w:ind w:left="146" w:firstLine="218" w:firstLineChars="100"/>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（5）法律、法规规定的其他情形。</w:t>
      </w:r>
    </w:p>
    <w:p>
      <w:pPr>
        <w:spacing w:before="84" w:line="219" w:lineRule="auto"/>
        <w:ind w:left="146"/>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8.2</w:t>
      </w:r>
      <w:r>
        <w:rPr>
          <w:rFonts w:ascii="Times New Roman" w:hAnsi="Times New Roman" w:eastAsia="Times New Roman" w:cs="Times New Roman"/>
          <w:color w:val="auto"/>
          <w:spacing w:val="7"/>
          <w:sz w:val="24"/>
          <w:szCs w:val="24"/>
          <w:highlight w:val="none"/>
        </w:rPr>
        <w:t xml:space="preserve">  </w:t>
      </w:r>
      <w:r>
        <w:rPr>
          <w:rFonts w:ascii="黑体" w:hAnsi="黑体" w:eastAsia="黑体" w:cs="黑体"/>
          <w:color w:val="auto"/>
          <w:spacing w:val="-4"/>
          <w:sz w:val="24"/>
          <w:szCs w:val="24"/>
          <w:highlight w:val="none"/>
        </w:rPr>
        <w:t>不再招标</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重新招标后投标人仍少于3个或者所有投标被否决的，属于必须审批或核准的工程建设项目，经原审批或核准部门批准后不再进行招标。</w:t>
      </w:r>
    </w:p>
    <w:p>
      <w:pPr>
        <w:spacing w:before="85" w:line="220" w:lineRule="auto"/>
        <w:ind w:left="146"/>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8.3  </w:t>
      </w:r>
      <w:r>
        <w:rPr>
          <w:rFonts w:ascii="黑体" w:hAnsi="黑体" w:eastAsia="黑体" w:cs="黑体"/>
          <w:color w:val="auto"/>
          <w:spacing w:val="-2"/>
          <w:sz w:val="24"/>
          <w:szCs w:val="24"/>
          <w:highlight w:val="none"/>
        </w:rPr>
        <w:t>终止招标</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bookmarkStart w:id="66" w:name="bookmark98"/>
      <w:bookmarkEnd w:id="66"/>
      <w:bookmarkStart w:id="67" w:name="bookmark97"/>
      <w:bookmarkEnd w:id="67"/>
      <w:r>
        <w:rPr>
          <w:rFonts w:hint="eastAsia" w:ascii="宋体" w:hAnsi="宋体" w:eastAsia="宋体" w:cs="宋体"/>
          <w:color w:val="auto"/>
          <w:spacing w:val="4"/>
          <w:position w:val="14"/>
          <w:sz w:val="21"/>
          <w:szCs w:val="21"/>
          <w:highlight w:val="none"/>
        </w:rPr>
        <w:t>因不可抗力等原因，招标人终止招标的</w:t>
      </w:r>
      <w:r>
        <w:rPr>
          <w:rFonts w:hint="eastAsia" w:ascii="宋体" w:hAnsi="宋体" w:eastAsia="宋体" w:cs="宋体"/>
          <w:color w:val="auto"/>
          <w:spacing w:val="4"/>
          <w:position w:val="14"/>
          <w:sz w:val="21"/>
          <w:szCs w:val="21"/>
          <w:highlight w:val="none"/>
          <w:lang w:eastAsia="zh-CN"/>
        </w:rPr>
        <w:t>，</w:t>
      </w:r>
      <w:r>
        <w:rPr>
          <w:rFonts w:hint="eastAsia" w:ascii="宋体" w:hAnsi="宋体" w:eastAsia="宋体" w:cs="宋体"/>
          <w:color w:val="auto"/>
          <w:spacing w:val="4"/>
          <w:position w:val="14"/>
          <w:sz w:val="21"/>
          <w:szCs w:val="21"/>
          <w:highlight w:val="none"/>
        </w:rPr>
        <w:t>将通过法定公告公示信息发布媒介、电子交易系统等渠道及时发布公告，或者以书面形式通知被邀请的或者已经获取招标文件的潜在投标人。已经收取投标保证金的，招标人将及时退还所收取的投标保证金及银行同期存款利息。</w:t>
      </w:r>
    </w:p>
    <w:p>
      <w:pPr>
        <w:spacing w:before="55" w:line="219" w:lineRule="auto"/>
        <w:ind w:left="25"/>
        <w:rPr>
          <w:rFonts w:ascii="黑体" w:hAnsi="黑体" w:eastAsia="黑体" w:cs="黑体"/>
          <w:color w:val="auto"/>
          <w:sz w:val="28"/>
          <w:szCs w:val="28"/>
          <w:highlight w:val="none"/>
        </w:rPr>
      </w:pPr>
      <w:r>
        <w:rPr>
          <w:rFonts w:ascii="Times New Roman" w:hAnsi="Times New Roman" w:eastAsia="Times New Roman" w:cs="Times New Roman"/>
          <w:color w:val="auto"/>
          <w:spacing w:val="-4"/>
          <w:sz w:val="28"/>
          <w:szCs w:val="28"/>
          <w:highlight w:val="none"/>
        </w:rPr>
        <w:t>9.</w:t>
      </w:r>
      <w:r>
        <w:rPr>
          <w:rFonts w:ascii="Times New Roman" w:hAnsi="Times New Roman" w:eastAsia="Times New Roman" w:cs="Times New Roman"/>
          <w:color w:val="auto"/>
          <w:spacing w:val="9"/>
          <w:sz w:val="28"/>
          <w:szCs w:val="28"/>
          <w:highlight w:val="none"/>
        </w:rPr>
        <w:t xml:space="preserve">  </w:t>
      </w:r>
      <w:r>
        <w:rPr>
          <w:rFonts w:ascii="黑体" w:hAnsi="黑体" w:eastAsia="黑体" w:cs="黑体"/>
          <w:color w:val="auto"/>
          <w:spacing w:val="-4"/>
          <w:sz w:val="28"/>
          <w:szCs w:val="28"/>
          <w:highlight w:val="none"/>
        </w:rPr>
        <w:t>纪律和监督</w:t>
      </w:r>
    </w:p>
    <w:p>
      <w:pPr>
        <w:spacing w:before="62" w:line="220"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9.1  </w:t>
      </w:r>
      <w:r>
        <w:rPr>
          <w:rFonts w:ascii="黑体" w:hAnsi="黑体" w:eastAsia="黑体" w:cs="黑体"/>
          <w:color w:val="auto"/>
          <w:spacing w:val="-1"/>
          <w:sz w:val="24"/>
          <w:szCs w:val="24"/>
          <w:highlight w:val="none"/>
        </w:rPr>
        <w:t>对招标人的纪律要求</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招标人不得泄漏招标投标活动中应当保密的情况和资料，不得与投标人串通损害国家利益、社会公共利益或者他人合法权益。</w:t>
      </w:r>
    </w:p>
    <w:p>
      <w:pPr>
        <w:spacing w:before="91" w:line="220"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9.2  </w:t>
      </w:r>
      <w:r>
        <w:rPr>
          <w:rFonts w:ascii="黑体" w:hAnsi="黑体" w:eastAsia="黑体" w:cs="黑体"/>
          <w:color w:val="auto"/>
          <w:spacing w:val="-1"/>
          <w:sz w:val="24"/>
          <w:szCs w:val="24"/>
          <w:highlight w:val="none"/>
        </w:rPr>
        <w:t>对投标人的纪律要求</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before="93" w:line="218"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9.3  </w:t>
      </w:r>
      <w:r>
        <w:rPr>
          <w:rFonts w:ascii="黑体" w:hAnsi="黑体" w:eastAsia="黑体" w:cs="黑体"/>
          <w:color w:val="auto"/>
          <w:spacing w:val="-1"/>
          <w:sz w:val="24"/>
          <w:szCs w:val="24"/>
          <w:highlight w:val="none"/>
        </w:rPr>
        <w:t>对评标委员会成员的纪律要求</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w:t>
      </w:r>
      <w:r>
        <w:rPr>
          <w:rFonts w:hint="eastAsia" w:ascii="宋体" w:hAnsi="宋体" w:eastAsia="宋体" w:cs="宋体"/>
          <w:color w:val="auto"/>
          <w:spacing w:val="4"/>
          <w:position w:val="14"/>
          <w:sz w:val="21"/>
          <w:szCs w:val="21"/>
          <w:highlight w:val="none"/>
          <w:lang w:eastAsia="zh-CN"/>
        </w:rPr>
        <w:t>，</w:t>
      </w:r>
      <w:r>
        <w:rPr>
          <w:rFonts w:hint="eastAsia" w:ascii="宋体" w:hAnsi="宋体" w:eastAsia="宋体" w:cs="宋体"/>
          <w:color w:val="auto"/>
          <w:spacing w:val="4"/>
          <w:position w:val="14"/>
          <w:sz w:val="21"/>
          <w:szCs w:val="21"/>
          <w:highlight w:val="none"/>
        </w:rPr>
        <w:t>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pPr>
        <w:spacing w:before="92" w:line="218"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9.4  </w:t>
      </w:r>
      <w:r>
        <w:rPr>
          <w:rFonts w:ascii="黑体" w:hAnsi="黑体" w:eastAsia="黑体" w:cs="黑体"/>
          <w:color w:val="auto"/>
          <w:spacing w:val="-1"/>
          <w:sz w:val="24"/>
          <w:szCs w:val="24"/>
          <w:highlight w:val="none"/>
        </w:rPr>
        <w:t>对与评标活动有关的工作人员的纪律要求</w:t>
      </w:r>
    </w:p>
    <w:p>
      <w:pPr>
        <w:spacing w:before="133" w:line="400" w:lineRule="exact"/>
        <w:ind w:left="446"/>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与评标活动有关的工作人员不得收受他人的财物或者其他好处，不</w:t>
      </w:r>
      <w:r>
        <w:rPr>
          <w:rFonts w:ascii="宋体" w:hAnsi="宋体" w:eastAsia="宋体" w:cs="宋体"/>
          <w:color w:val="auto"/>
          <w:spacing w:val="2"/>
          <w:position w:val="14"/>
          <w:sz w:val="21"/>
          <w:szCs w:val="21"/>
          <w:highlight w:val="none"/>
        </w:rPr>
        <w:t>得向他人透漏对投</w:t>
      </w:r>
      <w:r>
        <w:rPr>
          <w:rFonts w:hint="eastAsia" w:ascii="宋体" w:hAnsi="宋体" w:eastAsia="宋体" w:cs="宋体"/>
          <w:color w:val="auto"/>
          <w:spacing w:val="2"/>
          <w:position w:val="14"/>
          <w:sz w:val="21"/>
          <w:szCs w:val="21"/>
          <w:highlight w:val="none"/>
        </w:rPr>
        <w:t>标文</w:t>
      </w:r>
    </w:p>
    <w:p>
      <w:pPr>
        <w:spacing w:before="1" w:line="219"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件的评审和比较、中标候选人的推荐情况以及评标有关的其他情况。在评标活动</w:t>
      </w:r>
      <w:r>
        <w:rPr>
          <w:rFonts w:ascii="宋体" w:hAnsi="宋体" w:eastAsia="宋体" w:cs="宋体"/>
          <w:color w:val="auto"/>
          <w:spacing w:val="1"/>
          <w:sz w:val="21"/>
          <w:szCs w:val="21"/>
          <w:highlight w:val="none"/>
        </w:rPr>
        <w:t>中，</w:t>
      </w:r>
      <w:r>
        <w:rPr>
          <w:rFonts w:ascii="宋体" w:hAnsi="宋体" w:eastAsia="宋体" w:cs="宋体"/>
          <w:color w:val="auto"/>
          <w:sz w:val="21"/>
          <w:szCs w:val="21"/>
          <w:highlight w:val="none"/>
        </w:rPr>
        <w:t>与评标活</w:t>
      </w:r>
    </w:p>
    <w:p>
      <w:pPr>
        <w:spacing w:before="151" w:line="221" w:lineRule="auto"/>
        <w:ind w:left="26"/>
        <w:rPr>
          <w:rFonts w:ascii="宋体" w:hAnsi="宋体" w:eastAsia="宋体" w:cs="宋体"/>
          <w:color w:val="auto"/>
          <w:sz w:val="21"/>
          <w:szCs w:val="21"/>
          <w:highlight w:val="none"/>
        </w:rPr>
      </w:pPr>
      <w:r>
        <w:rPr>
          <w:rFonts w:ascii="宋体" w:hAnsi="宋体" w:eastAsia="宋体" w:cs="宋体"/>
          <w:color w:val="auto"/>
          <w:sz w:val="21"/>
          <w:szCs w:val="21"/>
          <w:highlight w:val="none"/>
        </w:rPr>
        <w:t>动有关的工作人员不得擅离职守，影响评标</w:t>
      </w:r>
      <w:r>
        <w:rPr>
          <w:rFonts w:ascii="宋体" w:hAnsi="宋体" w:eastAsia="宋体" w:cs="宋体"/>
          <w:color w:val="auto"/>
          <w:spacing w:val="-1"/>
          <w:sz w:val="21"/>
          <w:szCs w:val="21"/>
          <w:highlight w:val="none"/>
        </w:rPr>
        <w:t>程序正常进行。</w:t>
      </w:r>
    </w:p>
    <w:p>
      <w:pPr>
        <w:spacing w:before="92" w:line="217" w:lineRule="auto"/>
        <w:ind w:left="14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9.5</w:t>
      </w:r>
      <w:r>
        <w:rPr>
          <w:rFonts w:ascii="Times New Roman" w:hAnsi="Times New Roman" w:eastAsia="Times New Roman" w:cs="Times New Roman"/>
          <w:color w:val="auto"/>
          <w:spacing w:val="4"/>
          <w:sz w:val="24"/>
          <w:szCs w:val="24"/>
          <w:highlight w:val="none"/>
        </w:rPr>
        <w:t xml:space="preserve">  </w:t>
      </w:r>
      <w:r>
        <w:rPr>
          <w:rFonts w:ascii="黑体" w:hAnsi="黑体" w:eastAsia="黑体" w:cs="黑体"/>
          <w:color w:val="auto"/>
          <w:spacing w:val="-3"/>
          <w:sz w:val="24"/>
          <w:szCs w:val="24"/>
          <w:highlight w:val="none"/>
        </w:rPr>
        <w:t>投诉</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本次招标投标活动及其相关当事人应当接受有关行政监督部门依法实施的监督。</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和其他利害关系人认为本次招标活动违反法律、法规和规章规定的，有权自知道或者应当知道之日起10日内向有关行政监督部门投诉，其中对招标文件的内容（包括招标控制价）、开标、评标结果进行投诉的，应当按本章第2.4款、第3.2.3项、第5.3款、第6.4款的规定先向招标人提出异议后，方可向有关行政监督部门投诉，异议答复期不计算在 规定的投诉时效期限内。</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投标人和其他利害关系人的投诉应按照《工程建设项目招标投标活动投诉处理办法》的规定进行。</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有关行政监督部门的联系方式见投标人须知前附表。</w:t>
      </w:r>
    </w:p>
    <w:p>
      <w:pPr>
        <w:spacing w:before="56" w:line="395" w:lineRule="exact"/>
        <w:ind w:left="47"/>
        <w:rPr>
          <w:rFonts w:ascii="黑体" w:hAnsi="黑体" w:eastAsia="黑体" w:cs="黑体"/>
          <w:color w:val="auto"/>
          <w:sz w:val="28"/>
          <w:szCs w:val="28"/>
          <w:highlight w:val="none"/>
        </w:rPr>
      </w:pPr>
      <w:r>
        <w:rPr>
          <w:rFonts w:ascii="Times New Roman" w:hAnsi="Times New Roman" w:eastAsia="Times New Roman" w:cs="Times New Roman"/>
          <w:color w:val="auto"/>
          <w:spacing w:val="-3"/>
          <w:position w:val="7"/>
          <w:sz w:val="28"/>
          <w:szCs w:val="28"/>
          <w:highlight w:val="none"/>
        </w:rPr>
        <w:t xml:space="preserve">10.  </w:t>
      </w:r>
      <w:r>
        <w:rPr>
          <w:rFonts w:ascii="黑体" w:hAnsi="黑体" w:eastAsia="黑体" w:cs="黑体"/>
          <w:color w:val="auto"/>
          <w:spacing w:val="-3"/>
          <w:position w:val="7"/>
          <w:sz w:val="28"/>
          <w:szCs w:val="28"/>
          <w:highlight w:val="none"/>
        </w:rPr>
        <w:t>需要补充的其他内容</w:t>
      </w:r>
    </w:p>
    <w:p>
      <w:pPr>
        <w:spacing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10.1</w:t>
      </w:r>
      <w:r>
        <w:rPr>
          <w:rFonts w:ascii="Times New Roman" w:hAnsi="Times New Roman" w:eastAsia="Times New Roman" w:cs="Times New Roman"/>
          <w:color w:val="auto"/>
          <w:spacing w:val="6"/>
          <w:sz w:val="24"/>
          <w:szCs w:val="24"/>
          <w:highlight w:val="none"/>
        </w:rPr>
        <w:t xml:space="preserve">  </w:t>
      </w:r>
      <w:r>
        <w:rPr>
          <w:rFonts w:ascii="黑体" w:hAnsi="黑体" w:eastAsia="黑体" w:cs="黑体"/>
          <w:color w:val="auto"/>
          <w:spacing w:val="-5"/>
          <w:sz w:val="24"/>
          <w:szCs w:val="24"/>
          <w:highlight w:val="none"/>
        </w:rPr>
        <w:t>词语定义</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词语定义规定： 见投标人须知前附表。</w:t>
      </w:r>
    </w:p>
    <w:p>
      <w:pPr>
        <w:spacing w:before="84"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5"/>
          <w:sz w:val="24"/>
          <w:szCs w:val="24"/>
          <w:highlight w:val="none"/>
        </w:rPr>
        <w:t>中标人的投标文件</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中标人在签订合同前须向招标人另行提交的纸质投标文件份数：见投标人须知前附表。</w:t>
      </w:r>
    </w:p>
    <w:p>
      <w:pPr>
        <w:spacing w:before="84"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10.3</w:t>
      </w:r>
      <w:r>
        <w:rPr>
          <w:rFonts w:ascii="Times New Roman" w:hAnsi="Times New Roman" w:eastAsia="Times New Roman" w:cs="Times New Roman"/>
          <w:color w:val="auto"/>
          <w:spacing w:val="11"/>
          <w:sz w:val="24"/>
          <w:szCs w:val="24"/>
          <w:highlight w:val="none"/>
        </w:rPr>
        <w:t xml:space="preserve">  </w:t>
      </w:r>
      <w:r>
        <w:rPr>
          <w:rFonts w:ascii="黑体" w:hAnsi="黑体" w:eastAsia="黑体" w:cs="黑体"/>
          <w:color w:val="auto"/>
          <w:spacing w:val="-6"/>
          <w:sz w:val="24"/>
          <w:szCs w:val="24"/>
          <w:highlight w:val="none"/>
        </w:rPr>
        <w:t>知识产权</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pPr>
        <w:spacing w:before="86"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10.4</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6"/>
          <w:sz w:val="24"/>
          <w:szCs w:val="24"/>
          <w:highlight w:val="none"/>
        </w:rPr>
        <w:t>同义词语</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构成招标文件组成部分的“通用合同条款”、“专用合同条款”、“发包人要求”等章节中出现的措辞“发包人”和“承包人”，在招标投标阶段应当分别按“招标人”和“投标人” 进行理解。</w:t>
      </w:r>
    </w:p>
    <w:p>
      <w:pPr>
        <w:spacing w:before="83" w:line="220"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10.5  </w:t>
      </w:r>
      <w:r>
        <w:rPr>
          <w:rFonts w:ascii="黑体" w:hAnsi="黑体" w:eastAsia="黑体" w:cs="黑体"/>
          <w:color w:val="auto"/>
          <w:spacing w:val="-3"/>
          <w:sz w:val="24"/>
          <w:szCs w:val="24"/>
          <w:highlight w:val="none"/>
        </w:rPr>
        <w:t>解释权</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构成本招标文件的各个组成文件应互为解释，互为说明；如有不明确或不一致，构成 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pPr>
        <w:spacing w:before="85" w:line="218"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10.6  </w:t>
      </w:r>
      <w:r>
        <w:rPr>
          <w:rFonts w:ascii="黑体" w:hAnsi="黑体" w:eastAsia="黑体" w:cs="黑体"/>
          <w:color w:val="auto"/>
          <w:spacing w:val="-3"/>
          <w:sz w:val="24"/>
          <w:szCs w:val="24"/>
          <w:highlight w:val="none"/>
        </w:rPr>
        <w:t>招标代理服务费</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招标代理服务费收取约定：见投标人须知前附表。</w:t>
      </w:r>
    </w:p>
    <w:p>
      <w:pPr>
        <w:spacing w:line="219" w:lineRule="auto"/>
        <w:ind w:left="160"/>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10.7  </w:t>
      </w:r>
      <w:r>
        <w:rPr>
          <w:rFonts w:ascii="黑体" w:hAnsi="黑体" w:eastAsia="黑体" w:cs="黑体"/>
          <w:color w:val="auto"/>
          <w:spacing w:val="-2"/>
          <w:sz w:val="24"/>
          <w:szCs w:val="24"/>
          <w:highlight w:val="none"/>
        </w:rPr>
        <w:t>招标人补充的其他内容</w:t>
      </w:r>
    </w:p>
    <w:p>
      <w:pPr>
        <w:keepNext w:val="0"/>
        <w:keepLines w:val="0"/>
        <w:pageBreakBefore w:val="0"/>
        <w:widowControl/>
        <w:kinsoku w:val="0"/>
        <w:wordWrap/>
        <w:overflowPunct/>
        <w:topLinePunct w:val="0"/>
        <w:autoSpaceDE w:val="0"/>
        <w:autoSpaceDN w:val="0"/>
        <w:bidi w:val="0"/>
        <w:adjustRightInd w:val="0"/>
        <w:snapToGrid w:val="0"/>
        <w:spacing w:before="130" w:line="288" w:lineRule="auto"/>
        <w:ind w:left="0" w:firstLine="436" w:firstLineChars="200"/>
        <w:textAlignment w:val="baseline"/>
        <w:rPr>
          <w:rFonts w:hint="eastAsia" w:ascii="宋体" w:hAnsi="宋体" w:eastAsia="宋体" w:cs="宋体"/>
          <w:color w:val="auto"/>
          <w:spacing w:val="4"/>
          <w:position w:val="14"/>
          <w:sz w:val="21"/>
          <w:szCs w:val="21"/>
          <w:highlight w:val="none"/>
        </w:rPr>
      </w:pPr>
      <w:r>
        <w:rPr>
          <w:rFonts w:hint="eastAsia" w:ascii="宋体" w:hAnsi="宋体" w:eastAsia="宋体" w:cs="宋体"/>
          <w:color w:val="auto"/>
          <w:spacing w:val="4"/>
          <w:position w:val="14"/>
          <w:sz w:val="21"/>
          <w:szCs w:val="21"/>
          <w:highlight w:val="none"/>
        </w:rPr>
        <w:t>招标人补充的其他内容： 见投标人须知前附表。</w:t>
      </w:r>
    </w:p>
    <w:p>
      <w:pPr>
        <w:spacing w:line="220" w:lineRule="auto"/>
        <w:rPr>
          <w:rFonts w:ascii="宋体" w:hAnsi="宋体" w:eastAsia="宋体" w:cs="宋体"/>
          <w:color w:val="auto"/>
          <w:sz w:val="21"/>
          <w:szCs w:val="21"/>
          <w:highlight w:val="none"/>
        </w:rPr>
        <w:sectPr>
          <w:footerReference r:id="rId16" w:type="default"/>
          <w:pgSz w:w="11905" w:h="16843"/>
          <w:pgMar w:top="1769" w:right="1548" w:bottom="1003" w:left="1542" w:header="0" w:footer="828" w:gutter="0"/>
          <w:pgNumType w:fmt="numberInDash"/>
          <w:cols w:space="0" w:num="1"/>
          <w:rtlGutter w:val="0"/>
          <w:docGrid w:linePitch="0" w:charSpace="0"/>
        </w:sectPr>
      </w:pPr>
    </w:p>
    <w:p>
      <w:pPr>
        <w:pStyle w:val="2"/>
        <w:spacing w:line="291" w:lineRule="auto"/>
        <w:rPr>
          <w:color w:val="auto"/>
          <w:highlight w:val="none"/>
        </w:rPr>
      </w:pPr>
    </w:p>
    <w:p>
      <w:pPr>
        <w:pStyle w:val="2"/>
        <w:spacing w:line="291" w:lineRule="auto"/>
        <w:rPr>
          <w:color w:val="auto"/>
          <w:highlight w:val="none"/>
        </w:rPr>
      </w:pPr>
    </w:p>
    <w:p>
      <w:pPr>
        <w:spacing w:before="78" w:line="219" w:lineRule="auto"/>
        <w:ind w:left="37"/>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附表一：招标文件澄清申请函</w:t>
      </w:r>
    </w:p>
    <w:p>
      <w:pPr>
        <w:pStyle w:val="2"/>
        <w:spacing w:line="263" w:lineRule="auto"/>
        <w:rPr>
          <w:color w:val="auto"/>
          <w:highlight w:val="none"/>
        </w:rPr>
      </w:pPr>
    </w:p>
    <w:p>
      <w:pPr>
        <w:pStyle w:val="2"/>
        <w:spacing w:line="264" w:lineRule="auto"/>
        <w:rPr>
          <w:color w:val="auto"/>
          <w:highlight w:val="none"/>
        </w:rPr>
      </w:pPr>
    </w:p>
    <w:p>
      <w:pPr>
        <w:spacing w:before="91" w:line="219" w:lineRule="auto"/>
        <w:ind w:left="2916"/>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招标文件澄清申请函</w:t>
      </w:r>
    </w:p>
    <w:p>
      <w:pPr>
        <w:pStyle w:val="2"/>
        <w:spacing w:line="476" w:lineRule="auto"/>
        <w:rPr>
          <w:color w:val="auto"/>
          <w:highlight w:val="none"/>
        </w:rPr>
      </w:pPr>
    </w:p>
    <w:p>
      <w:pPr>
        <w:spacing w:before="68" w:line="221" w:lineRule="auto"/>
        <w:ind w:left="621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tabs>
          <w:tab w:val="left" w:pos="3271"/>
        </w:tabs>
        <w:spacing w:before="68" w:line="221" w:lineRule="auto"/>
        <w:ind w:left="14"/>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（招标人名称</w:t>
      </w:r>
      <w:r>
        <w:rPr>
          <w:rFonts w:ascii="宋体" w:hAnsi="宋体" w:eastAsia="宋体" w:cs="宋体"/>
          <w:color w:val="auto"/>
          <w:spacing w:val="-54"/>
          <w:w w:val="97"/>
          <w:sz w:val="21"/>
          <w:szCs w:val="21"/>
          <w:highlight w:val="none"/>
        </w:rPr>
        <w:t>）：</w:t>
      </w:r>
    </w:p>
    <w:p>
      <w:pPr>
        <w:spacing w:before="307" w:line="492"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经过仔细阅读</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1"/>
          <w:sz w:val="21"/>
          <w:szCs w:val="21"/>
          <w:highlight w:val="none"/>
        </w:rPr>
        <w:t>（标段名称）项目</w:t>
      </w:r>
      <w:r>
        <w:rPr>
          <w:rFonts w:ascii="宋体" w:hAnsi="宋体" w:eastAsia="宋体" w:cs="宋体"/>
          <w:color w:val="auto"/>
          <w:spacing w:val="-2"/>
          <w:sz w:val="21"/>
          <w:szCs w:val="21"/>
          <w:highlight w:val="none"/>
        </w:rPr>
        <w:t>（</w:t>
      </w:r>
      <w:r>
        <w:rPr>
          <w:rFonts w:hint="eastAsia" w:ascii="宋体" w:hAnsi="宋体" w:eastAsia="宋体" w:cs="宋体"/>
          <w:color w:val="auto"/>
          <w:spacing w:val="-2"/>
          <w:sz w:val="21"/>
          <w:szCs w:val="21"/>
          <w:highlight w:val="none"/>
          <w:lang w:eastAsia="zh-CN"/>
        </w:rPr>
        <w:t>项目编号</w:t>
      </w:r>
      <w:r>
        <w:rPr>
          <w:rFonts w:ascii="宋体" w:hAnsi="宋体" w:eastAsia="宋体" w:cs="宋体"/>
          <w:color w:val="auto"/>
          <w:spacing w:val="-8"/>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 xml:space="preserve"> </w:t>
      </w:r>
      <w:r>
        <w:rPr>
          <w:rFonts w:ascii="宋体" w:hAnsi="宋体" w:eastAsia="宋体" w:cs="宋体"/>
          <w:color w:val="auto"/>
          <w:spacing w:val="-8"/>
          <w:sz w:val="21"/>
          <w:szCs w:val="21"/>
          <w:highlight w:val="none"/>
        </w:rPr>
        <w:t>）</w:t>
      </w:r>
    </w:p>
    <w:p>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招标文件后，我方申请对以下问题予以澄清：</w:t>
      </w:r>
    </w:p>
    <w:p>
      <w:pPr>
        <w:pStyle w:val="2"/>
        <w:spacing w:line="241" w:lineRule="auto"/>
        <w:rPr>
          <w:color w:val="auto"/>
          <w:highlight w:val="none"/>
        </w:rPr>
      </w:pPr>
    </w:p>
    <w:p>
      <w:pPr>
        <w:spacing w:before="68"/>
        <w:ind w:left="35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p>
    <w:p>
      <w:pPr>
        <w:spacing w:before="286"/>
        <w:ind w:left="3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pPr>
        <w:spacing w:before="286" w:line="333" w:lineRule="exact"/>
        <w:ind w:left="455"/>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pPr>
        <w:pStyle w:val="2"/>
        <w:spacing w:line="258" w:lineRule="auto"/>
        <w:rPr>
          <w:color w:val="auto"/>
          <w:highlight w:val="none"/>
        </w:rPr>
      </w:pPr>
    </w:p>
    <w:p>
      <w:pPr>
        <w:pStyle w:val="2"/>
        <w:spacing w:line="259" w:lineRule="auto"/>
        <w:rPr>
          <w:color w:val="auto"/>
          <w:highlight w:val="none"/>
        </w:rPr>
      </w:pPr>
    </w:p>
    <w:p>
      <w:pPr>
        <w:pStyle w:val="2"/>
        <w:spacing w:line="259" w:lineRule="auto"/>
        <w:rPr>
          <w:color w:val="auto"/>
          <w:highlight w:val="none"/>
        </w:rPr>
      </w:pPr>
    </w:p>
    <w:p>
      <w:pPr>
        <w:pStyle w:val="2"/>
        <w:spacing w:line="259" w:lineRule="auto"/>
        <w:rPr>
          <w:color w:val="auto"/>
          <w:highlight w:val="none"/>
        </w:rPr>
      </w:pPr>
    </w:p>
    <w:p>
      <w:pPr>
        <w:spacing w:before="69" w:line="220" w:lineRule="auto"/>
        <w:ind w:left="4446"/>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投标人</w:t>
      </w:r>
      <w:r>
        <w:rPr>
          <w:rFonts w:ascii="宋体" w:hAnsi="宋体" w:eastAsia="宋体" w:cs="宋体"/>
          <w:color w:val="auto"/>
          <w:spacing w:val="-15"/>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7"/>
          <w:sz w:val="21"/>
          <w:szCs w:val="21"/>
          <w:highlight w:val="none"/>
        </w:rPr>
        <w:t>盖单位章）</w:t>
      </w:r>
    </w:p>
    <w:p>
      <w:pPr>
        <w:pStyle w:val="2"/>
        <w:spacing w:line="460" w:lineRule="auto"/>
        <w:rPr>
          <w:color w:val="auto"/>
          <w:highlight w:val="none"/>
        </w:rPr>
      </w:pPr>
    </w:p>
    <w:p>
      <w:pPr>
        <w:tabs>
          <w:tab w:val="left" w:pos="6840"/>
        </w:tabs>
        <w:spacing w:before="69" w:line="221" w:lineRule="auto"/>
        <w:ind w:left="589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17" w:type="default"/>
          <w:pgSz w:w="11905" w:h="16843"/>
          <w:pgMar w:top="1769" w:right="1548" w:bottom="1003" w:left="1542" w:header="0" w:footer="828" w:gutter="0"/>
          <w:pgNumType w:fmt="numberInDash"/>
          <w:cols w:space="0" w:num="1"/>
          <w:rtlGutter w:val="0"/>
          <w:docGrid w:linePitch="0" w:charSpace="0"/>
        </w:sectPr>
      </w:pPr>
    </w:p>
    <w:p>
      <w:pPr>
        <w:spacing w:before="47" w:line="219" w:lineRule="auto"/>
        <w:ind w:left="3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附表二：招标文件文件澄清通知</w:t>
      </w:r>
    </w:p>
    <w:p>
      <w:pPr>
        <w:pStyle w:val="2"/>
        <w:spacing w:line="263" w:lineRule="auto"/>
        <w:rPr>
          <w:color w:val="auto"/>
          <w:highlight w:val="none"/>
        </w:rPr>
      </w:pPr>
    </w:p>
    <w:p>
      <w:pPr>
        <w:pStyle w:val="2"/>
        <w:spacing w:line="264" w:lineRule="auto"/>
        <w:rPr>
          <w:color w:val="auto"/>
          <w:highlight w:val="none"/>
        </w:rPr>
      </w:pPr>
    </w:p>
    <w:p>
      <w:pPr>
        <w:spacing w:before="91" w:line="219" w:lineRule="auto"/>
        <w:ind w:left="3058"/>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招标文件澄清通知</w:t>
      </w:r>
    </w:p>
    <w:p>
      <w:pPr>
        <w:pStyle w:val="2"/>
        <w:spacing w:line="476" w:lineRule="auto"/>
        <w:rPr>
          <w:color w:val="auto"/>
          <w:highlight w:val="none"/>
        </w:rPr>
      </w:pPr>
    </w:p>
    <w:p>
      <w:pPr>
        <w:spacing w:before="68" w:line="221" w:lineRule="auto"/>
        <w:ind w:left="601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pPr>
        <w:pStyle w:val="2"/>
        <w:spacing w:line="460" w:lineRule="auto"/>
        <w:rPr>
          <w:color w:val="auto"/>
          <w:highlight w:val="none"/>
        </w:rPr>
      </w:pPr>
    </w:p>
    <w:p>
      <w:pPr>
        <w:spacing w:before="68" w:line="221" w:lineRule="auto"/>
        <w:ind w:left="2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各投标人：</w:t>
      </w:r>
    </w:p>
    <w:p>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经研究，对</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5"/>
          <w:sz w:val="21"/>
          <w:szCs w:val="21"/>
          <w:highlight w:val="none"/>
        </w:rPr>
        <w:t>（标段名称）项目（</w:t>
      </w:r>
      <w:r>
        <w:rPr>
          <w:rFonts w:hint="eastAsia" w:ascii="宋体" w:hAnsi="宋体" w:eastAsia="宋体" w:cs="宋体"/>
          <w:color w:val="auto"/>
          <w:spacing w:val="-5"/>
          <w:sz w:val="21"/>
          <w:szCs w:val="21"/>
          <w:highlight w:val="none"/>
          <w:lang w:eastAsia="zh-CN"/>
        </w:rPr>
        <w:t>项目编号</w:t>
      </w:r>
      <w:r>
        <w:rPr>
          <w:rFonts w:ascii="宋体" w:hAnsi="宋体" w:eastAsia="宋体" w:cs="宋体"/>
          <w:color w:val="auto"/>
          <w:spacing w:val="-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9"/>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5"/>
          <w:sz w:val="21"/>
          <w:szCs w:val="21"/>
          <w:highlight w:val="none"/>
        </w:rPr>
        <w:t>招标文件，</w:t>
      </w:r>
      <w:r>
        <w:rPr>
          <w:rFonts w:ascii="宋体" w:hAnsi="宋体" w:eastAsia="宋体" w:cs="宋体"/>
          <w:color w:val="auto"/>
          <w:spacing w:val="-22"/>
          <w:sz w:val="21"/>
          <w:szCs w:val="21"/>
          <w:highlight w:val="none"/>
        </w:rPr>
        <w:t xml:space="preserve"> </w:t>
      </w:r>
      <w:r>
        <w:rPr>
          <w:rFonts w:ascii="宋体" w:hAnsi="宋体" w:eastAsia="宋体" w:cs="宋体"/>
          <w:color w:val="auto"/>
          <w:spacing w:val="-15"/>
          <w:sz w:val="21"/>
          <w:szCs w:val="21"/>
          <w:highlight w:val="none"/>
        </w:rPr>
        <w:t>作如下澄清：</w:t>
      </w:r>
    </w:p>
    <w:p>
      <w:pPr>
        <w:pStyle w:val="2"/>
        <w:rPr>
          <w:color w:val="auto"/>
          <w:highlight w:val="none"/>
        </w:rPr>
      </w:pPr>
    </w:p>
    <w:p>
      <w:pPr>
        <w:spacing w:before="69" w:line="559" w:lineRule="exact"/>
        <w:ind w:left="458"/>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pPr>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pPr>
        <w:spacing w:before="286" w:line="332" w:lineRule="exact"/>
        <w:ind w:left="455"/>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pPr>
        <w:pStyle w:val="2"/>
        <w:spacing w:line="268" w:lineRule="auto"/>
        <w:rPr>
          <w:color w:val="auto"/>
          <w:highlight w:val="none"/>
        </w:rPr>
      </w:pPr>
    </w:p>
    <w:p>
      <w:pPr>
        <w:pStyle w:val="2"/>
        <w:spacing w:line="268" w:lineRule="auto"/>
        <w:rPr>
          <w:color w:val="auto"/>
          <w:highlight w:val="none"/>
        </w:rPr>
      </w:pPr>
    </w:p>
    <w:p>
      <w:pPr>
        <w:pStyle w:val="2"/>
        <w:spacing w:line="268" w:lineRule="auto"/>
        <w:rPr>
          <w:color w:val="auto"/>
          <w:highlight w:val="none"/>
        </w:rPr>
      </w:pPr>
    </w:p>
    <w:p>
      <w:pPr>
        <w:pStyle w:val="2"/>
        <w:spacing w:line="269" w:lineRule="auto"/>
        <w:rPr>
          <w:color w:val="auto"/>
          <w:highlight w:val="none"/>
        </w:rPr>
      </w:pPr>
    </w:p>
    <w:p>
      <w:pPr>
        <w:pStyle w:val="2"/>
        <w:spacing w:line="269" w:lineRule="auto"/>
        <w:rPr>
          <w:color w:val="auto"/>
          <w:highlight w:val="none"/>
        </w:rPr>
      </w:pPr>
    </w:p>
    <w:p>
      <w:pPr>
        <w:pStyle w:val="2"/>
        <w:spacing w:line="269" w:lineRule="auto"/>
        <w:rPr>
          <w:color w:val="auto"/>
          <w:highlight w:val="none"/>
        </w:rPr>
      </w:pPr>
    </w:p>
    <w:p>
      <w:pPr>
        <w:pStyle w:val="2"/>
        <w:spacing w:line="269" w:lineRule="auto"/>
        <w:rPr>
          <w:color w:val="auto"/>
          <w:highlight w:val="none"/>
        </w:rPr>
      </w:pPr>
    </w:p>
    <w:p>
      <w:pPr>
        <w:pStyle w:val="2"/>
        <w:spacing w:line="269" w:lineRule="auto"/>
        <w:rPr>
          <w:color w:val="auto"/>
          <w:highlight w:val="none"/>
        </w:rPr>
      </w:pPr>
    </w:p>
    <w:p>
      <w:pPr>
        <w:spacing w:before="69" w:line="220" w:lineRule="auto"/>
        <w:ind w:right="16"/>
        <w:jc w:val="right"/>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招标人</w:t>
      </w:r>
      <w:r>
        <w:rPr>
          <w:rFonts w:ascii="宋体" w:hAnsi="宋体" w:eastAsia="宋体" w:cs="宋体"/>
          <w:color w:val="auto"/>
          <w:spacing w:val="3"/>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9"/>
          <w:sz w:val="21"/>
          <w:szCs w:val="21"/>
          <w:highlight w:val="none"/>
        </w:rPr>
        <w:t>盖单位章）</w:t>
      </w:r>
    </w:p>
    <w:p>
      <w:pPr>
        <w:pStyle w:val="2"/>
        <w:spacing w:line="248"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tabs>
          <w:tab w:val="left" w:pos="6840"/>
        </w:tabs>
        <w:spacing w:before="70" w:line="221" w:lineRule="auto"/>
        <w:ind w:left="589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2"/>
          <w:sz w:val="21"/>
          <w:szCs w:val="21"/>
          <w:highlight w:val="none"/>
        </w:rPr>
        <w:t>日</w:t>
      </w:r>
    </w:p>
    <w:p>
      <w:pPr>
        <w:spacing w:line="221" w:lineRule="auto"/>
        <w:rPr>
          <w:rFonts w:ascii="宋体" w:hAnsi="宋体" w:eastAsia="宋体" w:cs="宋体"/>
          <w:color w:val="auto"/>
          <w:sz w:val="21"/>
          <w:szCs w:val="21"/>
          <w:highlight w:val="none"/>
        </w:rPr>
        <w:sectPr>
          <w:footerReference r:id="rId18" w:type="default"/>
          <w:pgSz w:w="11905" w:h="16843"/>
          <w:pgMar w:top="1769" w:right="1548" w:bottom="1003" w:left="1542" w:header="0" w:footer="828" w:gutter="0"/>
          <w:pgNumType w:fmt="numberInDash"/>
          <w:cols w:space="0" w:num="1"/>
          <w:rtlGutter w:val="0"/>
          <w:docGrid w:linePitch="0" w:charSpace="0"/>
        </w:sectPr>
      </w:pPr>
    </w:p>
    <w:p>
      <w:pPr>
        <w:spacing w:before="47" w:line="219" w:lineRule="auto"/>
        <w:ind w:left="3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附表三：招标文件文件修改通知</w:t>
      </w:r>
    </w:p>
    <w:p>
      <w:pPr>
        <w:pStyle w:val="2"/>
        <w:spacing w:line="263" w:lineRule="auto"/>
        <w:rPr>
          <w:color w:val="auto"/>
          <w:highlight w:val="none"/>
        </w:rPr>
      </w:pPr>
    </w:p>
    <w:p>
      <w:pPr>
        <w:pStyle w:val="2"/>
        <w:spacing w:line="264" w:lineRule="auto"/>
        <w:rPr>
          <w:color w:val="auto"/>
          <w:highlight w:val="none"/>
        </w:rPr>
      </w:pPr>
    </w:p>
    <w:p>
      <w:pPr>
        <w:spacing w:before="91" w:line="219" w:lineRule="auto"/>
        <w:ind w:left="3058"/>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招标文件修改通知</w:t>
      </w:r>
    </w:p>
    <w:p>
      <w:pPr>
        <w:pStyle w:val="2"/>
        <w:spacing w:line="248" w:lineRule="auto"/>
        <w:rPr>
          <w:color w:val="auto"/>
          <w:highlight w:val="none"/>
        </w:rPr>
      </w:pPr>
    </w:p>
    <w:p>
      <w:pPr>
        <w:pStyle w:val="2"/>
        <w:spacing w:line="248" w:lineRule="auto"/>
        <w:rPr>
          <w:color w:val="auto"/>
          <w:highlight w:val="none"/>
        </w:rPr>
      </w:pPr>
    </w:p>
    <w:p>
      <w:pPr>
        <w:pStyle w:val="2"/>
        <w:spacing w:line="249" w:lineRule="auto"/>
        <w:rPr>
          <w:color w:val="auto"/>
          <w:highlight w:val="none"/>
        </w:rPr>
      </w:pPr>
    </w:p>
    <w:p>
      <w:pPr>
        <w:spacing w:before="69" w:line="221" w:lineRule="auto"/>
        <w:ind w:left="601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pPr>
        <w:pStyle w:val="2"/>
        <w:spacing w:line="460" w:lineRule="auto"/>
        <w:rPr>
          <w:color w:val="auto"/>
          <w:highlight w:val="none"/>
        </w:rPr>
      </w:pPr>
    </w:p>
    <w:p>
      <w:pPr>
        <w:spacing w:before="68" w:line="221" w:lineRule="auto"/>
        <w:ind w:left="2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各投标人：</w:t>
      </w:r>
    </w:p>
    <w:p>
      <w:pPr>
        <w:spacing w:before="308" w:line="220" w:lineRule="auto"/>
        <w:ind w:right="7"/>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经研究，对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（标段名称）</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项目（标段唯一标</w:t>
      </w:r>
    </w:p>
    <w:p>
      <w:pPr>
        <w:pStyle w:val="2"/>
        <w:spacing w:line="241" w:lineRule="auto"/>
        <w:rPr>
          <w:color w:val="auto"/>
          <w:highlight w:val="none"/>
        </w:rPr>
      </w:pPr>
    </w:p>
    <w:p>
      <w:pPr>
        <w:spacing w:before="68" w:line="221" w:lineRule="auto"/>
        <w:ind w:left="24"/>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识码：</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0"/>
          <w:sz w:val="21"/>
          <w:szCs w:val="21"/>
          <w:highlight w:val="none"/>
        </w:rPr>
        <w:t xml:space="preserve"> </w:t>
      </w:r>
      <w:r>
        <w:rPr>
          <w:rFonts w:ascii="宋体" w:hAnsi="宋体" w:eastAsia="宋体" w:cs="宋体"/>
          <w:color w:val="auto"/>
          <w:spacing w:val="-9"/>
          <w:sz w:val="21"/>
          <w:szCs w:val="21"/>
          <w:highlight w:val="none"/>
        </w:rPr>
        <w:t>）招标文件，作如下修改：</w:t>
      </w:r>
    </w:p>
    <w:p>
      <w:pPr>
        <w:spacing w:before="309" w:line="559" w:lineRule="exact"/>
        <w:ind w:left="458"/>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pPr>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pPr>
        <w:spacing w:before="288" w:line="333" w:lineRule="exact"/>
        <w:ind w:left="455"/>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pPr>
        <w:pStyle w:val="2"/>
        <w:spacing w:line="268" w:lineRule="auto"/>
        <w:rPr>
          <w:color w:val="auto"/>
          <w:highlight w:val="none"/>
        </w:rPr>
      </w:pPr>
    </w:p>
    <w:p>
      <w:pPr>
        <w:pStyle w:val="2"/>
        <w:spacing w:line="268" w:lineRule="auto"/>
        <w:rPr>
          <w:color w:val="auto"/>
          <w:highlight w:val="none"/>
        </w:rPr>
      </w:pPr>
    </w:p>
    <w:p>
      <w:pPr>
        <w:pStyle w:val="2"/>
        <w:spacing w:line="268" w:lineRule="auto"/>
        <w:rPr>
          <w:color w:val="auto"/>
          <w:highlight w:val="none"/>
        </w:rPr>
      </w:pPr>
    </w:p>
    <w:p>
      <w:pPr>
        <w:pStyle w:val="2"/>
        <w:spacing w:line="268" w:lineRule="auto"/>
        <w:rPr>
          <w:color w:val="auto"/>
          <w:highlight w:val="none"/>
        </w:rPr>
      </w:pPr>
    </w:p>
    <w:p>
      <w:pPr>
        <w:pStyle w:val="2"/>
        <w:spacing w:line="268" w:lineRule="auto"/>
        <w:rPr>
          <w:color w:val="auto"/>
          <w:highlight w:val="none"/>
        </w:rPr>
      </w:pPr>
    </w:p>
    <w:p>
      <w:pPr>
        <w:pStyle w:val="2"/>
        <w:spacing w:line="269" w:lineRule="auto"/>
        <w:rPr>
          <w:color w:val="auto"/>
          <w:highlight w:val="none"/>
        </w:rPr>
      </w:pPr>
    </w:p>
    <w:p>
      <w:pPr>
        <w:pStyle w:val="2"/>
        <w:spacing w:line="269" w:lineRule="auto"/>
        <w:rPr>
          <w:color w:val="auto"/>
          <w:highlight w:val="none"/>
        </w:rPr>
      </w:pPr>
    </w:p>
    <w:p>
      <w:pPr>
        <w:pStyle w:val="2"/>
        <w:spacing w:line="269" w:lineRule="auto"/>
        <w:rPr>
          <w:color w:val="auto"/>
          <w:highlight w:val="none"/>
        </w:rPr>
      </w:pPr>
    </w:p>
    <w:p>
      <w:pPr>
        <w:spacing w:before="68" w:line="220" w:lineRule="auto"/>
        <w:ind w:right="16"/>
        <w:jc w:val="right"/>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招标人</w:t>
      </w:r>
      <w:r>
        <w:rPr>
          <w:rFonts w:ascii="宋体" w:hAnsi="宋体" w:eastAsia="宋体" w:cs="宋体"/>
          <w:color w:val="auto"/>
          <w:spacing w:val="3"/>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9"/>
          <w:sz w:val="21"/>
          <w:szCs w:val="21"/>
          <w:highlight w:val="none"/>
        </w:rPr>
        <w:t>盖单位章）</w:t>
      </w:r>
    </w:p>
    <w:p>
      <w:pPr>
        <w:pStyle w:val="2"/>
        <w:spacing w:line="248"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tabs>
          <w:tab w:val="left" w:pos="6735"/>
        </w:tabs>
        <w:spacing w:before="69" w:line="221" w:lineRule="auto"/>
        <w:ind w:left="579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19" w:type="default"/>
          <w:pgSz w:w="11905" w:h="16843"/>
          <w:pgMar w:top="1769" w:right="1548" w:bottom="1003" w:left="1542" w:header="0" w:footer="828" w:gutter="0"/>
          <w:pgNumType w:fmt="numberInDash"/>
          <w:cols w:space="0" w:num="1"/>
          <w:rtlGutter w:val="0"/>
          <w:docGrid w:linePitch="0" w:charSpace="0"/>
        </w:sectPr>
      </w:pPr>
    </w:p>
    <w:p>
      <w:pPr>
        <w:spacing w:before="48" w:line="218" w:lineRule="auto"/>
        <w:ind w:left="3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附表四：投标文件递交签收凭证</w:t>
      </w:r>
    </w:p>
    <w:p>
      <w:pPr>
        <w:pStyle w:val="2"/>
        <w:spacing w:line="263" w:lineRule="auto"/>
        <w:rPr>
          <w:color w:val="auto"/>
          <w:highlight w:val="none"/>
        </w:rPr>
      </w:pPr>
    </w:p>
    <w:p>
      <w:pPr>
        <w:pStyle w:val="2"/>
        <w:spacing w:line="264" w:lineRule="auto"/>
        <w:rPr>
          <w:color w:val="auto"/>
          <w:highlight w:val="none"/>
        </w:rPr>
      </w:pPr>
    </w:p>
    <w:p>
      <w:pPr>
        <w:spacing w:before="91" w:line="219" w:lineRule="auto"/>
        <w:ind w:left="2776"/>
        <w:rPr>
          <w:rFonts w:ascii="黑体" w:hAnsi="黑体" w:eastAsia="黑体" w:cs="黑体"/>
          <w:color w:val="auto"/>
          <w:sz w:val="28"/>
          <w:szCs w:val="28"/>
          <w:highlight w:val="none"/>
        </w:rPr>
      </w:pPr>
      <w:bookmarkStart w:id="68" w:name="bookmark105"/>
      <w:bookmarkEnd w:id="68"/>
      <w:bookmarkStart w:id="69" w:name="bookmark104"/>
      <w:bookmarkEnd w:id="69"/>
      <w:bookmarkStart w:id="70" w:name="bookmark101"/>
      <w:bookmarkEnd w:id="70"/>
      <w:bookmarkStart w:id="71" w:name="bookmark103"/>
      <w:bookmarkEnd w:id="71"/>
      <w:bookmarkStart w:id="72" w:name="bookmark100"/>
      <w:bookmarkEnd w:id="72"/>
      <w:bookmarkStart w:id="73" w:name="bookmark99"/>
      <w:bookmarkEnd w:id="73"/>
      <w:bookmarkStart w:id="74" w:name="bookmark102"/>
      <w:bookmarkEnd w:id="74"/>
      <w:r>
        <w:rPr>
          <w:rFonts w:ascii="黑体" w:hAnsi="黑体" w:eastAsia="黑体" w:cs="黑体"/>
          <w:color w:val="auto"/>
          <w:spacing w:val="-1"/>
          <w:sz w:val="28"/>
          <w:szCs w:val="28"/>
          <w:highlight w:val="none"/>
        </w:rPr>
        <w:t>投标文件递交送达凭证</w:t>
      </w:r>
    </w:p>
    <w:p>
      <w:pPr>
        <w:pStyle w:val="2"/>
        <w:spacing w:line="478" w:lineRule="auto"/>
        <w:rPr>
          <w:color w:val="auto"/>
          <w:highlight w:val="none"/>
        </w:rPr>
      </w:pPr>
    </w:p>
    <w:p>
      <w:pPr>
        <w:spacing w:before="68" w:line="212" w:lineRule="auto"/>
        <w:ind w:left="643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4"/>
        <w:gridCol w:w="62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0" w:hRule="atLeast"/>
        </w:trPr>
        <w:tc>
          <w:tcPr>
            <w:tcW w:w="2084" w:type="dxa"/>
            <w:vAlign w:val="top"/>
          </w:tcPr>
          <w:p>
            <w:pPr>
              <w:pStyle w:val="10"/>
              <w:spacing w:before="238" w:line="221" w:lineRule="auto"/>
              <w:ind w:left="628"/>
              <w:rPr>
                <w:color w:val="auto"/>
                <w:highlight w:val="none"/>
              </w:rPr>
            </w:pPr>
            <w:r>
              <w:rPr>
                <w:color w:val="auto"/>
                <w:spacing w:val="-2"/>
                <w:highlight w:val="none"/>
              </w:rPr>
              <w:t>标段名称</w:t>
            </w:r>
          </w:p>
        </w:tc>
        <w:tc>
          <w:tcPr>
            <w:tcW w:w="621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084" w:type="dxa"/>
            <w:vAlign w:val="top"/>
          </w:tcPr>
          <w:p>
            <w:pPr>
              <w:pStyle w:val="10"/>
              <w:spacing w:before="234" w:line="221" w:lineRule="auto"/>
              <w:ind w:left="313"/>
              <w:rPr>
                <w:rFonts w:hint="eastAsia" w:eastAsia="宋体"/>
                <w:color w:val="auto"/>
                <w:highlight w:val="none"/>
                <w:lang w:eastAsia="zh-CN"/>
              </w:rPr>
            </w:pPr>
            <w:r>
              <w:rPr>
                <w:rFonts w:hint="eastAsia"/>
                <w:color w:val="auto"/>
                <w:spacing w:val="-1"/>
                <w:highlight w:val="none"/>
                <w:lang w:eastAsia="zh-CN"/>
              </w:rPr>
              <w:t>项目编号</w:t>
            </w:r>
          </w:p>
        </w:tc>
        <w:tc>
          <w:tcPr>
            <w:tcW w:w="621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2084" w:type="dxa"/>
            <w:vAlign w:val="top"/>
          </w:tcPr>
          <w:p>
            <w:pPr>
              <w:pStyle w:val="10"/>
              <w:spacing w:before="235" w:line="221" w:lineRule="auto"/>
              <w:ind w:left="733"/>
              <w:rPr>
                <w:color w:val="auto"/>
                <w:highlight w:val="none"/>
              </w:rPr>
            </w:pPr>
            <w:r>
              <w:rPr>
                <w:color w:val="auto"/>
                <w:spacing w:val="-2"/>
                <w:highlight w:val="none"/>
              </w:rPr>
              <w:t>招标人</w:t>
            </w:r>
          </w:p>
        </w:tc>
        <w:tc>
          <w:tcPr>
            <w:tcW w:w="621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3" w:hRule="atLeast"/>
        </w:trPr>
        <w:tc>
          <w:tcPr>
            <w:tcW w:w="2084" w:type="dxa"/>
            <w:vAlign w:val="top"/>
          </w:tcPr>
          <w:p>
            <w:pPr>
              <w:pStyle w:val="10"/>
              <w:spacing w:before="236" w:line="220" w:lineRule="auto"/>
              <w:ind w:left="419"/>
              <w:rPr>
                <w:color w:val="auto"/>
                <w:highlight w:val="none"/>
              </w:rPr>
            </w:pPr>
            <w:r>
              <w:rPr>
                <w:color w:val="auto"/>
                <w:spacing w:val="-1"/>
                <w:highlight w:val="none"/>
              </w:rPr>
              <w:t>招标代理机构</w:t>
            </w:r>
          </w:p>
        </w:tc>
        <w:tc>
          <w:tcPr>
            <w:tcW w:w="621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2084" w:type="dxa"/>
            <w:vAlign w:val="top"/>
          </w:tcPr>
          <w:p>
            <w:pPr>
              <w:pStyle w:val="10"/>
              <w:spacing w:before="237" w:line="221" w:lineRule="auto"/>
              <w:ind w:left="735"/>
              <w:rPr>
                <w:color w:val="auto"/>
                <w:highlight w:val="none"/>
              </w:rPr>
            </w:pPr>
            <w:r>
              <w:rPr>
                <w:color w:val="auto"/>
                <w:spacing w:val="-2"/>
                <w:highlight w:val="none"/>
              </w:rPr>
              <w:t>投标人</w:t>
            </w:r>
          </w:p>
        </w:tc>
        <w:tc>
          <w:tcPr>
            <w:tcW w:w="621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084" w:type="dxa"/>
            <w:vAlign w:val="top"/>
          </w:tcPr>
          <w:p>
            <w:pPr>
              <w:pStyle w:val="10"/>
              <w:spacing w:before="237" w:line="220" w:lineRule="auto"/>
              <w:ind w:left="212"/>
              <w:rPr>
                <w:color w:val="auto"/>
                <w:highlight w:val="none"/>
              </w:rPr>
            </w:pPr>
            <w:r>
              <w:rPr>
                <w:color w:val="auto"/>
                <w:spacing w:val="-2"/>
                <w:highlight w:val="none"/>
              </w:rPr>
              <w:t>统一社会信用代码</w:t>
            </w:r>
          </w:p>
        </w:tc>
        <w:tc>
          <w:tcPr>
            <w:tcW w:w="621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2084" w:type="dxa"/>
            <w:vAlign w:val="top"/>
          </w:tcPr>
          <w:p>
            <w:pPr>
              <w:pStyle w:val="10"/>
              <w:spacing w:before="237" w:line="221" w:lineRule="auto"/>
              <w:ind w:left="209"/>
              <w:rPr>
                <w:color w:val="auto"/>
                <w:highlight w:val="none"/>
              </w:rPr>
            </w:pPr>
            <w:r>
              <w:rPr>
                <w:color w:val="auto"/>
                <w:spacing w:val="-1"/>
                <w:highlight w:val="none"/>
              </w:rPr>
              <w:t>投标文件送达时间</w:t>
            </w:r>
          </w:p>
        </w:tc>
        <w:tc>
          <w:tcPr>
            <w:tcW w:w="6218" w:type="dxa"/>
            <w:vAlign w:val="top"/>
          </w:tcPr>
          <w:p>
            <w:pPr>
              <w:pStyle w:val="10"/>
              <w:tabs>
                <w:tab w:val="left" w:pos="1050"/>
              </w:tabs>
              <w:spacing w:before="237" w:line="221" w:lineRule="auto"/>
              <w:ind w:left="105"/>
              <w:rPr>
                <w:color w:val="auto"/>
                <w:highlight w:val="none"/>
              </w:rPr>
            </w:pPr>
            <w:r>
              <w:rPr>
                <w:color w:val="auto"/>
                <w:highlight w:val="none"/>
                <w:u w:val="single" w:color="auto"/>
              </w:rPr>
              <w:tab/>
            </w:r>
            <w:r>
              <w:rPr>
                <w:color w:val="auto"/>
                <w:spacing w:val="-92"/>
                <w:highlight w:val="none"/>
              </w:rPr>
              <w:t xml:space="preserve"> </w:t>
            </w:r>
            <w:r>
              <w:rPr>
                <w:color w:val="auto"/>
                <w:spacing w:val="-17"/>
                <w:highlight w:val="none"/>
              </w:rPr>
              <w:t>年</w:t>
            </w:r>
            <w:r>
              <w:rPr>
                <w:color w:val="auto"/>
                <w:highlight w:val="none"/>
                <w:u w:val="single" w:color="auto"/>
              </w:rPr>
              <w:t xml:space="preserve">    </w:t>
            </w:r>
            <w:r>
              <w:rPr>
                <w:color w:val="auto"/>
                <w:spacing w:val="-92"/>
                <w:highlight w:val="none"/>
              </w:rPr>
              <w:t xml:space="preserve"> </w:t>
            </w:r>
            <w:r>
              <w:rPr>
                <w:color w:val="auto"/>
                <w:spacing w:val="-17"/>
                <w:highlight w:val="none"/>
              </w:rPr>
              <w:t>月</w:t>
            </w:r>
            <w:r>
              <w:rPr>
                <w:color w:val="auto"/>
                <w:spacing w:val="34"/>
                <w:highlight w:val="none"/>
                <w:u w:val="single" w:color="auto"/>
              </w:rPr>
              <w:t xml:space="preserve">   </w:t>
            </w:r>
            <w:r>
              <w:rPr>
                <w:color w:val="auto"/>
                <w:spacing w:val="-60"/>
                <w:highlight w:val="none"/>
              </w:rPr>
              <w:t xml:space="preserve"> </w:t>
            </w:r>
            <w:r>
              <w:rPr>
                <w:color w:val="auto"/>
                <w:spacing w:val="-17"/>
                <w:highlight w:val="none"/>
              </w:rPr>
              <w:t>日</w:t>
            </w:r>
            <w:r>
              <w:rPr>
                <w:color w:val="auto"/>
                <w:highlight w:val="none"/>
                <w:u w:val="single" w:color="auto"/>
              </w:rPr>
              <w:t xml:space="preserve">    </w:t>
            </w:r>
            <w:r>
              <w:rPr>
                <w:color w:val="auto"/>
                <w:spacing w:val="-86"/>
                <w:highlight w:val="none"/>
              </w:rPr>
              <w:t xml:space="preserve"> </w:t>
            </w:r>
            <w:r>
              <w:rPr>
                <w:color w:val="auto"/>
                <w:spacing w:val="-17"/>
                <w:highlight w:val="none"/>
              </w:rPr>
              <w:t>时</w:t>
            </w:r>
            <w:r>
              <w:rPr>
                <w:color w:val="auto"/>
                <w:spacing w:val="34"/>
                <w:highlight w:val="none"/>
                <w:u w:val="single" w:color="auto"/>
              </w:rPr>
              <w:t xml:space="preserve">   </w:t>
            </w:r>
            <w:r>
              <w:rPr>
                <w:color w:val="auto"/>
                <w:spacing w:val="-94"/>
                <w:highlight w:val="none"/>
              </w:rPr>
              <w:t xml:space="preserve"> </w:t>
            </w:r>
            <w:r>
              <w:rPr>
                <w:color w:val="auto"/>
                <w:spacing w:val="-17"/>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2084" w:type="dxa"/>
            <w:vAlign w:val="top"/>
          </w:tcPr>
          <w:p>
            <w:pPr>
              <w:pStyle w:val="10"/>
              <w:spacing w:before="238" w:line="221" w:lineRule="auto"/>
              <w:ind w:left="209"/>
              <w:rPr>
                <w:color w:val="auto"/>
                <w:highlight w:val="none"/>
              </w:rPr>
            </w:pPr>
            <w:r>
              <w:rPr>
                <w:color w:val="auto"/>
                <w:spacing w:val="-1"/>
                <w:highlight w:val="none"/>
              </w:rPr>
              <w:t>投标文件是否加密</w:t>
            </w:r>
          </w:p>
        </w:tc>
        <w:tc>
          <w:tcPr>
            <w:tcW w:w="6218" w:type="dxa"/>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20" w:type="default"/>
          <w:pgSz w:w="11905" w:h="16843"/>
          <w:pgMar w:top="1769" w:right="1548" w:bottom="1003" w:left="1542" w:header="0" w:footer="828" w:gutter="0"/>
          <w:pgNumType w:fmt="numberInDash"/>
          <w:cols w:space="0" w:num="1"/>
          <w:rtlGutter w:val="0"/>
          <w:docGrid w:linePitch="0" w:charSpace="0"/>
        </w:sectPr>
      </w:pPr>
    </w:p>
    <w:p>
      <w:pPr>
        <w:pStyle w:val="2"/>
        <w:spacing w:line="247" w:lineRule="auto"/>
        <w:rPr>
          <w:color w:val="auto"/>
          <w:highlight w:val="none"/>
        </w:rPr>
      </w:pPr>
    </w:p>
    <w:p>
      <w:pPr>
        <w:pStyle w:val="2"/>
        <w:spacing w:line="247" w:lineRule="auto"/>
        <w:rPr>
          <w:color w:val="auto"/>
          <w:highlight w:val="none"/>
        </w:rPr>
      </w:pPr>
    </w:p>
    <w:p>
      <w:pPr>
        <w:spacing w:before="78" w:line="219"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附表五：开标记录表</w:t>
      </w:r>
    </w:p>
    <w:p>
      <w:pPr>
        <w:pStyle w:val="2"/>
        <w:spacing w:line="465" w:lineRule="auto"/>
        <w:rPr>
          <w:color w:val="auto"/>
          <w:highlight w:val="none"/>
        </w:rPr>
      </w:pPr>
    </w:p>
    <w:p>
      <w:pPr>
        <w:tabs>
          <w:tab w:val="left" w:pos="7844"/>
        </w:tabs>
        <w:spacing w:before="91" w:line="219" w:lineRule="auto"/>
        <w:ind w:left="4620"/>
        <w:rPr>
          <w:rFonts w:ascii="黑体" w:hAnsi="黑体" w:eastAsia="黑体" w:cs="黑体"/>
          <w:color w:val="auto"/>
          <w:sz w:val="28"/>
          <w:szCs w:val="28"/>
          <w:highlight w:val="none"/>
        </w:rPr>
      </w:pPr>
      <w:bookmarkStart w:id="75" w:name="bookmark106"/>
      <w:bookmarkEnd w:id="75"/>
      <w:r>
        <w:rPr>
          <w:rFonts w:ascii="黑体" w:hAnsi="黑体" w:eastAsia="黑体" w:cs="黑体"/>
          <w:color w:val="auto"/>
          <w:sz w:val="28"/>
          <w:szCs w:val="28"/>
          <w:highlight w:val="none"/>
          <w:u w:val="single" w:color="auto"/>
        </w:rPr>
        <w:tab/>
      </w:r>
      <w:r>
        <w:rPr>
          <w:rFonts w:ascii="黑体" w:hAnsi="黑体" w:eastAsia="黑体" w:cs="黑体"/>
          <w:color w:val="auto"/>
          <w:sz w:val="28"/>
          <w:szCs w:val="28"/>
          <w:highlight w:val="none"/>
        </w:rPr>
        <w:t>（标段名称）项目开标记录表</w:t>
      </w:r>
    </w:p>
    <w:p>
      <w:pPr>
        <w:pStyle w:val="2"/>
        <w:spacing w:line="294" w:lineRule="auto"/>
        <w:rPr>
          <w:color w:val="auto"/>
          <w:highlight w:val="none"/>
        </w:rPr>
      </w:pPr>
    </w:p>
    <w:p>
      <w:pPr>
        <w:spacing w:before="69" w:line="221" w:lineRule="auto"/>
        <w:ind w:left="11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开标时间：</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6"/>
          <w:sz w:val="21"/>
          <w:szCs w:val="21"/>
          <w:highlight w:val="none"/>
        </w:rPr>
        <w:t>月</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6"/>
          <w:sz w:val="21"/>
          <w:szCs w:val="21"/>
          <w:highlight w:val="none"/>
        </w:rPr>
        <w:t>日</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6"/>
          <w:sz w:val="21"/>
          <w:szCs w:val="21"/>
          <w:highlight w:val="none"/>
        </w:rPr>
        <w:t>时</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6"/>
          <w:sz w:val="21"/>
          <w:szCs w:val="21"/>
          <w:highlight w:val="none"/>
        </w:rPr>
        <w:t>分</w:t>
      </w:r>
      <w:r>
        <w:rPr>
          <w:rFonts w:ascii="宋体" w:hAnsi="宋体" w:eastAsia="宋体" w:cs="宋体"/>
          <w:color w:val="auto"/>
          <w:spacing w:val="1"/>
          <w:sz w:val="21"/>
          <w:szCs w:val="21"/>
          <w:highlight w:val="none"/>
        </w:rPr>
        <w:t xml:space="preserve">     </w:t>
      </w:r>
      <w:r>
        <w:rPr>
          <w:rFonts w:ascii="宋体" w:hAnsi="宋体" w:eastAsia="宋体" w:cs="宋体"/>
          <w:color w:val="auto"/>
          <w:spacing w:val="-6"/>
          <w:sz w:val="21"/>
          <w:szCs w:val="21"/>
          <w:highlight w:val="none"/>
        </w:rPr>
        <w:t>开标地点：</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开</w:t>
      </w:r>
      <w:r>
        <w:rPr>
          <w:rFonts w:ascii="宋体" w:hAnsi="宋体" w:eastAsia="宋体" w:cs="宋体"/>
          <w:color w:val="auto"/>
          <w:spacing w:val="-7"/>
          <w:sz w:val="21"/>
          <w:szCs w:val="21"/>
          <w:highlight w:val="none"/>
        </w:rPr>
        <w:t>标方式：</w:t>
      </w:r>
    </w:p>
    <w:p>
      <w:pPr>
        <w:spacing w:line="101" w:lineRule="auto"/>
        <w:rPr>
          <w:rFonts w:ascii="Arial"/>
          <w:color w:val="auto"/>
          <w:sz w:val="2"/>
          <w:highlight w:val="none"/>
        </w:rPr>
      </w:pPr>
    </w:p>
    <w:tbl>
      <w:tblPr>
        <w:tblStyle w:val="9"/>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878"/>
        <w:gridCol w:w="1135"/>
        <w:gridCol w:w="1843"/>
        <w:gridCol w:w="883"/>
        <w:gridCol w:w="1133"/>
        <w:gridCol w:w="1135"/>
        <w:gridCol w:w="1132"/>
        <w:gridCol w:w="1277"/>
        <w:gridCol w:w="1701"/>
        <w:gridCol w:w="12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72" w:type="dxa"/>
            <w:vMerge w:val="restart"/>
            <w:tcBorders>
              <w:bottom w:val="nil"/>
            </w:tcBorders>
            <w:vAlign w:val="top"/>
          </w:tcPr>
          <w:p>
            <w:pPr>
              <w:spacing w:line="243" w:lineRule="auto"/>
              <w:rPr>
                <w:rFonts w:ascii="Arial"/>
                <w:color w:val="auto"/>
                <w:sz w:val="21"/>
                <w:highlight w:val="none"/>
              </w:rPr>
            </w:pPr>
          </w:p>
          <w:p>
            <w:pPr>
              <w:pStyle w:val="10"/>
              <w:spacing w:before="68" w:line="222" w:lineRule="auto"/>
              <w:ind w:left="130"/>
              <w:rPr>
                <w:color w:val="auto"/>
                <w:highlight w:val="none"/>
              </w:rPr>
            </w:pPr>
            <w:r>
              <w:rPr>
                <w:color w:val="auto"/>
                <w:spacing w:val="-2"/>
                <w:highlight w:val="none"/>
              </w:rPr>
              <w:t>序号</w:t>
            </w:r>
          </w:p>
        </w:tc>
        <w:tc>
          <w:tcPr>
            <w:tcW w:w="1878" w:type="dxa"/>
            <w:vMerge w:val="restart"/>
            <w:tcBorders>
              <w:bottom w:val="nil"/>
            </w:tcBorders>
            <w:vAlign w:val="top"/>
          </w:tcPr>
          <w:p>
            <w:pPr>
              <w:spacing w:line="243" w:lineRule="auto"/>
              <w:rPr>
                <w:rFonts w:ascii="Arial"/>
                <w:color w:val="auto"/>
                <w:sz w:val="21"/>
                <w:highlight w:val="none"/>
              </w:rPr>
            </w:pPr>
          </w:p>
          <w:p>
            <w:pPr>
              <w:pStyle w:val="10"/>
              <w:spacing w:before="69" w:line="221" w:lineRule="auto"/>
              <w:ind w:left="418"/>
              <w:rPr>
                <w:color w:val="auto"/>
                <w:highlight w:val="none"/>
              </w:rPr>
            </w:pPr>
            <w:r>
              <w:rPr>
                <w:color w:val="auto"/>
                <w:spacing w:val="-2"/>
                <w:highlight w:val="none"/>
              </w:rPr>
              <w:t>投标人名称</w:t>
            </w:r>
          </w:p>
        </w:tc>
        <w:tc>
          <w:tcPr>
            <w:tcW w:w="1135" w:type="dxa"/>
            <w:vMerge w:val="restart"/>
            <w:tcBorders>
              <w:bottom w:val="nil"/>
            </w:tcBorders>
            <w:vAlign w:val="top"/>
          </w:tcPr>
          <w:p>
            <w:pPr>
              <w:pStyle w:val="10"/>
              <w:spacing w:before="176" w:line="231" w:lineRule="auto"/>
              <w:ind w:left="262" w:right="144" w:hanging="109"/>
              <w:rPr>
                <w:color w:val="auto"/>
                <w:highlight w:val="none"/>
              </w:rPr>
            </w:pPr>
            <w:r>
              <w:rPr>
                <w:color w:val="auto"/>
                <w:spacing w:val="-3"/>
                <w:highlight w:val="none"/>
              </w:rPr>
              <w:t>投标报价</w:t>
            </w:r>
            <w:r>
              <w:rPr>
                <w:color w:val="auto"/>
                <w:spacing w:val="2"/>
                <w:highlight w:val="none"/>
              </w:rPr>
              <w:t xml:space="preserve"> </w:t>
            </w:r>
            <w:r>
              <w:rPr>
                <w:color w:val="auto"/>
                <w:spacing w:val="-6"/>
                <w:highlight w:val="none"/>
              </w:rPr>
              <w:t>（元）</w:t>
            </w:r>
          </w:p>
        </w:tc>
        <w:tc>
          <w:tcPr>
            <w:tcW w:w="1843" w:type="dxa"/>
            <w:vMerge w:val="restart"/>
            <w:tcBorders>
              <w:bottom w:val="nil"/>
            </w:tcBorders>
            <w:vAlign w:val="top"/>
          </w:tcPr>
          <w:p>
            <w:pPr>
              <w:pStyle w:val="10"/>
              <w:spacing w:before="176" w:line="221" w:lineRule="auto"/>
              <w:ind w:left="718"/>
              <w:rPr>
                <w:color w:val="auto"/>
                <w:highlight w:val="none"/>
              </w:rPr>
            </w:pPr>
            <w:r>
              <w:rPr>
                <w:color w:val="auto"/>
                <w:spacing w:val="-3"/>
                <w:highlight w:val="none"/>
              </w:rPr>
              <w:t>工期</w:t>
            </w:r>
          </w:p>
          <w:p>
            <w:pPr>
              <w:pStyle w:val="10"/>
              <w:spacing w:before="22" w:line="221" w:lineRule="auto"/>
              <w:ind w:left="405"/>
              <w:rPr>
                <w:color w:val="auto"/>
                <w:highlight w:val="none"/>
              </w:rPr>
            </w:pPr>
            <w:r>
              <w:rPr>
                <w:color w:val="auto"/>
                <w:spacing w:val="-6"/>
                <w:highlight w:val="none"/>
              </w:rPr>
              <w:t>（日历天）</w:t>
            </w:r>
          </w:p>
        </w:tc>
        <w:tc>
          <w:tcPr>
            <w:tcW w:w="883" w:type="dxa"/>
            <w:vMerge w:val="restart"/>
            <w:tcBorders>
              <w:bottom w:val="nil"/>
            </w:tcBorders>
            <w:vAlign w:val="top"/>
          </w:tcPr>
          <w:p>
            <w:pPr>
              <w:pStyle w:val="10"/>
              <w:spacing w:before="176" w:line="241" w:lineRule="auto"/>
              <w:ind w:left="237"/>
              <w:rPr>
                <w:color w:val="auto"/>
                <w:highlight w:val="none"/>
              </w:rPr>
            </w:pPr>
            <w:r>
              <w:rPr>
                <w:color w:val="auto"/>
                <w:spacing w:val="-2"/>
                <w:highlight w:val="none"/>
              </w:rPr>
              <w:t>质量</w:t>
            </w:r>
          </w:p>
          <w:p>
            <w:pPr>
              <w:pStyle w:val="10"/>
              <w:spacing w:line="221" w:lineRule="auto"/>
              <w:ind w:left="237"/>
              <w:rPr>
                <w:color w:val="auto"/>
                <w:highlight w:val="none"/>
              </w:rPr>
            </w:pPr>
            <w:r>
              <w:rPr>
                <w:color w:val="auto"/>
                <w:spacing w:val="-2"/>
                <w:highlight w:val="none"/>
              </w:rPr>
              <w:t>标准</w:t>
            </w:r>
          </w:p>
        </w:tc>
        <w:tc>
          <w:tcPr>
            <w:tcW w:w="1133" w:type="dxa"/>
            <w:vMerge w:val="restart"/>
            <w:tcBorders>
              <w:bottom w:val="nil"/>
            </w:tcBorders>
            <w:vAlign w:val="top"/>
          </w:tcPr>
          <w:p>
            <w:pPr>
              <w:pStyle w:val="10"/>
              <w:spacing w:before="176" w:line="231" w:lineRule="auto"/>
              <w:ind w:left="154" w:right="141"/>
              <w:rPr>
                <w:color w:val="auto"/>
                <w:highlight w:val="none"/>
              </w:rPr>
            </w:pPr>
            <w:r>
              <w:rPr>
                <w:color w:val="auto"/>
                <w:spacing w:val="-3"/>
                <w:highlight w:val="none"/>
              </w:rPr>
              <w:t>投标有效</w:t>
            </w:r>
            <w:r>
              <w:rPr>
                <w:color w:val="auto"/>
                <w:spacing w:val="2"/>
                <w:highlight w:val="none"/>
              </w:rPr>
              <w:t xml:space="preserve"> </w:t>
            </w:r>
            <w:r>
              <w:rPr>
                <w:color w:val="auto"/>
                <w:spacing w:val="-6"/>
                <w:highlight w:val="none"/>
              </w:rPr>
              <w:t>期（天）</w:t>
            </w:r>
          </w:p>
        </w:tc>
        <w:tc>
          <w:tcPr>
            <w:tcW w:w="1135" w:type="dxa"/>
            <w:vMerge w:val="restart"/>
            <w:tcBorders>
              <w:bottom w:val="nil"/>
            </w:tcBorders>
            <w:vAlign w:val="top"/>
          </w:tcPr>
          <w:p>
            <w:pPr>
              <w:pStyle w:val="10"/>
              <w:spacing w:before="175" w:line="231" w:lineRule="auto"/>
              <w:ind w:left="363" w:right="143" w:hanging="207"/>
              <w:rPr>
                <w:color w:val="auto"/>
                <w:highlight w:val="none"/>
              </w:rPr>
            </w:pPr>
            <w:r>
              <w:rPr>
                <w:color w:val="auto"/>
                <w:spacing w:val="-3"/>
                <w:highlight w:val="none"/>
              </w:rPr>
              <w:t>项目经理</w:t>
            </w:r>
            <w:r>
              <w:rPr>
                <w:color w:val="auto"/>
                <w:spacing w:val="1"/>
                <w:highlight w:val="none"/>
              </w:rPr>
              <w:t xml:space="preserve"> </w:t>
            </w:r>
            <w:r>
              <w:rPr>
                <w:color w:val="auto"/>
                <w:spacing w:val="-2"/>
                <w:highlight w:val="none"/>
              </w:rPr>
              <w:t>姓名</w:t>
            </w:r>
          </w:p>
        </w:tc>
        <w:tc>
          <w:tcPr>
            <w:tcW w:w="2409" w:type="dxa"/>
            <w:gridSpan w:val="2"/>
            <w:vAlign w:val="top"/>
          </w:tcPr>
          <w:p>
            <w:pPr>
              <w:pStyle w:val="10"/>
              <w:spacing w:before="37" w:line="207" w:lineRule="auto"/>
              <w:ind w:left="688"/>
              <w:rPr>
                <w:color w:val="auto"/>
                <w:highlight w:val="none"/>
              </w:rPr>
            </w:pPr>
            <w:r>
              <w:rPr>
                <w:color w:val="auto"/>
                <w:spacing w:val="-2"/>
                <w:highlight w:val="none"/>
              </w:rPr>
              <w:t>投标保证金</w:t>
            </w:r>
          </w:p>
        </w:tc>
        <w:tc>
          <w:tcPr>
            <w:tcW w:w="1701" w:type="dxa"/>
            <w:vMerge w:val="restart"/>
            <w:tcBorders>
              <w:bottom w:val="nil"/>
            </w:tcBorders>
            <w:vAlign w:val="top"/>
          </w:tcPr>
          <w:p>
            <w:pPr>
              <w:spacing w:line="243" w:lineRule="auto"/>
              <w:rPr>
                <w:rFonts w:ascii="Arial"/>
                <w:color w:val="auto"/>
                <w:sz w:val="21"/>
                <w:highlight w:val="none"/>
              </w:rPr>
            </w:pPr>
          </w:p>
          <w:p>
            <w:pPr>
              <w:pStyle w:val="10"/>
              <w:spacing w:before="68" w:line="221" w:lineRule="auto"/>
              <w:ind w:left="122"/>
              <w:rPr>
                <w:color w:val="auto"/>
                <w:highlight w:val="none"/>
              </w:rPr>
            </w:pPr>
            <w:r>
              <w:rPr>
                <w:color w:val="auto"/>
                <w:spacing w:val="-2"/>
                <w:highlight w:val="none"/>
              </w:rPr>
              <w:t>投标人代表确认</w:t>
            </w:r>
          </w:p>
        </w:tc>
        <w:tc>
          <w:tcPr>
            <w:tcW w:w="1279" w:type="dxa"/>
            <w:vMerge w:val="restart"/>
            <w:tcBorders>
              <w:bottom w:val="nil"/>
            </w:tcBorders>
            <w:vAlign w:val="top"/>
          </w:tcPr>
          <w:p>
            <w:pPr>
              <w:spacing w:line="243" w:lineRule="auto"/>
              <w:rPr>
                <w:rFonts w:ascii="Arial"/>
                <w:color w:val="auto"/>
                <w:sz w:val="21"/>
                <w:highlight w:val="none"/>
              </w:rPr>
            </w:pPr>
          </w:p>
          <w:p>
            <w:pPr>
              <w:pStyle w:val="10"/>
              <w:spacing w:before="68" w:line="223" w:lineRule="auto"/>
              <w:ind w:left="227"/>
              <w:rPr>
                <w:color w:val="auto"/>
                <w:highlight w:val="none"/>
              </w:rPr>
            </w:pPr>
            <w:r>
              <w:rPr>
                <w:color w:val="auto"/>
                <w:spacing w:val="-2"/>
                <w:highlight w:val="no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672" w:type="dxa"/>
            <w:vMerge w:val="continue"/>
            <w:tcBorders>
              <w:top w:val="nil"/>
            </w:tcBorders>
            <w:vAlign w:val="top"/>
          </w:tcPr>
          <w:p>
            <w:pPr>
              <w:rPr>
                <w:rFonts w:ascii="Arial"/>
                <w:color w:val="auto"/>
                <w:sz w:val="21"/>
                <w:highlight w:val="none"/>
              </w:rPr>
            </w:pPr>
          </w:p>
        </w:tc>
        <w:tc>
          <w:tcPr>
            <w:tcW w:w="1878" w:type="dxa"/>
            <w:vMerge w:val="continue"/>
            <w:tcBorders>
              <w:top w:val="nil"/>
            </w:tcBorders>
            <w:vAlign w:val="top"/>
          </w:tcPr>
          <w:p>
            <w:pPr>
              <w:rPr>
                <w:rFonts w:ascii="Arial"/>
                <w:color w:val="auto"/>
                <w:sz w:val="21"/>
                <w:highlight w:val="none"/>
              </w:rPr>
            </w:pPr>
          </w:p>
        </w:tc>
        <w:tc>
          <w:tcPr>
            <w:tcW w:w="1135" w:type="dxa"/>
            <w:vMerge w:val="continue"/>
            <w:tcBorders>
              <w:top w:val="nil"/>
            </w:tcBorders>
            <w:vAlign w:val="top"/>
          </w:tcPr>
          <w:p>
            <w:pPr>
              <w:rPr>
                <w:rFonts w:ascii="Arial"/>
                <w:color w:val="auto"/>
                <w:sz w:val="21"/>
                <w:highlight w:val="none"/>
              </w:rPr>
            </w:pPr>
          </w:p>
        </w:tc>
        <w:tc>
          <w:tcPr>
            <w:tcW w:w="1843" w:type="dxa"/>
            <w:vMerge w:val="continue"/>
            <w:tcBorders>
              <w:top w:val="nil"/>
            </w:tcBorders>
            <w:vAlign w:val="top"/>
          </w:tcPr>
          <w:p>
            <w:pPr>
              <w:rPr>
                <w:rFonts w:ascii="Arial"/>
                <w:color w:val="auto"/>
                <w:sz w:val="21"/>
                <w:highlight w:val="none"/>
              </w:rPr>
            </w:pPr>
          </w:p>
        </w:tc>
        <w:tc>
          <w:tcPr>
            <w:tcW w:w="883" w:type="dxa"/>
            <w:vMerge w:val="continue"/>
            <w:tcBorders>
              <w:top w:val="nil"/>
            </w:tcBorders>
            <w:vAlign w:val="top"/>
          </w:tcPr>
          <w:p>
            <w:pPr>
              <w:rPr>
                <w:rFonts w:ascii="Arial"/>
                <w:color w:val="auto"/>
                <w:sz w:val="21"/>
                <w:highlight w:val="none"/>
              </w:rPr>
            </w:pPr>
          </w:p>
        </w:tc>
        <w:tc>
          <w:tcPr>
            <w:tcW w:w="1133" w:type="dxa"/>
            <w:vMerge w:val="continue"/>
            <w:tcBorders>
              <w:top w:val="nil"/>
            </w:tcBorders>
            <w:vAlign w:val="top"/>
          </w:tcPr>
          <w:p>
            <w:pPr>
              <w:rPr>
                <w:rFonts w:ascii="Arial"/>
                <w:color w:val="auto"/>
                <w:sz w:val="21"/>
                <w:highlight w:val="none"/>
              </w:rPr>
            </w:pPr>
          </w:p>
        </w:tc>
        <w:tc>
          <w:tcPr>
            <w:tcW w:w="1135" w:type="dxa"/>
            <w:vMerge w:val="continue"/>
            <w:tcBorders>
              <w:top w:val="nil"/>
            </w:tcBorders>
            <w:vAlign w:val="top"/>
          </w:tcPr>
          <w:p>
            <w:pPr>
              <w:rPr>
                <w:rFonts w:ascii="Arial"/>
                <w:color w:val="auto"/>
                <w:sz w:val="21"/>
                <w:highlight w:val="none"/>
              </w:rPr>
            </w:pPr>
          </w:p>
        </w:tc>
        <w:tc>
          <w:tcPr>
            <w:tcW w:w="1132" w:type="dxa"/>
            <w:vAlign w:val="top"/>
          </w:tcPr>
          <w:p>
            <w:pPr>
              <w:pStyle w:val="10"/>
              <w:spacing w:before="29" w:line="241" w:lineRule="auto"/>
              <w:ind w:left="363"/>
              <w:rPr>
                <w:color w:val="auto"/>
                <w:highlight w:val="none"/>
              </w:rPr>
            </w:pPr>
            <w:r>
              <w:rPr>
                <w:color w:val="auto"/>
                <w:spacing w:val="-2"/>
                <w:highlight w:val="none"/>
              </w:rPr>
              <w:t>金额</w:t>
            </w:r>
          </w:p>
          <w:p>
            <w:pPr>
              <w:pStyle w:val="10"/>
              <w:spacing w:line="206" w:lineRule="auto"/>
              <w:ind w:left="262"/>
              <w:rPr>
                <w:color w:val="auto"/>
                <w:highlight w:val="none"/>
              </w:rPr>
            </w:pPr>
            <w:r>
              <w:rPr>
                <w:color w:val="auto"/>
                <w:spacing w:val="-6"/>
                <w:highlight w:val="none"/>
              </w:rPr>
              <w:t>（元）</w:t>
            </w:r>
          </w:p>
        </w:tc>
        <w:tc>
          <w:tcPr>
            <w:tcW w:w="1277" w:type="dxa"/>
            <w:vAlign w:val="top"/>
          </w:tcPr>
          <w:p>
            <w:pPr>
              <w:pStyle w:val="10"/>
              <w:spacing w:before="166" w:line="221" w:lineRule="auto"/>
              <w:ind w:left="224"/>
              <w:rPr>
                <w:color w:val="auto"/>
                <w:highlight w:val="none"/>
              </w:rPr>
            </w:pPr>
            <w:r>
              <w:rPr>
                <w:color w:val="auto"/>
                <w:spacing w:val="-1"/>
                <w:highlight w:val="none"/>
              </w:rPr>
              <w:t>缴纳方式</w:t>
            </w:r>
          </w:p>
        </w:tc>
        <w:tc>
          <w:tcPr>
            <w:tcW w:w="1701" w:type="dxa"/>
            <w:vMerge w:val="continue"/>
            <w:tcBorders>
              <w:top w:val="nil"/>
            </w:tcBorders>
            <w:vAlign w:val="top"/>
          </w:tcPr>
          <w:p>
            <w:pPr>
              <w:rPr>
                <w:rFonts w:ascii="Arial"/>
                <w:color w:val="auto"/>
                <w:sz w:val="21"/>
                <w:highlight w:val="none"/>
              </w:rPr>
            </w:pPr>
          </w:p>
        </w:tc>
        <w:tc>
          <w:tcPr>
            <w:tcW w:w="1279"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72" w:type="dxa"/>
            <w:vAlign w:val="top"/>
          </w:tcPr>
          <w:p>
            <w:pPr>
              <w:rPr>
                <w:rFonts w:ascii="Arial"/>
                <w:color w:val="auto"/>
                <w:sz w:val="21"/>
                <w:highlight w:val="none"/>
              </w:rPr>
            </w:pPr>
          </w:p>
        </w:tc>
        <w:tc>
          <w:tcPr>
            <w:tcW w:w="1878"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843" w:type="dxa"/>
            <w:vAlign w:val="top"/>
          </w:tcPr>
          <w:p>
            <w:pPr>
              <w:rPr>
                <w:rFonts w:ascii="Arial"/>
                <w:color w:val="auto"/>
                <w:sz w:val="21"/>
                <w:highlight w:val="none"/>
              </w:rPr>
            </w:pPr>
          </w:p>
        </w:tc>
        <w:tc>
          <w:tcPr>
            <w:tcW w:w="883"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1135" w:type="dxa"/>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1277" w:type="dxa"/>
            <w:vAlign w:val="top"/>
          </w:tcPr>
          <w:p>
            <w:pPr>
              <w:rPr>
                <w:rFonts w:ascii="Arial"/>
                <w:color w:val="auto"/>
                <w:sz w:val="21"/>
                <w:highlight w:val="none"/>
              </w:rPr>
            </w:pPr>
          </w:p>
        </w:tc>
        <w:tc>
          <w:tcPr>
            <w:tcW w:w="1701" w:type="dxa"/>
            <w:vAlign w:val="top"/>
          </w:tcPr>
          <w:p>
            <w:pPr>
              <w:rPr>
                <w:rFonts w:ascii="Arial"/>
                <w:color w:val="auto"/>
                <w:sz w:val="21"/>
                <w:highlight w:val="none"/>
              </w:rPr>
            </w:pPr>
          </w:p>
        </w:tc>
        <w:tc>
          <w:tcPr>
            <w:tcW w:w="127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2550" w:type="dxa"/>
            <w:gridSpan w:val="2"/>
            <w:vAlign w:val="top"/>
          </w:tcPr>
          <w:p>
            <w:pPr>
              <w:pStyle w:val="10"/>
              <w:spacing w:before="161" w:line="219" w:lineRule="auto"/>
              <w:ind w:left="339"/>
              <w:rPr>
                <w:color w:val="auto"/>
                <w:highlight w:val="none"/>
              </w:rPr>
            </w:pPr>
            <w:r>
              <w:rPr>
                <w:color w:val="auto"/>
                <w:spacing w:val="-3"/>
                <w:highlight w:val="none"/>
              </w:rPr>
              <w:t>最高投标限价（元）</w:t>
            </w:r>
          </w:p>
        </w:tc>
        <w:tc>
          <w:tcPr>
            <w:tcW w:w="11518" w:type="dxa"/>
            <w:gridSpan w:val="9"/>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550" w:type="dxa"/>
            <w:gridSpan w:val="2"/>
            <w:vAlign w:val="top"/>
          </w:tcPr>
          <w:p>
            <w:pPr>
              <w:pStyle w:val="10"/>
              <w:spacing w:before="142" w:line="401" w:lineRule="exact"/>
              <w:ind w:left="126"/>
              <w:rPr>
                <w:color w:val="auto"/>
                <w:highlight w:val="none"/>
              </w:rPr>
            </w:pPr>
            <w:r>
              <w:rPr>
                <w:color w:val="auto"/>
                <w:spacing w:val="-1"/>
                <w:position w:val="14"/>
                <w:highlight w:val="none"/>
              </w:rPr>
              <w:t>开标过程需记录的其他事</w:t>
            </w:r>
          </w:p>
          <w:p>
            <w:pPr>
              <w:pStyle w:val="10"/>
              <w:spacing w:line="221" w:lineRule="auto"/>
              <w:ind w:left="1180"/>
              <w:rPr>
                <w:color w:val="auto"/>
                <w:highlight w:val="none"/>
              </w:rPr>
            </w:pPr>
            <w:r>
              <w:rPr>
                <w:color w:val="auto"/>
                <w:highlight w:val="none"/>
              </w:rPr>
              <w:t>项</w:t>
            </w:r>
          </w:p>
        </w:tc>
        <w:tc>
          <w:tcPr>
            <w:tcW w:w="11518" w:type="dxa"/>
            <w:gridSpan w:val="9"/>
            <w:vAlign w:val="top"/>
          </w:tcPr>
          <w:p>
            <w:pPr>
              <w:rPr>
                <w:rFonts w:ascii="Arial"/>
                <w:color w:val="auto"/>
                <w:sz w:val="21"/>
                <w:highlight w:val="none"/>
              </w:rPr>
            </w:pPr>
          </w:p>
        </w:tc>
      </w:tr>
    </w:tbl>
    <w:p>
      <w:pPr>
        <w:spacing w:before="139" w:line="221" w:lineRule="auto"/>
        <w:ind w:left="421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主持人：</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9"/>
          <w:sz w:val="21"/>
          <w:szCs w:val="21"/>
          <w:highlight w:val="none"/>
        </w:rPr>
        <w:t>招标人代表：</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83"/>
          <w:sz w:val="21"/>
          <w:szCs w:val="21"/>
          <w:highlight w:val="none"/>
        </w:rPr>
        <w:t xml:space="preserve"> </w:t>
      </w:r>
      <w:r>
        <w:rPr>
          <w:rFonts w:ascii="宋体" w:hAnsi="宋体" w:eastAsia="宋体" w:cs="宋体"/>
          <w:color w:val="auto"/>
          <w:spacing w:val="-9"/>
          <w:sz w:val="21"/>
          <w:szCs w:val="21"/>
          <w:highlight w:val="none"/>
        </w:rPr>
        <w:t>监标人</w:t>
      </w:r>
      <w:r>
        <w:rPr>
          <w:rFonts w:ascii="宋体" w:hAnsi="宋体" w:eastAsia="宋体" w:cs="宋体"/>
          <w:color w:val="auto"/>
          <w:spacing w:val="-10"/>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9"/>
          <w:sz w:val="21"/>
          <w:szCs w:val="21"/>
          <w:highlight w:val="none"/>
          <w:u w:val="single" w:color="auto"/>
        </w:rPr>
        <w:t>输入）</w:t>
      </w:r>
      <w:r>
        <w:rPr>
          <w:rFonts w:ascii="宋体" w:hAnsi="宋体" w:eastAsia="宋体" w:cs="宋体"/>
          <w:color w:val="auto"/>
          <w:spacing w:val="2"/>
          <w:sz w:val="21"/>
          <w:szCs w:val="21"/>
          <w:highlight w:val="none"/>
          <w:u w:val="single" w:color="auto"/>
        </w:rPr>
        <w:t xml:space="preserve">  </w:t>
      </w:r>
    </w:p>
    <w:p>
      <w:pPr>
        <w:spacing w:line="221" w:lineRule="auto"/>
        <w:rPr>
          <w:rFonts w:ascii="宋体" w:hAnsi="宋体" w:eastAsia="宋体" w:cs="宋体"/>
          <w:color w:val="auto"/>
          <w:sz w:val="21"/>
          <w:szCs w:val="21"/>
          <w:highlight w:val="none"/>
        </w:rPr>
        <w:sectPr>
          <w:footerReference r:id="rId21" w:type="default"/>
          <w:pgSz w:w="16843" w:h="11905" w:orient="landscape"/>
          <w:pgMar w:top="1542" w:right="1769" w:bottom="1548" w:left="1003" w:header="0" w:footer="828" w:gutter="0"/>
          <w:pgNumType w:fmt="numberInDash"/>
          <w:cols w:space="0" w:num="1"/>
          <w:rtlGutter w:val="0"/>
          <w:docGrid w:linePitch="0" w:charSpace="0"/>
        </w:sectPr>
      </w:pPr>
    </w:p>
    <w:p>
      <w:pPr>
        <w:pStyle w:val="2"/>
        <w:spacing w:line="242" w:lineRule="auto"/>
        <w:rPr>
          <w:color w:val="auto"/>
          <w:highlight w:val="none"/>
        </w:rPr>
      </w:pPr>
    </w:p>
    <w:p>
      <w:pPr>
        <w:pStyle w:val="2"/>
        <w:spacing w:line="242" w:lineRule="auto"/>
        <w:rPr>
          <w:color w:val="auto"/>
          <w:highlight w:val="none"/>
        </w:rPr>
      </w:pPr>
    </w:p>
    <w:p>
      <w:pPr>
        <w:spacing w:before="78" w:line="219"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附表六：投标文件问题澄清通知</w:t>
      </w:r>
    </w:p>
    <w:p>
      <w:pPr>
        <w:pStyle w:val="2"/>
        <w:spacing w:line="465" w:lineRule="auto"/>
        <w:rPr>
          <w:color w:val="auto"/>
          <w:highlight w:val="none"/>
        </w:rPr>
      </w:pPr>
    </w:p>
    <w:p>
      <w:pPr>
        <w:spacing w:before="91" w:line="219" w:lineRule="auto"/>
        <w:ind w:left="3059"/>
        <w:rPr>
          <w:rFonts w:ascii="黑体" w:hAnsi="黑体" w:eastAsia="黑体" w:cs="黑体"/>
          <w:color w:val="auto"/>
          <w:sz w:val="28"/>
          <w:szCs w:val="28"/>
          <w:highlight w:val="none"/>
        </w:rPr>
      </w:pPr>
      <w:bookmarkStart w:id="76" w:name="bookmark108"/>
      <w:bookmarkEnd w:id="76"/>
      <w:bookmarkStart w:id="77" w:name="bookmark107"/>
      <w:bookmarkEnd w:id="77"/>
      <w:r>
        <w:rPr>
          <w:rFonts w:ascii="黑体" w:hAnsi="黑体" w:eastAsia="黑体" w:cs="黑体"/>
          <w:color w:val="auto"/>
          <w:spacing w:val="-1"/>
          <w:sz w:val="28"/>
          <w:szCs w:val="28"/>
          <w:highlight w:val="none"/>
        </w:rPr>
        <w:t>投标文件问题澄清通知</w:t>
      </w:r>
    </w:p>
    <w:p>
      <w:pPr>
        <w:pStyle w:val="2"/>
        <w:spacing w:line="297" w:lineRule="auto"/>
        <w:rPr>
          <w:color w:val="auto"/>
          <w:highlight w:val="none"/>
        </w:rPr>
      </w:pPr>
    </w:p>
    <w:p>
      <w:pPr>
        <w:spacing w:before="68" w:line="221" w:lineRule="auto"/>
        <w:ind w:left="536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pPr>
        <w:tabs>
          <w:tab w:val="left" w:pos="2837"/>
        </w:tabs>
        <w:spacing w:before="212"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rPr>
        <w:t>（投标人名称</w:t>
      </w:r>
      <w:r>
        <w:rPr>
          <w:rFonts w:ascii="宋体" w:hAnsi="宋体" w:eastAsia="宋体" w:cs="宋体"/>
          <w:color w:val="auto"/>
          <w:spacing w:val="-30"/>
          <w:sz w:val="21"/>
          <w:szCs w:val="21"/>
          <w:highlight w:val="none"/>
        </w:rPr>
        <w:t>）：</w:t>
      </w:r>
    </w:p>
    <w:p>
      <w:pPr>
        <w:pStyle w:val="2"/>
        <w:spacing w:line="318" w:lineRule="auto"/>
        <w:rPr>
          <w:color w:val="auto"/>
          <w:highlight w:val="none"/>
        </w:rPr>
      </w:pPr>
    </w:p>
    <w:p>
      <w:pPr>
        <w:pStyle w:val="2"/>
        <w:spacing w:line="318" w:lineRule="auto"/>
        <w:rPr>
          <w:color w:val="auto"/>
          <w:highlight w:val="none"/>
        </w:rPr>
      </w:pPr>
    </w:p>
    <w:p>
      <w:pPr>
        <w:tabs>
          <w:tab w:val="left" w:pos="2205"/>
        </w:tabs>
        <w:spacing w:before="69" w:line="422" w:lineRule="auto"/>
        <w:ind w:left="9" w:firstLine="51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5"/>
          <w:sz w:val="21"/>
          <w:szCs w:val="21"/>
          <w:highlight w:val="none"/>
        </w:rPr>
        <w:t>（标段名称）项目（</w:t>
      </w:r>
      <w:r>
        <w:rPr>
          <w:rFonts w:hint="eastAsia" w:ascii="宋体" w:hAnsi="宋体" w:eastAsia="宋体" w:cs="宋体"/>
          <w:color w:val="auto"/>
          <w:spacing w:val="5"/>
          <w:sz w:val="21"/>
          <w:szCs w:val="21"/>
          <w:highlight w:val="none"/>
          <w:lang w:eastAsia="zh-CN"/>
        </w:rPr>
        <w:t>项目编号</w:t>
      </w:r>
      <w:r>
        <w:rPr>
          <w:rFonts w:ascii="宋体" w:hAnsi="宋体" w:eastAsia="宋体" w:cs="宋体"/>
          <w:color w:val="auto"/>
          <w:spacing w:val="5"/>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2"/>
          <w:sz w:val="21"/>
          <w:szCs w:val="21"/>
          <w:highlight w:val="none"/>
        </w:rPr>
        <w:t xml:space="preserve"> </w:t>
      </w:r>
      <w:r>
        <w:rPr>
          <w:rFonts w:ascii="宋体" w:hAnsi="宋体" w:eastAsia="宋体" w:cs="宋体"/>
          <w:color w:val="auto"/>
          <w:spacing w:val="5"/>
          <w:sz w:val="21"/>
          <w:szCs w:val="21"/>
          <w:highlight w:val="none"/>
        </w:rPr>
        <w:t>）招标的评标委员会，对</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你方的投标文件进行了仔细的审查，现需你方对下列问</w:t>
      </w:r>
      <w:r>
        <w:rPr>
          <w:rFonts w:ascii="宋体" w:hAnsi="宋体" w:eastAsia="宋体" w:cs="宋体"/>
          <w:color w:val="auto"/>
          <w:sz w:val="21"/>
          <w:szCs w:val="21"/>
          <w:highlight w:val="none"/>
        </w:rPr>
        <w:t>题以书面形式予以澄清、说明或者补正， 并将投标文件的澄清、说明或者补正于</w:t>
      </w:r>
      <w:r>
        <w:rPr>
          <w:rFonts w:ascii="宋体" w:hAnsi="宋体" w:eastAsia="宋体" w:cs="宋体"/>
          <w:color w:val="auto"/>
          <w:spacing w:val="-96"/>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年</w:t>
      </w:r>
      <w:r>
        <w:rPr>
          <w:rFonts w:ascii="宋体" w:hAnsi="宋体" w:eastAsia="宋体" w:cs="宋体"/>
          <w:color w:val="auto"/>
          <w:spacing w:val="-10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月</w:t>
      </w:r>
      <w:r>
        <w:rPr>
          <w:rFonts w:ascii="宋体" w:hAnsi="宋体" w:eastAsia="宋体" w:cs="宋体"/>
          <w:color w:val="auto"/>
          <w:spacing w:val="-103"/>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z w:val="21"/>
          <w:szCs w:val="21"/>
          <w:highlight w:val="none"/>
        </w:rPr>
        <w:t>日</w:t>
      </w:r>
      <w:r>
        <w:rPr>
          <w:rFonts w:ascii="宋体" w:hAnsi="宋体" w:eastAsia="宋体" w:cs="宋体"/>
          <w:color w:val="auto"/>
          <w:spacing w:val="-10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时</w:t>
      </w:r>
      <w:r>
        <w:rPr>
          <w:rFonts w:ascii="宋体" w:hAnsi="宋体" w:eastAsia="宋体" w:cs="宋体"/>
          <w:color w:val="auto"/>
          <w:spacing w:val="-103"/>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z w:val="21"/>
          <w:szCs w:val="21"/>
          <w:highlight w:val="none"/>
        </w:rPr>
        <w:t>分前提交给</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本评标委员会。</w:t>
      </w:r>
    </w:p>
    <w:p>
      <w:pPr>
        <w:spacing w:before="235" w:line="439" w:lineRule="exact"/>
        <w:ind w:left="4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position w:val="21"/>
          <w:sz w:val="21"/>
          <w:szCs w:val="21"/>
          <w:highlight w:val="none"/>
        </w:rPr>
        <w:t>1.</w:t>
      </w:r>
      <w:r>
        <w:rPr>
          <w:rFonts w:ascii="Times New Roman" w:hAnsi="Times New Roman" w:eastAsia="Times New Roman" w:cs="Times New Roman"/>
          <w:color w:val="auto"/>
          <w:spacing w:val="19"/>
          <w:position w:val="21"/>
          <w:sz w:val="21"/>
          <w:szCs w:val="21"/>
          <w:highlight w:val="none"/>
        </w:rPr>
        <w:t xml:space="preserve"> </w:t>
      </w:r>
      <w:r>
        <w:rPr>
          <w:rFonts w:ascii="Times New Roman" w:hAnsi="Times New Roman" w:eastAsia="Times New Roman" w:cs="Times New Roman"/>
          <w:color w:val="auto"/>
          <w:spacing w:val="-5"/>
          <w:position w:val="21"/>
          <w:sz w:val="21"/>
          <w:szCs w:val="21"/>
          <w:highlight w:val="none"/>
        </w:rPr>
        <w:t>......</w:t>
      </w:r>
    </w:p>
    <w:p>
      <w:pPr>
        <w:spacing w:line="189" w:lineRule="auto"/>
        <w:ind w:left="42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Times New Roman" w:cs="Times New Roman"/>
          <w:color w:val="auto"/>
          <w:spacing w:val="-2"/>
          <w:sz w:val="21"/>
          <w:szCs w:val="21"/>
          <w:highlight w:val="none"/>
        </w:rPr>
        <w:t>......</w:t>
      </w:r>
    </w:p>
    <w:p>
      <w:pPr>
        <w:pStyle w:val="2"/>
        <w:spacing w:line="311" w:lineRule="auto"/>
        <w:rPr>
          <w:color w:val="auto"/>
          <w:highlight w:val="none"/>
        </w:rPr>
      </w:pPr>
    </w:p>
    <w:p>
      <w:pPr>
        <w:spacing w:before="61" w:line="66" w:lineRule="exact"/>
        <w:ind w:left="5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position w:val="1"/>
          <w:sz w:val="21"/>
          <w:szCs w:val="21"/>
          <w:highlight w:val="none"/>
        </w:rPr>
        <w:t>......</w:t>
      </w:r>
    </w:p>
    <w:p>
      <w:pPr>
        <w:pStyle w:val="2"/>
        <w:spacing w:line="326" w:lineRule="auto"/>
        <w:rPr>
          <w:color w:val="auto"/>
          <w:highlight w:val="none"/>
        </w:rPr>
      </w:pPr>
    </w:p>
    <w:p>
      <w:pPr>
        <w:pStyle w:val="2"/>
        <w:spacing w:line="327" w:lineRule="auto"/>
        <w:rPr>
          <w:color w:val="auto"/>
          <w:highlight w:val="none"/>
        </w:rPr>
      </w:pPr>
    </w:p>
    <w:p>
      <w:pPr>
        <w:tabs>
          <w:tab w:val="left" w:pos="3993"/>
        </w:tabs>
        <w:spacing w:before="69" w:line="220" w:lineRule="auto"/>
        <w:ind w:left="2731"/>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（标段名称）项目招标评标委员会</w:t>
      </w:r>
    </w:p>
    <w:p>
      <w:pPr>
        <w:pStyle w:val="2"/>
        <w:spacing w:line="318" w:lineRule="auto"/>
        <w:rPr>
          <w:color w:val="auto"/>
          <w:highlight w:val="none"/>
        </w:rPr>
      </w:pPr>
    </w:p>
    <w:p>
      <w:pPr>
        <w:pStyle w:val="2"/>
        <w:spacing w:line="319" w:lineRule="auto"/>
        <w:rPr>
          <w:color w:val="auto"/>
          <w:highlight w:val="none"/>
        </w:rPr>
      </w:pPr>
    </w:p>
    <w:p>
      <w:pPr>
        <w:tabs>
          <w:tab w:val="left" w:pos="6197"/>
        </w:tabs>
        <w:spacing w:before="68" w:line="221" w:lineRule="auto"/>
        <w:ind w:left="556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22" w:type="default"/>
          <w:pgSz w:w="11905" w:h="16843"/>
          <w:pgMar w:top="1769" w:right="1548" w:bottom="1003" w:left="1542" w:header="0" w:footer="828" w:gutter="0"/>
          <w:pgNumType w:fmt="numberInDash"/>
          <w:cols w:space="0" w:num="1"/>
          <w:rtlGutter w:val="0"/>
          <w:docGrid w:linePitch="0" w:charSpace="0"/>
        </w:sectPr>
      </w:pPr>
    </w:p>
    <w:p>
      <w:pPr>
        <w:spacing w:before="304" w:line="219" w:lineRule="auto"/>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附表七：投标文件问题的澄清</w:t>
      </w:r>
    </w:p>
    <w:p>
      <w:pPr>
        <w:pStyle w:val="2"/>
        <w:spacing w:line="264" w:lineRule="auto"/>
        <w:rPr>
          <w:color w:val="auto"/>
          <w:highlight w:val="none"/>
        </w:rPr>
      </w:pPr>
    </w:p>
    <w:p>
      <w:pPr>
        <w:pStyle w:val="2"/>
        <w:spacing w:line="264" w:lineRule="auto"/>
        <w:rPr>
          <w:color w:val="auto"/>
          <w:highlight w:val="none"/>
        </w:rPr>
      </w:pPr>
    </w:p>
    <w:p>
      <w:pPr>
        <w:spacing w:before="91" w:line="219" w:lineRule="auto"/>
        <w:ind w:left="2336"/>
        <w:rPr>
          <w:rFonts w:ascii="黑体" w:hAnsi="黑体" w:eastAsia="黑体" w:cs="黑体"/>
          <w:color w:val="auto"/>
          <w:sz w:val="28"/>
          <w:szCs w:val="28"/>
          <w:highlight w:val="none"/>
        </w:rPr>
      </w:pPr>
      <w:bookmarkStart w:id="78" w:name="bookmark111"/>
      <w:bookmarkEnd w:id="78"/>
      <w:bookmarkStart w:id="79" w:name="bookmark110"/>
      <w:bookmarkEnd w:id="79"/>
      <w:bookmarkStart w:id="80" w:name="bookmark109"/>
      <w:bookmarkEnd w:id="80"/>
      <w:r>
        <w:rPr>
          <w:rFonts w:ascii="黑体" w:hAnsi="黑体" w:eastAsia="黑体" w:cs="黑体"/>
          <w:color w:val="auto"/>
          <w:spacing w:val="-1"/>
          <w:sz w:val="28"/>
          <w:szCs w:val="28"/>
          <w:highlight w:val="none"/>
        </w:rPr>
        <w:t>投标文件问题的澄清、说明或补正</w:t>
      </w:r>
    </w:p>
    <w:p>
      <w:pPr>
        <w:pStyle w:val="2"/>
        <w:spacing w:line="315" w:lineRule="auto"/>
        <w:rPr>
          <w:color w:val="auto"/>
          <w:highlight w:val="none"/>
        </w:rPr>
      </w:pPr>
    </w:p>
    <w:p>
      <w:pPr>
        <w:spacing w:before="68" w:line="221" w:lineRule="auto"/>
        <w:ind w:left="53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pPr>
        <w:tabs>
          <w:tab w:val="left" w:pos="1868"/>
        </w:tabs>
        <w:spacing w:before="212" w:line="220" w:lineRule="auto"/>
        <w:ind w:left="188"/>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38"/>
          <w:sz w:val="21"/>
          <w:szCs w:val="21"/>
          <w:highlight w:val="none"/>
        </w:rPr>
        <w:t xml:space="preserve"> </w:t>
      </w:r>
      <w:r>
        <w:rPr>
          <w:rFonts w:ascii="宋体" w:hAnsi="宋体" w:eastAsia="宋体" w:cs="宋体"/>
          <w:color w:val="auto"/>
          <w:spacing w:val="-6"/>
          <w:sz w:val="21"/>
          <w:szCs w:val="21"/>
          <w:highlight w:val="none"/>
        </w:rPr>
        <w:t>（标段名称）项目招标评标委员会：</w:t>
      </w:r>
    </w:p>
    <w:p>
      <w:pPr>
        <w:spacing w:before="229" w:line="455" w:lineRule="auto"/>
        <w:ind w:left="40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投标文件问题澄清通知（编号</w:t>
      </w:r>
      <w:r>
        <w:rPr>
          <w:rFonts w:ascii="宋体" w:hAnsi="宋体" w:eastAsia="宋体" w:cs="宋体"/>
          <w:color w:val="auto"/>
          <w:sz w:val="21"/>
          <w:szCs w:val="21"/>
          <w:highlight w:val="none"/>
        </w:rPr>
        <w:t>：</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9"/>
          <w:sz w:val="21"/>
          <w:szCs w:val="21"/>
          <w:highlight w:val="none"/>
        </w:rPr>
        <w:t>已收悉， 现澄清、说明或者补正如下：</w:t>
      </w:r>
    </w:p>
    <w:p>
      <w:pPr>
        <w:spacing w:line="189" w:lineRule="auto"/>
        <w:ind w:left="42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8"/>
          <w:sz w:val="21"/>
          <w:szCs w:val="21"/>
          <w:highlight w:val="none"/>
        </w:rPr>
        <w:t>1.</w:t>
      </w:r>
    </w:p>
    <w:p>
      <w:pPr>
        <w:spacing w:before="289" w:line="189" w:lineRule="auto"/>
        <w:ind w:left="40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2.</w:t>
      </w:r>
    </w:p>
    <w:p>
      <w:pPr>
        <w:pStyle w:val="2"/>
        <w:spacing w:line="330" w:lineRule="auto"/>
        <w:rPr>
          <w:color w:val="auto"/>
          <w:highlight w:val="none"/>
        </w:rPr>
      </w:pPr>
    </w:p>
    <w:p>
      <w:pPr>
        <w:pStyle w:val="2"/>
        <w:spacing w:line="330" w:lineRule="auto"/>
        <w:rPr>
          <w:color w:val="auto"/>
          <w:highlight w:val="none"/>
        </w:rPr>
      </w:pPr>
    </w:p>
    <w:p>
      <w:pPr>
        <w:spacing w:before="70" w:line="332" w:lineRule="exact"/>
        <w:ind w:left="418"/>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6" w:lineRule="auto"/>
        <w:rPr>
          <w:color w:val="auto"/>
          <w:highlight w:val="none"/>
        </w:rPr>
      </w:pPr>
    </w:p>
    <w:p>
      <w:pPr>
        <w:pStyle w:val="2"/>
        <w:spacing w:line="246" w:lineRule="auto"/>
        <w:rPr>
          <w:color w:val="auto"/>
          <w:highlight w:val="none"/>
        </w:rPr>
      </w:pPr>
    </w:p>
    <w:p>
      <w:pPr>
        <w:spacing w:before="68" w:line="527" w:lineRule="auto"/>
        <w:jc w:val="right"/>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投标人</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10"/>
          <w:sz w:val="21"/>
          <w:szCs w:val="21"/>
          <w:highlight w:val="none"/>
        </w:rPr>
        <w:t>盖单位章）</w:t>
      </w:r>
    </w:p>
    <w:p>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法定代表人</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10"/>
          <w:sz w:val="21"/>
          <w:szCs w:val="21"/>
          <w:highlight w:val="none"/>
        </w:rPr>
        <w:t>签字）</w:t>
      </w:r>
    </w:p>
    <w:p>
      <w:pPr>
        <w:pStyle w:val="2"/>
        <w:spacing w:line="279" w:lineRule="auto"/>
        <w:rPr>
          <w:color w:val="auto"/>
          <w:highlight w:val="none"/>
        </w:rPr>
      </w:pPr>
    </w:p>
    <w:p>
      <w:pPr>
        <w:tabs>
          <w:tab w:val="left" w:pos="6382"/>
        </w:tabs>
        <w:spacing w:before="69" w:line="221" w:lineRule="auto"/>
        <w:ind w:left="575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23" w:type="default"/>
          <w:pgSz w:w="11905" w:h="16843"/>
          <w:pgMar w:top="1769" w:right="1548" w:bottom="1003" w:left="1542" w:header="0" w:footer="828" w:gutter="0"/>
          <w:pgNumType w:fmt="numberInDash"/>
          <w:cols w:space="0" w:num="1"/>
          <w:rtlGutter w:val="0"/>
          <w:docGrid w:linePitch="0" w:charSpace="0"/>
        </w:sectPr>
      </w:pPr>
    </w:p>
    <w:p>
      <w:pPr>
        <w:spacing w:before="303" w:line="220"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附表八：中标通知书</w:t>
      </w:r>
    </w:p>
    <w:p>
      <w:pPr>
        <w:pStyle w:val="2"/>
        <w:spacing w:line="264" w:lineRule="auto"/>
        <w:rPr>
          <w:color w:val="auto"/>
          <w:highlight w:val="none"/>
        </w:rPr>
      </w:pPr>
    </w:p>
    <w:p>
      <w:pPr>
        <w:pStyle w:val="2"/>
        <w:spacing w:line="264" w:lineRule="auto"/>
        <w:rPr>
          <w:color w:val="auto"/>
          <w:highlight w:val="none"/>
        </w:rPr>
      </w:pPr>
    </w:p>
    <w:p>
      <w:pPr>
        <w:spacing w:before="91" w:line="220" w:lineRule="auto"/>
        <w:ind w:left="3784"/>
        <w:rPr>
          <w:rFonts w:ascii="黑体" w:hAnsi="黑体" w:eastAsia="黑体" w:cs="黑体"/>
          <w:color w:val="auto"/>
          <w:sz w:val="28"/>
          <w:szCs w:val="28"/>
          <w:highlight w:val="none"/>
        </w:rPr>
      </w:pPr>
      <w:r>
        <w:rPr>
          <w:rFonts w:ascii="黑体" w:hAnsi="黑体" w:eastAsia="黑体" w:cs="黑体"/>
          <w:color w:val="auto"/>
          <w:spacing w:val="-6"/>
          <w:sz w:val="28"/>
          <w:szCs w:val="28"/>
          <w:highlight w:val="none"/>
        </w:rPr>
        <w:t>中标通知书</w:t>
      </w:r>
    </w:p>
    <w:p>
      <w:pPr>
        <w:pStyle w:val="2"/>
        <w:spacing w:line="375" w:lineRule="auto"/>
        <w:rPr>
          <w:color w:val="auto"/>
          <w:highlight w:val="none"/>
        </w:rPr>
      </w:pPr>
    </w:p>
    <w:p>
      <w:pPr>
        <w:spacing w:before="68" w:line="221" w:lineRule="auto"/>
        <w:ind w:left="614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编号：</w:t>
      </w:r>
    </w:p>
    <w:p>
      <w:pPr>
        <w:pStyle w:val="2"/>
        <w:spacing w:line="398" w:lineRule="auto"/>
        <w:rPr>
          <w:color w:val="auto"/>
          <w:highlight w:val="none"/>
        </w:rPr>
      </w:pPr>
    </w:p>
    <w:p>
      <w:pPr>
        <w:tabs>
          <w:tab w:val="left" w:pos="1576"/>
        </w:tabs>
        <w:spacing w:before="68"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3"/>
          <w:sz w:val="21"/>
          <w:szCs w:val="21"/>
          <w:highlight w:val="none"/>
        </w:rPr>
        <w:t>（中标人名称</w:t>
      </w:r>
      <w:r>
        <w:rPr>
          <w:rFonts w:ascii="宋体" w:hAnsi="宋体" w:eastAsia="宋体" w:cs="宋体"/>
          <w:color w:val="auto"/>
          <w:spacing w:val="-20"/>
          <w:sz w:val="21"/>
          <w:szCs w:val="21"/>
          <w:highlight w:val="none"/>
        </w:rPr>
        <w:t>）：</w:t>
      </w:r>
    </w:p>
    <w:p>
      <w:pPr>
        <w:pStyle w:val="2"/>
        <w:spacing w:line="318" w:lineRule="auto"/>
        <w:rPr>
          <w:color w:val="auto"/>
          <w:highlight w:val="none"/>
        </w:rPr>
      </w:pPr>
    </w:p>
    <w:p>
      <w:pPr>
        <w:pStyle w:val="2"/>
        <w:spacing w:line="318" w:lineRule="auto"/>
        <w:rPr>
          <w:color w:val="auto"/>
          <w:highlight w:val="none"/>
        </w:rPr>
      </w:pPr>
    </w:p>
    <w:p>
      <w:pPr>
        <w:spacing w:before="69" w:line="422" w:lineRule="auto"/>
        <w:ind w:right="3"/>
        <w:jc w:val="right"/>
        <w:rPr>
          <w:rFonts w:hint="eastAsia" w:ascii="宋体" w:hAnsi="宋体" w:eastAsia="宋体" w:cs="宋体"/>
          <w:color w:val="auto"/>
          <w:sz w:val="21"/>
          <w:szCs w:val="21"/>
          <w:highlight w:val="none"/>
          <w:lang w:eastAsia="zh-CN"/>
        </w:rPr>
      </w:pPr>
      <w:r>
        <w:rPr>
          <w:rFonts w:ascii="宋体" w:hAnsi="宋体" w:eastAsia="宋体" w:cs="宋体"/>
          <w:color w:val="auto"/>
          <w:spacing w:val="2"/>
          <w:sz w:val="21"/>
          <w:szCs w:val="21"/>
          <w:highlight w:val="none"/>
        </w:rPr>
        <w:t>你方于</w:t>
      </w:r>
      <w:r>
        <w:rPr>
          <w:rFonts w:ascii="宋体" w:hAnsi="宋体" w:eastAsia="宋体" w:cs="宋体"/>
          <w:color w:val="auto"/>
          <w:spacing w:val="-9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（投标日期）所递交的</w:t>
      </w:r>
      <w:r>
        <w:rPr>
          <w:rFonts w:ascii="宋体" w:hAnsi="宋体" w:eastAsia="宋体" w:cs="宋体"/>
          <w:color w:val="auto"/>
          <w:spacing w:val="-99"/>
          <w:sz w:val="21"/>
          <w:szCs w:val="21"/>
          <w:highlight w:val="none"/>
        </w:rPr>
        <w:t xml:space="preserve"> </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
          <w:sz w:val="21"/>
          <w:szCs w:val="21"/>
          <w:highlight w:val="none"/>
        </w:rPr>
        <w:t>（标段名称）项目（</w:t>
      </w:r>
      <w:r>
        <w:rPr>
          <w:rFonts w:hint="eastAsia" w:ascii="宋体" w:hAnsi="宋体" w:eastAsia="宋体" w:cs="宋体"/>
          <w:color w:val="auto"/>
          <w:spacing w:val="2"/>
          <w:sz w:val="21"/>
          <w:szCs w:val="21"/>
          <w:highlight w:val="none"/>
          <w:lang w:eastAsia="zh-CN"/>
        </w:rPr>
        <w:t>项目编号</w:t>
      </w:r>
    </w:p>
    <w:p>
      <w:pPr>
        <w:spacing w:before="1" w:line="220" w:lineRule="auto"/>
        <w:ind w:left="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6"/>
          <w:sz w:val="21"/>
          <w:szCs w:val="21"/>
          <w:highlight w:val="none"/>
        </w:rPr>
        <w:t>投标文件已被我方接受，被确定为中标人。</w:t>
      </w:r>
    </w:p>
    <w:p>
      <w:pPr>
        <w:spacing w:before="229" w:line="422" w:lineRule="auto"/>
        <w:ind w:left="44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中标价：</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8"/>
          <w:sz w:val="21"/>
          <w:szCs w:val="21"/>
          <w:highlight w:val="none"/>
        </w:rPr>
        <w:t>元。</w:t>
      </w:r>
    </w:p>
    <w:p>
      <w:pPr>
        <w:spacing w:line="221" w:lineRule="auto"/>
        <w:ind w:left="430"/>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工</w:t>
      </w:r>
      <w:r>
        <w:rPr>
          <w:rFonts w:ascii="宋体" w:hAnsi="宋体" w:eastAsia="宋体" w:cs="宋体"/>
          <w:color w:val="auto"/>
          <w:spacing w:val="7"/>
          <w:sz w:val="21"/>
          <w:szCs w:val="21"/>
          <w:highlight w:val="none"/>
        </w:rPr>
        <w:t xml:space="preserve">  </w:t>
      </w:r>
      <w:r>
        <w:rPr>
          <w:rFonts w:ascii="宋体" w:hAnsi="宋体" w:eastAsia="宋体" w:cs="宋体"/>
          <w:color w:val="auto"/>
          <w:spacing w:val="-22"/>
          <w:sz w:val="21"/>
          <w:szCs w:val="21"/>
          <w:highlight w:val="none"/>
        </w:rPr>
        <w:t>期：</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6"/>
          <w:sz w:val="21"/>
          <w:szCs w:val="21"/>
          <w:highlight w:val="none"/>
        </w:rPr>
        <w:t xml:space="preserve"> </w:t>
      </w:r>
      <w:r>
        <w:rPr>
          <w:rFonts w:ascii="宋体" w:hAnsi="宋体" w:eastAsia="宋体" w:cs="宋体"/>
          <w:color w:val="auto"/>
          <w:spacing w:val="-22"/>
          <w:sz w:val="21"/>
          <w:szCs w:val="21"/>
          <w:highlight w:val="none"/>
        </w:rPr>
        <w:t>日历天。</w:t>
      </w:r>
    </w:p>
    <w:p>
      <w:pPr>
        <w:spacing w:before="229" w:line="221" w:lineRule="auto"/>
        <w:ind w:left="42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质量标准：</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pPr>
        <w:spacing w:before="228" w:line="221" w:lineRule="auto"/>
        <w:ind w:left="431"/>
        <w:rPr>
          <w:rFonts w:ascii="宋体" w:hAnsi="宋体" w:eastAsia="宋体" w:cs="宋体"/>
          <w:color w:val="auto"/>
          <w:sz w:val="21"/>
          <w:szCs w:val="21"/>
          <w:highlight w:val="none"/>
        </w:rPr>
      </w:pPr>
      <w:r>
        <w:rPr>
          <w:rFonts w:ascii="宋体" w:hAnsi="宋体" w:eastAsia="宋体" w:cs="宋体"/>
          <w:color w:val="auto"/>
          <w:spacing w:val="-33"/>
          <w:sz w:val="21"/>
          <w:szCs w:val="21"/>
          <w:highlight w:val="none"/>
        </w:rPr>
        <w:t>项目经理</w:t>
      </w:r>
      <w:r>
        <w:rPr>
          <w:rFonts w:ascii="宋体" w:hAnsi="宋体" w:eastAsia="宋体" w:cs="宋体"/>
          <w:color w:val="auto"/>
          <w:spacing w:val="2"/>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33"/>
          <w:sz w:val="21"/>
          <w:szCs w:val="21"/>
          <w:highlight w:val="none"/>
        </w:rPr>
        <w:t>姓名）。</w:t>
      </w:r>
    </w:p>
    <w:p>
      <w:pPr>
        <w:pStyle w:val="2"/>
        <w:spacing w:line="318" w:lineRule="auto"/>
        <w:rPr>
          <w:color w:val="auto"/>
          <w:highlight w:val="none"/>
        </w:rPr>
      </w:pPr>
    </w:p>
    <w:p>
      <w:pPr>
        <w:pStyle w:val="2"/>
        <w:spacing w:line="318" w:lineRule="auto"/>
        <w:rPr>
          <w:color w:val="auto"/>
          <w:highlight w:val="none"/>
        </w:rPr>
      </w:pPr>
    </w:p>
    <w:p>
      <w:pPr>
        <w:spacing w:before="69" w:line="422" w:lineRule="auto"/>
        <w:ind w:left="8" w:firstLine="4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请你方在接到本通知书后的</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2"/>
          <w:sz w:val="21"/>
          <w:szCs w:val="21"/>
          <w:highlight w:val="none"/>
        </w:rPr>
        <w:t>日内到</w:t>
      </w:r>
      <w:r>
        <w:rPr>
          <w:rFonts w:ascii="宋体" w:hAnsi="宋体" w:eastAsia="宋体" w:cs="宋体"/>
          <w:color w:val="auto"/>
          <w:spacing w:val="-10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（指定地点）与我方</w:t>
      </w:r>
      <w:r>
        <w:rPr>
          <w:rFonts w:ascii="宋体" w:hAnsi="宋体" w:eastAsia="宋体" w:cs="宋体"/>
          <w:color w:val="auto"/>
          <w:sz w:val="21"/>
          <w:szCs w:val="21"/>
          <w:highlight w:val="none"/>
        </w:rPr>
        <w:t xml:space="preserve"> 签订合同， 在此之前按招标文件第二章“</w:t>
      </w:r>
      <w:r>
        <w:rPr>
          <w:rFonts w:ascii="宋体" w:hAnsi="宋体" w:eastAsia="宋体" w:cs="宋体"/>
          <w:color w:val="auto"/>
          <w:spacing w:val="-1"/>
          <w:sz w:val="21"/>
          <w:szCs w:val="21"/>
          <w:highlight w:val="none"/>
        </w:rPr>
        <w:t xml:space="preserve">投标人须知”第 </w:t>
      </w:r>
      <w:r>
        <w:rPr>
          <w:rFonts w:ascii="Times New Roman" w:hAnsi="Times New Roman" w:eastAsia="Times New Roman" w:cs="Times New Roman"/>
          <w:color w:val="auto"/>
          <w:spacing w:val="-1"/>
          <w:sz w:val="21"/>
          <w:szCs w:val="21"/>
          <w:highlight w:val="none"/>
        </w:rPr>
        <w:t xml:space="preserve">7.4.1  </w:t>
      </w:r>
      <w:r>
        <w:rPr>
          <w:rFonts w:ascii="宋体" w:hAnsi="宋体" w:eastAsia="宋体" w:cs="宋体"/>
          <w:color w:val="auto"/>
          <w:spacing w:val="-1"/>
          <w:sz w:val="21"/>
          <w:szCs w:val="21"/>
          <w:highlight w:val="none"/>
        </w:rPr>
        <w:t>款规定向我方提交履约担保（如</w:t>
      </w:r>
    </w:p>
    <w:p>
      <w:pPr>
        <w:spacing w:line="221" w:lineRule="auto"/>
        <w:ind w:left="9"/>
        <w:rPr>
          <w:rFonts w:ascii="宋体" w:hAnsi="宋体" w:eastAsia="宋体" w:cs="宋体"/>
          <w:color w:val="auto"/>
          <w:sz w:val="21"/>
          <w:szCs w:val="21"/>
          <w:highlight w:val="none"/>
        </w:rPr>
      </w:pPr>
      <w:r>
        <w:rPr>
          <w:rFonts w:ascii="宋体" w:hAnsi="宋体" w:eastAsia="宋体" w:cs="宋体"/>
          <w:color w:val="auto"/>
          <w:spacing w:val="-43"/>
          <w:sz w:val="21"/>
          <w:szCs w:val="21"/>
          <w:highlight w:val="none"/>
        </w:rPr>
        <w:t>有）。</w:t>
      </w:r>
    </w:p>
    <w:p>
      <w:pPr>
        <w:spacing w:before="229" w:line="480" w:lineRule="exact"/>
        <w:ind w:left="439"/>
        <w:rPr>
          <w:rFonts w:ascii="宋体" w:hAnsi="宋体" w:eastAsia="宋体" w:cs="宋体"/>
          <w:color w:val="auto"/>
          <w:sz w:val="21"/>
          <w:szCs w:val="21"/>
          <w:highlight w:val="none"/>
        </w:rPr>
      </w:pPr>
      <w:r>
        <w:rPr>
          <w:rFonts w:ascii="宋体" w:hAnsi="宋体" w:eastAsia="宋体" w:cs="宋体"/>
          <w:color w:val="auto"/>
          <w:spacing w:val="-2"/>
          <w:position w:val="20"/>
          <w:sz w:val="21"/>
          <w:szCs w:val="21"/>
          <w:highlight w:val="none"/>
        </w:rPr>
        <w:t>随附的投标文件澄清、说明、补正事项纪要（如果有</w:t>
      </w:r>
      <w:r>
        <w:rPr>
          <w:rFonts w:ascii="宋体" w:hAnsi="宋体" w:eastAsia="宋体" w:cs="宋体"/>
          <w:color w:val="auto"/>
          <w:spacing w:val="-18"/>
          <w:position w:val="20"/>
          <w:sz w:val="21"/>
          <w:szCs w:val="21"/>
          <w:highlight w:val="none"/>
        </w:rPr>
        <w:t>），</w:t>
      </w:r>
      <w:r>
        <w:rPr>
          <w:rFonts w:ascii="宋体" w:hAnsi="宋体" w:eastAsia="宋体" w:cs="宋体"/>
          <w:color w:val="auto"/>
          <w:spacing w:val="-2"/>
          <w:position w:val="20"/>
          <w:sz w:val="21"/>
          <w:szCs w:val="21"/>
          <w:highlight w:val="none"/>
        </w:rPr>
        <w:t>是</w:t>
      </w:r>
      <w:r>
        <w:rPr>
          <w:rFonts w:ascii="宋体" w:hAnsi="宋体" w:eastAsia="宋体" w:cs="宋体"/>
          <w:color w:val="auto"/>
          <w:spacing w:val="-3"/>
          <w:position w:val="20"/>
          <w:sz w:val="21"/>
          <w:szCs w:val="21"/>
          <w:highlight w:val="none"/>
        </w:rPr>
        <w:t>本中标通知书的组成部分。</w:t>
      </w:r>
    </w:p>
    <w:p>
      <w:pPr>
        <w:spacing w:line="220" w:lineRule="auto"/>
        <w:ind w:left="42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特此通知。</w:t>
      </w:r>
    </w:p>
    <w:p>
      <w:pPr>
        <w:spacing w:before="230" w:line="220"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附：澄清、说明、补正事项纪要</w:t>
      </w: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68" w:line="422" w:lineRule="auto"/>
        <w:ind w:left="4817" w:right="119"/>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
          <w:sz w:val="21"/>
          <w:szCs w:val="21"/>
          <w:highlight w:val="none"/>
        </w:rPr>
        <w:t>盖单位章）</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法定代表人</w:t>
      </w:r>
      <w:r>
        <w:rPr>
          <w:rFonts w:ascii="宋体" w:hAnsi="宋体" w:eastAsia="宋体" w:cs="宋体"/>
          <w:color w:val="auto"/>
          <w:spacing w:val="-15"/>
          <w:sz w:val="21"/>
          <w:szCs w:val="21"/>
          <w:highlight w:val="none"/>
        </w:rPr>
        <w:t>：</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
          <w:sz w:val="21"/>
          <w:szCs w:val="21"/>
          <w:highlight w:val="none"/>
        </w:rPr>
        <w:t>签字）</w:t>
      </w:r>
    </w:p>
    <w:p>
      <w:pPr>
        <w:tabs>
          <w:tab w:val="left" w:pos="7012"/>
        </w:tabs>
        <w:spacing w:before="1" w:line="220" w:lineRule="auto"/>
        <w:ind w:left="617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pPr>
        <w:spacing w:line="220" w:lineRule="auto"/>
        <w:rPr>
          <w:rFonts w:ascii="宋体" w:hAnsi="宋体" w:eastAsia="宋体" w:cs="宋体"/>
          <w:color w:val="auto"/>
          <w:sz w:val="21"/>
          <w:szCs w:val="21"/>
          <w:highlight w:val="none"/>
        </w:rPr>
        <w:sectPr>
          <w:footerReference r:id="rId24" w:type="default"/>
          <w:pgSz w:w="11905" w:h="16843"/>
          <w:pgMar w:top="1769" w:right="1548" w:bottom="1003" w:left="1542" w:header="0" w:footer="828" w:gutter="0"/>
          <w:pgNumType w:fmt="numberInDash"/>
          <w:cols w:space="0" w:num="1"/>
          <w:rtlGutter w:val="0"/>
          <w:docGrid w:linePitch="0" w:charSpace="0"/>
        </w:sectPr>
      </w:pPr>
    </w:p>
    <w:p>
      <w:pPr>
        <w:spacing w:before="303" w:line="220"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附表九：中标结果通知书</w:t>
      </w:r>
    </w:p>
    <w:p>
      <w:pPr>
        <w:pStyle w:val="2"/>
        <w:spacing w:line="264" w:lineRule="auto"/>
        <w:rPr>
          <w:color w:val="auto"/>
          <w:highlight w:val="none"/>
        </w:rPr>
      </w:pPr>
    </w:p>
    <w:p>
      <w:pPr>
        <w:pStyle w:val="2"/>
        <w:spacing w:line="264" w:lineRule="auto"/>
        <w:rPr>
          <w:color w:val="auto"/>
          <w:highlight w:val="none"/>
        </w:rPr>
      </w:pPr>
    </w:p>
    <w:p>
      <w:pPr>
        <w:spacing w:before="91" w:line="220" w:lineRule="auto"/>
        <w:ind w:left="3503"/>
        <w:rPr>
          <w:rFonts w:ascii="黑体" w:hAnsi="黑体" w:eastAsia="黑体" w:cs="黑体"/>
          <w:color w:val="auto"/>
          <w:sz w:val="28"/>
          <w:szCs w:val="28"/>
          <w:highlight w:val="none"/>
        </w:rPr>
      </w:pPr>
      <w:r>
        <w:rPr>
          <w:rFonts w:ascii="黑体" w:hAnsi="黑体" w:eastAsia="黑体" w:cs="黑体"/>
          <w:color w:val="auto"/>
          <w:spacing w:val="-5"/>
          <w:sz w:val="28"/>
          <w:szCs w:val="28"/>
          <w:highlight w:val="none"/>
        </w:rPr>
        <w:t>中标结果通知书</w:t>
      </w:r>
    </w:p>
    <w:p>
      <w:pPr>
        <w:pStyle w:val="2"/>
        <w:spacing w:line="375" w:lineRule="auto"/>
        <w:rPr>
          <w:color w:val="auto"/>
          <w:highlight w:val="none"/>
        </w:rPr>
      </w:pPr>
    </w:p>
    <w:p>
      <w:pPr>
        <w:tabs>
          <w:tab w:val="left" w:pos="2311"/>
        </w:tabs>
        <w:spacing w:before="69"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8"/>
          <w:sz w:val="21"/>
          <w:szCs w:val="21"/>
          <w:highlight w:val="none"/>
        </w:rPr>
        <w:t xml:space="preserve"> </w:t>
      </w:r>
      <w:r>
        <w:rPr>
          <w:rFonts w:ascii="宋体" w:hAnsi="宋体" w:eastAsia="宋体" w:cs="宋体"/>
          <w:color w:val="auto"/>
          <w:spacing w:val="-10"/>
          <w:sz w:val="21"/>
          <w:szCs w:val="21"/>
          <w:highlight w:val="none"/>
        </w:rPr>
        <w:t>（未中标人名称</w:t>
      </w:r>
      <w:r>
        <w:rPr>
          <w:rFonts w:ascii="宋体" w:hAnsi="宋体" w:eastAsia="宋体" w:cs="宋体"/>
          <w:color w:val="auto"/>
          <w:spacing w:val="-54"/>
          <w:w w:val="96"/>
          <w:sz w:val="21"/>
          <w:szCs w:val="21"/>
          <w:highlight w:val="none"/>
        </w:rPr>
        <w:t>）：</w:t>
      </w:r>
    </w:p>
    <w:p>
      <w:pPr>
        <w:pStyle w:val="2"/>
        <w:spacing w:line="318" w:lineRule="auto"/>
        <w:rPr>
          <w:color w:val="auto"/>
          <w:highlight w:val="none"/>
        </w:rPr>
      </w:pPr>
    </w:p>
    <w:p>
      <w:pPr>
        <w:pStyle w:val="2"/>
        <w:spacing w:line="318" w:lineRule="auto"/>
        <w:rPr>
          <w:color w:val="auto"/>
          <w:highlight w:val="none"/>
        </w:rPr>
      </w:pPr>
    </w:p>
    <w:p>
      <w:pPr>
        <w:spacing w:before="68" w:line="422" w:lineRule="auto"/>
        <w:ind w:left="8" w:firstLine="421"/>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我方已接受</w:t>
      </w:r>
      <w:r>
        <w:rPr>
          <w:rFonts w:ascii="宋体" w:hAnsi="宋体" w:eastAsia="宋体" w:cs="宋体"/>
          <w:color w:val="auto"/>
          <w:spacing w:val="-101"/>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
          <w:sz w:val="21"/>
          <w:szCs w:val="21"/>
          <w:highlight w:val="none"/>
        </w:rPr>
        <w:t xml:space="preserve"> （中标人名称）于</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
          <w:sz w:val="21"/>
          <w:szCs w:val="21"/>
          <w:highlight w:val="none"/>
        </w:rPr>
        <w:t>（投标日期）</w:t>
      </w:r>
      <w:r>
        <w:rPr>
          <w:rFonts w:ascii="宋体" w:hAnsi="宋体" w:eastAsia="宋体" w:cs="宋体"/>
          <w:color w:val="auto"/>
          <w:spacing w:val="7"/>
          <w:sz w:val="21"/>
          <w:szCs w:val="21"/>
          <w:highlight w:val="none"/>
        </w:rPr>
        <w:t xml:space="preserve"> </w:t>
      </w:r>
      <w:r>
        <w:rPr>
          <w:rFonts w:ascii="宋体" w:hAnsi="宋体" w:eastAsia="宋体" w:cs="宋体"/>
          <w:color w:val="auto"/>
          <w:spacing w:val="10"/>
          <w:sz w:val="21"/>
          <w:szCs w:val="21"/>
          <w:highlight w:val="none"/>
        </w:rPr>
        <w:t>所递交的</w:t>
      </w:r>
      <w:r>
        <w:rPr>
          <w:rFonts w:ascii="宋体" w:hAnsi="宋体" w:eastAsia="宋体" w:cs="宋体"/>
          <w:color w:val="auto"/>
          <w:spacing w:val="-84"/>
          <w:sz w:val="21"/>
          <w:szCs w:val="21"/>
          <w:highlight w:val="none"/>
        </w:rPr>
        <w:t xml:space="preserve"> </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10"/>
          <w:sz w:val="21"/>
          <w:szCs w:val="21"/>
          <w:highlight w:val="none"/>
        </w:rPr>
        <w:t>（标段名称）</w:t>
      </w:r>
      <w:r>
        <w:rPr>
          <w:rFonts w:ascii="宋体" w:hAnsi="宋体" w:eastAsia="宋体" w:cs="宋体"/>
          <w:color w:val="auto"/>
          <w:spacing w:val="-59"/>
          <w:sz w:val="21"/>
          <w:szCs w:val="21"/>
          <w:highlight w:val="none"/>
        </w:rPr>
        <w:t xml:space="preserve"> </w:t>
      </w:r>
      <w:r>
        <w:rPr>
          <w:rFonts w:ascii="宋体" w:hAnsi="宋体" w:eastAsia="宋体" w:cs="宋体"/>
          <w:color w:val="auto"/>
          <w:spacing w:val="10"/>
          <w:sz w:val="21"/>
          <w:szCs w:val="21"/>
          <w:highlight w:val="none"/>
        </w:rPr>
        <w:t>项目（</w:t>
      </w:r>
      <w:r>
        <w:rPr>
          <w:rFonts w:hint="eastAsia" w:ascii="宋体" w:hAnsi="宋体" w:eastAsia="宋体" w:cs="宋体"/>
          <w:color w:val="auto"/>
          <w:spacing w:val="10"/>
          <w:sz w:val="21"/>
          <w:szCs w:val="21"/>
          <w:highlight w:val="none"/>
          <w:lang w:eastAsia="zh-CN"/>
        </w:rPr>
        <w:t>项目编号</w:t>
      </w:r>
      <w:r>
        <w:rPr>
          <w:rFonts w:ascii="宋体" w:hAnsi="宋体" w:eastAsia="宋体" w:cs="宋体"/>
          <w:color w:val="auto"/>
          <w:spacing w:val="6"/>
          <w:sz w:val="21"/>
          <w:szCs w:val="21"/>
          <w:highlight w:val="none"/>
        </w:rPr>
        <w:t>：</w:t>
      </w:r>
      <w:r>
        <w:rPr>
          <w:rFonts w:ascii="宋体" w:hAnsi="宋体" w:eastAsia="宋体" w:cs="宋体"/>
          <w:color w:val="auto"/>
          <w:spacing w:val="-65"/>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46"/>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0"/>
          <w:sz w:val="21"/>
          <w:szCs w:val="21"/>
          <w:highlight w:val="none"/>
        </w:rPr>
        <w:t>投标文件，</w:t>
      </w:r>
      <w:r>
        <w:rPr>
          <w:rFonts w:ascii="宋体" w:hAnsi="宋体" w:eastAsia="宋体" w:cs="宋体"/>
          <w:color w:val="auto"/>
          <w:spacing w:val="-63"/>
          <w:sz w:val="21"/>
          <w:szCs w:val="21"/>
          <w:highlight w:val="none"/>
        </w:rPr>
        <w:t xml:space="preserve"> </w:t>
      </w:r>
      <w:r>
        <w:rPr>
          <w:rFonts w:ascii="宋体" w:hAnsi="宋体" w:eastAsia="宋体" w:cs="宋体"/>
          <w:color w:val="auto"/>
          <w:spacing w:val="10"/>
          <w:sz w:val="21"/>
          <w:szCs w:val="21"/>
          <w:highlight w:val="none"/>
        </w:rPr>
        <w:t>确定</w:t>
      </w:r>
    </w:p>
    <w:p>
      <w:pPr>
        <w:spacing w:line="221" w:lineRule="auto"/>
        <w:ind w:left="1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（中标人名称）</w:t>
      </w:r>
      <w:r>
        <w:rPr>
          <w:rFonts w:ascii="宋体" w:hAnsi="宋体" w:eastAsia="宋体" w:cs="宋体"/>
          <w:color w:val="auto"/>
          <w:spacing w:val="-33"/>
          <w:sz w:val="21"/>
          <w:szCs w:val="21"/>
          <w:highlight w:val="none"/>
        </w:rPr>
        <w:t xml:space="preserve"> </w:t>
      </w:r>
      <w:r>
        <w:rPr>
          <w:rFonts w:ascii="宋体" w:hAnsi="宋体" w:eastAsia="宋体" w:cs="宋体"/>
          <w:color w:val="auto"/>
          <w:spacing w:val="-7"/>
          <w:sz w:val="21"/>
          <w:szCs w:val="21"/>
          <w:highlight w:val="none"/>
        </w:rPr>
        <w:t>为中标人。</w:t>
      </w:r>
    </w:p>
    <w:p>
      <w:pPr>
        <w:pStyle w:val="2"/>
        <w:spacing w:line="318" w:lineRule="auto"/>
        <w:rPr>
          <w:color w:val="auto"/>
          <w:highlight w:val="none"/>
        </w:rPr>
      </w:pPr>
    </w:p>
    <w:p>
      <w:pPr>
        <w:pStyle w:val="2"/>
        <w:spacing w:line="318" w:lineRule="auto"/>
        <w:rPr>
          <w:color w:val="auto"/>
          <w:highlight w:val="none"/>
        </w:rPr>
      </w:pPr>
    </w:p>
    <w:p>
      <w:pPr>
        <w:spacing w:before="69" w:line="234" w:lineRule="auto"/>
        <w:ind w:left="429"/>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感谢你单位对我方工作的大力支持</w:t>
      </w:r>
      <w:r>
        <w:rPr>
          <w:rFonts w:ascii="Times New Roman" w:hAnsi="Times New Roman" w:eastAsia="Times New Roman" w:cs="Times New Roman"/>
          <w:color w:val="auto"/>
          <w:spacing w:val="-1"/>
          <w:sz w:val="21"/>
          <w:szCs w:val="21"/>
          <w:highlight w:val="none"/>
        </w:rPr>
        <w:t>!</w:t>
      </w: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spacing w:before="69" w:line="422" w:lineRule="auto"/>
        <w:ind w:left="5131" w:right="106"/>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23"/>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12"/>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法定代表人</w:t>
      </w:r>
      <w:r>
        <w:rPr>
          <w:rFonts w:ascii="宋体" w:hAnsi="宋体" w:eastAsia="宋体" w:cs="宋体"/>
          <w:color w:val="auto"/>
          <w:spacing w:val="-16"/>
          <w:sz w:val="21"/>
          <w:szCs w:val="21"/>
          <w:highlight w:val="none"/>
        </w:rPr>
        <w:t>：</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2"/>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pacing w:val="1"/>
          <w:sz w:val="21"/>
          <w:szCs w:val="21"/>
          <w:highlight w:val="none"/>
        </w:rPr>
        <w:t>签字）</w:t>
      </w:r>
    </w:p>
    <w:p>
      <w:pPr>
        <w:tabs>
          <w:tab w:val="left" w:pos="6592"/>
        </w:tabs>
        <w:spacing w:before="1" w:line="220" w:lineRule="auto"/>
        <w:ind w:left="585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pPr>
        <w:spacing w:line="220" w:lineRule="auto"/>
        <w:rPr>
          <w:rFonts w:ascii="宋体" w:hAnsi="宋体" w:eastAsia="宋体" w:cs="宋体"/>
          <w:color w:val="auto"/>
          <w:sz w:val="21"/>
          <w:szCs w:val="21"/>
          <w:highlight w:val="none"/>
        </w:rPr>
        <w:sectPr>
          <w:footerReference r:id="rId25" w:type="default"/>
          <w:pgSz w:w="11905" w:h="16843"/>
          <w:pgMar w:top="1769" w:right="1548" w:bottom="1003" w:left="1542" w:header="0" w:footer="828" w:gutter="0"/>
          <w:pgNumType w:fmt="numberInDash"/>
          <w:cols w:space="0" w:num="1"/>
          <w:rtlGutter w:val="0"/>
          <w:docGrid w:linePitch="0" w:charSpace="0"/>
        </w:sectPr>
      </w:pPr>
    </w:p>
    <w:p>
      <w:pPr>
        <w:spacing w:before="304" w:line="219"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附表十：异议函</w:t>
      </w:r>
    </w:p>
    <w:p>
      <w:pPr>
        <w:pStyle w:val="2"/>
        <w:spacing w:line="264" w:lineRule="auto"/>
        <w:rPr>
          <w:color w:val="auto"/>
          <w:highlight w:val="none"/>
        </w:rPr>
      </w:pPr>
    </w:p>
    <w:p>
      <w:pPr>
        <w:pStyle w:val="2"/>
        <w:spacing w:line="265" w:lineRule="auto"/>
        <w:rPr>
          <w:color w:val="auto"/>
          <w:highlight w:val="none"/>
        </w:rPr>
      </w:pPr>
    </w:p>
    <w:p>
      <w:pPr>
        <w:spacing w:before="91" w:line="219" w:lineRule="auto"/>
        <w:ind w:left="4046"/>
        <w:rPr>
          <w:rFonts w:ascii="黑体" w:hAnsi="黑体" w:eastAsia="黑体" w:cs="黑体"/>
          <w:color w:val="auto"/>
          <w:sz w:val="28"/>
          <w:szCs w:val="28"/>
          <w:highlight w:val="none"/>
        </w:rPr>
      </w:pPr>
      <w:bookmarkStart w:id="81" w:name="bookmark112"/>
      <w:bookmarkEnd w:id="81"/>
      <w:r>
        <w:rPr>
          <w:rFonts w:ascii="黑体" w:hAnsi="黑体" w:eastAsia="黑体" w:cs="黑体"/>
          <w:color w:val="auto"/>
          <w:spacing w:val="-4"/>
          <w:sz w:val="28"/>
          <w:szCs w:val="28"/>
          <w:highlight w:val="none"/>
        </w:rPr>
        <w:t>异议函</w:t>
      </w:r>
    </w:p>
    <w:p>
      <w:pPr>
        <w:pStyle w:val="2"/>
        <w:spacing w:line="304" w:lineRule="auto"/>
        <w:rPr>
          <w:color w:val="auto"/>
          <w:highlight w:val="none"/>
        </w:rPr>
      </w:pPr>
    </w:p>
    <w:p>
      <w:pPr>
        <w:pStyle w:val="2"/>
        <w:spacing w:line="305" w:lineRule="auto"/>
        <w:rPr>
          <w:color w:val="auto"/>
          <w:highlight w:val="none"/>
        </w:rPr>
      </w:pPr>
    </w:p>
    <w:p>
      <w:pPr>
        <w:spacing w:before="69" w:line="221" w:lineRule="auto"/>
        <w:ind w:left="69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编号：</w:t>
      </w:r>
    </w:p>
    <w:p>
      <w:pPr>
        <w:tabs>
          <w:tab w:val="left" w:pos="1996"/>
        </w:tabs>
        <w:spacing w:before="157"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（招标人名称</w:t>
      </w:r>
      <w:r>
        <w:rPr>
          <w:rFonts w:ascii="宋体" w:hAnsi="宋体" w:eastAsia="宋体" w:cs="宋体"/>
          <w:color w:val="auto"/>
          <w:spacing w:val="-54"/>
          <w:w w:val="97"/>
          <w:sz w:val="21"/>
          <w:szCs w:val="21"/>
          <w:highlight w:val="none"/>
        </w:rPr>
        <w:t>）：</w:t>
      </w:r>
    </w:p>
    <w:p>
      <w:pPr>
        <w:spacing w:before="158" w:line="359" w:lineRule="auto"/>
        <w:jc w:val="right"/>
        <w:rPr>
          <w:rFonts w:hint="eastAsia" w:ascii="宋体" w:hAnsi="宋体" w:eastAsia="宋体" w:cs="宋体"/>
          <w:color w:val="auto"/>
          <w:sz w:val="21"/>
          <w:szCs w:val="21"/>
          <w:highlight w:val="none"/>
          <w:lang w:eastAsia="zh-CN"/>
        </w:rPr>
      </w:pPr>
      <w:r>
        <w:rPr>
          <w:rFonts w:ascii="宋体" w:hAnsi="宋体" w:eastAsia="宋体" w:cs="宋体"/>
          <w:color w:val="auto"/>
          <w:spacing w:val="-4"/>
          <w:sz w:val="21"/>
          <w:szCs w:val="21"/>
          <w:highlight w:val="none"/>
        </w:rPr>
        <w:t>我方已研究（看到）</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你方发出的</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5"/>
          <w:sz w:val="21"/>
          <w:szCs w:val="21"/>
          <w:highlight w:val="none"/>
        </w:rPr>
        <w:t>（标段名称）</w:t>
      </w:r>
      <w:r>
        <w:rPr>
          <w:rFonts w:ascii="宋体" w:hAnsi="宋体" w:eastAsia="宋体" w:cs="宋体"/>
          <w:color w:val="auto"/>
          <w:spacing w:val="-36"/>
          <w:sz w:val="21"/>
          <w:szCs w:val="21"/>
          <w:highlight w:val="none"/>
        </w:rPr>
        <w:t xml:space="preserve"> </w:t>
      </w:r>
      <w:r>
        <w:rPr>
          <w:rFonts w:ascii="宋体" w:hAnsi="宋体" w:eastAsia="宋体" w:cs="宋体"/>
          <w:color w:val="auto"/>
          <w:spacing w:val="-5"/>
          <w:sz w:val="21"/>
          <w:szCs w:val="21"/>
          <w:highlight w:val="none"/>
        </w:rPr>
        <w:t>项目（</w:t>
      </w:r>
      <w:r>
        <w:rPr>
          <w:rFonts w:hint="eastAsia" w:ascii="宋体" w:hAnsi="宋体" w:eastAsia="宋体" w:cs="宋体"/>
          <w:color w:val="auto"/>
          <w:spacing w:val="-5"/>
          <w:sz w:val="21"/>
          <w:szCs w:val="21"/>
          <w:highlight w:val="none"/>
          <w:lang w:eastAsia="zh-CN"/>
        </w:rPr>
        <w:t>项目编号</w:t>
      </w:r>
    </w:p>
    <w:p>
      <w:pPr>
        <w:spacing w:before="1" w:line="220" w:lineRule="auto"/>
        <w:ind w:left="7"/>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34"/>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7"/>
          <w:sz w:val="21"/>
          <w:szCs w:val="21"/>
          <w:highlight w:val="none"/>
        </w:rPr>
        <w:t>招标文件（或评标结果公示</w:t>
      </w:r>
      <w:r>
        <w:rPr>
          <w:rFonts w:ascii="宋体" w:hAnsi="宋体" w:eastAsia="宋体" w:cs="宋体"/>
          <w:color w:val="auto"/>
          <w:spacing w:val="-20"/>
          <w:sz w:val="21"/>
          <w:szCs w:val="21"/>
          <w:highlight w:val="none"/>
        </w:rPr>
        <w:t>），</w:t>
      </w:r>
      <w:r>
        <w:rPr>
          <w:rFonts w:ascii="宋体" w:hAnsi="宋体" w:eastAsia="宋体" w:cs="宋体"/>
          <w:color w:val="auto"/>
          <w:spacing w:val="-7"/>
          <w:sz w:val="21"/>
          <w:szCs w:val="21"/>
          <w:highlight w:val="none"/>
        </w:rPr>
        <w:t>现对下列问题提出异议，</w:t>
      </w:r>
      <w:r>
        <w:rPr>
          <w:rFonts w:ascii="宋体" w:hAnsi="宋体" w:eastAsia="宋体" w:cs="宋体"/>
          <w:color w:val="auto"/>
          <w:spacing w:val="-25"/>
          <w:sz w:val="21"/>
          <w:szCs w:val="21"/>
          <w:highlight w:val="none"/>
        </w:rPr>
        <w:t xml:space="preserve"> </w:t>
      </w:r>
      <w:r>
        <w:rPr>
          <w:rFonts w:ascii="宋体" w:hAnsi="宋体" w:eastAsia="宋体" w:cs="宋体"/>
          <w:color w:val="auto"/>
          <w:spacing w:val="-7"/>
          <w:sz w:val="21"/>
          <w:szCs w:val="21"/>
          <w:highlight w:val="none"/>
        </w:rPr>
        <w:t>请予</w:t>
      </w:r>
      <w:r>
        <w:rPr>
          <w:rFonts w:ascii="宋体" w:hAnsi="宋体" w:eastAsia="宋体" w:cs="宋体"/>
          <w:color w:val="auto"/>
          <w:spacing w:val="-8"/>
          <w:sz w:val="21"/>
          <w:szCs w:val="21"/>
          <w:highlight w:val="none"/>
        </w:rPr>
        <w:t>以解释：</w:t>
      </w:r>
    </w:p>
    <w:p>
      <w:pPr>
        <w:spacing w:before="157" w:line="408" w:lineRule="exact"/>
        <w:ind w:left="866"/>
        <w:rPr>
          <w:rFonts w:ascii="宋体" w:hAnsi="宋体" w:eastAsia="宋体" w:cs="宋体"/>
          <w:color w:val="auto"/>
          <w:sz w:val="21"/>
          <w:szCs w:val="21"/>
          <w:highlight w:val="none"/>
        </w:rPr>
      </w:pPr>
      <w:r>
        <w:rPr>
          <w:rFonts w:ascii="宋体" w:hAnsi="宋体" w:eastAsia="宋体" w:cs="宋体"/>
          <w:color w:val="auto"/>
          <w:spacing w:val="-6"/>
          <w:position w:val="15"/>
          <w:sz w:val="21"/>
          <w:szCs w:val="21"/>
          <w:highlight w:val="none"/>
        </w:rPr>
        <w:t>1.……</w:t>
      </w:r>
    </w:p>
    <w:p>
      <w:pPr>
        <w:ind w:left="8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w:t>
      </w:r>
    </w:p>
    <w:p>
      <w:pPr>
        <w:pStyle w:val="2"/>
        <w:spacing w:line="473" w:lineRule="auto"/>
        <w:rPr>
          <w:color w:val="auto"/>
          <w:highlight w:val="none"/>
        </w:rPr>
      </w:pPr>
    </w:p>
    <w:p>
      <w:pPr>
        <w:spacing w:before="69" w:line="359" w:lineRule="auto"/>
        <w:ind w:left="3372" w:right="513" w:firstLine="1"/>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投标人或利害关系人</w:t>
      </w:r>
      <w:r>
        <w:rPr>
          <w:rFonts w:ascii="宋体" w:hAnsi="宋体" w:eastAsia="宋体" w:cs="宋体"/>
          <w:color w:val="auto"/>
          <w:spacing w:val="-14"/>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r>
        <w:rPr>
          <w:rFonts w:ascii="宋体" w:hAnsi="宋体" w:eastAsia="宋体" w:cs="宋体"/>
          <w:color w:val="auto"/>
          <w:spacing w:val="-5"/>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法定代表人</w:t>
      </w:r>
      <w:r>
        <w:rPr>
          <w:rFonts w:ascii="宋体" w:hAnsi="宋体" w:eastAsia="宋体" w:cs="宋体"/>
          <w:color w:val="auto"/>
          <w:spacing w:val="-13"/>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9"/>
          <w:sz w:val="21"/>
          <w:szCs w:val="21"/>
          <w:highlight w:val="none"/>
        </w:rPr>
        <w:t>签字）</w:t>
      </w:r>
    </w:p>
    <w:p>
      <w:pPr>
        <w:tabs>
          <w:tab w:val="left" w:pos="6827"/>
        </w:tabs>
        <w:spacing w:line="220" w:lineRule="auto"/>
        <w:ind w:left="578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pPr>
        <w:spacing w:line="220" w:lineRule="auto"/>
        <w:rPr>
          <w:rFonts w:ascii="宋体" w:hAnsi="宋体" w:eastAsia="宋体" w:cs="宋体"/>
          <w:color w:val="auto"/>
          <w:sz w:val="21"/>
          <w:szCs w:val="21"/>
          <w:highlight w:val="none"/>
        </w:rPr>
        <w:sectPr>
          <w:footerReference r:id="rId26" w:type="default"/>
          <w:pgSz w:w="11905" w:h="16843"/>
          <w:pgMar w:top="1769" w:right="1548" w:bottom="1003" w:left="1542" w:header="0" w:footer="828" w:gutter="0"/>
          <w:pgNumType w:fmt="numberInDash"/>
          <w:cols w:space="0" w:num="1"/>
          <w:rtlGutter w:val="0"/>
          <w:docGrid w:linePitch="0" w:charSpace="0"/>
        </w:sectPr>
      </w:pPr>
    </w:p>
    <w:p>
      <w:pPr>
        <w:spacing w:before="303" w:line="220" w:lineRule="auto"/>
        <w:ind w:left="13"/>
        <w:rPr>
          <w:rFonts w:ascii="黑体" w:hAnsi="黑体" w:eastAsia="黑体" w:cs="黑体"/>
          <w:color w:val="auto"/>
          <w:spacing w:val="-5"/>
          <w:sz w:val="24"/>
          <w:szCs w:val="24"/>
          <w:highlight w:val="none"/>
        </w:rPr>
      </w:pPr>
      <w:r>
        <w:rPr>
          <w:rFonts w:ascii="黑体" w:hAnsi="黑体" w:eastAsia="黑体" w:cs="黑体"/>
          <w:color w:val="auto"/>
          <w:spacing w:val="-5"/>
          <w:sz w:val="24"/>
          <w:szCs w:val="24"/>
          <w:highlight w:val="none"/>
        </w:rPr>
        <w:t>附表十一：异议答复函</w:t>
      </w:r>
    </w:p>
    <w:p>
      <w:pPr>
        <w:pStyle w:val="2"/>
        <w:spacing w:line="264" w:lineRule="auto"/>
        <w:rPr>
          <w:color w:val="auto"/>
          <w:highlight w:val="none"/>
        </w:rPr>
      </w:pPr>
    </w:p>
    <w:p>
      <w:pPr>
        <w:pStyle w:val="2"/>
        <w:spacing w:line="265" w:lineRule="auto"/>
        <w:rPr>
          <w:color w:val="auto"/>
          <w:highlight w:val="none"/>
        </w:rPr>
      </w:pPr>
    </w:p>
    <w:p>
      <w:pPr>
        <w:spacing w:before="91" w:line="219" w:lineRule="auto"/>
        <w:ind w:left="3768"/>
        <w:rPr>
          <w:rFonts w:ascii="黑体" w:hAnsi="黑体" w:eastAsia="黑体" w:cs="黑体"/>
          <w:color w:val="auto"/>
          <w:sz w:val="28"/>
          <w:szCs w:val="28"/>
          <w:highlight w:val="none"/>
        </w:rPr>
      </w:pPr>
      <w:r>
        <w:rPr>
          <w:rFonts w:ascii="黑体" w:hAnsi="黑体" w:eastAsia="黑体" w:cs="黑体"/>
          <w:color w:val="auto"/>
          <w:spacing w:val="-3"/>
          <w:sz w:val="28"/>
          <w:szCs w:val="28"/>
          <w:highlight w:val="none"/>
        </w:rPr>
        <w:t>异议答复函</w:t>
      </w:r>
    </w:p>
    <w:p>
      <w:pPr>
        <w:pStyle w:val="2"/>
        <w:spacing w:line="304" w:lineRule="auto"/>
        <w:rPr>
          <w:color w:val="auto"/>
          <w:highlight w:val="none"/>
        </w:rPr>
      </w:pPr>
    </w:p>
    <w:p>
      <w:pPr>
        <w:pStyle w:val="2"/>
        <w:spacing w:line="305" w:lineRule="auto"/>
        <w:rPr>
          <w:color w:val="auto"/>
          <w:highlight w:val="none"/>
        </w:rPr>
      </w:pPr>
    </w:p>
    <w:p>
      <w:pPr>
        <w:spacing w:before="69" w:line="221" w:lineRule="auto"/>
        <w:ind w:left="652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编号：</w:t>
      </w:r>
    </w:p>
    <w:p>
      <w:pPr>
        <w:tabs>
          <w:tab w:val="left" w:pos="1996"/>
        </w:tabs>
        <w:spacing w:before="158" w:line="240"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（投标人或利害关系人名称</w:t>
      </w:r>
      <w:r>
        <w:rPr>
          <w:rFonts w:ascii="宋体" w:hAnsi="宋体" w:eastAsia="宋体" w:cs="宋体"/>
          <w:color w:val="auto"/>
          <w:spacing w:val="-54"/>
          <w:w w:val="97"/>
          <w:sz w:val="21"/>
          <w:szCs w:val="21"/>
          <w:highlight w:val="none"/>
        </w:rPr>
        <w:t>）：</w:t>
      </w:r>
    </w:p>
    <w:p>
      <w:pPr>
        <w:spacing w:before="156" w:line="240"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你方提出的有关</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z w:val="21"/>
          <w:szCs w:val="21"/>
          <w:highlight w:val="none"/>
        </w:rPr>
        <w:t>（标段名称）项目招标文件（或评标结果公示）的异</w:t>
      </w:r>
      <w:r>
        <w:rPr>
          <w:rFonts w:ascii="宋体" w:hAnsi="宋体" w:eastAsia="宋体" w:cs="宋体"/>
          <w:color w:val="auto"/>
          <w:spacing w:val="-1"/>
          <w:sz w:val="21"/>
          <w:szCs w:val="21"/>
          <w:highlight w:val="none"/>
        </w:rPr>
        <w:t>议已收</w:t>
      </w:r>
    </w:p>
    <w:p>
      <w:pPr>
        <w:spacing w:line="240" w:lineRule="auto"/>
        <w:ind w:left="1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悉，现答复如下：</w:t>
      </w:r>
    </w:p>
    <w:p>
      <w:pPr>
        <w:spacing w:before="156" w:line="240" w:lineRule="auto"/>
        <w:ind w:left="443"/>
        <w:rPr>
          <w:rFonts w:ascii="宋体" w:hAnsi="宋体" w:eastAsia="宋体" w:cs="宋体"/>
          <w:color w:val="auto"/>
          <w:sz w:val="21"/>
          <w:szCs w:val="21"/>
          <w:highlight w:val="none"/>
        </w:rPr>
      </w:pPr>
      <w:r>
        <w:rPr>
          <w:rFonts w:ascii="宋体" w:hAnsi="宋体" w:eastAsia="宋体" w:cs="宋体"/>
          <w:color w:val="auto"/>
          <w:spacing w:val="-6"/>
          <w:position w:val="15"/>
          <w:sz w:val="21"/>
          <w:szCs w:val="21"/>
          <w:highlight w:val="none"/>
        </w:rPr>
        <w:t>1.……</w:t>
      </w:r>
    </w:p>
    <w:p>
      <w:pPr>
        <w:spacing w:line="240" w:lineRule="auto"/>
        <w:ind w:left="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pPr>
        <w:spacing w:before="134" w:line="240" w:lineRule="auto"/>
        <w:ind w:left="441"/>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6" w:lineRule="auto"/>
        <w:rPr>
          <w:color w:val="auto"/>
          <w:highlight w:val="none"/>
        </w:rPr>
      </w:pPr>
    </w:p>
    <w:p>
      <w:pPr>
        <w:spacing w:before="69" w:line="220" w:lineRule="auto"/>
        <w:ind w:left="378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招标人（招标委托人</w:t>
      </w:r>
      <w:r>
        <w:rPr>
          <w:rFonts w:ascii="宋体" w:hAnsi="宋体" w:eastAsia="宋体" w:cs="宋体"/>
          <w:color w:val="auto"/>
          <w:spacing w:val="-14"/>
          <w:sz w:val="21"/>
          <w:szCs w:val="21"/>
          <w:highlight w:val="none"/>
        </w:rPr>
        <w:t>）：</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4"/>
          <w:sz w:val="21"/>
          <w:szCs w:val="21"/>
          <w:highlight w:val="none"/>
        </w:rPr>
        <w:t xml:space="preserve"> </w:t>
      </w:r>
      <w:r>
        <w:rPr>
          <w:rFonts w:ascii="宋体" w:hAnsi="宋体" w:eastAsia="宋体" w:cs="宋体"/>
          <w:color w:val="auto"/>
          <w:spacing w:val="-14"/>
          <w:sz w:val="21"/>
          <w:szCs w:val="21"/>
          <w:highlight w:val="none"/>
        </w:rPr>
        <w:t>（</w:t>
      </w:r>
      <w:r>
        <w:rPr>
          <w:rFonts w:ascii="宋体" w:hAnsi="宋体" w:eastAsia="宋体" w:cs="宋体"/>
          <w:color w:val="auto"/>
          <w:spacing w:val="-10"/>
          <w:sz w:val="21"/>
          <w:szCs w:val="21"/>
          <w:highlight w:val="none"/>
        </w:rPr>
        <w:t>盖单位章）</w:t>
      </w:r>
    </w:p>
    <w:p>
      <w:pPr>
        <w:pStyle w:val="2"/>
        <w:spacing w:line="247" w:lineRule="auto"/>
        <w:rPr>
          <w:color w:val="auto"/>
          <w:highlight w:val="none"/>
        </w:rPr>
      </w:pPr>
    </w:p>
    <w:p>
      <w:pPr>
        <w:pStyle w:val="2"/>
        <w:spacing w:line="247" w:lineRule="auto"/>
        <w:rPr>
          <w:color w:val="auto"/>
          <w:highlight w:val="none"/>
        </w:rPr>
      </w:pPr>
    </w:p>
    <w:p>
      <w:pPr>
        <w:tabs>
          <w:tab w:val="left" w:pos="6615"/>
        </w:tabs>
        <w:spacing w:before="68" w:line="221" w:lineRule="auto"/>
        <w:ind w:left="567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27" w:type="default"/>
          <w:pgSz w:w="11905" w:h="16843"/>
          <w:pgMar w:top="1769" w:right="1548" w:bottom="1003" w:left="1542" w:header="0" w:footer="828" w:gutter="0"/>
          <w:pgNumType w:fmt="numberInDash"/>
          <w:cols w:space="0" w:num="1"/>
          <w:rtlGutter w:val="0"/>
          <w:docGrid w:linePitch="0" w:charSpace="0"/>
        </w:sectPr>
      </w:pPr>
    </w:p>
    <w:p>
      <w:pPr>
        <w:spacing w:before="303" w:line="220" w:lineRule="auto"/>
        <w:ind w:left="13"/>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附表十二：授权委托书</w:t>
      </w:r>
    </w:p>
    <w:p>
      <w:pPr>
        <w:pStyle w:val="2"/>
        <w:spacing w:line="264" w:lineRule="auto"/>
        <w:rPr>
          <w:color w:val="auto"/>
          <w:highlight w:val="none"/>
        </w:rPr>
      </w:pPr>
    </w:p>
    <w:p>
      <w:pPr>
        <w:pStyle w:val="2"/>
        <w:spacing w:line="264" w:lineRule="auto"/>
        <w:rPr>
          <w:color w:val="auto"/>
          <w:highlight w:val="none"/>
        </w:rPr>
      </w:pPr>
    </w:p>
    <w:p>
      <w:pPr>
        <w:spacing w:before="91" w:line="220" w:lineRule="auto"/>
        <w:ind w:left="3751"/>
        <w:rPr>
          <w:rFonts w:ascii="黑体" w:hAnsi="黑体" w:eastAsia="黑体" w:cs="黑体"/>
          <w:color w:val="auto"/>
          <w:sz w:val="28"/>
          <w:szCs w:val="28"/>
          <w:highlight w:val="none"/>
        </w:rPr>
      </w:pPr>
      <w:r>
        <w:rPr>
          <w:rFonts w:ascii="黑体" w:hAnsi="黑体" w:eastAsia="黑体" w:cs="黑体"/>
          <w:color w:val="auto"/>
          <w:spacing w:val="-2"/>
          <w:sz w:val="28"/>
          <w:szCs w:val="28"/>
          <w:highlight w:val="none"/>
        </w:rPr>
        <w:t>授权委托书</w:t>
      </w:r>
    </w:p>
    <w:p>
      <w:pPr>
        <w:pStyle w:val="2"/>
        <w:spacing w:line="276" w:lineRule="auto"/>
        <w:rPr>
          <w:color w:val="auto"/>
          <w:highlight w:val="none"/>
        </w:rPr>
      </w:pPr>
    </w:p>
    <w:p>
      <w:pPr>
        <w:pStyle w:val="2"/>
        <w:spacing w:line="276" w:lineRule="auto"/>
        <w:rPr>
          <w:color w:val="auto"/>
          <w:highlight w:val="none"/>
        </w:rPr>
      </w:pPr>
    </w:p>
    <w:p>
      <w:pPr>
        <w:pStyle w:val="2"/>
        <w:spacing w:line="277" w:lineRule="auto"/>
        <w:rPr>
          <w:color w:val="auto"/>
          <w:highlight w:val="none"/>
        </w:rPr>
      </w:pPr>
    </w:p>
    <w:p>
      <w:pPr>
        <w:pStyle w:val="2"/>
        <w:spacing w:line="277" w:lineRule="auto"/>
        <w:rPr>
          <w:color w:val="auto"/>
          <w:highlight w:val="none"/>
        </w:rPr>
      </w:pPr>
    </w:p>
    <w:p>
      <w:pPr>
        <w:spacing w:before="69" w:line="440" w:lineRule="auto"/>
        <w:ind w:firstLine="420"/>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本人</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（姓名）系</w:t>
      </w:r>
      <w:r>
        <w:rPr>
          <w:rFonts w:ascii="宋体" w:hAnsi="宋体" w:eastAsia="宋体" w:cs="宋体"/>
          <w:color w:val="auto"/>
          <w:spacing w:val="-8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（投标人名称）</w:t>
      </w:r>
      <w:r>
        <w:rPr>
          <w:rFonts w:ascii="宋体" w:hAnsi="宋体" w:eastAsia="宋体" w:cs="宋体"/>
          <w:color w:val="auto"/>
          <w:spacing w:val="-22"/>
          <w:sz w:val="21"/>
          <w:szCs w:val="21"/>
          <w:highlight w:val="none"/>
        </w:rPr>
        <w:t xml:space="preserve"> </w:t>
      </w:r>
      <w:r>
        <w:rPr>
          <w:rFonts w:ascii="宋体" w:hAnsi="宋体" w:eastAsia="宋体" w:cs="宋体"/>
          <w:color w:val="auto"/>
          <w:spacing w:val="-6"/>
          <w:sz w:val="21"/>
          <w:szCs w:val="21"/>
          <w:highlight w:val="none"/>
        </w:rPr>
        <w:t>的法定代表人， 现委托</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33"/>
          <w:sz w:val="21"/>
          <w:szCs w:val="21"/>
          <w:highlight w:val="none"/>
        </w:rPr>
        <w:t xml:space="preserve"> </w:t>
      </w:r>
      <w:r>
        <w:rPr>
          <w:rFonts w:ascii="宋体" w:hAnsi="宋体" w:eastAsia="宋体" w:cs="宋体"/>
          <w:color w:val="auto"/>
          <w:spacing w:val="-6"/>
          <w:sz w:val="21"/>
          <w:szCs w:val="21"/>
          <w:highlight w:val="none"/>
        </w:rPr>
        <w:t>（姓名）为我</w:t>
      </w:r>
      <w:r>
        <w:rPr>
          <w:rFonts w:ascii="宋体" w:hAnsi="宋体" w:eastAsia="宋体" w:cs="宋体"/>
          <w:color w:val="auto"/>
          <w:sz w:val="21"/>
          <w:szCs w:val="21"/>
          <w:highlight w:val="none"/>
        </w:rPr>
        <w:t xml:space="preserve"> </w:t>
      </w:r>
      <w:r>
        <w:rPr>
          <w:rFonts w:ascii="宋体" w:hAnsi="宋体" w:eastAsia="宋体" w:cs="宋体"/>
          <w:color w:val="auto"/>
          <w:spacing w:val="24"/>
          <w:sz w:val="21"/>
          <w:szCs w:val="21"/>
          <w:highlight w:val="none"/>
        </w:rPr>
        <w:t>方代理人。代理人根据授权，以我方名义签署、澄清、说明、补正、递交、撤回、修改</w:t>
      </w:r>
      <w:r>
        <w:rPr>
          <w:rFonts w:ascii="宋体" w:hAnsi="宋体" w:eastAsia="宋体" w:cs="宋体"/>
          <w:color w:val="auto"/>
          <w:spacing w:val="4"/>
          <w:sz w:val="21"/>
          <w:szCs w:val="21"/>
          <w:highlight w:val="none"/>
        </w:rPr>
        <w:t xml:space="preserve"> </w:t>
      </w:r>
      <w:r>
        <w:rPr>
          <w:rFonts w:ascii="宋体" w:hAnsi="宋体" w:eastAsia="宋体" w:cs="宋体"/>
          <w:color w:val="auto"/>
          <w:spacing w:val="-7"/>
          <w:sz w:val="21"/>
          <w:szCs w:val="21"/>
          <w:highlight w:val="none"/>
        </w:rPr>
        <w:t>（标段名称） 项目 （</w:t>
      </w:r>
      <w:r>
        <w:rPr>
          <w:rFonts w:hint="eastAsia" w:ascii="宋体" w:hAnsi="宋体" w:eastAsia="宋体" w:cs="宋体"/>
          <w:color w:val="auto"/>
          <w:spacing w:val="-7"/>
          <w:sz w:val="21"/>
          <w:szCs w:val="21"/>
          <w:highlight w:val="none"/>
          <w:lang w:eastAsia="zh-CN"/>
        </w:rPr>
        <w:t>项目编号</w:t>
      </w:r>
      <w:r>
        <w:rPr>
          <w:rFonts w:ascii="宋体" w:hAnsi="宋体" w:eastAsia="宋体" w:cs="宋体"/>
          <w:color w:val="auto"/>
          <w:spacing w:val="-2"/>
          <w:sz w:val="21"/>
          <w:szCs w:val="21"/>
          <w:highlight w:val="none"/>
        </w:rPr>
        <w:t>：</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7"/>
          <w:sz w:val="21"/>
          <w:szCs w:val="21"/>
          <w:highlight w:val="none"/>
        </w:rPr>
        <w:t>投标文件、签订合同和处理有关事宜，其法律后</w:t>
      </w:r>
    </w:p>
    <w:p>
      <w:pPr>
        <w:spacing w:line="220" w:lineRule="auto"/>
        <w:ind w:left="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果由我方承担。</w:t>
      </w:r>
    </w:p>
    <w:p>
      <w:pPr>
        <w:pStyle w:val="2"/>
        <w:spacing w:line="296" w:lineRule="auto"/>
        <w:rPr>
          <w:color w:val="auto"/>
          <w:highlight w:val="none"/>
        </w:rPr>
      </w:pPr>
    </w:p>
    <w:p>
      <w:pPr>
        <w:spacing w:before="68" w:line="221" w:lineRule="auto"/>
        <w:ind w:left="4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委托期限：</w:t>
      </w:r>
    </w:p>
    <w:p>
      <w:pPr>
        <w:pStyle w:val="2"/>
        <w:spacing w:line="360" w:lineRule="auto"/>
        <w:rPr>
          <w:color w:val="auto"/>
          <w:highlight w:val="none"/>
        </w:rPr>
      </w:pPr>
    </w:p>
    <w:p>
      <w:pPr>
        <w:tabs>
          <w:tab w:val="left" w:pos="7445"/>
        </w:tabs>
        <w:spacing w:before="26" w:line="159" w:lineRule="auto"/>
        <w:ind w:left="1462"/>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pStyle w:val="2"/>
        <w:spacing w:line="463" w:lineRule="auto"/>
        <w:rPr>
          <w:color w:val="auto"/>
          <w:highlight w:val="none"/>
        </w:rPr>
      </w:pPr>
    </w:p>
    <w:p>
      <w:pPr>
        <w:spacing w:before="68" w:line="221" w:lineRule="auto"/>
        <w:ind w:left="4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代理人无转委托权。</w:t>
      </w:r>
    </w:p>
    <w:p>
      <w:pPr>
        <w:pStyle w:val="2"/>
        <w:spacing w:line="417" w:lineRule="auto"/>
        <w:rPr>
          <w:color w:val="auto"/>
          <w:highlight w:val="none"/>
        </w:rPr>
      </w:pPr>
    </w:p>
    <w:p>
      <w:pPr>
        <w:spacing w:before="69" w:line="220" w:lineRule="auto"/>
        <w:ind w:left="4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附：法定代表人身份证明</w:t>
      </w:r>
    </w:p>
    <w:p>
      <w:pPr>
        <w:pStyle w:val="2"/>
        <w:spacing w:line="245" w:lineRule="auto"/>
        <w:rPr>
          <w:color w:val="auto"/>
          <w:highlight w:val="none"/>
        </w:rPr>
      </w:pPr>
    </w:p>
    <w:p>
      <w:pPr>
        <w:pStyle w:val="2"/>
        <w:spacing w:line="246" w:lineRule="auto"/>
        <w:rPr>
          <w:color w:val="auto"/>
          <w:highlight w:val="none"/>
        </w:rPr>
      </w:pPr>
    </w:p>
    <w:p>
      <w:pPr>
        <w:pStyle w:val="2"/>
        <w:spacing w:line="246" w:lineRule="auto"/>
        <w:rPr>
          <w:color w:val="auto"/>
          <w:highlight w:val="none"/>
        </w:rPr>
      </w:pPr>
    </w:p>
    <w:p>
      <w:pPr>
        <w:spacing w:before="69" w:line="220" w:lineRule="auto"/>
        <w:ind w:left="2942"/>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投</w:t>
      </w:r>
      <w:r>
        <w:rPr>
          <w:rFonts w:ascii="宋体" w:hAnsi="宋体" w:eastAsia="宋体" w:cs="宋体"/>
          <w:color w:val="auto"/>
          <w:spacing w:val="5"/>
          <w:sz w:val="21"/>
          <w:szCs w:val="21"/>
          <w:highlight w:val="none"/>
        </w:rPr>
        <w:t xml:space="preserve">  </w:t>
      </w:r>
      <w:r>
        <w:rPr>
          <w:rFonts w:ascii="宋体" w:hAnsi="宋体" w:eastAsia="宋体" w:cs="宋体"/>
          <w:color w:val="auto"/>
          <w:spacing w:val="-20"/>
          <w:sz w:val="21"/>
          <w:szCs w:val="21"/>
          <w:highlight w:val="none"/>
        </w:rPr>
        <w:t>标</w:t>
      </w:r>
      <w:r>
        <w:rPr>
          <w:rFonts w:ascii="宋体" w:hAnsi="宋体" w:eastAsia="宋体" w:cs="宋体"/>
          <w:color w:val="auto"/>
          <w:spacing w:val="4"/>
          <w:sz w:val="21"/>
          <w:szCs w:val="21"/>
          <w:highlight w:val="none"/>
        </w:rPr>
        <w:t xml:space="preserve">  </w:t>
      </w:r>
      <w:r>
        <w:rPr>
          <w:rFonts w:ascii="宋体" w:hAnsi="宋体" w:eastAsia="宋体" w:cs="宋体"/>
          <w:color w:val="auto"/>
          <w:spacing w:val="-20"/>
          <w:sz w:val="21"/>
          <w:szCs w:val="21"/>
          <w:highlight w:val="none"/>
        </w:rPr>
        <w:t>人</w:t>
      </w:r>
      <w:r>
        <w:rPr>
          <w:rFonts w:ascii="宋体" w:hAnsi="宋体" w:eastAsia="宋体" w:cs="宋体"/>
          <w:color w:val="auto"/>
          <w:spacing w:val="2"/>
          <w:sz w:val="21"/>
          <w:szCs w:val="21"/>
          <w:highlight w:val="none"/>
        </w:rPr>
        <w:t>：</w:t>
      </w:r>
      <w:r>
        <w:rPr>
          <w:rFonts w:ascii="宋体" w:hAnsi="宋体" w:eastAsia="宋体" w:cs="宋体"/>
          <w:color w:val="auto"/>
          <w:spacing w:val="-32"/>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20"/>
          <w:sz w:val="21"/>
          <w:szCs w:val="21"/>
          <w:highlight w:val="none"/>
        </w:rPr>
        <w:t>盖单位章）</w:t>
      </w:r>
    </w:p>
    <w:p>
      <w:pPr>
        <w:pStyle w:val="2"/>
        <w:spacing w:line="477" w:lineRule="auto"/>
        <w:rPr>
          <w:color w:val="auto"/>
          <w:highlight w:val="none"/>
        </w:rPr>
      </w:pPr>
    </w:p>
    <w:p>
      <w:pPr>
        <w:spacing w:before="69" w:line="221" w:lineRule="auto"/>
        <w:ind w:left="294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法定代表人</w:t>
      </w:r>
      <w:r>
        <w:rPr>
          <w:rFonts w:ascii="宋体" w:hAnsi="宋体" w:eastAsia="宋体" w:cs="宋体"/>
          <w:color w:val="auto"/>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8"/>
          <w:sz w:val="21"/>
          <w:szCs w:val="21"/>
          <w:highlight w:val="none"/>
        </w:rPr>
        <w:t>签字）</w:t>
      </w:r>
    </w:p>
    <w:p>
      <w:pPr>
        <w:pStyle w:val="2"/>
        <w:spacing w:line="479" w:lineRule="auto"/>
        <w:rPr>
          <w:color w:val="auto"/>
          <w:highlight w:val="none"/>
        </w:rPr>
      </w:pPr>
    </w:p>
    <w:p>
      <w:pPr>
        <w:spacing w:before="69" w:line="221" w:lineRule="auto"/>
        <w:ind w:left="29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pPr>
        <w:pStyle w:val="2"/>
        <w:spacing w:line="476" w:lineRule="auto"/>
        <w:rPr>
          <w:color w:val="auto"/>
          <w:highlight w:val="none"/>
        </w:rPr>
      </w:pPr>
    </w:p>
    <w:p>
      <w:pPr>
        <w:spacing w:before="68" w:line="221" w:lineRule="auto"/>
        <w:ind w:left="293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委托代理人</w:t>
      </w:r>
      <w:r>
        <w:rPr>
          <w:rFonts w:ascii="宋体" w:hAnsi="宋体" w:eastAsia="宋体" w:cs="宋体"/>
          <w:color w:val="auto"/>
          <w:spacing w:val="1"/>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8"/>
          <w:sz w:val="21"/>
          <w:szCs w:val="21"/>
          <w:highlight w:val="none"/>
        </w:rPr>
        <w:t>签字）</w:t>
      </w:r>
    </w:p>
    <w:p>
      <w:pPr>
        <w:pStyle w:val="2"/>
        <w:spacing w:line="476" w:lineRule="auto"/>
        <w:rPr>
          <w:color w:val="auto"/>
          <w:highlight w:val="none"/>
        </w:rPr>
      </w:pPr>
    </w:p>
    <w:p>
      <w:pPr>
        <w:spacing w:before="69" w:line="221" w:lineRule="auto"/>
        <w:ind w:left="29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pPr>
        <w:pStyle w:val="2"/>
        <w:spacing w:line="479" w:lineRule="auto"/>
        <w:rPr>
          <w:color w:val="auto"/>
          <w:highlight w:val="none"/>
        </w:rPr>
      </w:pPr>
    </w:p>
    <w:p>
      <w:pPr>
        <w:tabs>
          <w:tab w:val="left" w:pos="5665"/>
        </w:tabs>
        <w:spacing w:before="69" w:line="221" w:lineRule="auto"/>
        <w:ind w:left="482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7"/>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28" w:type="default"/>
          <w:pgSz w:w="11905" w:h="16843"/>
          <w:pgMar w:top="1769" w:right="1548" w:bottom="1003" w:left="1542" w:header="0" w:footer="828" w:gutter="0"/>
          <w:pgNumType w:fmt="numberInDash"/>
          <w:cols w:space="0" w:num="1"/>
          <w:rtlGutter w:val="0"/>
          <w:docGrid w:linePitch="0" w:charSpace="0"/>
        </w:sectPr>
      </w:pPr>
    </w:p>
    <w:p>
      <w:pPr>
        <w:pStyle w:val="2"/>
        <w:spacing w:line="254"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spacing w:before="101" w:line="224" w:lineRule="auto"/>
        <w:ind w:left="2871"/>
        <w:rPr>
          <w:rFonts w:ascii="黑体" w:hAnsi="黑体" w:eastAsia="黑体" w:cs="黑体"/>
          <w:color w:val="auto"/>
          <w:sz w:val="31"/>
          <w:szCs w:val="31"/>
          <w:highlight w:val="none"/>
        </w:rPr>
      </w:pPr>
      <w:bookmarkStart w:id="82" w:name="bookmark116"/>
      <w:bookmarkEnd w:id="82"/>
      <w:bookmarkStart w:id="83" w:name="bookmark117"/>
      <w:bookmarkEnd w:id="83"/>
      <w:bookmarkStart w:id="84" w:name="bookmark118"/>
      <w:bookmarkEnd w:id="84"/>
      <w:bookmarkStart w:id="85" w:name="bookmark113"/>
      <w:bookmarkEnd w:id="85"/>
      <w:bookmarkStart w:id="86" w:name="bookmark115"/>
      <w:bookmarkEnd w:id="86"/>
      <w:bookmarkStart w:id="87" w:name="bookmark114"/>
      <w:bookmarkEnd w:id="87"/>
      <w:r>
        <w:rPr>
          <w:rFonts w:ascii="黑体" w:hAnsi="黑体" w:eastAsia="黑体" w:cs="黑体"/>
          <w:color w:val="auto"/>
          <w:spacing w:val="7"/>
          <w:sz w:val="31"/>
          <w:szCs w:val="31"/>
          <w:highlight w:val="none"/>
        </w:rPr>
        <w:t>第三章  评标办法</w:t>
      </w:r>
    </w:p>
    <w:p>
      <w:pPr>
        <w:spacing w:line="224" w:lineRule="auto"/>
        <w:rPr>
          <w:rFonts w:ascii="黑体" w:hAnsi="黑体" w:eastAsia="黑体" w:cs="黑体"/>
          <w:color w:val="auto"/>
          <w:sz w:val="31"/>
          <w:szCs w:val="31"/>
          <w:highlight w:val="none"/>
        </w:rPr>
        <w:sectPr>
          <w:footerReference r:id="rId29" w:type="default"/>
          <w:pgSz w:w="11905" w:h="16843"/>
          <w:pgMar w:top="1769" w:right="1548" w:bottom="1003" w:left="1542" w:header="0" w:footer="828" w:gutter="0"/>
          <w:pgNumType w:fmt="numberInDash"/>
          <w:cols w:space="0" w:num="1"/>
          <w:rtlGutter w:val="0"/>
          <w:docGrid w:linePitch="0" w:charSpace="0"/>
        </w:sectPr>
      </w:pPr>
    </w:p>
    <w:p>
      <w:pPr>
        <w:pStyle w:val="2"/>
        <w:spacing w:line="249" w:lineRule="auto"/>
        <w:rPr>
          <w:color w:val="auto"/>
          <w:highlight w:val="none"/>
        </w:rPr>
      </w:pPr>
    </w:p>
    <w:p>
      <w:pPr>
        <w:spacing w:before="100" w:line="224" w:lineRule="auto"/>
        <w:ind w:left="3202"/>
        <w:rPr>
          <w:rFonts w:ascii="黑体" w:hAnsi="黑体" w:eastAsia="黑体" w:cs="黑体"/>
          <w:color w:val="auto"/>
          <w:sz w:val="31"/>
          <w:szCs w:val="31"/>
          <w:highlight w:val="none"/>
        </w:rPr>
      </w:pPr>
      <w:bookmarkStart w:id="88" w:name="bookmark119"/>
      <w:bookmarkEnd w:id="88"/>
      <w:bookmarkStart w:id="89" w:name="bookmark121"/>
      <w:bookmarkEnd w:id="89"/>
      <w:bookmarkStart w:id="90" w:name="bookmark120"/>
      <w:bookmarkEnd w:id="90"/>
      <w:r>
        <w:rPr>
          <w:rFonts w:ascii="黑体" w:hAnsi="黑体" w:eastAsia="黑体" w:cs="黑体"/>
          <w:color w:val="auto"/>
          <w:spacing w:val="7"/>
          <w:sz w:val="31"/>
          <w:szCs w:val="31"/>
          <w:highlight w:val="none"/>
        </w:rPr>
        <w:t>第三章  评标办法</w:t>
      </w:r>
    </w:p>
    <w:p>
      <w:pPr>
        <w:spacing w:before="176" w:line="211" w:lineRule="auto"/>
        <w:ind w:left="2520"/>
        <w:rPr>
          <w:rFonts w:ascii="黑体" w:hAnsi="黑体" w:eastAsia="黑体" w:cs="黑体"/>
          <w:color w:val="auto"/>
          <w:spacing w:val="-2"/>
          <w:sz w:val="28"/>
          <w:szCs w:val="28"/>
          <w:highlight w:val="none"/>
          <w:lang w:eastAsia="zh-CN"/>
        </w:rPr>
      </w:pPr>
      <w:r>
        <w:rPr>
          <w:rFonts w:ascii="黑体" w:hAnsi="黑体" w:eastAsia="黑体" w:cs="黑体"/>
          <w:color w:val="auto"/>
          <w:spacing w:val="-2"/>
          <w:sz w:val="28"/>
          <w:szCs w:val="28"/>
          <w:highlight w:val="none"/>
          <w:lang w:eastAsia="zh-CN"/>
        </w:rPr>
        <w:t>评标办法前附表（综合评估法）</w:t>
      </w:r>
    </w:p>
    <w:p>
      <w:pPr>
        <w:spacing w:before="176" w:line="211" w:lineRule="auto"/>
        <w:ind w:left="2520"/>
        <w:rPr>
          <w:rFonts w:hint="eastAsia" w:ascii="黑体" w:hAnsi="黑体" w:eastAsia="黑体" w:cs="黑体"/>
          <w:color w:val="auto"/>
          <w:sz w:val="28"/>
          <w:szCs w:val="28"/>
          <w:highlight w:val="none"/>
          <w:lang w:eastAsia="zh-CN"/>
        </w:rPr>
      </w:pPr>
    </w:p>
    <w:tbl>
      <w:tblPr>
        <w:tblStyle w:val="9"/>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339"/>
        <w:gridCol w:w="4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804" w:type="dxa"/>
            <w:gridSpan w:val="2"/>
          </w:tcPr>
          <w:p>
            <w:pPr>
              <w:pStyle w:val="10"/>
              <w:spacing w:before="175" w:line="221" w:lineRule="auto"/>
              <w:ind w:left="592"/>
              <w:rPr>
                <w:color w:val="auto"/>
                <w:highlight w:val="none"/>
              </w:rPr>
            </w:pPr>
            <w:r>
              <w:rPr>
                <w:color w:val="auto"/>
                <w:spacing w:val="-2"/>
                <w:highlight w:val="none"/>
                <w14:textOutline w14:w="3835" w14:cap="flat" w14:cmpd="sng" w14:algn="ctr">
                  <w14:solidFill>
                    <w14:srgbClr w14:val="000000"/>
                  </w14:solidFill>
                  <w14:prstDash w14:val="solid"/>
                  <w14:miter w14:val="0"/>
                </w14:textOutline>
              </w:rPr>
              <w:t>条款号</w:t>
            </w:r>
          </w:p>
        </w:tc>
        <w:tc>
          <w:tcPr>
            <w:tcW w:w="2339" w:type="dxa"/>
          </w:tcPr>
          <w:p>
            <w:pPr>
              <w:pStyle w:val="10"/>
              <w:spacing w:before="175" w:line="221" w:lineRule="auto"/>
              <w:ind w:left="752"/>
              <w:rPr>
                <w:color w:val="auto"/>
                <w:highlight w:val="none"/>
              </w:rPr>
            </w:pPr>
            <w:r>
              <w:rPr>
                <w:color w:val="auto"/>
                <w:spacing w:val="-1"/>
                <w:highlight w:val="none"/>
                <w14:textOutline w14:w="3835" w14:cap="flat" w14:cmpd="sng" w14:algn="ctr">
                  <w14:solidFill>
                    <w14:srgbClr w14:val="000000"/>
                  </w14:solidFill>
                  <w14:prstDash w14:val="solid"/>
                  <w14:miter w14:val="0"/>
                </w14:textOutline>
              </w:rPr>
              <w:t>评审因素</w:t>
            </w:r>
          </w:p>
        </w:tc>
        <w:tc>
          <w:tcPr>
            <w:tcW w:w="4793" w:type="dxa"/>
          </w:tcPr>
          <w:p>
            <w:pPr>
              <w:pStyle w:val="10"/>
              <w:spacing w:before="176" w:line="221" w:lineRule="auto"/>
              <w:ind w:left="1977"/>
              <w:rPr>
                <w:color w:val="auto"/>
                <w:highlight w:val="none"/>
              </w:rPr>
            </w:pPr>
            <w:r>
              <w:rPr>
                <w:color w:val="auto"/>
                <w:spacing w:val="-1"/>
                <w:highlight w:val="none"/>
                <w14:textOutline w14:w="3835" w14:cap="flat" w14:cmpd="sng" w14:algn="ctr">
                  <w14:solidFill>
                    <w14:srgbClr w14:val="000000"/>
                  </w14:solidFill>
                  <w14:prstDash w14:val="solid"/>
                  <w14:miter w14:val="0"/>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restart"/>
            <w:tcBorders>
              <w:bottom w:val="nil"/>
            </w:tcBorders>
          </w:tcPr>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line="241" w:lineRule="auto"/>
              <w:rPr>
                <w:color w:val="auto"/>
                <w:highlight w:val="none"/>
              </w:rPr>
            </w:pPr>
          </w:p>
          <w:p>
            <w:pPr>
              <w:spacing w:before="60" w:line="189" w:lineRule="auto"/>
              <w:ind w:left="165"/>
              <w:rPr>
                <w:rFonts w:ascii="Times New Roman" w:hAnsi="Times New Roman" w:eastAsia="Times New Roman" w:cs="Times New Roman"/>
                <w:color w:val="auto"/>
                <w:highlight w:val="none"/>
              </w:rPr>
            </w:pPr>
            <w:r>
              <w:rPr>
                <w:rFonts w:ascii="Times New Roman" w:hAnsi="Times New Roman" w:eastAsia="Times New Roman" w:cs="Times New Roman"/>
                <w:color w:val="auto"/>
                <w:spacing w:val="-1"/>
                <w:highlight w:val="none"/>
              </w:rPr>
              <w:t>2.1.1</w:t>
            </w:r>
          </w:p>
        </w:tc>
        <w:tc>
          <w:tcPr>
            <w:tcW w:w="1058" w:type="dxa"/>
            <w:vMerge w:val="restart"/>
            <w:tcBorders>
              <w:bottom w:val="nil"/>
            </w:tcBorders>
          </w:tcPr>
          <w:p>
            <w:pPr>
              <w:spacing w:line="242" w:lineRule="auto"/>
              <w:rPr>
                <w:color w:val="auto"/>
                <w:highlight w:val="none"/>
              </w:rPr>
            </w:pPr>
          </w:p>
          <w:p>
            <w:pPr>
              <w:spacing w:line="242" w:lineRule="auto"/>
              <w:rPr>
                <w:color w:val="auto"/>
                <w:highlight w:val="none"/>
              </w:rPr>
            </w:pPr>
          </w:p>
          <w:p>
            <w:pPr>
              <w:spacing w:line="242" w:lineRule="auto"/>
              <w:rPr>
                <w:color w:val="auto"/>
                <w:highlight w:val="none"/>
              </w:rPr>
            </w:pPr>
          </w:p>
          <w:p>
            <w:pPr>
              <w:spacing w:line="242" w:lineRule="auto"/>
              <w:rPr>
                <w:color w:val="auto"/>
                <w:highlight w:val="none"/>
              </w:rPr>
            </w:pPr>
          </w:p>
          <w:p>
            <w:pPr>
              <w:spacing w:line="243" w:lineRule="auto"/>
              <w:rPr>
                <w:color w:val="auto"/>
                <w:highlight w:val="none"/>
              </w:rPr>
            </w:pPr>
          </w:p>
          <w:p>
            <w:pPr>
              <w:spacing w:line="243" w:lineRule="auto"/>
              <w:rPr>
                <w:color w:val="auto"/>
                <w:highlight w:val="none"/>
              </w:rPr>
            </w:pPr>
          </w:p>
          <w:p>
            <w:pPr>
              <w:spacing w:line="243" w:lineRule="auto"/>
              <w:rPr>
                <w:color w:val="auto"/>
                <w:highlight w:val="none"/>
              </w:rPr>
            </w:pPr>
          </w:p>
          <w:p>
            <w:pPr>
              <w:spacing w:line="243" w:lineRule="auto"/>
              <w:rPr>
                <w:color w:val="auto"/>
                <w:highlight w:val="none"/>
              </w:rPr>
            </w:pPr>
          </w:p>
          <w:p>
            <w:pPr>
              <w:spacing w:line="243" w:lineRule="auto"/>
              <w:rPr>
                <w:color w:val="auto"/>
                <w:highlight w:val="none"/>
              </w:rPr>
            </w:pPr>
          </w:p>
          <w:p>
            <w:pPr>
              <w:spacing w:line="243" w:lineRule="auto"/>
              <w:rPr>
                <w:color w:val="auto"/>
                <w:highlight w:val="none"/>
              </w:rPr>
            </w:pPr>
          </w:p>
          <w:p>
            <w:pPr>
              <w:spacing w:line="243" w:lineRule="auto"/>
              <w:rPr>
                <w:color w:val="auto"/>
                <w:highlight w:val="none"/>
              </w:rPr>
            </w:pPr>
          </w:p>
          <w:p>
            <w:pPr>
              <w:spacing w:line="243" w:lineRule="auto"/>
              <w:rPr>
                <w:color w:val="auto"/>
                <w:highlight w:val="none"/>
              </w:rPr>
            </w:pPr>
          </w:p>
          <w:p>
            <w:pPr>
              <w:pStyle w:val="10"/>
              <w:spacing w:before="69" w:line="420" w:lineRule="exact"/>
              <w:ind w:left="325"/>
              <w:rPr>
                <w:color w:val="auto"/>
                <w:highlight w:val="none"/>
              </w:rPr>
            </w:pPr>
            <w:r>
              <w:rPr>
                <w:color w:val="auto"/>
                <w:spacing w:val="-3"/>
                <w:position w:val="15"/>
                <w:highlight w:val="none"/>
              </w:rPr>
              <w:t>形式</w:t>
            </w:r>
          </w:p>
          <w:p>
            <w:pPr>
              <w:pStyle w:val="10"/>
              <w:spacing w:line="221" w:lineRule="auto"/>
              <w:ind w:left="321"/>
              <w:rPr>
                <w:color w:val="auto"/>
                <w:highlight w:val="none"/>
              </w:rPr>
            </w:pPr>
            <w:r>
              <w:rPr>
                <w:color w:val="auto"/>
                <w:spacing w:val="-2"/>
                <w:highlight w:val="none"/>
              </w:rPr>
              <w:t>评审</w:t>
            </w:r>
          </w:p>
          <w:p>
            <w:pPr>
              <w:pStyle w:val="10"/>
              <w:spacing w:before="168" w:line="221" w:lineRule="auto"/>
              <w:ind w:left="323"/>
              <w:rPr>
                <w:color w:val="auto"/>
                <w:highlight w:val="none"/>
              </w:rPr>
            </w:pPr>
            <w:r>
              <w:rPr>
                <w:color w:val="auto"/>
                <w:spacing w:val="-2"/>
                <w:highlight w:val="none"/>
              </w:rPr>
              <w:t>标准</w:t>
            </w:r>
          </w:p>
        </w:tc>
        <w:tc>
          <w:tcPr>
            <w:tcW w:w="2339" w:type="dxa"/>
          </w:tcPr>
          <w:p>
            <w:pPr>
              <w:pStyle w:val="10"/>
              <w:spacing w:before="173" w:line="221" w:lineRule="auto"/>
              <w:ind w:left="114"/>
              <w:rPr>
                <w:color w:val="auto"/>
                <w:highlight w:val="none"/>
              </w:rPr>
            </w:pPr>
            <w:r>
              <w:rPr>
                <w:color w:val="auto"/>
                <w:spacing w:val="-2"/>
                <w:highlight w:val="none"/>
              </w:rPr>
              <w:t>投标人名称</w:t>
            </w:r>
          </w:p>
        </w:tc>
        <w:tc>
          <w:tcPr>
            <w:tcW w:w="4793" w:type="dxa"/>
          </w:tcPr>
          <w:p>
            <w:pPr>
              <w:pStyle w:val="10"/>
              <w:spacing w:before="173" w:line="220" w:lineRule="auto"/>
              <w:ind w:left="117"/>
              <w:rPr>
                <w:color w:val="auto"/>
                <w:highlight w:val="none"/>
                <w:lang w:eastAsia="zh-CN"/>
              </w:rPr>
            </w:pPr>
            <w:r>
              <w:rPr>
                <w:color w:val="auto"/>
                <w:spacing w:val="-1"/>
                <w:highlight w:val="none"/>
                <w:lang w:eastAsia="zh-CN"/>
              </w:rPr>
              <w:t>与营业执照、资质证书、安全生产许可证一致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tcBorders>
              <w:bottom w:val="single" w:color="000000" w:sz="4" w:space="0"/>
            </w:tcBorders>
          </w:tcPr>
          <w:p>
            <w:pPr>
              <w:pStyle w:val="10"/>
              <w:spacing w:before="171" w:line="220" w:lineRule="auto"/>
              <w:ind w:left="114"/>
              <w:rPr>
                <w:color w:val="auto"/>
                <w:highlight w:val="none"/>
              </w:rPr>
            </w:pPr>
            <w:r>
              <w:rPr>
                <w:color w:val="auto"/>
                <w:spacing w:val="-1"/>
                <w:highlight w:val="none"/>
              </w:rPr>
              <w:t>投标文件签字盖章</w:t>
            </w:r>
          </w:p>
        </w:tc>
        <w:tc>
          <w:tcPr>
            <w:tcW w:w="4793" w:type="dxa"/>
            <w:tcBorders>
              <w:bottom w:val="single" w:color="000000" w:sz="4" w:space="0"/>
            </w:tcBorders>
          </w:tcPr>
          <w:p>
            <w:pPr>
              <w:pStyle w:val="10"/>
              <w:spacing w:before="171" w:line="220" w:lineRule="auto"/>
              <w:ind w:left="115"/>
              <w:rPr>
                <w:color w:val="auto"/>
                <w:highlight w:val="none"/>
                <w:lang w:eastAsia="zh-CN"/>
              </w:rPr>
            </w:pPr>
            <w:r>
              <w:rPr>
                <w:color w:val="auto"/>
                <w:spacing w:val="-2"/>
                <w:highlight w:val="none"/>
                <w:lang w:eastAsia="zh-CN"/>
              </w:rPr>
              <w:t>符合第二章“投标人须知”第</w:t>
            </w:r>
            <w:r>
              <w:rPr>
                <w:color w:val="auto"/>
                <w:spacing w:val="-25"/>
                <w:highlight w:val="none"/>
                <w:lang w:eastAsia="zh-CN"/>
              </w:rPr>
              <w:t xml:space="preserve"> </w:t>
            </w:r>
            <w:r>
              <w:rPr>
                <w:color w:val="auto"/>
                <w:spacing w:val="-2"/>
                <w:highlight w:val="none"/>
                <w:lang w:eastAsia="zh-CN"/>
              </w:rPr>
              <w:t>3.7.3（4）目规定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tcBorders>
              <w:top w:val="single" w:color="000000" w:sz="4" w:space="0"/>
            </w:tcBorders>
          </w:tcPr>
          <w:p>
            <w:pPr>
              <w:spacing w:line="291" w:lineRule="auto"/>
              <w:rPr>
                <w:color w:val="auto"/>
                <w:highlight w:val="none"/>
                <w:lang w:eastAsia="zh-CN"/>
              </w:rPr>
            </w:pPr>
          </w:p>
          <w:p>
            <w:pPr>
              <w:pStyle w:val="10"/>
              <w:spacing w:before="68" w:line="221" w:lineRule="auto"/>
              <w:ind w:left="114"/>
              <w:rPr>
                <w:color w:val="auto"/>
                <w:highlight w:val="none"/>
              </w:rPr>
            </w:pPr>
            <w:r>
              <w:rPr>
                <w:color w:val="auto"/>
                <w:spacing w:val="-1"/>
                <w:highlight w:val="none"/>
              </w:rPr>
              <w:t>投标文件格式、内容</w:t>
            </w:r>
          </w:p>
        </w:tc>
        <w:tc>
          <w:tcPr>
            <w:tcW w:w="4793" w:type="dxa"/>
            <w:tcBorders>
              <w:top w:val="single" w:color="000000" w:sz="4" w:space="0"/>
            </w:tcBorders>
          </w:tcPr>
          <w:p>
            <w:pPr>
              <w:pStyle w:val="10"/>
              <w:spacing w:before="150" w:line="420" w:lineRule="exact"/>
              <w:ind w:left="115"/>
              <w:rPr>
                <w:color w:val="auto"/>
                <w:highlight w:val="none"/>
                <w:lang w:eastAsia="zh-CN"/>
              </w:rPr>
            </w:pPr>
            <w:r>
              <w:rPr>
                <w:color w:val="auto"/>
                <w:spacing w:val="7"/>
                <w:position w:val="15"/>
                <w:highlight w:val="none"/>
                <w:lang w:eastAsia="zh-CN"/>
              </w:rPr>
              <w:t>符合第八章“投标文件格式”的要求且实质性内</w:t>
            </w:r>
          </w:p>
          <w:p>
            <w:pPr>
              <w:pStyle w:val="10"/>
              <w:spacing w:line="220" w:lineRule="auto"/>
              <w:ind w:left="116"/>
              <w:rPr>
                <w:color w:val="auto"/>
                <w:highlight w:val="none"/>
              </w:rPr>
            </w:pPr>
            <w:r>
              <w:rPr>
                <w:color w:val="auto"/>
                <w:spacing w:val="-2"/>
                <w:highlight w:val="none"/>
              </w:rPr>
              <w:t>容齐全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pPr>
              <w:rPr>
                <w:color w:val="auto"/>
                <w:highlight w:val="none"/>
              </w:rPr>
            </w:pPr>
          </w:p>
        </w:tc>
        <w:tc>
          <w:tcPr>
            <w:tcW w:w="1058" w:type="dxa"/>
            <w:vMerge w:val="continue"/>
            <w:tcBorders>
              <w:top w:val="nil"/>
              <w:bottom w:val="nil"/>
            </w:tcBorders>
          </w:tcPr>
          <w:p>
            <w:pPr>
              <w:rPr>
                <w:color w:val="auto"/>
                <w:highlight w:val="none"/>
              </w:rPr>
            </w:pPr>
          </w:p>
        </w:tc>
        <w:tc>
          <w:tcPr>
            <w:tcW w:w="2339" w:type="dxa"/>
          </w:tcPr>
          <w:p>
            <w:pPr>
              <w:spacing w:line="297" w:lineRule="auto"/>
              <w:rPr>
                <w:color w:val="auto"/>
                <w:highlight w:val="none"/>
              </w:rPr>
            </w:pPr>
          </w:p>
          <w:p>
            <w:pPr>
              <w:pStyle w:val="10"/>
              <w:spacing w:before="68" w:line="219" w:lineRule="auto"/>
              <w:ind w:left="110"/>
              <w:rPr>
                <w:color w:val="auto"/>
                <w:highlight w:val="none"/>
              </w:rPr>
            </w:pPr>
            <w:r>
              <w:rPr>
                <w:color w:val="auto"/>
                <w:spacing w:val="1"/>
                <w:highlight w:val="none"/>
              </w:rPr>
              <w:t>报价唯一</w:t>
            </w:r>
          </w:p>
        </w:tc>
        <w:tc>
          <w:tcPr>
            <w:tcW w:w="4793" w:type="dxa"/>
          </w:tcPr>
          <w:p>
            <w:pPr>
              <w:pStyle w:val="10"/>
              <w:spacing w:before="155" w:line="420" w:lineRule="exact"/>
              <w:ind w:left="116"/>
              <w:rPr>
                <w:color w:val="auto"/>
                <w:highlight w:val="none"/>
                <w:lang w:eastAsia="zh-CN"/>
              </w:rPr>
            </w:pPr>
            <w:r>
              <w:rPr>
                <w:color w:val="auto"/>
                <w:spacing w:val="7"/>
                <w:position w:val="16"/>
                <w:highlight w:val="none"/>
                <w:lang w:eastAsia="zh-CN"/>
              </w:rPr>
              <w:t>投标报价文件（包括投标函）中的任何单价、合</w:t>
            </w:r>
          </w:p>
          <w:p>
            <w:pPr>
              <w:pStyle w:val="10"/>
              <w:spacing w:line="219" w:lineRule="auto"/>
              <w:ind w:left="114"/>
              <w:rPr>
                <w:color w:val="auto"/>
                <w:highlight w:val="none"/>
                <w:lang w:eastAsia="zh-CN"/>
              </w:rPr>
            </w:pPr>
            <w:r>
              <w:rPr>
                <w:color w:val="auto"/>
                <w:spacing w:val="-1"/>
                <w:highlight w:val="none"/>
                <w:lang w:eastAsia="zh-CN"/>
              </w:rPr>
              <w:t>价或总价只能有一个有效报价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tcPr>
          <w:p>
            <w:pPr>
              <w:pStyle w:val="10"/>
              <w:spacing w:before="175" w:line="219" w:lineRule="auto"/>
              <w:ind w:left="110"/>
              <w:rPr>
                <w:color w:val="auto"/>
                <w:highlight w:val="none"/>
              </w:rPr>
            </w:pPr>
            <w:r>
              <w:rPr>
                <w:color w:val="auto"/>
                <w:spacing w:val="-1"/>
                <w:highlight w:val="none"/>
              </w:rPr>
              <w:t>报价表格的完整性</w:t>
            </w:r>
          </w:p>
        </w:tc>
        <w:tc>
          <w:tcPr>
            <w:tcW w:w="4793" w:type="dxa"/>
          </w:tcPr>
          <w:p>
            <w:pPr>
              <w:pStyle w:val="10"/>
              <w:spacing w:before="175" w:line="219" w:lineRule="auto"/>
              <w:ind w:left="113"/>
              <w:rPr>
                <w:color w:val="auto"/>
                <w:highlight w:val="none"/>
                <w:lang w:eastAsia="zh-CN"/>
              </w:rPr>
            </w:pPr>
            <w:r>
              <w:rPr>
                <w:color w:val="auto"/>
                <w:spacing w:val="-1"/>
                <w:highlight w:val="none"/>
                <w:lang w:eastAsia="zh-CN"/>
              </w:rPr>
              <w:t>应按招标文件的要求完整报送投标报价应有表格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single" w:color="auto" w:sz="4" w:space="0"/>
            </w:tcBorders>
          </w:tcPr>
          <w:p>
            <w:pPr>
              <w:rPr>
                <w:color w:val="auto"/>
                <w:highlight w:val="none"/>
                <w:lang w:eastAsia="zh-CN"/>
              </w:rPr>
            </w:pPr>
          </w:p>
        </w:tc>
        <w:tc>
          <w:tcPr>
            <w:tcW w:w="1058" w:type="dxa"/>
            <w:vMerge w:val="continue"/>
            <w:tcBorders>
              <w:top w:val="nil"/>
              <w:bottom w:val="single" w:color="auto" w:sz="4" w:space="0"/>
            </w:tcBorders>
          </w:tcPr>
          <w:p>
            <w:pPr>
              <w:rPr>
                <w:color w:val="auto"/>
                <w:highlight w:val="none"/>
                <w:lang w:eastAsia="zh-CN"/>
              </w:rPr>
            </w:pPr>
          </w:p>
        </w:tc>
        <w:tc>
          <w:tcPr>
            <w:tcW w:w="2339" w:type="dxa"/>
            <w:tcBorders>
              <w:bottom w:val="single" w:color="auto" w:sz="4" w:space="0"/>
            </w:tcBorders>
          </w:tcPr>
          <w:p>
            <w:pPr>
              <w:spacing w:line="297" w:lineRule="auto"/>
              <w:rPr>
                <w:color w:val="auto"/>
                <w:highlight w:val="none"/>
                <w:lang w:eastAsia="zh-CN"/>
              </w:rPr>
            </w:pPr>
          </w:p>
          <w:p>
            <w:pPr>
              <w:pStyle w:val="10"/>
              <w:spacing w:before="68" w:line="221" w:lineRule="auto"/>
              <w:ind w:left="114"/>
              <w:rPr>
                <w:color w:val="auto"/>
                <w:highlight w:val="none"/>
              </w:rPr>
            </w:pPr>
            <w:r>
              <w:rPr>
                <w:color w:val="auto"/>
                <w:spacing w:val="-2"/>
                <w:highlight w:val="none"/>
              </w:rPr>
              <w:t>备选投标方案</w:t>
            </w:r>
          </w:p>
        </w:tc>
        <w:tc>
          <w:tcPr>
            <w:tcW w:w="4793" w:type="dxa"/>
            <w:tcBorders>
              <w:bottom w:val="single" w:color="auto" w:sz="4" w:space="0"/>
            </w:tcBorders>
          </w:tcPr>
          <w:p>
            <w:pPr>
              <w:pStyle w:val="10"/>
              <w:spacing w:before="156" w:line="420" w:lineRule="exact"/>
              <w:ind w:left="126"/>
              <w:rPr>
                <w:color w:val="auto"/>
                <w:highlight w:val="none"/>
                <w:lang w:eastAsia="zh-CN"/>
              </w:rPr>
            </w:pPr>
            <w:r>
              <w:rPr>
                <w:color w:val="auto"/>
                <w:spacing w:val="7"/>
                <w:position w:val="15"/>
                <w:highlight w:val="none"/>
                <w:lang w:eastAsia="zh-CN"/>
              </w:rPr>
              <w:t>除招标文件明确允许提交备选投标方案外，</w:t>
            </w:r>
            <w:r>
              <w:rPr>
                <w:color w:val="auto"/>
                <w:spacing w:val="6"/>
                <w:position w:val="15"/>
                <w:highlight w:val="none"/>
                <w:lang w:eastAsia="zh-CN"/>
              </w:rPr>
              <w:t>投标</w:t>
            </w:r>
          </w:p>
          <w:p>
            <w:pPr>
              <w:pStyle w:val="10"/>
              <w:spacing w:line="220" w:lineRule="auto"/>
              <w:ind w:left="115"/>
              <w:rPr>
                <w:color w:val="auto"/>
                <w:highlight w:val="none"/>
                <w:lang w:eastAsia="zh-CN"/>
              </w:rPr>
            </w:pPr>
            <w:r>
              <w:rPr>
                <w:color w:val="auto"/>
                <w:spacing w:val="-1"/>
                <w:highlight w:val="none"/>
                <w:lang w:eastAsia="zh-CN"/>
              </w:rPr>
              <w:t>人不得提交备选投标方案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restart"/>
            <w:tcBorders>
              <w:top w:val="single" w:color="auto" w:sz="4" w:space="0"/>
              <w:left w:val="single" w:color="auto" w:sz="4" w:space="0"/>
              <w:right w:val="single" w:color="auto" w:sz="4" w:space="0"/>
            </w:tcBorders>
          </w:tcPr>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line="243" w:lineRule="auto"/>
              <w:rPr>
                <w:color w:val="auto"/>
                <w:highlight w:val="none"/>
                <w:lang w:eastAsia="zh-CN"/>
              </w:rPr>
            </w:pPr>
          </w:p>
          <w:p>
            <w:pPr>
              <w:spacing w:before="61" w:line="189" w:lineRule="auto"/>
              <w:ind w:left="165"/>
              <w:rPr>
                <w:rFonts w:ascii="Times New Roman" w:hAnsi="Times New Roman" w:eastAsia="Times New Roman" w:cs="Times New Roman"/>
                <w:color w:val="auto"/>
                <w:highlight w:val="none"/>
              </w:rPr>
            </w:pPr>
            <w:r>
              <w:rPr>
                <w:rFonts w:ascii="Times New Roman" w:hAnsi="Times New Roman" w:eastAsia="Times New Roman" w:cs="Times New Roman"/>
                <w:color w:val="auto"/>
                <w:spacing w:val="-1"/>
                <w:highlight w:val="none"/>
              </w:rPr>
              <w:t>2.1.2</w:t>
            </w:r>
          </w:p>
        </w:tc>
        <w:tc>
          <w:tcPr>
            <w:tcW w:w="1058" w:type="dxa"/>
            <w:vMerge w:val="restart"/>
            <w:tcBorders>
              <w:top w:val="single" w:color="auto" w:sz="4" w:space="0"/>
              <w:left w:val="single" w:color="auto" w:sz="4" w:space="0"/>
              <w:right w:val="single" w:color="auto" w:sz="4" w:space="0"/>
            </w:tcBorders>
          </w:tcPr>
          <w:p>
            <w:pPr>
              <w:spacing w:line="246" w:lineRule="auto"/>
              <w:rPr>
                <w:color w:val="auto"/>
                <w:highlight w:val="none"/>
              </w:rPr>
            </w:pPr>
          </w:p>
          <w:p>
            <w:pPr>
              <w:spacing w:line="246" w:lineRule="auto"/>
              <w:rPr>
                <w:color w:val="auto"/>
                <w:highlight w:val="none"/>
              </w:rPr>
            </w:pPr>
          </w:p>
          <w:p>
            <w:pPr>
              <w:spacing w:line="246" w:lineRule="auto"/>
              <w:rPr>
                <w:color w:val="auto"/>
                <w:highlight w:val="none"/>
              </w:rPr>
            </w:pPr>
          </w:p>
          <w:p>
            <w:pPr>
              <w:spacing w:line="247" w:lineRule="auto"/>
              <w:rPr>
                <w:color w:val="auto"/>
                <w:highlight w:val="none"/>
              </w:rPr>
            </w:pPr>
          </w:p>
          <w:p>
            <w:pPr>
              <w:spacing w:line="247" w:lineRule="auto"/>
              <w:rPr>
                <w:color w:val="auto"/>
                <w:highlight w:val="none"/>
              </w:rPr>
            </w:pPr>
          </w:p>
          <w:p>
            <w:pPr>
              <w:spacing w:line="247" w:lineRule="auto"/>
              <w:rPr>
                <w:color w:val="auto"/>
                <w:highlight w:val="none"/>
              </w:rPr>
            </w:pPr>
          </w:p>
          <w:p>
            <w:pPr>
              <w:spacing w:line="247" w:lineRule="auto"/>
              <w:rPr>
                <w:color w:val="auto"/>
                <w:highlight w:val="none"/>
              </w:rPr>
            </w:pPr>
          </w:p>
          <w:p>
            <w:pPr>
              <w:pStyle w:val="10"/>
              <w:spacing w:before="68" w:line="420" w:lineRule="exact"/>
              <w:ind w:left="331"/>
              <w:rPr>
                <w:color w:val="auto"/>
                <w:highlight w:val="none"/>
              </w:rPr>
            </w:pPr>
            <w:r>
              <w:rPr>
                <w:color w:val="auto"/>
                <w:spacing w:val="-4"/>
                <w:position w:val="15"/>
                <w:highlight w:val="none"/>
              </w:rPr>
              <w:t>资格</w:t>
            </w:r>
          </w:p>
          <w:p>
            <w:pPr>
              <w:pStyle w:val="10"/>
              <w:spacing w:line="221" w:lineRule="auto"/>
              <w:ind w:left="321"/>
              <w:rPr>
                <w:color w:val="auto"/>
                <w:highlight w:val="none"/>
              </w:rPr>
            </w:pPr>
            <w:r>
              <w:rPr>
                <w:color w:val="auto"/>
                <w:spacing w:val="-2"/>
                <w:highlight w:val="none"/>
              </w:rPr>
              <w:t>评审</w:t>
            </w:r>
          </w:p>
          <w:p>
            <w:pPr>
              <w:pStyle w:val="10"/>
              <w:spacing w:before="168" w:line="221" w:lineRule="auto"/>
              <w:ind w:left="323"/>
              <w:rPr>
                <w:color w:val="auto"/>
                <w:highlight w:val="none"/>
              </w:rPr>
            </w:pPr>
            <w:r>
              <w:rPr>
                <w:color w:val="auto"/>
                <w:spacing w:val="-2"/>
                <w:highlight w:val="none"/>
              </w:rPr>
              <w:t>标准</w:t>
            </w:r>
          </w:p>
        </w:tc>
        <w:tc>
          <w:tcPr>
            <w:tcW w:w="2339" w:type="dxa"/>
            <w:tcBorders>
              <w:top w:val="single" w:color="auto" w:sz="4" w:space="0"/>
              <w:left w:val="single" w:color="auto" w:sz="4" w:space="0"/>
              <w:bottom w:val="single" w:color="auto" w:sz="4" w:space="0"/>
              <w:right w:val="single" w:color="auto" w:sz="4" w:space="0"/>
            </w:tcBorders>
          </w:tcPr>
          <w:p>
            <w:pPr>
              <w:pStyle w:val="10"/>
              <w:spacing w:before="174" w:line="221" w:lineRule="auto"/>
              <w:ind w:left="118"/>
              <w:rPr>
                <w:color w:val="auto"/>
                <w:highlight w:val="none"/>
              </w:rPr>
            </w:pPr>
            <w:r>
              <w:rPr>
                <w:color w:val="auto"/>
                <w:spacing w:val="-3"/>
                <w:highlight w:val="none"/>
              </w:rPr>
              <w:t>营业执照</w:t>
            </w:r>
          </w:p>
        </w:tc>
        <w:tc>
          <w:tcPr>
            <w:tcW w:w="4793" w:type="dxa"/>
            <w:tcBorders>
              <w:top w:val="single" w:color="auto" w:sz="4" w:space="0"/>
              <w:left w:val="single" w:color="auto" w:sz="4" w:space="0"/>
              <w:bottom w:val="single" w:color="auto" w:sz="4" w:space="0"/>
              <w:right w:val="single" w:color="auto" w:sz="4" w:space="0"/>
            </w:tcBorders>
          </w:tcPr>
          <w:p>
            <w:pPr>
              <w:pStyle w:val="10"/>
              <w:spacing w:before="174" w:line="221" w:lineRule="auto"/>
              <w:ind w:left="117"/>
              <w:rPr>
                <w:color w:val="auto"/>
                <w:highlight w:val="none"/>
              </w:rPr>
            </w:pPr>
            <w:r>
              <w:rPr>
                <w:color w:val="auto"/>
                <w:spacing w:val="-1"/>
                <w:highlight w:val="none"/>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left w:val="single" w:color="auto" w:sz="4" w:space="0"/>
              <w:right w:val="single" w:color="auto" w:sz="4" w:space="0"/>
            </w:tcBorders>
          </w:tcPr>
          <w:p>
            <w:pPr>
              <w:rPr>
                <w:color w:val="auto"/>
                <w:highlight w:val="none"/>
              </w:rPr>
            </w:pPr>
          </w:p>
        </w:tc>
        <w:tc>
          <w:tcPr>
            <w:tcW w:w="1058" w:type="dxa"/>
            <w:vMerge w:val="continue"/>
            <w:tcBorders>
              <w:left w:val="single" w:color="auto" w:sz="4" w:space="0"/>
              <w:right w:val="single" w:color="auto" w:sz="4" w:space="0"/>
            </w:tcBorders>
          </w:tcPr>
          <w:p>
            <w:pPr>
              <w:rPr>
                <w:color w:val="auto"/>
                <w:highlight w:val="none"/>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74" w:line="221" w:lineRule="auto"/>
              <w:ind w:left="116"/>
              <w:rPr>
                <w:color w:val="auto"/>
                <w:highlight w:val="none"/>
              </w:rPr>
            </w:pPr>
            <w:r>
              <w:rPr>
                <w:color w:val="auto"/>
                <w:spacing w:val="-2"/>
                <w:highlight w:val="none"/>
              </w:rPr>
              <w:t>安全生产许可证</w:t>
            </w:r>
          </w:p>
        </w:tc>
        <w:tc>
          <w:tcPr>
            <w:tcW w:w="4793" w:type="dxa"/>
            <w:tcBorders>
              <w:top w:val="single" w:color="auto" w:sz="4" w:space="0"/>
              <w:left w:val="single" w:color="auto" w:sz="4" w:space="0"/>
              <w:bottom w:val="single" w:color="auto" w:sz="4" w:space="0"/>
              <w:right w:val="single" w:color="auto" w:sz="4" w:space="0"/>
            </w:tcBorders>
          </w:tcPr>
          <w:p>
            <w:pPr>
              <w:pStyle w:val="10"/>
              <w:spacing w:before="174" w:line="221" w:lineRule="auto"/>
              <w:ind w:left="117"/>
              <w:rPr>
                <w:color w:val="auto"/>
                <w:highlight w:val="none"/>
                <w:lang w:eastAsia="zh-CN"/>
              </w:rPr>
            </w:pPr>
            <w:r>
              <w:rPr>
                <w:color w:val="auto"/>
                <w:spacing w:val="-1"/>
                <w:highlight w:val="none"/>
                <w:lang w:eastAsia="zh-CN"/>
              </w:rPr>
              <w:t>具备有效的安全生产许可证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Borders>
              <w:left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76" w:line="221" w:lineRule="auto"/>
              <w:ind w:left="121"/>
              <w:rPr>
                <w:color w:val="auto"/>
                <w:highlight w:val="none"/>
              </w:rPr>
            </w:pPr>
            <w:r>
              <w:rPr>
                <w:color w:val="auto"/>
                <w:spacing w:val="-4"/>
                <w:highlight w:val="none"/>
              </w:rPr>
              <w:t>资质等级</w:t>
            </w:r>
          </w:p>
        </w:tc>
        <w:tc>
          <w:tcPr>
            <w:tcW w:w="4793" w:type="dxa"/>
            <w:tcBorders>
              <w:top w:val="single" w:color="auto" w:sz="4" w:space="0"/>
              <w:left w:val="single" w:color="auto" w:sz="4" w:space="0"/>
              <w:bottom w:val="single" w:color="auto" w:sz="4" w:space="0"/>
              <w:right w:val="single" w:color="auto" w:sz="4" w:space="0"/>
            </w:tcBorders>
          </w:tcPr>
          <w:p>
            <w:pPr>
              <w:pStyle w:val="10"/>
              <w:spacing w:before="177"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left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75" w:line="220" w:lineRule="auto"/>
              <w:ind w:left="111"/>
              <w:rPr>
                <w:color w:val="auto"/>
                <w:highlight w:val="none"/>
              </w:rPr>
            </w:pPr>
            <w:r>
              <w:rPr>
                <w:color w:val="auto"/>
                <w:spacing w:val="-2"/>
                <w:highlight w:val="none"/>
              </w:rPr>
              <w:t>信誉</w:t>
            </w:r>
          </w:p>
        </w:tc>
        <w:tc>
          <w:tcPr>
            <w:tcW w:w="4793" w:type="dxa"/>
            <w:tcBorders>
              <w:top w:val="single" w:color="auto" w:sz="4" w:space="0"/>
              <w:left w:val="single" w:color="auto" w:sz="4" w:space="0"/>
              <w:bottom w:val="single" w:color="auto" w:sz="4" w:space="0"/>
              <w:right w:val="single" w:color="auto" w:sz="4" w:space="0"/>
            </w:tcBorders>
          </w:tcPr>
          <w:p>
            <w:pPr>
              <w:pStyle w:val="10"/>
              <w:spacing w:before="175"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left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75" w:line="221" w:lineRule="auto"/>
              <w:ind w:left="115"/>
              <w:rPr>
                <w:color w:val="auto"/>
                <w:highlight w:val="none"/>
              </w:rPr>
            </w:pPr>
            <w:r>
              <w:rPr>
                <w:color w:val="auto"/>
                <w:spacing w:val="-2"/>
                <w:highlight w:val="none"/>
              </w:rPr>
              <w:t>项目经理资格</w:t>
            </w:r>
          </w:p>
        </w:tc>
        <w:tc>
          <w:tcPr>
            <w:tcW w:w="4793" w:type="dxa"/>
            <w:tcBorders>
              <w:top w:val="single" w:color="auto" w:sz="4" w:space="0"/>
              <w:left w:val="single" w:color="auto" w:sz="4" w:space="0"/>
              <w:bottom w:val="single" w:color="auto" w:sz="4" w:space="0"/>
              <w:right w:val="single" w:color="auto" w:sz="4" w:space="0"/>
            </w:tcBorders>
          </w:tcPr>
          <w:p>
            <w:pPr>
              <w:pStyle w:val="10"/>
              <w:spacing w:before="175"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Borders>
              <w:left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78" w:line="221" w:lineRule="auto"/>
              <w:ind w:left="111"/>
              <w:rPr>
                <w:color w:val="auto"/>
                <w:highlight w:val="none"/>
              </w:rPr>
            </w:pPr>
            <w:r>
              <w:rPr>
                <w:color w:val="auto"/>
                <w:spacing w:val="-2"/>
                <w:highlight w:val="none"/>
              </w:rPr>
              <w:t>业绩</w:t>
            </w:r>
          </w:p>
        </w:tc>
        <w:tc>
          <w:tcPr>
            <w:tcW w:w="4793" w:type="dxa"/>
            <w:tcBorders>
              <w:top w:val="single" w:color="auto" w:sz="4" w:space="0"/>
              <w:left w:val="single" w:color="auto" w:sz="4" w:space="0"/>
              <w:bottom w:val="single" w:color="auto" w:sz="4" w:space="0"/>
              <w:right w:val="single" w:color="auto" w:sz="4" w:space="0"/>
            </w:tcBorders>
          </w:tcPr>
          <w:p>
            <w:pPr>
              <w:pStyle w:val="10"/>
              <w:spacing w:before="178"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Borders>
              <w:left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59" w:line="420" w:lineRule="exact"/>
              <w:ind w:left="115"/>
              <w:rPr>
                <w:color w:val="auto"/>
                <w:highlight w:val="none"/>
                <w:lang w:eastAsia="zh-CN"/>
              </w:rPr>
            </w:pPr>
            <w:r>
              <w:rPr>
                <w:color w:val="auto"/>
                <w:spacing w:val="1"/>
                <w:position w:val="16"/>
                <w:highlight w:val="none"/>
                <w:lang w:eastAsia="zh-CN"/>
              </w:rPr>
              <w:t>项目管理机构主要人员</w:t>
            </w:r>
          </w:p>
          <w:p>
            <w:pPr>
              <w:pStyle w:val="10"/>
              <w:spacing w:line="222" w:lineRule="auto"/>
              <w:ind w:left="112"/>
              <w:rPr>
                <w:color w:val="auto"/>
                <w:highlight w:val="none"/>
                <w:lang w:eastAsia="zh-CN"/>
              </w:rPr>
            </w:pPr>
            <w:r>
              <w:rPr>
                <w:color w:val="auto"/>
                <w:spacing w:val="-2"/>
                <w:highlight w:val="none"/>
                <w:lang w:eastAsia="zh-CN"/>
              </w:rPr>
              <w:t>要求</w:t>
            </w:r>
          </w:p>
        </w:tc>
        <w:tc>
          <w:tcPr>
            <w:tcW w:w="4793" w:type="dxa"/>
            <w:tcBorders>
              <w:top w:val="single" w:color="auto" w:sz="4" w:space="0"/>
              <w:left w:val="single" w:color="auto" w:sz="4" w:space="0"/>
              <w:bottom w:val="single" w:color="auto" w:sz="4" w:space="0"/>
              <w:right w:val="single" w:color="auto" w:sz="4" w:space="0"/>
            </w:tcBorders>
          </w:tcPr>
          <w:p>
            <w:pPr>
              <w:spacing w:line="298" w:lineRule="auto"/>
              <w:rPr>
                <w:color w:val="auto"/>
                <w:highlight w:val="none"/>
                <w:lang w:eastAsia="zh-CN"/>
              </w:rPr>
            </w:pPr>
          </w:p>
          <w:p>
            <w:pPr>
              <w:pStyle w:val="10"/>
              <w:spacing w:before="68"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left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pStyle w:val="10"/>
              <w:spacing w:before="176" w:line="221" w:lineRule="auto"/>
              <w:ind w:left="112"/>
              <w:rPr>
                <w:color w:val="auto"/>
                <w:highlight w:val="none"/>
              </w:rPr>
            </w:pPr>
            <w:r>
              <w:rPr>
                <w:color w:val="auto"/>
                <w:spacing w:val="-2"/>
                <w:highlight w:val="none"/>
              </w:rPr>
              <w:t>其他要求</w:t>
            </w:r>
          </w:p>
        </w:tc>
        <w:tc>
          <w:tcPr>
            <w:tcW w:w="4793" w:type="dxa"/>
            <w:tcBorders>
              <w:top w:val="single" w:color="auto" w:sz="4" w:space="0"/>
              <w:left w:val="single" w:color="auto" w:sz="4" w:space="0"/>
              <w:bottom w:val="single" w:color="auto" w:sz="4" w:space="0"/>
              <w:right w:val="single" w:color="auto" w:sz="4" w:space="0"/>
            </w:tcBorders>
          </w:tcPr>
          <w:p>
            <w:pPr>
              <w:pStyle w:val="10"/>
              <w:spacing w:before="176"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left w:val="single" w:color="auto" w:sz="4" w:space="0"/>
              <w:bottom w:val="single" w:color="auto" w:sz="4" w:space="0"/>
              <w:right w:val="single" w:color="auto" w:sz="4" w:space="0"/>
            </w:tcBorders>
          </w:tcPr>
          <w:p>
            <w:pPr>
              <w:rPr>
                <w:color w:val="auto"/>
                <w:highlight w:val="none"/>
                <w:lang w:eastAsia="zh-CN"/>
              </w:rPr>
            </w:pPr>
          </w:p>
        </w:tc>
        <w:tc>
          <w:tcPr>
            <w:tcW w:w="1058" w:type="dxa"/>
            <w:vMerge w:val="continue"/>
            <w:tcBorders>
              <w:left w:val="single" w:color="auto" w:sz="4" w:space="0"/>
              <w:bottom w:val="single" w:color="auto" w:sz="4" w:space="0"/>
              <w:right w:val="single" w:color="auto" w:sz="4" w:space="0"/>
            </w:tcBorders>
          </w:tcPr>
          <w:p>
            <w:pPr>
              <w:rPr>
                <w:color w:val="auto"/>
                <w:highlight w:val="none"/>
                <w:lang w:eastAsia="zh-CN"/>
              </w:rPr>
            </w:pPr>
          </w:p>
        </w:tc>
        <w:tc>
          <w:tcPr>
            <w:tcW w:w="2339" w:type="dxa"/>
            <w:tcBorders>
              <w:top w:val="single" w:color="auto" w:sz="4" w:space="0"/>
              <w:left w:val="single" w:color="auto" w:sz="4" w:space="0"/>
              <w:bottom w:val="single" w:color="auto" w:sz="4" w:space="0"/>
              <w:right w:val="single" w:color="auto" w:sz="4" w:space="0"/>
            </w:tcBorders>
          </w:tcPr>
          <w:p>
            <w:pPr>
              <w:spacing w:line="297" w:lineRule="auto"/>
              <w:rPr>
                <w:color w:val="auto"/>
                <w:highlight w:val="none"/>
                <w:lang w:eastAsia="zh-CN"/>
              </w:rPr>
            </w:pPr>
          </w:p>
          <w:p>
            <w:pPr>
              <w:pStyle w:val="10"/>
              <w:spacing w:before="176" w:line="221" w:lineRule="auto"/>
              <w:ind w:left="112"/>
              <w:rPr>
                <w:color w:val="auto"/>
                <w:spacing w:val="-2"/>
                <w:highlight w:val="none"/>
              </w:rPr>
            </w:pPr>
            <w:bookmarkStart w:id="91" w:name="bookmark124"/>
            <w:bookmarkEnd w:id="91"/>
            <w:bookmarkStart w:id="92" w:name="bookmark123"/>
            <w:bookmarkEnd w:id="92"/>
            <w:bookmarkStart w:id="93" w:name="bookmark122"/>
            <w:bookmarkEnd w:id="93"/>
            <w:r>
              <w:rPr>
                <w:color w:val="auto"/>
                <w:spacing w:val="-1"/>
                <w:highlight w:val="none"/>
                <w:lang w:eastAsia="zh-CN"/>
              </w:rPr>
              <w:t>不存在禁止投标的情形</w:t>
            </w:r>
          </w:p>
        </w:tc>
        <w:tc>
          <w:tcPr>
            <w:tcW w:w="4793" w:type="dxa"/>
            <w:tcBorders>
              <w:top w:val="single" w:color="auto" w:sz="4" w:space="0"/>
              <w:left w:val="single" w:color="auto" w:sz="4" w:space="0"/>
              <w:bottom w:val="single" w:color="auto" w:sz="4" w:space="0"/>
              <w:right w:val="single" w:color="auto" w:sz="4" w:space="0"/>
            </w:tcBorders>
          </w:tcPr>
          <w:p>
            <w:pPr>
              <w:pStyle w:val="10"/>
              <w:spacing w:before="159" w:line="420" w:lineRule="exact"/>
              <w:ind w:left="116"/>
              <w:rPr>
                <w:color w:val="auto"/>
                <w:highlight w:val="none"/>
                <w:lang w:eastAsia="zh-CN"/>
              </w:rPr>
            </w:pPr>
            <w:r>
              <w:rPr>
                <w:color w:val="auto"/>
                <w:spacing w:val="-2"/>
                <w:position w:val="15"/>
                <w:highlight w:val="none"/>
                <w:lang w:eastAsia="zh-CN"/>
              </w:rPr>
              <w:t xml:space="preserve">不存在第二章“投标人须知”第 </w:t>
            </w:r>
            <w:r>
              <w:rPr>
                <w:rFonts w:ascii="Times New Roman" w:hAnsi="Times New Roman" w:eastAsia="Times New Roman" w:cs="Times New Roman"/>
                <w:color w:val="auto"/>
                <w:spacing w:val="-2"/>
                <w:position w:val="15"/>
                <w:highlight w:val="none"/>
                <w:lang w:eastAsia="zh-CN"/>
              </w:rPr>
              <w:t>1.4.3</w:t>
            </w:r>
            <w:r>
              <w:rPr>
                <w:rFonts w:ascii="Times New Roman" w:hAnsi="Times New Roman" w:eastAsia="Times New Roman" w:cs="Times New Roman"/>
                <w:color w:val="auto"/>
                <w:spacing w:val="50"/>
                <w:position w:val="15"/>
                <w:highlight w:val="none"/>
                <w:lang w:eastAsia="zh-CN"/>
              </w:rPr>
              <w:t xml:space="preserve"> </w:t>
            </w:r>
            <w:r>
              <w:rPr>
                <w:color w:val="auto"/>
                <w:spacing w:val="-2"/>
                <w:position w:val="15"/>
                <w:highlight w:val="none"/>
                <w:lang w:eastAsia="zh-CN"/>
              </w:rPr>
              <w:t>项规定的任</w:t>
            </w:r>
          </w:p>
          <w:p>
            <w:pPr>
              <w:pStyle w:val="10"/>
              <w:spacing w:before="176" w:line="220" w:lineRule="auto"/>
              <w:ind w:left="115"/>
              <w:rPr>
                <w:color w:val="auto"/>
                <w:spacing w:val="-2"/>
                <w:highlight w:val="none"/>
                <w:lang w:eastAsia="zh-CN"/>
              </w:rPr>
            </w:pPr>
            <w:r>
              <w:rPr>
                <w:color w:val="auto"/>
                <w:spacing w:val="-2"/>
                <w:highlight w:val="none"/>
              </w:rPr>
              <w:t>何一种情形</w:t>
            </w:r>
          </w:p>
        </w:tc>
      </w:tr>
    </w:tbl>
    <w:p>
      <w:pPr>
        <w:pStyle w:val="2"/>
        <w:rPr>
          <w:color w:val="auto"/>
          <w:highlight w:val="none"/>
          <w:lang w:eastAsia="zh-CN"/>
        </w:rPr>
      </w:pPr>
    </w:p>
    <w:p>
      <w:pPr>
        <w:kinsoku/>
        <w:autoSpaceDE/>
        <w:autoSpaceDN/>
        <w:adjustRightInd/>
        <w:snapToGrid/>
        <w:textAlignment w:val="auto"/>
        <w:rPr>
          <w:color w:val="auto"/>
          <w:highlight w:val="none"/>
          <w:lang w:eastAsia="zh-CN"/>
        </w:rPr>
      </w:pPr>
      <w:r>
        <w:rPr>
          <w:color w:val="auto"/>
          <w:highlight w:val="none"/>
          <w:lang w:eastAsia="zh-CN"/>
        </w:rPr>
        <w:br w:type="page"/>
      </w:r>
    </w:p>
    <w:p>
      <w:pPr>
        <w:spacing w:before="29"/>
        <w:rPr>
          <w:color w:val="auto"/>
          <w:highlight w:val="none"/>
          <w:lang w:eastAsia="zh-CN"/>
        </w:rPr>
      </w:pPr>
    </w:p>
    <w:tbl>
      <w:tblPr>
        <w:tblStyle w:val="9"/>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085"/>
        <w:gridCol w:w="254"/>
        <w:gridCol w:w="4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restart"/>
            <w:tcBorders>
              <w:bottom w:val="nil"/>
            </w:tcBorders>
          </w:tcPr>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2" w:lineRule="auto"/>
              <w:rPr>
                <w:color w:val="auto"/>
                <w:highlight w:val="none"/>
              </w:rPr>
            </w:pPr>
          </w:p>
          <w:p>
            <w:pPr>
              <w:spacing w:line="252" w:lineRule="auto"/>
              <w:rPr>
                <w:color w:val="auto"/>
                <w:highlight w:val="none"/>
              </w:rPr>
            </w:pPr>
          </w:p>
          <w:p>
            <w:pPr>
              <w:spacing w:line="252" w:lineRule="auto"/>
              <w:rPr>
                <w:color w:val="auto"/>
                <w:highlight w:val="none"/>
              </w:rPr>
            </w:pPr>
          </w:p>
          <w:p>
            <w:pPr>
              <w:spacing w:line="252" w:lineRule="auto"/>
              <w:rPr>
                <w:color w:val="auto"/>
                <w:highlight w:val="none"/>
              </w:rPr>
            </w:pPr>
          </w:p>
          <w:p>
            <w:pPr>
              <w:spacing w:before="60" w:line="189" w:lineRule="auto"/>
              <w:ind w:left="165"/>
              <w:rPr>
                <w:rFonts w:ascii="Times New Roman" w:hAnsi="Times New Roman" w:eastAsia="Times New Roman" w:cs="Times New Roman"/>
                <w:color w:val="auto"/>
                <w:highlight w:val="none"/>
              </w:rPr>
            </w:pPr>
            <w:r>
              <w:rPr>
                <w:rFonts w:ascii="Times New Roman" w:hAnsi="Times New Roman" w:eastAsia="Times New Roman" w:cs="Times New Roman"/>
                <w:color w:val="auto"/>
                <w:spacing w:val="-1"/>
                <w:highlight w:val="none"/>
              </w:rPr>
              <w:t>2.1.3</w:t>
            </w:r>
          </w:p>
        </w:tc>
        <w:tc>
          <w:tcPr>
            <w:tcW w:w="1058" w:type="dxa"/>
            <w:vMerge w:val="restart"/>
            <w:tcBorders>
              <w:bottom w:val="nil"/>
            </w:tcBorders>
          </w:tcPr>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1" w:lineRule="auto"/>
              <w:rPr>
                <w:color w:val="auto"/>
                <w:highlight w:val="none"/>
              </w:rPr>
            </w:pPr>
          </w:p>
          <w:p>
            <w:pPr>
              <w:spacing w:line="252" w:lineRule="auto"/>
              <w:rPr>
                <w:color w:val="auto"/>
                <w:highlight w:val="none"/>
              </w:rPr>
            </w:pPr>
          </w:p>
          <w:p>
            <w:pPr>
              <w:pStyle w:val="10"/>
              <w:spacing w:before="68" w:line="420" w:lineRule="exact"/>
              <w:ind w:left="122"/>
              <w:rPr>
                <w:color w:val="auto"/>
                <w:highlight w:val="none"/>
              </w:rPr>
            </w:pPr>
            <w:r>
              <w:rPr>
                <w:color w:val="auto"/>
                <w:spacing w:val="-9"/>
                <w:position w:val="15"/>
                <w:highlight w:val="none"/>
              </w:rPr>
              <w:t>响</w:t>
            </w:r>
            <w:r>
              <w:rPr>
                <w:color w:val="auto"/>
                <w:spacing w:val="9"/>
                <w:position w:val="15"/>
                <w:highlight w:val="none"/>
              </w:rPr>
              <w:t xml:space="preserve"> </w:t>
            </w:r>
            <w:r>
              <w:rPr>
                <w:color w:val="auto"/>
                <w:spacing w:val="-9"/>
                <w:position w:val="15"/>
                <w:highlight w:val="none"/>
              </w:rPr>
              <w:t>应</w:t>
            </w:r>
            <w:r>
              <w:rPr>
                <w:color w:val="auto"/>
                <w:spacing w:val="9"/>
                <w:position w:val="15"/>
                <w:highlight w:val="none"/>
              </w:rPr>
              <w:t xml:space="preserve"> </w:t>
            </w:r>
            <w:r>
              <w:rPr>
                <w:color w:val="auto"/>
                <w:spacing w:val="-9"/>
                <w:position w:val="15"/>
                <w:highlight w:val="none"/>
              </w:rPr>
              <w:t>性</w:t>
            </w:r>
          </w:p>
          <w:p>
            <w:pPr>
              <w:pStyle w:val="10"/>
              <w:spacing w:line="221" w:lineRule="auto"/>
              <w:ind w:left="110"/>
              <w:rPr>
                <w:color w:val="auto"/>
                <w:highlight w:val="none"/>
              </w:rPr>
            </w:pPr>
            <w:r>
              <w:rPr>
                <w:color w:val="auto"/>
                <w:spacing w:val="-1"/>
                <w:highlight w:val="none"/>
              </w:rPr>
              <w:t>评审标准</w:t>
            </w:r>
          </w:p>
        </w:tc>
        <w:tc>
          <w:tcPr>
            <w:tcW w:w="2339" w:type="dxa"/>
            <w:gridSpan w:val="2"/>
          </w:tcPr>
          <w:p>
            <w:pPr>
              <w:pStyle w:val="10"/>
              <w:spacing w:before="171" w:line="221" w:lineRule="auto"/>
              <w:ind w:left="114"/>
              <w:rPr>
                <w:color w:val="auto"/>
                <w:highlight w:val="none"/>
              </w:rPr>
            </w:pPr>
            <w:r>
              <w:rPr>
                <w:color w:val="auto"/>
                <w:spacing w:val="-2"/>
                <w:highlight w:val="none"/>
              </w:rPr>
              <w:t>投标内容</w:t>
            </w:r>
          </w:p>
        </w:tc>
        <w:tc>
          <w:tcPr>
            <w:tcW w:w="4793" w:type="dxa"/>
          </w:tcPr>
          <w:p>
            <w:pPr>
              <w:pStyle w:val="10"/>
              <w:spacing w:before="171"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1.3.1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pStyle w:val="10"/>
              <w:spacing w:before="172" w:line="221" w:lineRule="auto"/>
              <w:ind w:left="111"/>
              <w:rPr>
                <w:color w:val="auto"/>
                <w:highlight w:val="none"/>
              </w:rPr>
            </w:pPr>
            <w:r>
              <w:rPr>
                <w:color w:val="auto"/>
                <w:spacing w:val="-2"/>
                <w:highlight w:val="none"/>
              </w:rPr>
              <w:t>计划工期</w:t>
            </w:r>
          </w:p>
        </w:tc>
        <w:tc>
          <w:tcPr>
            <w:tcW w:w="4793" w:type="dxa"/>
          </w:tcPr>
          <w:p>
            <w:pPr>
              <w:pStyle w:val="10"/>
              <w:spacing w:before="171"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1.3.2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pStyle w:val="10"/>
              <w:spacing w:before="172" w:line="221" w:lineRule="auto"/>
              <w:ind w:left="114"/>
              <w:rPr>
                <w:color w:val="auto"/>
                <w:highlight w:val="none"/>
              </w:rPr>
            </w:pPr>
            <w:r>
              <w:rPr>
                <w:color w:val="auto"/>
                <w:spacing w:val="-2"/>
                <w:highlight w:val="none"/>
              </w:rPr>
              <w:t>工程质量</w:t>
            </w:r>
          </w:p>
        </w:tc>
        <w:tc>
          <w:tcPr>
            <w:tcW w:w="4793" w:type="dxa"/>
          </w:tcPr>
          <w:p>
            <w:pPr>
              <w:pStyle w:val="10"/>
              <w:spacing w:before="172" w:line="220" w:lineRule="auto"/>
              <w:ind w:left="115"/>
              <w:rPr>
                <w:color w:val="auto"/>
                <w:highlight w:val="none"/>
                <w:lang w:eastAsia="zh-CN"/>
              </w:rPr>
            </w:pPr>
            <w:r>
              <w:rPr>
                <w:color w:val="auto"/>
                <w:spacing w:val="-2"/>
                <w:highlight w:val="none"/>
                <w:lang w:eastAsia="zh-CN"/>
              </w:rPr>
              <w:t>符合第二章“投标人须知”第</w:t>
            </w:r>
            <w:r>
              <w:rPr>
                <w:color w:val="auto"/>
                <w:spacing w:val="-16"/>
                <w:highlight w:val="none"/>
                <w:lang w:eastAsia="zh-CN"/>
              </w:rPr>
              <w:t xml:space="preserve"> </w:t>
            </w:r>
            <w:r>
              <w:rPr>
                <w:rFonts w:ascii="Times New Roman" w:hAnsi="Times New Roman" w:eastAsia="Times New Roman" w:cs="Times New Roman"/>
                <w:color w:val="auto"/>
                <w:spacing w:val="-2"/>
                <w:highlight w:val="none"/>
                <w:lang w:eastAsia="zh-CN"/>
              </w:rPr>
              <w:t xml:space="preserve">1.3.3 </w:t>
            </w:r>
            <w:r>
              <w:rPr>
                <w:color w:val="auto"/>
                <w:spacing w:val="-2"/>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pStyle w:val="10"/>
              <w:spacing w:before="172" w:line="221" w:lineRule="auto"/>
              <w:ind w:left="114"/>
              <w:rPr>
                <w:color w:val="auto"/>
                <w:highlight w:val="none"/>
              </w:rPr>
            </w:pPr>
            <w:r>
              <w:rPr>
                <w:color w:val="auto"/>
                <w:spacing w:val="-2"/>
                <w:highlight w:val="none"/>
              </w:rPr>
              <w:t>投标有效期</w:t>
            </w:r>
          </w:p>
        </w:tc>
        <w:tc>
          <w:tcPr>
            <w:tcW w:w="4793" w:type="dxa"/>
          </w:tcPr>
          <w:p>
            <w:pPr>
              <w:pStyle w:val="10"/>
              <w:spacing w:before="172" w:line="220" w:lineRule="auto"/>
              <w:ind w:left="115"/>
              <w:rPr>
                <w:color w:val="auto"/>
                <w:highlight w:val="none"/>
                <w:lang w:eastAsia="zh-CN"/>
              </w:rPr>
            </w:pPr>
            <w:r>
              <w:rPr>
                <w:color w:val="auto"/>
                <w:spacing w:val="-1"/>
                <w:highlight w:val="none"/>
                <w:lang w:eastAsia="zh-CN"/>
              </w:rPr>
              <w:t>符合第二章“投标人须知”第</w:t>
            </w:r>
            <w:r>
              <w:rPr>
                <w:color w:val="auto"/>
                <w:spacing w:val="-38"/>
                <w:highlight w:val="none"/>
                <w:lang w:eastAsia="zh-CN"/>
              </w:rPr>
              <w:t xml:space="preserve"> </w:t>
            </w:r>
            <w:r>
              <w:rPr>
                <w:rFonts w:ascii="Times New Roman" w:hAnsi="Times New Roman" w:eastAsia="Times New Roman" w:cs="Times New Roman"/>
                <w:color w:val="auto"/>
                <w:spacing w:val="-1"/>
                <w:highlight w:val="none"/>
                <w:lang w:eastAsia="zh-CN"/>
              </w:rPr>
              <w:t xml:space="preserve">3.3.1 </w:t>
            </w:r>
            <w:r>
              <w:rPr>
                <w:color w:val="auto"/>
                <w:spacing w:val="-1"/>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pStyle w:val="10"/>
              <w:spacing w:before="173" w:line="221" w:lineRule="auto"/>
              <w:ind w:left="114"/>
              <w:rPr>
                <w:color w:val="auto"/>
                <w:highlight w:val="none"/>
              </w:rPr>
            </w:pPr>
            <w:r>
              <w:rPr>
                <w:color w:val="auto"/>
                <w:spacing w:val="-2"/>
                <w:highlight w:val="none"/>
              </w:rPr>
              <w:t>投标保证金</w:t>
            </w:r>
          </w:p>
        </w:tc>
        <w:tc>
          <w:tcPr>
            <w:tcW w:w="4793" w:type="dxa"/>
          </w:tcPr>
          <w:p>
            <w:pPr>
              <w:pStyle w:val="10"/>
              <w:spacing w:before="173" w:line="220" w:lineRule="auto"/>
              <w:ind w:left="115"/>
              <w:rPr>
                <w:color w:val="auto"/>
                <w:highlight w:val="none"/>
                <w:lang w:eastAsia="zh-CN"/>
              </w:rPr>
            </w:pPr>
            <w:r>
              <w:rPr>
                <w:color w:val="auto"/>
                <w:spacing w:val="-1"/>
                <w:highlight w:val="none"/>
                <w:lang w:eastAsia="zh-CN"/>
              </w:rPr>
              <w:t>符合第二章“投标人须知”第</w:t>
            </w:r>
            <w:r>
              <w:rPr>
                <w:color w:val="auto"/>
                <w:spacing w:val="-38"/>
                <w:highlight w:val="none"/>
                <w:lang w:eastAsia="zh-CN"/>
              </w:rPr>
              <w:t xml:space="preserve"> </w:t>
            </w:r>
            <w:r>
              <w:rPr>
                <w:rFonts w:ascii="Times New Roman" w:hAnsi="Times New Roman" w:eastAsia="Times New Roman" w:cs="Times New Roman"/>
                <w:color w:val="auto"/>
                <w:spacing w:val="-1"/>
                <w:highlight w:val="none"/>
                <w:lang w:eastAsia="zh-CN"/>
              </w:rPr>
              <w:t xml:space="preserve">3.4.1 </w:t>
            </w:r>
            <w:r>
              <w:rPr>
                <w:color w:val="auto"/>
                <w:spacing w:val="-1"/>
                <w:highlight w:val="none"/>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spacing w:line="294" w:lineRule="auto"/>
              <w:rPr>
                <w:color w:val="auto"/>
                <w:highlight w:val="none"/>
                <w:lang w:eastAsia="zh-CN"/>
              </w:rPr>
            </w:pPr>
          </w:p>
          <w:p>
            <w:pPr>
              <w:pStyle w:val="10"/>
              <w:spacing w:before="68" w:line="221" w:lineRule="auto"/>
              <w:ind w:left="111"/>
              <w:rPr>
                <w:color w:val="auto"/>
                <w:highlight w:val="none"/>
              </w:rPr>
            </w:pPr>
            <w:r>
              <w:rPr>
                <w:color w:val="auto"/>
                <w:spacing w:val="-1"/>
                <w:highlight w:val="none"/>
              </w:rPr>
              <w:t>权利义务</w:t>
            </w:r>
          </w:p>
        </w:tc>
        <w:tc>
          <w:tcPr>
            <w:tcW w:w="4793" w:type="dxa"/>
          </w:tcPr>
          <w:p>
            <w:pPr>
              <w:pStyle w:val="10"/>
              <w:spacing w:before="156" w:line="420" w:lineRule="exact"/>
              <w:ind w:left="116"/>
              <w:rPr>
                <w:color w:val="auto"/>
                <w:highlight w:val="none"/>
                <w:lang w:eastAsia="zh-CN"/>
              </w:rPr>
            </w:pPr>
            <w:r>
              <w:rPr>
                <w:color w:val="auto"/>
                <w:spacing w:val="7"/>
                <w:position w:val="15"/>
                <w:highlight w:val="none"/>
                <w:lang w:eastAsia="zh-CN"/>
              </w:rPr>
              <w:t>投标函附录中的相关承诺符合或优于第四章“合</w:t>
            </w:r>
          </w:p>
          <w:p>
            <w:pPr>
              <w:pStyle w:val="10"/>
              <w:spacing w:line="220" w:lineRule="auto"/>
              <w:ind w:left="134"/>
              <w:rPr>
                <w:color w:val="auto"/>
                <w:highlight w:val="none"/>
                <w:lang w:eastAsia="zh-CN"/>
              </w:rPr>
            </w:pPr>
            <w:r>
              <w:rPr>
                <w:color w:val="auto"/>
                <w:spacing w:val="-3"/>
                <w:highlight w:val="none"/>
                <w:lang w:eastAsia="zh-CN"/>
              </w:rPr>
              <w:t>同条款及格式”的相关规定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pStyle w:val="10"/>
              <w:spacing w:before="197" w:line="221" w:lineRule="auto"/>
              <w:ind w:left="112"/>
              <w:rPr>
                <w:color w:val="auto"/>
                <w:highlight w:val="none"/>
              </w:rPr>
            </w:pPr>
            <w:r>
              <w:rPr>
                <w:color w:val="auto"/>
                <w:spacing w:val="-1"/>
                <w:highlight w:val="none"/>
              </w:rPr>
              <w:t>技术标准和要求</w:t>
            </w:r>
          </w:p>
        </w:tc>
        <w:tc>
          <w:tcPr>
            <w:tcW w:w="4793" w:type="dxa"/>
          </w:tcPr>
          <w:p>
            <w:pPr>
              <w:pStyle w:val="10"/>
              <w:spacing w:before="197" w:line="220" w:lineRule="auto"/>
              <w:ind w:left="115"/>
              <w:rPr>
                <w:color w:val="auto"/>
                <w:highlight w:val="none"/>
                <w:lang w:eastAsia="zh-CN"/>
              </w:rPr>
            </w:pPr>
            <w:r>
              <w:rPr>
                <w:color w:val="auto"/>
                <w:spacing w:val="-1"/>
                <w:highlight w:val="none"/>
                <w:lang w:eastAsia="zh-CN"/>
              </w:rPr>
              <w:t>符合第七章“技术标准和要求”规定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spacing w:line="298" w:lineRule="auto"/>
              <w:rPr>
                <w:color w:val="auto"/>
                <w:highlight w:val="none"/>
                <w:lang w:eastAsia="zh-CN"/>
              </w:rPr>
            </w:pPr>
          </w:p>
          <w:p>
            <w:pPr>
              <w:pStyle w:val="10"/>
              <w:spacing w:before="68" w:line="221" w:lineRule="auto"/>
              <w:ind w:left="114"/>
              <w:rPr>
                <w:color w:val="auto"/>
                <w:highlight w:val="none"/>
              </w:rPr>
            </w:pPr>
            <w:r>
              <w:rPr>
                <w:color w:val="auto"/>
                <w:spacing w:val="-2"/>
                <w:highlight w:val="none"/>
              </w:rPr>
              <w:t>分包计划</w:t>
            </w:r>
          </w:p>
        </w:tc>
        <w:tc>
          <w:tcPr>
            <w:tcW w:w="4793" w:type="dxa"/>
          </w:tcPr>
          <w:p>
            <w:pPr>
              <w:pStyle w:val="10"/>
              <w:spacing w:before="156" w:line="420" w:lineRule="exact"/>
              <w:ind w:left="115"/>
              <w:rPr>
                <w:color w:val="auto"/>
                <w:highlight w:val="none"/>
                <w:lang w:eastAsia="zh-CN"/>
              </w:rPr>
            </w:pPr>
            <w:r>
              <w:rPr>
                <w:color w:val="auto"/>
                <w:spacing w:val="5"/>
                <w:position w:val="15"/>
                <w:highlight w:val="none"/>
                <w:lang w:eastAsia="zh-CN"/>
              </w:rPr>
              <w:t>符合第二章“投标人须知”第</w:t>
            </w:r>
            <w:r>
              <w:rPr>
                <w:color w:val="auto"/>
                <w:spacing w:val="40"/>
                <w:position w:val="15"/>
                <w:highlight w:val="none"/>
                <w:lang w:eastAsia="zh-CN"/>
              </w:rPr>
              <w:t xml:space="preserve"> </w:t>
            </w:r>
            <w:r>
              <w:rPr>
                <w:color w:val="auto"/>
                <w:spacing w:val="5"/>
                <w:position w:val="15"/>
                <w:highlight w:val="none"/>
                <w:lang w:eastAsia="zh-CN"/>
              </w:rPr>
              <w:t>1.11 款规定（如</w:t>
            </w:r>
          </w:p>
          <w:p>
            <w:pPr>
              <w:pStyle w:val="10"/>
              <w:spacing w:line="221" w:lineRule="auto"/>
              <w:ind w:left="114"/>
              <w:rPr>
                <w:color w:val="auto"/>
                <w:highlight w:val="none"/>
              </w:rPr>
            </w:pPr>
            <w:r>
              <w:rPr>
                <w:color w:val="auto"/>
                <w:spacing w:val="-6"/>
                <w:highlight w:val="none"/>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46" w:type="dxa"/>
            <w:vMerge w:val="continue"/>
            <w:tcBorders>
              <w:top w:val="nil"/>
              <w:bottom w:val="nil"/>
            </w:tcBorders>
          </w:tcPr>
          <w:p>
            <w:pPr>
              <w:rPr>
                <w:color w:val="auto"/>
                <w:highlight w:val="none"/>
              </w:rPr>
            </w:pPr>
          </w:p>
        </w:tc>
        <w:tc>
          <w:tcPr>
            <w:tcW w:w="1058" w:type="dxa"/>
            <w:vMerge w:val="continue"/>
            <w:tcBorders>
              <w:top w:val="nil"/>
              <w:bottom w:val="nil"/>
            </w:tcBorders>
          </w:tcPr>
          <w:p>
            <w:pPr>
              <w:rPr>
                <w:color w:val="auto"/>
                <w:highlight w:val="none"/>
              </w:rPr>
            </w:pPr>
          </w:p>
        </w:tc>
        <w:tc>
          <w:tcPr>
            <w:tcW w:w="2339" w:type="dxa"/>
            <w:gridSpan w:val="2"/>
          </w:tcPr>
          <w:p>
            <w:pPr>
              <w:pStyle w:val="10"/>
              <w:spacing w:before="197" w:line="221" w:lineRule="auto"/>
              <w:ind w:left="113"/>
              <w:rPr>
                <w:color w:val="auto"/>
                <w:highlight w:val="none"/>
              </w:rPr>
            </w:pPr>
            <w:r>
              <w:rPr>
                <w:color w:val="auto"/>
                <w:spacing w:val="-2"/>
                <w:highlight w:val="none"/>
              </w:rPr>
              <w:t>算术错误修正</w:t>
            </w:r>
          </w:p>
        </w:tc>
        <w:tc>
          <w:tcPr>
            <w:tcW w:w="4793" w:type="dxa"/>
          </w:tcPr>
          <w:p>
            <w:pPr>
              <w:pStyle w:val="10"/>
              <w:spacing w:before="198" w:line="219" w:lineRule="auto"/>
              <w:ind w:left="116"/>
              <w:rPr>
                <w:color w:val="auto"/>
                <w:highlight w:val="none"/>
                <w:lang w:eastAsia="zh-CN"/>
              </w:rPr>
            </w:pPr>
            <w:r>
              <w:rPr>
                <w:color w:val="auto"/>
                <w:spacing w:val="-1"/>
                <w:highlight w:val="none"/>
                <w:lang w:eastAsia="zh-CN"/>
              </w:rPr>
              <w:t>投标人接受算术错误修正后的报价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Borders>
              <w:top w:val="nil"/>
              <w:bottom w:val="nil"/>
            </w:tcBorders>
          </w:tcPr>
          <w:p>
            <w:pPr>
              <w:rPr>
                <w:color w:val="auto"/>
                <w:highlight w:val="none"/>
                <w:lang w:eastAsia="zh-CN"/>
              </w:rPr>
            </w:pPr>
          </w:p>
        </w:tc>
        <w:tc>
          <w:tcPr>
            <w:tcW w:w="1058" w:type="dxa"/>
            <w:vMerge w:val="continue"/>
            <w:tcBorders>
              <w:top w:val="nil"/>
              <w:bottom w:val="nil"/>
            </w:tcBorders>
          </w:tcPr>
          <w:p>
            <w:pPr>
              <w:rPr>
                <w:color w:val="auto"/>
                <w:highlight w:val="none"/>
                <w:lang w:eastAsia="zh-CN"/>
              </w:rPr>
            </w:pPr>
          </w:p>
        </w:tc>
        <w:tc>
          <w:tcPr>
            <w:tcW w:w="2339" w:type="dxa"/>
            <w:gridSpan w:val="2"/>
          </w:tcPr>
          <w:p>
            <w:pPr>
              <w:spacing w:line="299" w:lineRule="auto"/>
              <w:rPr>
                <w:color w:val="auto"/>
                <w:highlight w:val="none"/>
                <w:lang w:eastAsia="zh-CN"/>
              </w:rPr>
            </w:pPr>
          </w:p>
          <w:p>
            <w:pPr>
              <w:pStyle w:val="10"/>
              <w:spacing w:before="68" w:line="219" w:lineRule="auto"/>
              <w:ind w:left="114"/>
              <w:rPr>
                <w:color w:val="auto"/>
                <w:highlight w:val="none"/>
              </w:rPr>
            </w:pPr>
            <w:r>
              <w:rPr>
                <w:color w:val="auto"/>
                <w:spacing w:val="-2"/>
                <w:highlight w:val="none"/>
              </w:rPr>
              <w:t>投标价格</w:t>
            </w:r>
          </w:p>
        </w:tc>
        <w:tc>
          <w:tcPr>
            <w:tcW w:w="4793" w:type="dxa"/>
          </w:tcPr>
          <w:p>
            <w:pPr>
              <w:pStyle w:val="10"/>
              <w:spacing w:before="157" w:line="420" w:lineRule="exact"/>
              <w:ind w:left="116"/>
              <w:rPr>
                <w:color w:val="auto"/>
                <w:highlight w:val="none"/>
                <w:lang w:eastAsia="zh-CN"/>
              </w:rPr>
            </w:pPr>
            <w:r>
              <w:rPr>
                <w:color w:val="auto"/>
                <w:spacing w:val="7"/>
                <w:position w:val="16"/>
                <w:highlight w:val="none"/>
                <w:lang w:eastAsia="zh-CN"/>
              </w:rPr>
              <w:t>投标报价（含修正后）不大于本标段最高投标限</w:t>
            </w:r>
          </w:p>
          <w:p>
            <w:pPr>
              <w:pStyle w:val="10"/>
              <w:spacing w:line="219" w:lineRule="auto"/>
              <w:ind w:left="114"/>
              <w:rPr>
                <w:color w:val="auto"/>
                <w:highlight w:val="none"/>
              </w:rPr>
            </w:pPr>
            <w:r>
              <w:rPr>
                <w:color w:val="auto"/>
                <w:highlight w:val="none"/>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tcBorders>
          </w:tcPr>
          <w:p>
            <w:pPr>
              <w:rPr>
                <w:color w:val="auto"/>
                <w:highlight w:val="none"/>
              </w:rPr>
            </w:pPr>
          </w:p>
        </w:tc>
        <w:tc>
          <w:tcPr>
            <w:tcW w:w="1058" w:type="dxa"/>
            <w:vMerge w:val="continue"/>
            <w:tcBorders>
              <w:top w:val="nil"/>
            </w:tcBorders>
          </w:tcPr>
          <w:p>
            <w:pPr>
              <w:rPr>
                <w:color w:val="auto"/>
                <w:highlight w:val="none"/>
              </w:rPr>
            </w:pPr>
          </w:p>
        </w:tc>
        <w:tc>
          <w:tcPr>
            <w:tcW w:w="2339" w:type="dxa"/>
            <w:gridSpan w:val="2"/>
          </w:tcPr>
          <w:p>
            <w:pPr>
              <w:spacing w:line="298" w:lineRule="auto"/>
              <w:rPr>
                <w:color w:val="auto"/>
                <w:highlight w:val="none"/>
              </w:rPr>
            </w:pPr>
          </w:p>
          <w:p>
            <w:pPr>
              <w:pStyle w:val="10"/>
              <w:spacing w:before="68" w:line="219" w:lineRule="auto"/>
              <w:ind w:left="134"/>
              <w:rPr>
                <w:color w:val="auto"/>
                <w:highlight w:val="none"/>
              </w:rPr>
            </w:pPr>
            <w:r>
              <w:rPr>
                <w:color w:val="auto"/>
                <w:spacing w:val="-4"/>
                <w:highlight w:val="none"/>
              </w:rPr>
              <w:t>已标价工程量清单</w:t>
            </w:r>
          </w:p>
        </w:tc>
        <w:tc>
          <w:tcPr>
            <w:tcW w:w="4793" w:type="dxa"/>
          </w:tcPr>
          <w:p>
            <w:pPr>
              <w:pStyle w:val="10"/>
              <w:spacing w:before="157" w:line="420" w:lineRule="exact"/>
              <w:ind w:left="115"/>
              <w:rPr>
                <w:color w:val="auto"/>
                <w:highlight w:val="none"/>
                <w:lang w:eastAsia="zh-CN"/>
              </w:rPr>
            </w:pPr>
            <w:r>
              <w:rPr>
                <w:color w:val="auto"/>
                <w:spacing w:val="7"/>
                <w:position w:val="16"/>
                <w:highlight w:val="none"/>
                <w:lang w:eastAsia="zh-CN"/>
              </w:rPr>
              <w:t>按照招标人提供的工程量清单及其报价要求进行</w:t>
            </w:r>
          </w:p>
          <w:p>
            <w:pPr>
              <w:pStyle w:val="10"/>
              <w:spacing w:line="219" w:lineRule="auto"/>
              <w:ind w:left="113"/>
              <w:rPr>
                <w:color w:val="auto"/>
                <w:highlight w:val="none"/>
              </w:rPr>
            </w:pPr>
            <w:r>
              <w:rPr>
                <w:color w:val="auto"/>
                <w:spacing w:val="-1"/>
                <w:highlight w:val="none"/>
              </w:rPr>
              <w:t>全面准确的报价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1804" w:type="dxa"/>
            <w:gridSpan w:val="2"/>
          </w:tcPr>
          <w:p>
            <w:pPr>
              <w:spacing w:line="275" w:lineRule="auto"/>
              <w:rPr>
                <w:color w:val="auto"/>
                <w:highlight w:val="none"/>
              </w:rPr>
            </w:pPr>
          </w:p>
          <w:p>
            <w:pPr>
              <w:spacing w:line="275" w:lineRule="auto"/>
              <w:rPr>
                <w:color w:val="auto"/>
                <w:highlight w:val="none"/>
              </w:rPr>
            </w:pPr>
          </w:p>
          <w:p>
            <w:pPr>
              <w:spacing w:before="61" w:line="189" w:lineRule="auto"/>
              <w:ind w:left="697"/>
              <w:rPr>
                <w:rFonts w:ascii="Times New Roman" w:hAnsi="Times New Roman" w:eastAsia="Times New Roman" w:cs="Times New Roman"/>
                <w:color w:val="auto"/>
                <w:highlight w:val="none"/>
              </w:rPr>
            </w:pPr>
            <w:r>
              <w:rPr>
                <w:rFonts w:ascii="Times New Roman" w:hAnsi="Times New Roman" w:eastAsia="Times New Roman" w:cs="Times New Roman"/>
                <w:color w:val="auto"/>
                <w:spacing w:val="-2"/>
                <w:highlight w:val="none"/>
              </w:rPr>
              <w:t>3.1.2</w:t>
            </w:r>
          </w:p>
        </w:tc>
        <w:tc>
          <w:tcPr>
            <w:tcW w:w="7132" w:type="dxa"/>
            <w:gridSpan w:val="3"/>
          </w:tcPr>
          <w:p>
            <w:pPr>
              <w:pStyle w:val="10"/>
              <w:spacing w:before="157" w:line="221" w:lineRule="auto"/>
              <w:ind w:left="114"/>
              <w:rPr>
                <w:color w:val="auto"/>
                <w:highlight w:val="none"/>
                <w:lang w:eastAsia="zh-CN"/>
              </w:rPr>
            </w:pPr>
            <w:r>
              <w:rPr>
                <w:color w:val="auto"/>
                <w:spacing w:val="-3"/>
                <w:highlight w:val="none"/>
                <w:lang w:eastAsia="zh-CN"/>
              </w:rPr>
              <w:t>投标人不得存在的其他情形：</w:t>
            </w:r>
          </w:p>
          <w:p>
            <w:pPr>
              <w:pStyle w:val="10"/>
              <w:spacing w:before="168" w:line="220" w:lineRule="auto"/>
              <w:ind w:left="118"/>
              <w:rPr>
                <w:color w:val="auto"/>
                <w:highlight w:val="none"/>
                <w:lang w:eastAsia="zh-CN"/>
              </w:rPr>
            </w:pPr>
            <w:r>
              <w:rPr>
                <w:color w:val="auto"/>
                <w:spacing w:val="-2"/>
                <w:highlight w:val="none"/>
                <w:lang w:eastAsia="zh-CN"/>
              </w:rPr>
              <w:t>（1）不按评标委员会要求澄清、说明或补正；</w:t>
            </w:r>
          </w:p>
          <w:p>
            <w:pPr>
              <w:pStyle w:val="10"/>
              <w:spacing w:before="169" w:line="220" w:lineRule="auto"/>
              <w:ind w:left="118"/>
              <w:rPr>
                <w:color w:val="auto"/>
                <w:highlight w:val="none"/>
                <w:lang w:eastAsia="zh-CN"/>
              </w:rPr>
            </w:pPr>
            <w:r>
              <w:rPr>
                <w:color w:val="auto"/>
                <w:spacing w:val="-1"/>
                <w:highlight w:val="none"/>
                <w:lang w:eastAsia="zh-CN"/>
              </w:rPr>
              <w:t>（2）有串通投标、弄虚作假、行贿或有其他违法</w:t>
            </w:r>
            <w:r>
              <w:rPr>
                <w:color w:val="auto"/>
                <w:spacing w:val="-2"/>
                <w:highlight w:val="none"/>
                <w:lang w:eastAsia="zh-CN"/>
              </w:rPr>
              <w:t>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1804" w:type="dxa"/>
            <w:gridSpan w:val="2"/>
          </w:tcPr>
          <w:p>
            <w:pPr>
              <w:spacing w:line="292" w:lineRule="auto"/>
              <w:rPr>
                <w:color w:val="auto"/>
                <w:highlight w:val="none"/>
                <w:lang w:eastAsia="zh-CN"/>
              </w:rPr>
            </w:pPr>
          </w:p>
          <w:p>
            <w:pPr>
              <w:spacing w:line="292" w:lineRule="auto"/>
              <w:rPr>
                <w:color w:val="auto"/>
                <w:highlight w:val="none"/>
                <w:lang w:eastAsia="zh-CN"/>
              </w:rPr>
            </w:pPr>
          </w:p>
          <w:p>
            <w:pPr>
              <w:spacing w:line="292" w:lineRule="auto"/>
              <w:rPr>
                <w:color w:val="auto"/>
                <w:highlight w:val="none"/>
                <w:lang w:eastAsia="zh-CN"/>
              </w:rPr>
            </w:pPr>
          </w:p>
          <w:p>
            <w:pPr>
              <w:spacing w:line="293" w:lineRule="auto"/>
              <w:rPr>
                <w:color w:val="auto"/>
                <w:highlight w:val="none"/>
                <w:lang w:eastAsia="zh-CN"/>
              </w:rPr>
            </w:pPr>
          </w:p>
          <w:p>
            <w:pPr>
              <w:pStyle w:val="10"/>
              <w:spacing w:before="68" w:line="183" w:lineRule="auto"/>
              <w:ind w:left="648"/>
              <w:rPr>
                <w:color w:val="auto"/>
                <w:highlight w:val="none"/>
              </w:rPr>
            </w:pPr>
            <w:r>
              <w:rPr>
                <w:color w:val="auto"/>
                <w:spacing w:val="-2"/>
                <w:highlight w:val="none"/>
              </w:rPr>
              <w:t>3.1.4</w:t>
            </w:r>
          </w:p>
        </w:tc>
        <w:tc>
          <w:tcPr>
            <w:tcW w:w="7132" w:type="dxa"/>
            <w:gridSpan w:val="3"/>
          </w:tcPr>
          <w:p>
            <w:pPr>
              <w:pStyle w:val="10"/>
              <w:spacing w:before="161" w:line="220" w:lineRule="auto"/>
              <w:ind w:left="111"/>
              <w:rPr>
                <w:color w:val="auto"/>
                <w:highlight w:val="none"/>
                <w:lang w:eastAsia="zh-CN"/>
              </w:rPr>
            </w:pPr>
            <w:r>
              <w:rPr>
                <w:color w:val="auto"/>
                <w:spacing w:val="-5"/>
                <w:highlight w:val="none"/>
                <w:lang w:eastAsia="zh-CN"/>
              </w:rPr>
              <w:t>低于成本评审：</w:t>
            </w:r>
          </w:p>
          <w:p>
            <w:pPr>
              <w:pStyle w:val="10"/>
              <w:spacing w:before="170" w:line="369" w:lineRule="auto"/>
              <w:ind w:left="112" w:right="111" w:firstLine="418"/>
              <w:jc w:val="both"/>
              <w:rPr>
                <w:color w:val="auto"/>
                <w:highlight w:val="none"/>
                <w:lang w:eastAsia="zh-CN"/>
              </w:rPr>
            </w:pPr>
            <w:r>
              <w:rPr>
                <w:color w:val="auto"/>
                <w:spacing w:val="6"/>
                <w:highlight w:val="none"/>
                <w:lang w:eastAsia="zh-CN"/>
              </w:rPr>
              <w:t>评标委员会发现投标人的报价明显低于其他投标报价，或者在设有最</w:t>
            </w:r>
            <w:r>
              <w:rPr>
                <w:color w:val="auto"/>
                <w:spacing w:val="3"/>
                <w:highlight w:val="none"/>
                <w:lang w:eastAsia="zh-CN"/>
              </w:rPr>
              <w:t xml:space="preserve"> </w:t>
            </w:r>
            <w:r>
              <w:rPr>
                <w:color w:val="auto"/>
                <w:spacing w:val="6"/>
                <w:highlight w:val="none"/>
                <w:lang w:eastAsia="zh-CN"/>
              </w:rPr>
              <w:t>高投标限价时明显低于最高投标限价，使得其投</w:t>
            </w:r>
            <w:r>
              <w:rPr>
                <w:color w:val="auto"/>
                <w:spacing w:val="5"/>
                <w:highlight w:val="none"/>
                <w:lang w:eastAsia="zh-CN"/>
              </w:rPr>
              <w:t>标报价可能低于其个别成</w:t>
            </w:r>
            <w:r>
              <w:rPr>
                <w:color w:val="auto"/>
                <w:highlight w:val="none"/>
                <w:lang w:eastAsia="zh-CN"/>
              </w:rPr>
              <w:t xml:space="preserve"> </w:t>
            </w:r>
            <w:r>
              <w:rPr>
                <w:color w:val="auto"/>
                <w:spacing w:val="6"/>
                <w:highlight w:val="none"/>
                <w:lang w:eastAsia="zh-CN"/>
              </w:rPr>
              <w:t>本的，应当要求该投标人作出书面说明并提供相</w:t>
            </w:r>
            <w:r>
              <w:rPr>
                <w:color w:val="auto"/>
                <w:spacing w:val="5"/>
                <w:highlight w:val="none"/>
                <w:lang w:eastAsia="zh-CN"/>
              </w:rPr>
              <w:t>应的证明材料。投标人不</w:t>
            </w:r>
            <w:r>
              <w:rPr>
                <w:color w:val="auto"/>
                <w:highlight w:val="none"/>
                <w:lang w:eastAsia="zh-CN"/>
              </w:rPr>
              <w:t xml:space="preserve"> </w:t>
            </w:r>
            <w:r>
              <w:rPr>
                <w:color w:val="auto"/>
                <w:spacing w:val="4"/>
                <w:highlight w:val="none"/>
                <w:lang w:eastAsia="zh-CN"/>
              </w:rPr>
              <w:t>能合理说明或者不能提供相应证明材料的，</w:t>
            </w:r>
            <w:r>
              <w:rPr>
                <w:color w:val="auto"/>
                <w:spacing w:val="-52"/>
                <w:highlight w:val="none"/>
                <w:lang w:eastAsia="zh-CN"/>
              </w:rPr>
              <w:t xml:space="preserve"> </w:t>
            </w:r>
            <w:r>
              <w:rPr>
                <w:color w:val="auto"/>
                <w:spacing w:val="4"/>
                <w:highlight w:val="none"/>
                <w:lang w:eastAsia="zh-CN"/>
              </w:rPr>
              <w:t>由评标委员会认定该投标人以</w:t>
            </w:r>
          </w:p>
          <w:p>
            <w:pPr>
              <w:pStyle w:val="10"/>
              <w:spacing w:line="219" w:lineRule="auto"/>
              <w:ind w:left="111"/>
              <w:rPr>
                <w:color w:val="auto"/>
                <w:highlight w:val="none"/>
                <w:lang w:eastAsia="zh-CN"/>
              </w:rPr>
            </w:pPr>
            <w:r>
              <w:rPr>
                <w:color w:val="auto"/>
                <w:spacing w:val="-7"/>
                <w:highlight w:val="none"/>
                <w:lang w:eastAsia="zh-CN"/>
              </w:rPr>
              <w:t>低于成本报价竞标， 否决其投标。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804" w:type="dxa"/>
            <w:gridSpan w:val="2"/>
          </w:tcPr>
          <w:p>
            <w:pPr>
              <w:pStyle w:val="10"/>
              <w:spacing w:before="173" w:line="221" w:lineRule="auto"/>
              <w:ind w:left="592"/>
              <w:rPr>
                <w:color w:val="auto"/>
                <w:highlight w:val="none"/>
              </w:rPr>
            </w:pPr>
            <w:r>
              <w:rPr>
                <w:color w:val="auto"/>
                <w:spacing w:val="-2"/>
                <w:highlight w:val="none"/>
                <w14:textOutline w14:w="3835" w14:cap="flat" w14:cmpd="sng" w14:algn="ctr">
                  <w14:solidFill>
                    <w14:srgbClr w14:val="000000"/>
                  </w14:solidFill>
                  <w14:prstDash w14:val="solid"/>
                  <w14:miter w14:val="0"/>
                </w14:textOutline>
              </w:rPr>
              <w:t>条款号</w:t>
            </w:r>
          </w:p>
        </w:tc>
        <w:tc>
          <w:tcPr>
            <w:tcW w:w="2085" w:type="dxa"/>
          </w:tcPr>
          <w:p>
            <w:pPr>
              <w:pStyle w:val="10"/>
              <w:spacing w:before="173" w:line="221" w:lineRule="auto"/>
              <w:ind w:left="627"/>
              <w:rPr>
                <w:color w:val="auto"/>
                <w:highlight w:val="none"/>
              </w:rPr>
            </w:pPr>
            <w:r>
              <w:rPr>
                <w:color w:val="auto"/>
                <w:spacing w:val="-1"/>
                <w:highlight w:val="none"/>
                <w14:textOutline w14:w="3835" w14:cap="flat" w14:cmpd="sng" w14:algn="ctr">
                  <w14:solidFill>
                    <w14:srgbClr w14:val="000000"/>
                  </w14:solidFill>
                  <w14:prstDash w14:val="solid"/>
                  <w14:miter w14:val="0"/>
                </w14:textOutline>
              </w:rPr>
              <w:t>条款内容</w:t>
            </w:r>
          </w:p>
        </w:tc>
        <w:tc>
          <w:tcPr>
            <w:tcW w:w="5047" w:type="dxa"/>
            <w:gridSpan w:val="2"/>
          </w:tcPr>
          <w:p>
            <w:pPr>
              <w:pStyle w:val="10"/>
              <w:spacing w:before="173" w:line="221" w:lineRule="auto"/>
              <w:ind w:left="2109"/>
              <w:rPr>
                <w:color w:val="auto"/>
                <w:highlight w:val="none"/>
              </w:rPr>
            </w:pPr>
            <w:r>
              <w:rPr>
                <w:color w:val="auto"/>
                <w:spacing w:val="-1"/>
                <w:highlight w:val="none"/>
                <w14:textOutline w14:w="3835" w14:cap="flat" w14:cmpd="sng" w14:algn="ctr">
                  <w14:solidFill>
                    <w14:srgbClr w14:val="000000"/>
                  </w14:solidFill>
                  <w14:prstDash w14:val="solid"/>
                  <w14:miter w14:val="0"/>
                </w14:textOutli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1804" w:type="dxa"/>
            <w:gridSpan w:val="2"/>
          </w:tcPr>
          <w:p>
            <w:pPr>
              <w:spacing w:line="253" w:lineRule="auto"/>
              <w:rPr>
                <w:color w:val="auto"/>
                <w:highlight w:val="none"/>
              </w:rPr>
            </w:pPr>
          </w:p>
          <w:p>
            <w:pPr>
              <w:spacing w:line="253" w:lineRule="auto"/>
              <w:rPr>
                <w:color w:val="auto"/>
                <w:highlight w:val="none"/>
              </w:rPr>
            </w:pPr>
          </w:p>
          <w:p>
            <w:pPr>
              <w:spacing w:line="254" w:lineRule="auto"/>
              <w:rPr>
                <w:color w:val="auto"/>
                <w:highlight w:val="none"/>
              </w:rPr>
            </w:pPr>
          </w:p>
          <w:p>
            <w:pPr>
              <w:spacing w:before="60" w:line="189" w:lineRule="auto"/>
              <w:ind w:left="692"/>
              <w:rPr>
                <w:rFonts w:ascii="Times New Roman" w:hAnsi="Times New Roman" w:eastAsia="Times New Roman" w:cs="Times New Roman"/>
                <w:color w:val="auto"/>
                <w:highlight w:val="none"/>
              </w:rPr>
            </w:pPr>
            <w:r>
              <w:rPr>
                <w:rFonts w:ascii="Times New Roman" w:hAnsi="Times New Roman" w:eastAsia="Times New Roman" w:cs="Times New Roman"/>
                <w:color w:val="auto"/>
                <w:spacing w:val="-1"/>
                <w:highlight w:val="none"/>
              </w:rPr>
              <w:t>2.2.1</w:t>
            </w:r>
          </w:p>
        </w:tc>
        <w:tc>
          <w:tcPr>
            <w:tcW w:w="2085" w:type="dxa"/>
          </w:tcPr>
          <w:p>
            <w:pPr>
              <w:spacing w:line="254" w:lineRule="auto"/>
              <w:rPr>
                <w:color w:val="auto"/>
                <w:highlight w:val="none"/>
              </w:rPr>
            </w:pPr>
          </w:p>
          <w:p>
            <w:pPr>
              <w:spacing w:line="254" w:lineRule="auto"/>
              <w:rPr>
                <w:color w:val="auto"/>
                <w:highlight w:val="none"/>
              </w:rPr>
            </w:pPr>
          </w:p>
          <w:p>
            <w:pPr>
              <w:pStyle w:val="10"/>
              <w:spacing w:before="68" w:line="221" w:lineRule="auto"/>
              <w:ind w:left="628"/>
              <w:rPr>
                <w:color w:val="auto"/>
                <w:highlight w:val="none"/>
              </w:rPr>
            </w:pPr>
            <w:r>
              <w:rPr>
                <w:color w:val="auto"/>
                <w:spacing w:val="-2"/>
                <w:highlight w:val="none"/>
              </w:rPr>
              <w:t>分值构成</w:t>
            </w:r>
          </w:p>
          <w:p>
            <w:pPr>
              <w:pStyle w:val="10"/>
              <w:spacing w:before="169" w:line="221" w:lineRule="auto"/>
              <w:ind w:left="317"/>
              <w:rPr>
                <w:color w:val="auto"/>
                <w:highlight w:val="none"/>
              </w:rPr>
            </w:pPr>
            <w:r>
              <w:rPr>
                <w:color w:val="auto"/>
                <w:spacing w:val="-6"/>
                <w:highlight w:val="none"/>
              </w:rPr>
              <w:t>（总分</w:t>
            </w:r>
            <w:r>
              <w:rPr>
                <w:color w:val="auto"/>
                <w:spacing w:val="-28"/>
                <w:highlight w:val="none"/>
              </w:rPr>
              <w:t xml:space="preserve"> </w:t>
            </w:r>
            <w:r>
              <w:rPr>
                <w:color w:val="auto"/>
                <w:spacing w:val="-6"/>
                <w:highlight w:val="none"/>
              </w:rPr>
              <w:t>100</w:t>
            </w:r>
            <w:r>
              <w:rPr>
                <w:color w:val="auto"/>
                <w:spacing w:val="-44"/>
                <w:highlight w:val="none"/>
              </w:rPr>
              <w:t xml:space="preserve"> </w:t>
            </w:r>
            <w:r>
              <w:rPr>
                <w:color w:val="auto"/>
                <w:spacing w:val="-6"/>
                <w:highlight w:val="none"/>
              </w:rPr>
              <w:t>分）</w:t>
            </w:r>
          </w:p>
        </w:tc>
        <w:tc>
          <w:tcPr>
            <w:tcW w:w="5047" w:type="dxa"/>
            <w:gridSpan w:val="2"/>
          </w:tcPr>
          <w:p>
            <w:pPr>
              <w:pStyle w:val="10"/>
              <w:spacing w:before="160" w:line="221" w:lineRule="auto"/>
              <w:ind w:left="114"/>
              <w:rPr>
                <w:color w:val="auto"/>
                <w:highlight w:val="none"/>
                <w:lang w:eastAsia="zh-CN"/>
              </w:rPr>
            </w:pPr>
            <w:r>
              <w:rPr>
                <w:color w:val="auto"/>
                <w:spacing w:val="-7"/>
                <w:highlight w:val="none"/>
                <w:lang w:eastAsia="zh-CN"/>
              </w:rPr>
              <w:t>经济标：</w:t>
            </w:r>
            <w:r>
              <w:rPr>
                <w:color w:val="auto"/>
                <w:spacing w:val="12"/>
                <w:highlight w:val="none"/>
                <w:u w:val="single"/>
                <w:lang w:eastAsia="zh-CN"/>
              </w:rPr>
              <w:t xml:space="preserve">   </w:t>
            </w:r>
            <w:r>
              <w:rPr>
                <w:rFonts w:hint="eastAsia"/>
                <w:color w:val="auto"/>
                <w:spacing w:val="12"/>
                <w:highlight w:val="none"/>
                <w:u w:val="single"/>
                <w:lang w:eastAsia="zh-CN"/>
              </w:rPr>
              <w:t>70</w:t>
            </w:r>
            <w:r>
              <w:rPr>
                <w:color w:val="auto"/>
                <w:spacing w:val="12"/>
                <w:highlight w:val="none"/>
                <w:u w:val="single"/>
                <w:lang w:eastAsia="zh-CN"/>
              </w:rPr>
              <w:t xml:space="preserve">      </w:t>
            </w:r>
            <w:r>
              <w:rPr>
                <w:color w:val="auto"/>
                <w:spacing w:val="-94"/>
                <w:highlight w:val="none"/>
                <w:lang w:eastAsia="zh-CN"/>
              </w:rPr>
              <w:t xml:space="preserve"> </w:t>
            </w:r>
            <w:r>
              <w:rPr>
                <w:color w:val="auto"/>
                <w:spacing w:val="-7"/>
                <w:highlight w:val="none"/>
                <w:lang w:eastAsia="zh-CN"/>
              </w:rPr>
              <w:t>分；</w:t>
            </w:r>
          </w:p>
          <w:p>
            <w:pPr>
              <w:pStyle w:val="10"/>
              <w:spacing w:before="167" w:line="221" w:lineRule="auto"/>
              <w:ind w:left="114"/>
              <w:rPr>
                <w:color w:val="auto"/>
                <w:highlight w:val="none"/>
                <w:lang w:eastAsia="zh-CN"/>
              </w:rPr>
            </w:pPr>
            <w:r>
              <w:rPr>
                <w:color w:val="auto"/>
                <w:spacing w:val="-6"/>
                <w:highlight w:val="none"/>
                <w:lang w:eastAsia="zh-CN"/>
              </w:rPr>
              <w:t>技术标：</w:t>
            </w:r>
            <w:r>
              <w:rPr>
                <w:color w:val="auto"/>
                <w:spacing w:val="11"/>
                <w:highlight w:val="none"/>
                <w:u w:val="single"/>
                <w:lang w:eastAsia="zh-CN"/>
              </w:rPr>
              <w:t xml:space="preserve">   </w:t>
            </w:r>
            <w:r>
              <w:rPr>
                <w:rFonts w:hint="eastAsia"/>
                <w:color w:val="auto"/>
                <w:spacing w:val="11"/>
                <w:highlight w:val="none"/>
                <w:u w:val="single"/>
                <w:lang w:eastAsia="zh-CN"/>
              </w:rPr>
              <w:t>24</w:t>
            </w:r>
            <w:r>
              <w:rPr>
                <w:color w:val="auto"/>
                <w:spacing w:val="11"/>
                <w:highlight w:val="none"/>
                <w:u w:val="single"/>
                <w:lang w:eastAsia="zh-CN"/>
              </w:rPr>
              <w:t xml:space="preserve">      </w:t>
            </w:r>
            <w:r>
              <w:rPr>
                <w:color w:val="auto"/>
                <w:spacing w:val="-90"/>
                <w:highlight w:val="none"/>
                <w:lang w:eastAsia="zh-CN"/>
              </w:rPr>
              <w:t xml:space="preserve"> </w:t>
            </w:r>
            <w:r>
              <w:rPr>
                <w:color w:val="auto"/>
                <w:spacing w:val="-6"/>
                <w:highlight w:val="none"/>
                <w:lang w:eastAsia="zh-CN"/>
              </w:rPr>
              <w:t>分；</w:t>
            </w:r>
          </w:p>
          <w:p>
            <w:pPr>
              <w:pStyle w:val="10"/>
              <w:spacing w:before="169" w:line="221" w:lineRule="auto"/>
              <w:ind w:left="115"/>
              <w:rPr>
                <w:rFonts w:hint="eastAsia"/>
                <w:color w:val="auto"/>
                <w:highlight w:val="none"/>
                <w:lang w:eastAsia="zh-CN"/>
              </w:rPr>
            </w:pPr>
            <w:r>
              <w:rPr>
                <w:color w:val="auto"/>
                <w:spacing w:val="-7"/>
                <w:highlight w:val="none"/>
                <w:lang w:eastAsia="zh-CN"/>
              </w:rPr>
              <w:t>综合标：</w:t>
            </w:r>
            <w:r>
              <w:rPr>
                <w:color w:val="auto"/>
                <w:spacing w:val="11"/>
                <w:highlight w:val="none"/>
                <w:u w:val="single"/>
                <w:lang w:eastAsia="zh-CN"/>
              </w:rPr>
              <w:t xml:space="preserve">    6     </w:t>
            </w:r>
            <w:r>
              <w:rPr>
                <w:color w:val="auto"/>
                <w:spacing w:val="-86"/>
                <w:highlight w:val="none"/>
                <w:lang w:eastAsia="zh-CN"/>
              </w:rPr>
              <w:t xml:space="preserve"> </w:t>
            </w:r>
            <w:r>
              <w:rPr>
                <w:color w:val="auto"/>
                <w:spacing w:val="-7"/>
                <w:highlight w:val="none"/>
                <w:lang w:eastAsia="zh-CN"/>
              </w:rPr>
              <w:t>分；</w:t>
            </w:r>
          </w:p>
        </w:tc>
      </w:tr>
    </w:tbl>
    <w:p>
      <w:pPr>
        <w:spacing w:before="29"/>
        <w:rPr>
          <w:rFonts w:eastAsiaTheme="minorEastAsia"/>
          <w:color w:val="auto"/>
          <w:highlight w:val="none"/>
          <w:lang w:eastAsia="zh-CN"/>
        </w:rPr>
      </w:pPr>
    </w:p>
    <w:p>
      <w:pPr>
        <w:kinsoku/>
        <w:autoSpaceDE/>
        <w:autoSpaceDN/>
        <w:adjustRightInd/>
        <w:snapToGrid/>
        <w:textAlignment w:val="auto"/>
        <w:rPr>
          <w:rFonts w:eastAsiaTheme="minorEastAsia"/>
          <w:color w:val="auto"/>
          <w:highlight w:val="none"/>
          <w:lang w:eastAsia="zh-CN"/>
        </w:rPr>
      </w:pPr>
      <w:r>
        <w:rPr>
          <w:rFonts w:eastAsiaTheme="minorEastAsia"/>
          <w:color w:val="auto"/>
          <w:highlight w:val="none"/>
          <w:lang w:eastAsia="zh-CN"/>
        </w:rPr>
        <w:br w:type="page"/>
      </w:r>
    </w:p>
    <w:p>
      <w:pPr>
        <w:spacing w:line="220" w:lineRule="auto"/>
        <w:rPr>
          <w:rFonts w:ascii="宋体" w:hAnsi="宋体" w:eastAsia="宋体" w:cs="宋体"/>
          <w:color w:val="auto"/>
          <w:highlight w:val="none"/>
          <w:lang w:eastAsia="zh-CN"/>
        </w:rPr>
      </w:pPr>
    </w:p>
    <w:p>
      <w:pPr>
        <w:spacing w:line="220" w:lineRule="auto"/>
        <w:rPr>
          <w:rFonts w:hint="eastAsia" w:ascii="宋体" w:hAnsi="宋体" w:eastAsia="宋体" w:cs="宋体"/>
          <w:color w:val="auto"/>
          <w:highlight w:val="none"/>
          <w:lang w:eastAsia="zh-CN"/>
        </w:rPr>
      </w:pPr>
    </w:p>
    <w:p>
      <w:pPr>
        <w:spacing w:before="29"/>
        <w:rPr>
          <w:rFonts w:ascii="宋体" w:hAnsi="宋体" w:eastAsia="宋体"/>
          <w:color w:val="auto"/>
          <w:highlight w:val="none"/>
          <w:lang w:eastAsia="zh-CN"/>
        </w:rPr>
      </w:pPr>
    </w:p>
    <w:tbl>
      <w:tblPr>
        <w:tblStyle w:val="9"/>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085"/>
        <w:gridCol w:w="928"/>
        <w:gridCol w:w="4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804" w:type="dxa"/>
            <w:gridSpan w:val="2"/>
          </w:tcPr>
          <w:p>
            <w:pPr>
              <w:spacing w:before="195" w:line="384" w:lineRule="exact"/>
              <w:ind w:left="692"/>
              <w:rPr>
                <w:rFonts w:ascii="宋体" w:hAnsi="宋体" w:eastAsia="宋体" w:cs="Times New Roman"/>
                <w:color w:val="auto"/>
                <w:highlight w:val="none"/>
              </w:rPr>
            </w:pPr>
            <w:r>
              <w:rPr>
                <w:rFonts w:ascii="宋体" w:hAnsi="宋体" w:eastAsia="宋体" w:cs="Times New Roman"/>
                <w:color w:val="auto"/>
                <w:spacing w:val="-1"/>
                <w:position w:val="16"/>
                <w:highlight w:val="none"/>
              </w:rPr>
              <w:t>2.2.2</w:t>
            </w:r>
          </w:p>
          <w:p>
            <w:pPr>
              <w:pStyle w:val="10"/>
              <w:spacing w:line="228" w:lineRule="auto"/>
              <w:ind w:left="650"/>
              <w:rPr>
                <w:color w:val="auto"/>
                <w:highlight w:val="none"/>
              </w:rPr>
            </w:pPr>
            <w:r>
              <w:rPr>
                <w:color w:val="auto"/>
                <w:spacing w:val="-5"/>
                <w:highlight w:val="none"/>
              </w:rPr>
              <w:t>（</w:t>
            </w:r>
            <w:r>
              <w:rPr>
                <w:rFonts w:cs="Times New Roman"/>
                <w:color w:val="auto"/>
                <w:spacing w:val="-5"/>
                <w:highlight w:val="none"/>
              </w:rPr>
              <w:t>1</w:t>
            </w:r>
            <w:r>
              <w:rPr>
                <w:color w:val="auto"/>
                <w:spacing w:val="-5"/>
                <w:highlight w:val="none"/>
              </w:rPr>
              <w:t>）</w:t>
            </w:r>
          </w:p>
        </w:tc>
        <w:tc>
          <w:tcPr>
            <w:tcW w:w="2085" w:type="dxa"/>
          </w:tcPr>
          <w:p>
            <w:pPr>
              <w:spacing w:line="298" w:lineRule="auto"/>
              <w:rPr>
                <w:rFonts w:ascii="宋体" w:hAnsi="宋体" w:eastAsia="宋体"/>
                <w:color w:val="auto"/>
                <w:highlight w:val="none"/>
              </w:rPr>
            </w:pPr>
          </w:p>
          <w:p>
            <w:pPr>
              <w:pStyle w:val="10"/>
              <w:spacing w:before="68" w:line="219" w:lineRule="auto"/>
              <w:ind w:left="310"/>
              <w:rPr>
                <w:color w:val="auto"/>
                <w:highlight w:val="none"/>
              </w:rPr>
            </w:pPr>
            <w:r>
              <w:rPr>
                <w:color w:val="auto"/>
                <w:spacing w:val="-1"/>
                <w:highlight w:val="none"/>
              </w:rPr>
              <w:t>评标价确定方法</w:t>
            </w:r>
          </w:p>
        </w:tc>
        <w:tc>
          <w:tcPr>
            <w:tcW w:w="5047" w:type="dxa"/>
            <w:gridSpan w:val="2"/>
          </w:tcPr>
          <w:p>
            <w:pPr>
              <w:pStyle w:val="10"/>
              <w:spacing w:before="159" w:line="420" w:lineRule="exact"/>
              <w:ind w:left="112"/>
              <w:rPr>
                <w:color w:val="auto"/>
                <w:highlight w:val="none"/>
                <w:lang w:eastAsia="zh-CN"/>
              </w:rPr>
            </w:pPr>
            <w:r>
              <w:rPr>
                <w:color w:val="auto"/>
                <w:spacing w:val="4"/>
                <w:position w:val="16"/>
                <w:highlight w:val="none"/>
                <w:lang w:eastAsia="zh-CN"/>
              </w:rPr>
              <w:t>评标价＝投标函大写投标报价（或经投标人书面确</w:t>
            </w:r>
          </w:p>
          <w:p>
            <w:pPr>
              <w:pStyle w:val="10"/>
              <w:spacing w:line="219" w:lineRule="auto"/>
              <w:ind w:left="113"/>
              <w:rPr>
                <w:color w:val="auto"/>
                <w:highlight w:val="none"/>
                <w:lang w:eastAsia="zh-CN"/>
              </w:rPr>
            </w:pPr>
            <w:r>
              <w:rPr>
                <w:color w:val="auto"/>
                <w:spacing w:val="-8"/>
                <w:highlight w:val="none"/>
                <w:lang w:eastAsia="zh-CN"/>
              </w:rPr>
              <w:t>认的算术错误修正后的投标总报价）。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3" w:hRule="atLeast"/>
        </w:trPr>
        <w:tc>
          <w:tcPr>
            <w:tcW w:w="1804" w:type="dxa"/>
            <w:gridSpan w:val="2"/>
          </w:tcPr>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spacing w:line="266" w:lineRule="auto"/>
              <w:rPr>
                <w:rFonts w:ascii="宋体" w:hAnsi="宋体" w:eastAsia="宋体"/>
                <w:color w:val="auto"/>
                <w:highlight w:val="none"/>
                <w:lang w:eastAsia="zh-CN"/>
              </w:rPr>
            </w:pPr>
          </w:p>
          <w:p>
            <w:pPr>
              <w:spacing w:line="266" w:lineRule="auto"/>
              <w:rPr>
                <w:rFonts w:ascii="宋体" w:hAnsi="宋体" w:eastAsia="宋体"/>
                <w:color w:val="auto"/>
                <w:highlight w:val="none"/>
                <w:lang w:eastAsia="zh-CN"/>
              </w:rPr>
            </w:pPr>
          </w:p>
          <w:p>
            <w:pPr>
              <w:spacing w:before="60" w:line="384" w:lineRule="exact"/>
              <w:ind w:left="692"/>
              <w:rPr>
                <w:rFonts w:ascii="宋体" w:hAnsi="宋体" w:eastAsia="宋体" w:cs="Times New Roman"/>
                <w:color w:val="auto"/>
                <w:highlight w:val="none"/>
              </w:rPr>
            </w:pPr>
            <w:r>
              <w:rPr>
                <w:rFonts w:ascii="宋体" w:hAnsi="宋体" w:eastAsia="宋体" w:cs="Times New Roman"/>
                <w:color w:val="auto"/>
                <w:spacing w:val="-1"/>
                <w:position w:val="16"/>
                <w:highlight w:val="none"/>
              </w:rPr>
              <w:t>2.2.2</w:t>
            </w:r>
          </w:p>
          <w:p>
            <w:pPr>
              <w:pStyle w:val="10"/>
              <w:spacing w:line="232" w:lineRule="auto"/>
              <w:ind w:left="650"/>
              <w:rPr>
                <w:color w:val="auto"/>
                <w:highlight w:val="none"/>
              </w:rPr>
            </w:pPr>
            <w:r>
              <w:rPr>
                <w:color w:val="auto"/>
                <w:spacing w:val="-5"/>
                <w:highlight w:val="none"/>
              </w:rPr>
              <w:t>（</w:t>
            </w:r>
            <w:r>
              <w:rPr>
                <w:rFonts w:cs="Times New Roman"/>
                <w:color w:val="auto"/>
                <w:spacing w:val="-5"/>
                <w:highlight w:val="none"/>
              </w:rPr>
              <w:t>2</w:t>
            </w:r>
            <w:r>
              <w:rPr>
                <w:color w:val="auto"/>
                <w:spacing w:val="-5"/>
                <w:highlight w:val="none"/>
              </w:rPr>
              <w:t>）</w:t>
            </w:r>
          </w:p>
        </w:tc>
        <w:tc>
          <w:tcPr>
            <w:tcW w:w="2085" w:type="dxa"/>
          </w:tcPr>
          <w:p>
            <w:pPr>
              <w:spacing w:line="258" w:lineRule="auto"/>
              <w:rPr>
                <w:rFonts w:ascii="宋体" w:hAnsi="宋体" w:eastAsia="宋体"/>
                <w:color w:val="auto"/>
                <w:highlight w:val="none"/>
              </w:rPr>
            </w:pPr>
          </w:p>
          <w:p>
            <w:pPr>
              <w:spacing w:line="258" w:lineRule="auto"/>
              <w:rPr>
                <w:rFonts w:ascii="宋体" w:hAnsi="宋体" w:eastAsia="宋体"/>
                <w:color w:val="auto"/>
                <w:highlight w:val="none"/>
              </w:rPr>
            </w:pPr>
          </w:p>
          <w:p>
            <w:pPr>
              <w:spacing w:line="258" w:lineRule="auto"/>
              <w:rPr>
                <w:rFonts w:ascii="宋体" w:hAnsi="宋体" w:eastAsia="宋体"/>
                <w:color w:val="auto"/>
                <w:highlight w:val="none"/>
              </w:rPr>
            </w:pPr>
          </w:p>
          <w:p>
            <w:pPr>
              <w:spacing w:line="258" w:lineRule="auto"/>
              <w:rPr>
                <w:rFonts w:ascii="宋体" w:hAnsi="宋体" w:eastAsia="宋体"/>
                <w:color w:val="auto"/>
                <w:highlight w:val="none"/>
              </w:rPr>
            </w:pPr>
          </w:p>
          <w:p>
            <w:pPr>
              <w:spacing w:line="258" w:lineRule="auto"/>
              <w:rPr>
                <w:rFonts w:ascii="宋体" w:hAnsi="宋体" w:eastAsia="宋体"/>
                <w:color w:val="auto"/>
                <w:highlight w:val="none"/>
              </w:rPr>
            </w:pPr>
          </w:p>
          <w:p>
            <w:pPr>
              <w:spacing w:line="258" w:lineRule="auto"/>
              <w:rPr>
                <w:rFonts w:ascii="宋体" w:hAnsi="宋体" w:eastAsia="宋体"/>
                <w:color w:val="auto"/>
                <w:highlight w:val="none"/>
              </w:rPr>
            </w:pPr>
          </w:p>
          <w:p>
            <w:pPr>
              <w:pStyle w:val="10"/>
              <w:spacing w:before="68" w:line="421" w:lineRule="exact"/>
              <w:ind w:left="310"/>
              <w:rPr>
                <w:color w:val="auto"/>
                <w:highlight w:val="none"/>
              </w:rPr>
            </w:pPr>
            <w:r>
              <w:rPr>
                <w:color w:val="auto"/>
                <w:spacing w:val="-1"/>
                <w:position w:val="16"/>
                <w:highlight w:val="none"/>
              </w:rPr>
              <w:t>评标基准价计算</w:t>
            </w:r>
          </w:p>
          <w:p>
            <w:pPr>
              <w:pStyle w:val="10"/>
              <w:spacing w:line="222" w:lineRule="auto"/>
              <w:ind w:left="838"/>
              <w:rPr>
                <w:color w:val="auto"/>
                <w:highlight w:val="none"/>
              </w:rPr>
            </w:pPr>
            <w:r>
              <w:rPr>
                <w:color w:val="auto"/>
                <w:spacing w:val="-2"/>
                <w:highlight w:val="none"/>
              </w:rPr>
              <w:t>方法</w:t>
            </w:r>
          </w:p>
        </w:tc>
        <w:tc>
          <w:tcPr>
            <w:tcW w:w="5047" w:type="dxa"/>
            <w:gridSpan w:val="2"/>
          </w:tcPr>
          <w:p>
            <w:pPr>
              <w:pStyle w:val="10"/>
              <w:spacing w:before="154" w:line="219" w:lineRule="auto"/>
              <w:ind w:left="113"/>
              <w:rPr>
                <w:color w:val="auto"/>
                <w:highlight w:val="none"/>
                <w:lang w:eastAsia="zh-CN"/>
              </w:rPr>
            </w:pPr>
            <w:r>
              <w:rPr>
                <w:color w:val="auto"/>
                <w:spacing w:val="-1"/>
                <w:highlight w:val="none"/>
                <w:lang w:eastAsia="zh-CN"/>
              </w:rPr>
              <w:t>基准价计算方法：</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1、如有效投标单位小于6家，则不去；将其投标报价取平均值做为评标基准价。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2、如有效投标单位6家(含)-10家(含)，则去掉2个最高价，2个最低价；将其他投标报价取平均值做为评标基准价。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3、如有效投标单位10家(不含)-20家(含)，投标报价由高到低排序后，去掉排名前3家的投标报价和排名后3家的投标报价；将其他投标报价取平均值做为评标基准价。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4、如有效投标单位20家(不含)-30家(含),投标报价由高到低排序后，去掉排名前4家的投标报价和排名后4家的投标报价；将其他投标报价取平均值做为评标基准价。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5、如有效投标单位30家(不含)-40家(含),投标报价由高到低排序后，去掉排名前6家的投标报价和排名后6家的投标报价；将其他投标报价取平均值做为评标基准价。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6、如有效投标单位40家(不含)-60家(含),投标报价由高到低排序后，去掉排名前10家的投标报价和排名后10家的投标报价；将其他投标报价取平均值做为评标基准价。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7、如有效投标单位60家(不含)-80家(含)，投标报价由高到低排序后，去掉排名前15家的投标报价和排名后15家的投标报价；将其他投标报价取平均值做为评标基准价。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8、如有效投标单位80家(不含)-100家(含)，投标报价由高到低排序后，去掉排名前20家的投标报价和排名后20家的投标报价；将其他投标报价取平均值做为评标基准价。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9、如有效投标单位100家以上，投标报价由高到低排序后，去掉排名前25家的投标报价和排名后25家的投标报价；将其他投标报价取平均值做为评标基准价。</w:t>
            </w:r>
          </w:p>
          <w:p>
            <w:pPr>
              <w:pStyle w:val="10"/>
              <w:spacing w:before="31"/>
              <w:ind w:left="114" w:right="108" w:firstLine="14"/>
              <w:rPr>
                <w:color w:val="auto"/>
                <w:spacing w:val="9"/>
                <w:highlight w:val="none"/>
                <w:lang w:eastAsia="zh-CN"/>
              </w:rPr>
            </w:pPr>
            <w:r>
              <w:rPr>
                <w:rFonts w:hint="eastAsia"/>
                <w:color w:val="auto"/>
                <w:spacing w:val="9"/>
                <w:highlight w:val="none"/>
                <w:lang w:eastAsia="zh-CN"/>
              </w:rPr>
              <w:t>10、等于评标基准价的满分70分。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9" w:hRule="atLeast"/>
        </w:trPr>
        <w:tc>
          <w:tcPr>
            <w:tcW w:w="1804" w:type="dxa"/>
            <w:gridSpan w:val="2"/>
          </w:tcPr>
          <w:p>
            <w:pPr>
              <w:spacing w:line="252" w:lineRule="auto"/>
              <w:rPr>
                <w:rFonts w:ascii="宋体" w:hAnsi="宋体" w:eastAsia="宋体"/>
                <w:color w:val="auto"/>
                <w:highlight w:val="none"/>
                <w:lang w:eastAsia="zh-CN"/>
              </w:rPr>
            </w:pPr>
          </w:p>
          <w:p>
            <w:pPr>
              <w:spacing w:line="253" w:lineRule="auto"/>
              <w:rPr>
                <w:rFonts w:ascii="宋体" w:hAnsi="宋体" w:eastAsia="宋体"/>
                <w:color w:val="auto"/>
                <w:highlight w:val="none"/>
                <w:lang w:eastAsia="zh-CN"/>
              </w:rPr>
            </w:pPr>
          </w:p>
          <w:p>
            <w:pPr>
              <w:spacing w:line="253" w:lineRule="auto"/>
              <w:rPr>
                <w:rFonts w:ascii="宋体" w:hAnsi="宋体" w:eastAsia="宋体"/>
                <w:color w:val="auto"/>
                <w:highlight w:val="none"/>
                <w:lang w:eastAsia="zh-CN"/>
              </w:rPr>
            </w:pPr>
          </w:p>
          <w:p>
            <w:pPr>
              <w:spacing w:before="61" w:line="189" w:lineRule="auto"/>
              <w:ind w:left="692"/>
              <w:rPr>
                <w:rFonts w:ascii="宋体" w:hAnsi="宋体" w:eastAsia="宋体" w:cs="Times New Roman"/>
                <w:color w:val="auto"/>
                <w:highlight w:val="none"/>
              </w:rPr>
            </w:pPr>
            <w:r>
              <w:rPr>
                <w:rFonts w:ascii="宋体" w:hAnsi="宋体" w:eastAsia="宋体" w:cs="Times New Roman"/>
                <w:color w:val="auto"/>
                <w:spacing w:val="-1"/>
                <w:highlight w:val="none"/>
              </w:rPr>
              <w:t>2.2.3</w:t>
            </w:r>
          </w:p>
        </w:tc>
        <w:tc>
          <w:tcPr>
            <w:tcW w:w="2085" w:type="dxa"/>
          </w:tcPr>
          <w:p>
            <w:pPr>
              <w:spacing w:line="252" w:lineRule="auto"/>
              <w:rPr>
                <w:rFonts w:ascii="宋体" w:hAnsi="宋体" w:eastAsia="宋体"/>
                <w:color w:val="auto"/>
                <w:highlight w:val="none"/>
                <w:lang w:eastAsia="zh-CN"/>
              </w:rPr>
            </w:pPr>
          </w:p>
          <w:p>
            <w:pPr>
              <w:spacing w:line="252" w:lineRule="auto"/>
              <w:rPr>
                <w:rFonts w:ascii="宋体" w:hAnsi="宋体" w:eastAsia="宋体"/>
                <w:color w:val="auto"/>
                <w:highlight w:val="none"/>
                <w:lang w:eastAsia="zh-CN"/>
              </w:rPr>
            </w:pPr>
          </w:p>
          <w:p>
            <w:pPr>
              <w:pStyle w:val="10"/>
              <w:spacing w:before="68" w:line="420" w:lineRule="exact"/>
              <w:ind w:left="114"/>
              <w:rPr>
                <w:color w:val="auto"/>
                <w:highlight w:val="none"/>
                <w:lang w:eastAsia="zh-CN"/>
              </w:rPr>
            </w:pPr>
            <w:r>
              <w:rPr>
                <w:color w:val="auto"/>
                <w:spacing w:val="-1"/>
                <w:position w:val="16"/>
                <w:highlight w:val="none"/>
                <w:lang w:eastAsia="zh-CN"/>
              </w:rPr>
              <w:t>投标报价的偏差率</w:t>
            </w:r>
          </w:p>
          <w:p>
            <w:pPr>
              <w:pStyle w:val="10"/>
              <w:spacing w:line="220" w:lineRule="auto"/>
              <w:ind w:left="626"/>
              <w:rPr>
                <w:color w:val="auto"/>
                <w:highlight w:val="none"/>
                <w:lang w:eastAsia="zh-CN"/>
              </w:rPr>
            </w:pPr>
            <w:r>
              <w:rPr>
                <w:color w:val="auto"/>
                <w:spacing w:val="-2"/>
                <w:highlight w:val="none"/>
                <w:lang w:eastAsia="zh-CN"/>
              </w:rPr>
              <w:t>计算公式</w:t>
            </w:r>
          </w:p>
        </w:tc>
        <w:tc>
          <w:tcPr>
            <w:tcW w:w="5047" w:type="dxa"/>
            <w:gridSpan w:val="2"/>
          </w:tcPr>
          <w:p>
            <w:pPr>
              <w:pStyle w:val="10"/>
              <w:spacing w:before="155" w:line="420" w:lineRule="exact"/>
              <w:ind w:left="113"/>
              <w:rPr>
                <w:color w:val="auto"/>
                <w:highlight w:val="none"/>
                <w:lang w:eastAsia="zh-CN"/>
              </w:rPr>
            </w:pPr>
            <w:r>
              <w:rPr>
                <w:color w:val="auto"/>
                <w:spacing w:val="2"/>
                <w:position w:val="16"/>
                <w:highlight w:val="none"/>
                <w:lang w:eastAsia="zh-CN"/>
              </w:rPr>
              <w:t>偏差率=100%×（投标人评标价－评标基准价）</w:t>
            </w:r>
            <w:r>
              <w:rPr>
                <w:color w:val="auto"/>
                <w:spacing w:val="-59"/>
                <w:position w:val="16"/>
                <w:highlight w:val="none"/>
                <w:lang w:eastAsia="zh-CN"/>
              </w:rPr>
              <w:t xml:space="preserve"> </w:t>
            </w:r>
            <w:r>
              <w:rPr>
                <w:color w:val="auto"/>
                <w:spacing w:val="2"/>
                <w:position w:val="16"/>
                <w:highlight w:val="none"/>
                <w:lang w:eastAsia="zh-CN"/>
              </w:rPr>
              <w:t>÷评</w:t>
            </w:r>
          </w:p>
          <w:p>
            <w:pPr>
              <w:pStyle w:val="10"/>
              <w:spacing w:line="219" w:lineRule="auto"/>
              <w:ind w:left="114"/>
              <w:rPr>
                <w:color w:val="auto"/>
                <w:highlight w:val="none"/>
                <w:lang w:eastAsia="zh-CN"/>
              </w:rPr>
            </w:pPr>
            <w:r>
              <w:rPr>
                <w:color w:val="auto"/>
                <w:spacing w:val="-2"/>
                <w:highlight w:val="none"/>
                <w:lang w:eastAsia="zh-CN"/>
              </w:rPr>
              <w:t>标基准价</w:t>
            </w:r>
          </w:p>
          <w:p>
            <w:pPr>
              <w:pStyle w:val="10"/>
              <w:spacing w:before="170" w:line="370" w:lineRule="auto"/>
              <w:ind w:left="116"/>
              <w:rPr>
                <w:color w:val="auto"/>
                <w:highlight w:val="none"/>
                <w:lang w:eastAsia="zh-CN"/>
              </w:rPr>
            </w:pPr>
            <w:r>
              <w:rPr>
                <w:color w:val="auto"/>
                <w:spacing w:val="-8"/>
                <w:highlight w:val="none"/>
                <w:lang w:eastAsia="zh-CN"/>
              </w:rPr>
              <w:t>扣分标准： 每低</w:t>
            </w:r>
            <w:r>
              <w:rPr>
                <w:color w:val="auto"/>
                <w:spacing w:val="-28"/>
                <w:highlight w:val="none"/>
                <w:lang w:eastAsia="zh-CN"/>
              </w:rPr>
              <w:t xml:space="preserve"> </w:t>
            </w:r>
            <w:r>
              <w:rPr>
                <w:color w:val="auto"/>
                <w:spacing w:val="-8"/>
                <w:highlight w:val="none"/>
                <w:lang w:eastAsia="zh-CN"/>
              </w:rPr>
              <w:t>1%扣</w:t>
            </w:r>
            <w:r>
              <w:rPr>
                <w:color w:val="auto"/>
                <w:spacing w:val="-105"/>
                <w:highlight w:val="none"/>
                <w:lang w:eastAsia="zh-CN"/>
              </w:rPr>
              <w:t xml:space="preserve"> </w:t>
            </w:r>
            <w:r>
              <w:rPr>
                <w:color w:val="auto"/>
                <w:spacing w:val="34"/>
                <w:highlight w:val="none"/>
                <w:u w:val="single"/>
                <w:lang w:eastAsia="zh-CN"/>
              </w:rPr>
              <w:t xml:space="preserve"> 0.1</w:t>
            </w:r>
            <w:r>
              <w:rPr>
                <w:color w:val="auto"/>
                <w:spacing w:val="-8"/>
                <w:highlight w:val="none"/>
                <w:lang w:eastAsia="zh-CN"/>
              </w:rPr>
              <w:t>分；每高</w:t>
            </w:r>
            <w:r>
              <w:rPr>
                <w:color w:val="auto"/>
                <w:spacing w:val="-29"/>
                <w:highlight w:val="none"/>
                <w:lang w:eastAsia="zh-CN"/>
              </w:rPr>
              <w:t xml:space="preserve"> </w:t>
            </w:r>
            <w:r>
              <w:rPr>
                <w:color w:val="auto"/>
                <w:spacing w:val="-8"/>
                <w:highlight w:val="none"/>
                <w:lang w:eastAsia="zh-CN"/>
              </w:rPr>
              <w:t>1%扣</w:t>
            </w:r>
            <w:r>
              <w:rPr>
                <w:color w:val="auto"/>
                <w:spacing w:val="-8"/>
                <w:highlight w:val="none"/>
                <w:u w:val="single"/>
                <w:lang w:eastAsia="zh-CN"/>
              </w:rPr>
              <w:t xml:space="preserve"> 0.15</w:t>
            </w:r>
            <w:r>
              <w:rPr>
                <w:color w:val="auto"/>
                <w:spacing w:val="-94"/>
                <w:highlight w:val="none"/>
                <w:lang w:eastAsia="zh-CN"/>
              </w:rPr>
              <w:t xml:space="preserve"> </w:t>
            </w:r>
            <w:r>
              <w:rPr>
                <w:color w:val="auto"/>
                <w:spacing w:val="-9"/>
                <w:highlight w:val="none"/>
                <w:lang w:eastAsia="zh-CN"/>
              </w:rPr>
              <w:t>分。</w:t>
            </w:r>
          </w:p>
          <w:p>
            <w:pPr>
              <w:pStyle w:val="10"/>
              <w:spacing w:line="219" w:lineRule="auto"/>
              <w:ind w:left="113"/>
              <w:rPr>
                <w:color w:val="auto"/>
                <w:highlight w:val="none"/>
                <w:lang w:eastAsia="zh-CN"/>
              </w:rPr>
            </w:pPr>
            <w:r>
              <w:rPr>
                <w:color w:val="auto"/>
                <w:spacing w:val="-1"/>
                <w:highlight w:val="none"/>
                <w:lang w:eastAsia="zh-CN"/>
              </w:rPr>
              <w:t>注：中间值采用插入法计算，小数点后保留两位。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04" w:type="dxa"/>
            <w:gridSpan w:val="2"/>
          </w:tcPr>
          <w:p>
            <w:pPr>
              <w:pStyle w:val="10"/>
              <w:spacing w:before="175" w:line="221" w:lineRule="auto"/>
              <w:ind w:left="592"/>
              <w:rPr>
                <w:color w:val="auto"/>
                <w:highlight w:val="none"/>
              </w:rPr>
            </w:pPr>
            <w:r>
              <w:rPr>
                <w:color w:val="auto"/>
                <w:spacing w:val="-2"/>
                <w:highlight w:val="none"/>
                <w14:textOutline w14:w="3835" w14:cap="flat" w14:cmpd="sng" w14:algn="ctr">
                  <w14:solidFill>
                    <w14:srgbClr w14:val="000000"/>
                  </w14:solidFill>
                  <w14:prstDash w14:val="solid"/>
                  <w14:miter w14:val="0"/>
                </w14:textOutline>
              </w:rPr>
              <w:t>条款号</w:t>
            </w:r>
          </w:p>
        </w:tc>
        <w:tc>
          <w:tcPr>
            <w:tcW w:w="2085" w:type="dxa"/>
          </w:tcPr>
          <w:p>
            <w:pPr>
              <w:pStyle w:val="10"/>
              <w:spacing w:before="175" w:line="221" w:lineRule="auto"/>
              <w:ind w:left="625"/>
              <w:rPr>
                <w:color w:val="auto"/>
                <w:highlight w:val="none"/>
              </w:rPr>
            </w:pPr>
            <w:r>
              <w:rPr>
                <w:color w:val="auto"/>
                <w:spacing w:val="-1"/>
                <w:highlight w:val="none"/>
                <w14:textOutline w14:w="3835" w14:cap="flat" w14:cmpd="sng" w14:algn="ctr">
                  <w14:solidFill>
                    <w14:srgbClr w14:val="000000"/>
                  </w14:solidFill>
                  <w14:prstDash w14:val="solid"/>
                  <w14:miter w14:val="0"/>
                </w14:textOutline>
              </w:rPr>
              <w:t>评分因素</w:t>
            </w:r>
          </w:p>
        </w:tc>
        <w:tc>
          <w:tcPr>
            <w:tcW w:w="928" w:type="dxa"/>
          </w:tcPr>
          <w:p>
            <w:pPr>
              <w:pStyle w:val="10"/>
              <w:spacing w:before="176" w:line="221" w:lineRule="auto"/>
              <w:ind w:left="152"/>
              <w:rPr>
                <w:color w:val="auto"/>
                <w:highlight w:val="none"/>
              </w:rPr>
            </w:pPr>
            <w:r>
              <w:rPr>
                <w:color w:val="auto"/>
                <w:spacing w:val="-2"/>
                <w:highlight w:val="none"/>
                <w14:textOutline w14:w="3835" w14:cap="flat" w14:cmpd="sng" w14:algn="ctr">
                  <w14:solidFill>
                    <w14:srgbClr w14:val="000000"/>
                  </w14:solidFill>
                  <w14:prstDash w14:val="solid"/>
                  <w14:miter w14:val="0"/>
                </w14:textOutline>
              </w:rPr>
              <w:t>标准分</w:t>
            </w:r>
          </w:p>
        </w:tc>
        <w:tc>
          <w:tcPr>
            <w:tcW w:w="4119" w:type="dxa"/>
          </w:tcPr>
          <w:p>
            <w:pPr>
              <w:pStyle w:val="10"/>
              <w:spacing w:before="176" w:line="221" w:lineRule="auto"/>
              <w:ind w:left="1642"/>
              <w:rPr>
                <w:color w:val="auto"/>
                <w:highlight w:val="none"/>
              </w:rPr>
            </w:pPr>
            <w:r>
              <w:rPr>
                <w:color w:val="auto"/>
                <w:spacing w:val="-1"/>
                <w:highlight w:val="none"/>
                <w14:textOutline w14:w="3835" w14:cap="flat" w14:cmpd="sng" w14:algn="ctr">
                  <w14:solidFill>
                    <w14:srgbClr w14:val="000000"/>
                  </w14:solidFill>
                  <w14:prstDash w14:val="solid"/>
                  <w14:miter w14:val="0"/>
                </w14:textOutline>
              </w:rPr>
              <w:t>评分标准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746" w:type="dxa"/>
            <w:tcBorders>
              <w:bottom w:val="single" w:color="auto" w:sz="4" w:space="0"/>
            </w:tcBorders>
          </w:tcPr>
          <w:p>
            <w:pPr>
              <w:spacing w:line="242" w:lineRule="auto"/>
              <w:rPr>
                <w:rFonts w:ascii="宋体" w:hAnsi="宋体" w:eastAsia="宋体"/>
                <w:color w:val="auto"/>
                <w:highlight w:val="none"/>
              </w:rPr>
            </w:pPr>
          </w:p>
          <w:p>
            <w:pPr>
              <w:spacing w:line="242" w:lineRule="auto"/>
              <w:rPr>
                <w:rFonts w:ascii="宋体" w:hAnsi="宋体" w:eastAsia="宋体"/>
                <w:color w:val="auto"/>
                <w:highlight w:val="none"/>
              </w:rPr>
            </w:pPr>
          </w:p>
          <w:p>
            <w:pPr>
              <w:spacing w:line="243" w:lineRule="auto"/>
              <w:rPr>
                <w:rFonts w:ascii="宋体" w:hAnsi="宋体" w:eastAsia="宋体"/>
                <w:color w:val="auto"/>
                <w:highlight w:val="none"/>
              </w:rPr>
            </w:pPr>
          </w:p>
          <w:p>
            <w:pPr>
              <w:spacing w:line="243" w:lineRule="auto"/>
              <w:rPr>
                <w:rFonts w:ascii="宋体" w:hAnsi="宋体" w:eastAsia="宋体"/>
                <w:color w:val="auto"/>
                <w:highlight w:val="none"/>
              </w:rPr>
            </w:pPr>
          </w:p>
          <w:p>
            <w:pPr>
              <w:spacing w:before="60" w:line="383" w:lineRule="exact"/>
              <w:ind w:left="165"/>
              <w:rPr>
                <w:rFonts w:ascii="宋体" w:hAnsi="宋体" w:eastAsia="宋体" w:cs="Times New Roman"/>
                <w:color w:val="auto"/>
                <w:highlight w:val="none"/>
              </w:rPr>
            </w:pPr>
            <w:r>
              <w:rPr>
                <w:rFonts w:ascii="宋体" w:hAnsi="宋体" w:eastAsia="宋体" w:cs="Times New Roman"/>
                <w:color w:val="auto"/>
                <w:spacing w:val="-1"/>
                <w:position w:val="16"/>
                <w:highlight w:val="none"/>
              </w:rPr>
              <w:t>2.2.4</w:t>
            </w:r>
          </w:p>
          <w:p>
            <w:pPr>
              <w:pStyle w:val="10"/>
              <w:spacing w:line="232" w:lineRule="auto"/>
              <w:ind w:left="122"/>
              <w:rPr>
                <w:color w:val="auto"/>
                <w:highlight w:val="none"/>
              </w:rPr>
            </w:pPr>
            <w:r>
              <w:rPr>
                <w:color w:val="auto"/>
                <w:spacing w:val="-5"/>
                <w:highlight w:val="none"/>
              </w:rPr>
              <w:t>（</w:t>
            </w:r>
            <w:r>
              <w:rPr>
                <w:rFonts w:cs="Times New Roman"/>
                <w:color w:val="auto"/>
                <w:spacing w:val="-5"/>
                <w:highlight w:val="none"/>
              </w:rPr>
              <w:t>1</w:t>
            </w:r>
            <w:r>
              <w:rPr>
                <w:color w:val="auto"/>
                <w:spacing w:val="-5"/>
                <w:highlight w:val="none"/>
              </w:rPr>
              <w:t>）</w:t>
            </w:r>
          </w:p>
        </w:tc>
        <w:tc>
          <w:tcPr>
            <w:tcW w:w="1058" w:type="dxa"/>
            <w:tcBorders>
              <w:bottom w:val="single" w:color="auto" w:sz="4" w:space="0"/>
            </w:tcBorders>
          </w:tcPr>
          <w:p>
            <w:pPr>
              <w:spacing w:line="254" w:lineRule="auto"/>
              <w:rPr>
                <w:rFonts w:ascii="宋体" w:hAnsi="宋体" w:eastAsia="宋体"/>
                <w:color w:val="auto"/>
                <w:highlight w:val="none"/>
                <w:lang w:eastAsia="zh-CN"/>
              </w:rPr>
            </w:pPr>
          </w:p>
          <w:p>
            <w:pPr>
              <w:spacing w:line="254" w:lineRule="auto"/>
              <w:rPr>
                <w:rFonts w:ascii="宋体" w:hAnsi="宋体" w:eastAsia="宋体"/>
                <w:color w:val="auto"/>
                <w:highlight w:val="none"/>
                <w:lang w:eastAsia="zh-CN"/>
              </w:rPr>
            </w:pPr>
          </w:p>
          <w:p>
            <w:pPr>
              <w:pStyle w:val="10"/>
              <w:spacing w:before="68" w:line="219" w:lineRule="auto"/>
              <w:ind w:left="114"/>
              <w:rPr>
                <w:color w:val="auto"/>
                <w:highlight w:val="none"/>
                <w:lang w:eastAsia="zh-CN"/>
              </w:rPr>
            </w:pPr>
            <w:r>
              <w:rPr>
                <w:color w:val="auto"/>
                <w:spacing w:val="-2"/>
                <w:highlight w:val="none"/>
                <w:lang w:eastAsia="zh-CN"/>
              </w:rPr>
              <w:t>投标报价</w:t>
            </w:r>
          </w:p>
          <w:p>
            <w:pPr>
              <w:pStyle w:val="10"/>
              <w:spacing w:before="171" w:line="221" w:lineRule="auto"/>
              <w:ind w:left="223"/>
              <w:rPr>
                <w:color w:val="auto"/>
                <w:highlight w:val="none"/>
                <w:lang w:eastAsia="zh-CN"/>
              </w:rPr>
            </w:pPr>
            <w:r>
              <w:rPr>
                <w:color w:val="auto"/>
                <w:spacing w:val="-5"/>
                <w:highlight w:val="none"/>
                <w:lang w:eastAsia="zh-CN"/>
              </w:rPr>
              <w:t>（经济</w:t>
            </w:r>
          </w:p>
          <w:p>
            <w:pPr>
              <w:pStyle w:val="10"/>
              <w:spacing w:before="168" w:line="221" w:lineRule="auto"/>
              <w:ind w:left="112"/>
              <w:rPr>
                <w:color w:val="auto"/>
                <w:highlight w:val="none"/>
                <w:lang w:eastAsia="zh-CN"/>
              </w:rPr>
            </w:pPr>
            <w:r>
              <w:rPr>
                <w:color w:val="auto"/>
                <w:spacing w:val="-2"/>
                <w:highlight w:val="none"/>
                <w:lang w:eastAsia="zh-CN"/>
              </w:rPr>
              <w:t>标）评分</w:t>
            </w:r>
          </w:p>
          <w:p>
            <w:pPr>
              <w:pStyle w:val="10"/>
              <w:spacing w:before="168" w:line="221" w:lineRule="auto"/>
              <w:ind w:left="323"/>
              <w:rPr>
                <w:color w:val="auto"/>
                <w:highlight w:val="none"/>
              </w:rPr>
            </w:pPr>
            <w:r>
              <w:rPr>
                <w:color w:val="auto"/>
                <w:spacing w:val="-2"/>
                <w:highlight w:val="none"/>
              </w:rPr>
              <w:t>标准</w:t>
            </w:r>
          </w:p>
        </w:tc>
        <w:tc>
          <w:tcPr>
            <w:tcW w:w="2085" w:type="dxa"/>
            <w:vAlign w:val="center"/>
          </w:tcPr>
          <w:p>
            <w:pPr>
              <w:pStyle w:val="10"/>
              <w:spacing w:before="68" w:line="219" w:lineRule="auto"/>
              <w:ind w:left="205"/>
              <w:jc w:val="center"/>
              <w:rPr>
                <w:color w:val="auto"/>
                <w:highlight w:val="none"/>
              </w:rPr>
            </w:pPr>
            <w:r>
              <w:rPr>
                <w:color w:val="auto"/>
                <w:spacing w:val="-1"/>
                <w:highlight w:val="none"/>
              </w:rPr>
              <w:t>计算投标报价得分</w:t>
            </w:r>
          </w:p>
        </w:tc>
        <w:tc>
          <w:tcPr>
            <w:tcW w:w="928" w:type="dxa"/>
            <w:vAlign w:val="center"/>
          </w:tcPr>
          <w:p>
            <w:pPr>
              <w:pStyle w:val="10"/>
              <w:spacing w:before="69" w:line="221" w:lineRule="auto"/>
              <w:jc w:val="center"/>
              <w:rPr>
                <w:color w:val="auto"/>
                <w:highlight w:val="none"/>
              </w:rPr>
            </w:pPr>
            <w:r>
              <w:rPr>
                <w:rFonts w:hint="eastAsia"/>
                <w:color w:val="auto"/>
                <w:highlight w:val="none"/>
                <w:lang w:eastAsia="zh-CN"/>
              </w:rPr>
              <w:t>7</w:t>
            </w:r>
            <w:r>
              <w:rPr>
                <w:color w:val="auto"/>
                <w:highlight w:val="none"/>
                <w:lang w:eastAsia="zh-CN"/>
              </w:rPr>
              <w:t>0</w:t>
            </w:r>
            <w:r>
              <w:rPr>
                <w:color w:val="auto"/>
                <w:highlight w:val="none"/>
              </w:rPr>
              <w:t>分</w:t>
            </w:r>
          </w:p>
        </w:tc>
        <w:tc>
          <w:tcPr>
            <w:tcW w:w="4119" w:type="dxa"/>
          </w:tcPr>
          <w:p>
            <w:pPr>
              <w:pStyle w:val="10"/>
              <w:spacing w:before="159" w:line="420" w:lineRule="exact"/>
              <w:ind w:left="110"/>
              <w:rPr>
                <w:color w:val="auto"/>
                <w:highlight w:val="none"/>
                <w:lang w:eastAsia="zh-CN"/>
              </w:rPr>
            </w:pPr>
            <w:r>
              <w:rPr>
                <w:color w:val="auto"/>
                <w:spacing w:val="-7"/>
                <w:position w:val="16"/>
                <w:highlight w:val="none"/>
                <w:lang w:eastAsia="zh-CN"/>
              </w:rPr>
              <w:t>F＝A-</w:t>
            </w:r>
            <w:r>
              <w:rPr>
                <w:color w:val="auto"/>
                <w:spacing w:val="-51"/>
                <w:position w:val="16"/>
                <w:highlight w:val="none"/>
                <w:lang w:eastAsia="zh-CN"/>
              </w:rPr>
              <w:t xml:space="preserve"> </w:t>
            </w:r>
            <w:r>
              <w:rPr>
                <w:color w:val="auto"/>
                <w:spacing w:val="-7"/>
                <w:position w:val="16"/>
                <w:highlight w:val="none"/>
                <w:lang w:eastAsia="zh-CN"/>
              </w:rPr>
              <w:t>（投标人评标价-评标基准价） ÷评</w:t>
            </w:r>
          </w:p>
          <w:p>
            <w:pPr>
              <w:pStyle w:val="10"/>
              <w:spacing w:line="219" w:lineRule="auto"/>
              <w:ind w:left="115"/>
              <w:rPr>
                <w:color w:val="auto"/>
                <w:highlight w:val="none"/>
                <w:lang w:eastAsia="zh-CN"/>
              </w:rPr>
            </w:pPr>
            <w:r>
              <w:rPr>
                <w:color w:val="auto"/>
                <w:spacing w:val="-1"/>
                <w:highlight w:val="none"/>
                <w:lang w:eastAsia="zh-CN"/>
              </w:rPr>
              <w:t>标基准价×100×</w:t>
            </w:r>
            <w:r>
              <w:rPr>
                <w:color w:val="auto"/>
                <w:spacing w:val="-1"/>
                <w:highlight w:val="none"/>
                <w:u w:val="single"/>
                <w:lang w:eastAsia="zh-CN"/>
              </w:rPr>
              <w:t xml:space="preserve"> 数值与扣分标准对应</w:t>
            </w:r>
          </w:p>
          <w:p>
            <w:pPr>
              <w:pStyle w:val="10"/>
              <w:spacing w:before="170" w:line="219" w:lineRule="auto"/>
              <w:ind w:left="120"/>
              <w:rPr>
                <w:color w:val="auto"/>
                <w:highlight w:val="none"/>
                <w:lang w:eastAsia="zh-CN"/>
              </w:rPr>
            </w:pPr>
            <w:r>
              <w:rPr>
                <w:color w:val="auto"/>
                <w:spacing w:val="-2"/>
                <w:highlight w:val="none"/>
                <w:lang w:eastAsia="zh-CN"/>
              </w:rPr>
              <w:t>（评标价＞基准价时）</w:t>
            </w:r>
          </w:p>
          <w:p>
            <w:pPr>
              <w:pStyle w:val="10"/>
              <w:spacing w:before="171" w:line="369" w:lineRule="auto"/>
              <w:ind w:left="114" w:right="127" w:hanging="4"/>
              <w:rPr>
                <w:color w:val="auto"/>
                <w:highlight w:val="none"/>
                <w:lang w:eastAsia="zh-CN"/>
              </w:rPr>
            </w:pPr>
            <w:r>
              <w:rPr>
                <w:color w:val="auto"/>
                <w:spacing w:val="-8"/>
                <w:highlight w:val="none"/>
                <w:lang w:eastAsia="zh-CN"/>
              </w:rPr>
              <w:t>F＝A-</w:t>
            </w:r>
            <w:r>
              <w:rPr>
                <w:color w:val="auto"/>
                <w:spacing w:val="-43"/>
                <w:highlight w:val="none"/>
                <w:lang w:eastAsia="zh-CN"/>
              </w:rPr>
              <w:t xml:space="preserve"> </w:t>
            </w:r>
            <w:r>
              <w:rPr>
                <w:color w:val="auto"/>
                <w:spacing w:val="-8"/>
                <w:highlight w:val="none"/>
                <w:lang w:eastAsia="zh-CN"/>
              </w:rPr>
              <w:t>（评标基准价-投标人评标价） ÷评</w:t>
            </w:r>
            <w:r>
              <w:rPr>
                <w:color w:val="auto"/>
                <w:highlight w:val="none"/>
                <w:lang w:eastAsia="zh-CN"/>
              </w:rPr>
              <w:t xml:space="preserve">  </w:t>
            </w:r>
            <w:r>
              <w:rPr>
                <w:color w:val="auto"/>
                <w:spacing w:val="-4"/>
                <w:highlight w:val="none"/>
                <w:lang w:eastAsia="zh-CN"/>
              </w:rPr>
              <w:t>标基准价×100×</w:t>
            </w:r>
            <w:r>
              <w:rPr>
                <w:color w:val="auto"/>
                <w:spacing w:val="-4"/>
                <w:highlight w:val="none"/>
                <w:u w:val="single"/>
                <w:lang w:eastAsia="zh-CN"/>
              </w:rPr>
              <w:t>数值与扣分标准对应</w:t>
            </w:r>
            <w:r>
              <w:rPr>
                <w:color w:val="auto"/>
                <w:spacing w:val="-40"/>
                <w:highlight w:val="none"/>
                <w:lang w:eastAsia="zh-CN"/>
              </w:rPr>
              <w:t xml:space="preserve"> </w:t>
            </w:r>
            <w:r>
              <w:rPr>
                <w:color w:val="auto"/>
                <w:spacing w:val="-4"/>
                <w:highlight w:val="none"/>
                <w:lang w:eastAsia="zh-CN"/>
              </w:rPr>
              <w:t>（评</w:t>
            </w:r>
          </w:p>
          <w:p>
            <w:pPr>
              <w:pStyle w:val="10"/>
              <w:spacing w:before="1" w:line="219" w:lineRule="auto"/>
              <w:ind w:left="115"/>
              <w:rPr>
                <w:color w:val="auto"/>
                <w:highlight w:val="none"/>
              </w:rPr>
            </w:pPr>
            <w:r>
              <w:rPr>
                <w:color w:val="auto"/>
                <w:spacing w:val="-1"/>
                <w:highlight w:val="none"/>
              </w:rPr>
              <w:t>标价≤基准价时）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restart"/>
            <w:tcBorders>
              <w:top w:val="single" w:color="auto" w:sz="4" w:space="0"/>
              <w:left w:val="single" w:color="auto" w:sz="4" w:space="0"/>
              <w:bottom w:val="single" w:color="auto" w:sz="4" w:space="0"/>
              <w:right w:val="single" w:color="auto" w:sz="4" w:space="0"/>
            </w:tcBorders>
          </w:tcPr>
          <w:p>
            <w:pPr>
              <w:spacing w:line="255" w:lineRule="auto"/>
              <w:rPr>
                <w:rFonts w:ascii="宋体" w:hAnsi="宋体" w:eastAsia="宋体"/>
                <w:color w:val="auto"/>
                <w:highlight w:val="none"/>
              </w:rPr>
            </w:pPr>
          </w:p>
          <w:p>
            <w:pPr>
              <w:spacing w:line="255" w:lineRule="auto"/>
              <w:rPr>
                <w:rFonts w:ascii="宋体" w:hAnsi="宋体" w:eastAsia="宋体"/>
                <w:color w:val="auto"/>
                <w:highlight w:val="none"/>
              </w:rPr>
            </w:pPr>
          </w:p>
          <w:p>
            <w:pPr>
              <w:spacing w:line="255" w:lineRule="auto"/>
              <w:rPr>
                <w:rFonts w:ascii="宋体" w:hAnsi="宋体" w:eastAsia="宋体"/>
                <w:color w:val="auto"/>
                <w:highlight w:val="none"/>
              </w:rPr>
            </w:pPr>
          </w:p>
          <w:p>
            <w:pPr>
              <w:spacing w:line="255" w:lineRule="auto"/>
              <w:rPr>
                <w:rFonts w:ascii="宋体" w:hAnsi="宋体" w:eastAsia="宋体"/>
                <w:color w:val="auto"/>
                <w:highlight w:val="none"/>
              </w:rPr>
            </w:pPr>
          </w:p>
          <w:p>
            <w:pPr>
              <w:spacing w:line="255" w:lineRule="auto"/>
              <w:rPr>
                <w:rFonts w:ascii="宋体" w:hAnsi="宋体" w:eastAsia="宋体"/>
                <w:color w:val="auto"/>
                <w:highlight w:val="none"/>
              </w:rPr>
            </w:pPr>
          </w:p>
          <w:p>
            <w:pPr>
              <w:spacing w:line="255" w:lineRule="auto"/>
              <w:rPr>
                <w:rFonts w:ascii="宋体" w:hAnsi="宋体" w:eastAsia="宋体"/>
                <w:color w:val="auto"/>
                <w:highlight w:val="none"/>
              </w:rPr>
            </w:pPr>
          </w:p>
          <w:p>
            <w:pPr>
              <w:spacing w:line="256" w:lineRule="auto"/>
              <w:rPr>
                <w:rFonts w:ascii="宋体" w:hAnsi="宋体" w:eastAsia="宋体"/>
                <w:color w:val="auto"/>
                <w:highlight w:val="none"/>
              </w:rPr>
            </w:pPr>
          </w:p>
          <w:p>
            <w:pPr>
              <w:spacing w:before="60" w:line="384" w:lineRule="exact"/>
              <w:ind w:left="165"/>
              <w:rPr>
                <w:rFonts w:ascii="宋体" w:hAnsi="宋体" w:eastAsia="宋体" w:cs="Times New Roman"/>
                <w:color w:val="auto"/>
                <w:highlight w:val="none"/>
              </w:rPr>
            </w:pPr>
            <w:r>
              <w:rPr>
                <w:rFonts w:ascii="宋体" w:hAnsi="宋体" w:eastAsia="宋体" w:cs="Times New Roman"/>
                <w:color w:val="auto"/>
                <w:spacing w:val="-1"/>
                <w:position w:val="16"/>
                <w:highlight w:val="none"/>
              </w:rPr>
              <w:t>2.2.4</w:t>
            </w:r>
          </w:p>
          <w:p>
            <w:pPr>
              <w:pStyle w:val="10"/>
              <w:spacing w:line="232" w:lineRule="auto"/>
              <w:ind w:left="122"/>
              <w:rPr>
                <w:color w:val="auto"/>
                <w:highlight w:val="none"/>
              </w:rPr>
            </w:pPr>
            <w:r>
              <w:rPr>
                <w:color w:val="auto"/>
                <w:spacing w:val="-5"/>
                <w:highlight w:val="none"/>
              </w:rPr>
              <w:t>（</w:t>
            </w:r>
            <w:r>
              <w:rPr>
                <w:rFonts w:cs="Times New Roman"/>
                <w:color w:val="auto"/>
                <w:spacing w:val="-5"/>
                <w:highlight w:val="none"/>
              </w:rPr>
              <w:t>2</w:t>
            </w:r>
            <w:r>
              <w:rPr>
                <w:color w:val="auto"/>
                <w:spacing w:val="-5"/>
                <w:highlight w:val="none"/>
              </w:rPr>
              <w:t>）</w:t>
            </w:r>
          </w:p>
        </w:tc>
        <w:tc>
          <w:tcPr>
            <w:tcW w:w="1058" w:type="dxa"/>
            <w:vMerge w:val="restart"/>
            <w:tcBorders>
              <w:top w:val="single" w:color="auto" w:sz="4" w:space="0"/>
              <w:left w:val="single" w:color="auto" w:sz="4" w:space="0"/>
              <w:bottom w:val="single" w:color="auto" w:sz="4" w:space="0"/>
              <w:right w:val="single" w:color="auto" w:sz="4" w:space="0"/>
            </w:tcBorders>
          </w:tcPr>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spacing w:line="265" w:lineRule="auto"/>
              <w:rPr>
                <w:rFonts w:ascii="宋体" w:hAnsi="宋体" w:eastAsia="宋体"/>
                <w:color w:val="auto"/>
                <w:highlight w:val="none"/>
                <w:lang w:eastAsia="zh-CN"/>
              </w:rPr>
            </w:pPr>
          </w:p>
          <w:p>
            <w:pPr>
              <w:pStyle w:val="10"/>
              <w:spacing w:before="68" w:line="223" w:lineRule="auto"/>
              <w:ind w:left="110"/>
              <w:rPr>
                <w:color w:val="auto"/>
                <w:highlight w:val="none"/>
                <w:lang w:eastAsia="zh-CN"/>
              </w:rPr>
            </w:pPr>
            <w:r>
              <w:rPr>
                <w:color w:val="auto"/>
                <w:spacing w:val="-1"/>
                <w:highlight w:val="none"/>
                <w:lang w:eastAsia="zh-CN"/>
              </w:rPr>
              <w:t>施工组织</w:t>
            </w:r>
          </w:p>
          <w:p>
            <w:pPr>
              <w:pStyle w:val="10"/>
              <w:spacing w:before="165" w:line="222" w:lineRule="auto"/>
              <w:ind w:left="114"/>
              <w:rPr>
                <w:color w:val="auto"/>
                <w:highlight w:val="none"/>
                <w:lang w:eastAsia="zh-CN"/>
              </w:rPr>
            </w:pPr>
            <w:r>
              <w:rPr>
                <w:color w:val="auto"/>
                <w:spacing w:val="-3"/>
                <w:highlight w:val="none"/>
                <w:lang w:eastAsia="zh-CN"/>
              </w:rPr>
              <w:t>设计（技</w:t>
            </w:r>
          </w:p>
          <w:p>
            <w:pPr>
              <w:pStyle w:val="10"/>
              <w:spacing w:before="166" w:line="221" w:lineRule="auto"/>
              <w:ind w:left="113"/>
              <w:rPr>
                <w:color w:val="auto"/>
                <w:highlight w:val="none"/>
                <w:lang w:eastAsia="zh-CN"/>
              </w:rPr>
            </w:pPr>
            <w:r>
              <w:rPr>
                <w:color w:val="auto"/>
                <w:spacing w:val="-21"/>
                <w:highlight w:val="none"/>
                <w:lang w:eastAsia="zh-CN"/>
              </w:rPr>
              <w:t>术标）</w:t>
            </w:r>
            <w:r>
              <w:rPr>
                <w:color w:val="auto"/>
                <w:spacing w:val="-23"/>
                <w:highlight w:val="none"/>
                <w:lang w:eastAsia="zh-CN"/>
              </w:rPr>
              <w:t xml:space="preserve"> </w:t>
            </w:r>
            <w:r>
              <w:rPr>
                <w:color w:val="auto"/>
                <w:spacing w:val="-21"/>
                <w:highlight w:val="none"/>
                <w:lang w:eastAsia="zh-CN"/>
              </w:rPr>
              <w:t>评</w:t>
            </w:r>
          </w:p>
          <w:p>
            <w:pPr>
              <w:pStyle w:val="10"/>
              <w:spacing w:before="170" w:line="221" w:lineRule="auto"/>
              <w:ind w:left="219"/>
              <w:rPr>
                <w:color w:val="auto"/>
                <w:highlight w:val="none"/>
              </w:rPr>
            </w:pPr>
            <w:r>
              <w:rPr>
                <w:color w:val="auto"/>
                <w:spacing w:val="-2"/>
                <w:highlight w:val="none"/>
              </w:rPr>
              <w:t>分标准</w:t>
            </w:r>
          </w:p>
        </w:tc>
        <w:tc>
          <w:tcPr>
            <w:tcW w:w="2085" w:type="dxa"/>
            <w:tcBorders>
              <w:left w:val="single" w:color="auto" w:sz="4" w:space="0"/>
              <w:bottom w:val="nil"/>
            </w:tcBorders>
            <w:vAlign w:val="center"/>
          </w:tcPr>
          <w:p>
            <w:pPr>
              <w:pStyle w:val="10"/>
              <w:spacing w:before="23" w:line="228" w:lineRule="auto"/>
              <w:jc w:val="center"/>
              <w:rPr>
                <w:color w:val="auto"/>
                <w:highlight w:val="none"/>
              </w:rPr>
            </w:pPr>
            <w:r>
              <w:rPr>
                <w:rFonts w:hint="eastAsia"/>
              </w:rPr>
              <w:t>施工技术方案</w:t>
            </w:r>
          </w:p>
        </w:tc>
        <w:tc>
          <w:tcPr>
            <w:tcW w:w="928" w:type="dxa"/>
            <w:tcBorders>
              <w:bottom w:val="nil"/>
            </w:tcBorders>
            <w:vAlign w:val="center"/>
          </w:tcPr>
          <w:p>
            <w:pPr>
              <w:pStyle w:val="10"/>
              <w:spacing w:before="68" w:line="221" w:lineRule="auto"/>
              <w:jc w:val="center"/>
              <w:rPr>
                <w:color w:val="auto"/>
                <w:highlight w:val="none"/>
              </w:rPr>
            </w:pPr>
            <w:r>
              <w:rPr>
                <w:rFonts w:hint="eastAsia"/>
                <w:lang w:val="en-US" w:eastAsia="zh-CN"/>
              </w:rPr>
              <w:t>3</w:t>
            </w:r>
            <w:r>
              <w:t>分</w:t>
            </w:r>
          </w:p>
        </w:tc>
        <w:tc>
          <w:tcPr>
            <w:tcW w:w="4119" w:type="dxa"/>
            <w:vAlign w:val="center"/>
          </w:tcPr>
          <w:p>
            <w:pPr>
              <w:pStyle w:val="10"/>
              <w:spacing w:before="124" w:line="221" w:lineRule="auto"/>
              <w:ind w:left="113" w:leftChars="0"/>
              <w:jc w:val="both"/>
              <w:rPr>
                <w:color w:val="auto"/>
                <w:highlight w:val="none"/>
                <w:lang w:eastAsia="zh-CN"/>
              </w:rPr>
            </w:pPr>
            <w:r>
              <w:rPr>
                <w:rFonts w:hint="eastAsia"/>
                <w:lang w:eastAsia="zh-CN"/>
              </w:rPr>
              <w:t>从施工组织方式、主要施工步骤、重点施工工艺、操作规程、重点质量监测点的控制等方面考察，符合本工程特点，针对性强。施工方案非常合理可行，非常有针对性，得</w:t>
            </w:r>
            <w:r>
              <w:rPr>
                <w:rFonts w:hint="eastAsia"/>
                <w:lang w:val="en-US" w:eastAsia="zh-CN"/>
              </w:rPr>
              <w:t>3</w:t>
            </w:r>
            <w:r>
              <w:rPr>
                <w:rFonts w:hint="eastAsia"/>
                <w:lang w:eastAsia="zh-CN"/>
              </w:rPr>
              <w:t>分；施工方案很合理可行，有针对性，得</w:t>
            </w:r>
            <w:r>
              <w:rPr>
                <w:rFonts w:hint="eastAsia"/>
                <w:lang w:val="en-US" w:eastAsia="zh-CN"/>
              </w:rPr>
              <w:t>2</w:t>
            </w:r>
            <w:r>
              <w:rPr>
                <w:rFonts w:hint="eastAsia"/>
                <w:lang w:eastAsia="zh-CN"/>
              </w:rPr>
              <w:t>分；施工方案较合理可行，有一定针对性，得</w:t>
            </w:r>
            <w:r>
              <w:rPr>
                <w:rFonts w:hint="eastAsia"/>
                <w:lang w:val="en-US" w:eastAsia="zh-CN"/>
              </w:rPr>
              <w:t>1</w:t>
            </w:r>
            <w:r>
              <w:rPr>
                <w:rFonts w:hint="eastAsia"/>
                <w:lang w:eastAsia="zh-CN"/>
              </w:rPr>
              <w:t>分；施工方案不合理可行，没有针对性或没有的，得0分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3" w:line="228" w:lineRule="auto"/>
              <w:jc w:val="center"/>
              <w:rPr>
                <w:color w:val="auto"/>
                <w:highlight w:val="none"/>
              </w:rPr>
            </w:pPr>
            <w:r>
              <w:rPr>
                <w:rFonts w:hint="eastAsia"/>
                <w:color w:val="auto"/>
                <w:highlight w:val="none"/>
              </w:rPr>
              <w:t>施工总体布置</w:t>
            </w:r>
          </w:p>
        </w:tc>
        <w:tc>
          <w:tcPr>
            <w:tcW w:w="928" w:type="dxa"/>
            <w:tcBorders>
              <w:bottom w:val="nil"/>
            </w:tcBorders>
            <w:vAlign w:val="center"/>
          </w:tcPr>
          <w:p>
            <w:pPr>
              <w:pStyle w:val="10"/>
              <w:spacing w:before="68" w:line="221" w:lineRule="auto"/>
              <w:jc w:val="center"/>
              <w:rPr>
                <w:color w:val="auto"/>
                <w:highlight w:val="none"/>
              </w:rPr>
            </w:pPr>
            <w:r>
              <w:rPr>
                <w:rFonts w:hint="eastAsia"/>
                <w:color w:val="auto"/>
                <w:highlight w:val="none"/>
              </w:rPr>
              <w:t>3</w:t>
            </w:r>
            <w:r>
              <w:rPr>
                <w:color w:val="auto"/>
                <w:highlight w:val="none"/>
              </w:rPr>
              <w:t>分</w:t>
            </w:r>
          </w:p>
        </w:tc>
        <w:tc>
          <w:tcPr>
            <w:tcW w:w="4119" w:type="dxa"/>
            <w:vAlign w:val="center"/>
          </w:tcPr>
          <w:p>
            <w:pPr>
              <w:pStyle w:val="10"/>
              <w:spacing w:before="124" w:line="221" w:lineRule="auto"/>
              <w:ind w:left="113"/>
              <w:jc w:val="both"/>
              <w:rPr>
                <w:color w:val="auto"/>
                <w:highlight w:val="none"/>
                <w:lang w:eastAsia="zh-CN"/>
              </w:rPr>
            </w:pPr>
            <w:r>
              <w:rPr>
                <w:rFonts w:hint="eastAsia"/>
                <w:color w:val="auto"/>
                <w:highlight w:val="none"/>
                <w:lang w:eastAsia="zh-CN"/>
              </w:rPr>
              <w:t>总体布置规范合理，能切实满足技术、质量、安全、文明施工需要。总体布置非常规范、合理可行，非常有针对性，得3分；总体布置很合理可行，有针对性，得2分；总体布置较合理可行，有一定针对性，得1分；总体布置不合理可行，没有针对性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1" w:line="230" w:lineRule="auto"/>
              <w:ind w:right="200" w:rightChars="0"/>
              <w:jc w:val="center"/>
              <w:rPr>
                <w:color w:val="auto"/>
                <w:highlight w:val="none"/>
                <w:lang w:eastAsia="zh-CN"/>
              </w:rPr>
            </w:pPr>
            <w:r>
              <w:rPr>
                <w:rFonts w:hint="eastAsia"/>
                <w:lang w:eastAsia="zh-CN"/>
              </w:rPr>
              <w:t>施工内容</w:t>
            </w:r>
          </w:p>
        </w:tc>
        <w:tc>
          <w:tcPr>
            <w:tcW w:w="928" w:type="dxa"/>
            <w:tcBorders>
              <w:bottom w:val="nil"/>
            </w:tcBorders>
            <w:vAlign w:val="center"/>
          </w:tcPr>
          <w:p>
            <w:pPr>
              <w:pStyle w:val="10"/>
              <w:spacing w:before="69" w:line="221" w:lineRule="auto"/>
              <w:jc w:val="center"/>
              <w:rPr>
                <w:color w:val="auto"/>
                <w:highlight w:val="none"/>
              </w:rPr>
            </w:pPr>
            <w:r>
              <w:rPr>
                <w:rFonts w:hint="eastAsia"/>
                <w:lang w:val="en-US" w:eastAsia="zh-CN"/>
              </w:rPr>
              <w:t>3</w:t>
            </w:r>
            <w:r>
              <w:t>分</w:t>
            </w:r>
          </w:p>
        </w:tc>
        <w:tc>
          <w:tcPr>
            <w:tcW w:w="4119" w:type="dxa"/>
            <w:vAlign w:val="center"/>
          </w:tcPr>
          <w:p>
            <w:pPr>
              <w:pStyle w:val="10"/>
              <w:spacing w:before="125" w:line="221" w:lineRule="auto"/>
              <w:ind w:left="113" w:leftChars="0"/>
              <w:jc w:val="both"/>
              <w:rPr>
                <w:color w:val="auto"/>
                <w:highlight w:val="none"/>
                <w:lang w:eastAsia="zh-CN"/>
              </w:rPr>
            </w:pPr>
            <w:r>
              <w:rPr>
                <w:rFonts w:hint="eastAsia"/>
                <w:lang w:eastAsia="zh-CN"/>
              </w:rPr>
              <w:t>对施工各项内容分析明确，针对不同工作内容分部分项施工方法全面合理。对施工各项内容分析</w:t>
            </w:r>
            <w:r>
              <w:rPr>
                <w:rFonts w:hint="eastAsia"/>
                <w:lang w:val="en-US" w:eastAsia="zh-CN"/>
              </w:rPr>
              <w:t>非常</w:t>
            </w:r>
            <w:r>
              <w:rPr>
                <w:rFonts w:hint="eastAsia"/>
                <w:lang w:eastAsia="zh-CN"/>
              </w:rPr>
              <w:t>清晰明确，针对不同工作内容分部分项施工方法全面</w:t>
            </w:r>
            <w:r>
              <w:rPr>
                <w:rFonts w:hint="eastAsia"/>
                <w:lang w:val="en-US" w:eastAsia="zh-CN"/>
              </w:rPr>
              <w:t>非常</w:t>
            </w:r>
            <w:r>
              <w:rPr>
                <w:rFonts w:hint="eastAsia"/>
                <w:lang w:eastAsia="zh-CN"/>
              </w:rPr>
              <w:t>合理得</w:t>
            </w:r>
            <w:r>
              <w:rPr>
                <w:rFonts w:hint="eastAsia"/>
                <w:lang w:val="en-US" w:eastAsia="zh-CN"/>
              </w:rPr>
              <w:t>3</w:t>
            </w:r>
            <w:r>
              <w:rPr>
                <w:rFonts w:hint="eastAsia"/>
                <w:lang w:eastAsia="zh-CN"/>
              </w:rPr>
              <w:t>分；</w:t>
            </w:r>
            <w:r>
              <w:rPr>
                <w:rFonts w:hint="eastAsia"/>
                <w:color w:val="auto"/>
                <w:lang w:eastAsia="zh-CN"/>
              </w:rPr>
              <w:t>对施工各项内容分析清晰明确，针对不同工作内容分部分项施工方法全面合理得</w:t>
            </w:r>
            <w:r>
              <w:rPr>
                <w:rFonts w:hint="eastAsia"/>
                <w:color w:val="auto"/>
                <w:lang w:val="en-US" w:eastAsia="zh-CN"/>
              </w:rPr>
              <w:t>2</w:t>
            </w:r>
            <w:r>
              <w:rPr>
                <w:rFonts w:hint="eastAsia"/>
                <w:color w:val="auto"/>
                <w:lang w:eastAsia="zh-CN"/>
              </w:rPr>
              <w:t>分；</w:t>
            </w:r>
            <w:r>
              <w:rPr>
                <w:rFonts w:hint="eastAsia"/>
                <w:lang w:eastAsia="zh-CN"/>
              </w:rPr>
              <w:t>对施工各项内容分析较为明确，针对不同工作内容分部分项施工方法较为合理得1分；不明确不合理较差或没有的，得0分。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2" w:line="230" w:lineRule="auto"/>
              <w:ind w:right="200"/>
              <w:jc w:val="center"/>
              <w:rPr>
                <w:color w:val="auto"/>
                <w:highlight w:val="none"/>
                <w:lang w:eastAsia="zh-CN"/>
              </w:rPr>
            </w:pPr>
            <w:r>
              <w:rPr>
                <w:rFonts w:hint="eastAsia"/>
                <w:color w:val="auto"/>
                <w:highlight w:val="none"/>
                <w:lang w:eastAsia="zh-CN"/>
              </w:rPr>
              <w:t>施工进度计划与保证措施</w:t>
            </w:r>
          </w:p>
        </w:tc>
        <w:tc>
          <w:tcPr>
            <w:tcW w:w="928" w:type="dxa"/>
            <w:tcBorders>
              <w:bottom w:val="nil"/>
            </w:tcBorders>
            <w:vAlign w:val="center"/>
          </w:tcPr>
          <w:p>
            <w:pPr>
              <w:pStyle w:val="10"/>
              <w:spacing w:before="68" w:line="221" w:lineRule="auto"/>
              <w:jc w:val="center"/>
              <w:rPr>
                <w:color w:val="auto"/>
                <w:highlight w:val="none"/>
              </w:rPr>
            </w:pPr>
            <w:r>
              <w:rPr>
                <w:rFonts w:hint="eastAsia"/>
                <w:color w:val="auto"/>
                <w:highlight w:val="none"/>
                <w:lang w:eastAsia="zh-CN"/>
              </w:rPr>
              <w:t>3</w:t>
            </w:r>
            <w:r>
              <w:rPr>
                <w:color w:val="auto"/>
                <w:highlight w:val="none"/>
              </w:rPr>
              <w:t>分</w:t>
            </w:r>
          </w:p>
        </w:tc>
        <w:tc>
          <w:tcPr>
            <w:tcW w:w="4119" w:type="dxa"/>
            <w:vAlign w:val="center"/>
          </w:tcPr>
          <w:p>
            <w:pPr>
              <w:pStyle w:val="10"/>
              <w:spacing w:before="126" w:line="221" w:lineRule="auto"/>
              <w:ind w:left="113"/>
              <w:jc w:val="both"/>
              <w:rPr>
                <w:color w:val="auto"/>
                <w:highlight w:val="none"/>
                <w:lang w:eastAsia="zh-CN"/>
              </w:rPr>
            </w:pPr>
            <w:r>
              <w:rPr>
                <w:rFonts w:hint="eastAsia"/>
                <w:color w:val="auto"/>
                <w:highlight w:val="none"/>
                <w:lang w:eastAsia="zh-CN"/>
              </w:rPr>
              <w:t>进度计划符合本工程工期要求、关键线路安排合理、保证措施明确具体。施工进度计划及工期工序安排非常合理可行，关键工期安排非常合理，进度控制和管理措施非常合理，得3分；施工进度计划及工期工序安排合理可行，关键工期安排合理，进度控制和管理措施合理，得2分；施工进度计划及工期工序安排较合理可行，关键工期安排较合理，进度控制和管理措施较合理，得1分；施工进度计划及工期工序安不较合理可行，关键工期安排不合理，进度控制和管理措施不合理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2" w:line="230" w:lineRule="auto"/>
              <w:ind w:right="200"/>
              <w:jc w:val="center"/>
              <w:rPr>
                <w:color w:val="auto"/>
                <w:highlight w:val="none"/>
                <w:lang w:eastAsia="zh-CN"/>
              </w:rPr>
            </w:pPr>
            <w:r>
              <w:rPr>
                <w:rFonts w:hint="eastAsia"/>
                <w:color w:val="auto"/>
                <w:highlight w:val="none"/>
                <w:lang w:eastAsia="zh-CN"/>
              </w:rPr>
              <w:t>质量组织体系及质量技术保证措施</w:t>
            </w:r>
          </w:p>
        </w:tc>
        <w:tc>
          <w:tcPr>
            <w:tcW w:w="928" w:type="dxa"/>
            <w:tcBorders>
              <w:bottom w:val="nil"/>
            </w:tcBorders>
            <w:vAlign w:val="center"/>
          </w:tcPr>
          <w:p>
            <w:pPr>
              <w:pStyle w:val="10"/>
              <w:spacing w:before="68"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vAlign w:val="center"/>
          </w:tcPr>
          <w:p>
            <w:pPr>
              <w:pStyle w:val="10"/>
              <w:spacing w:before="126" w:line="221" w:lineRule="auto"/>
              <w:ind w:left="113"/>
              <w:jc w:val="both"/>
              <w:rPr>
                <w:color w:val="auto"/>
                <w:spacing w:val="-6"/>
                <w:highlight w:val="none"/>
                <w:lang w:eastAsia="zh-CN"/>
              </w:rPr>
            </w:pPr>
            <w:r>
              <w:rPr>
                <w:rFonts w:hint="eastAsia"/>
                <w:color w:val="auto"/>
                <w:spacing w:val="-6"/>
                <w:highlight w:val="none"/>
                <w:lang w:eastAsia="zh-CN"/>
              </w:rPr>
              <w:t>具有质量组织体系，针对本工程有具体质量保证措施和防治质量通病措施。质量组织体系非常完善、具备全面的质量保证措施及预防措施得2分，质量组织体系完善、具备全面的质量保证措施及预防措施较好得 1 分，质量组织体系一般、具备质量保证措施及预防措施0.5 分，无质量组织体系或不合理、无质量保证措施及预防措施或不合理得0分。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2" w:line="230" w:lineRule="auto"/>
              <w:ind w:right="200"/>
              <w:jc w:val="center"/>
              <w:rPr>
                <w:color w:val="auto"/>
                <w:highlight w:val="none"/>
                <w:lang w:eastAsia="zh-CN"/>
              </w:rPr>
            </w:pPr>
            <w:r>
              <w:rPr>
                <w:rFonts w:hint="eastAsia"/>
                <w:color w:val="auto"/>
                <w:highlight w:val="none"/>
                <w:lang w:eastAsia="zh-CN"/>
              </w:rPr>
              <w:t>安全组织体系及安全技术保证措施</w:t>
            </w:r>
          </w:p>
        </w:tc>
        <w:tc>
          <w:tcPr>
            <w:tcW w:w="928" w:type="dxa"/>
            <w:tcBorders>
              <w:bottom w:val="nil"/>
            </w:tcBorders>
            <w:vAlign w:val="center"/>
          </w:tcPr>
          <w:p>
            <w:pPr>
              <w:pStyle w:val="10"/>
              <w:spacing w:before="68"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vAlign w:val="center"/>
          </w:tcPr>
          <w:p>
            <w:pPr>
              <w:pStyle w:val="10"/>
              <w:spacing w:before="126" w:line="221" w:lineRule="auto"/>
              <w:ind w:left="113"/>
              <w:jc w:val="both"/>
              <w:rPr>
                <w:color w:val="auto"/>
                <w:spacing w:val="-6"/>
                <w:highlight w:val="none"/>
                <w:lang w:eastAsia="zh-CN"/>
              </w:rPr>
            </w:pPr>
            <w:r>
              <w:rPr>
                <w:rFonts w:hint="eastAsia"/>
                <w:color w:val="auto"/>
                <w:spacing w:val="-6"/>
                <w:highlight w:val="none"/>
                <w:lang w:eastAsia="zh-CN"/>
              </w:rPr>
              <w:t>安全管理体系完整、科学、针对性强，安全技术措施全面、责任人具体。安全管理体系完整、科学、非常具有针对性、安全技术措施全面、责任人具体得2分，安全管理体系完整、科学、具有针对性、安全技术措施全面、责任人具体得1 分，安全管理体系略完整、有针对性、有安全技术措施、责任人具体0.5分，不合理或没有的，得0分。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2" w:line="230" w:lineRule="auto"/>
              <w:ind w:right="200"/>
              <w:jc w:val="center"/>
              <w:rPr>
                <w:color w:val="auto"/>
                <w:highlight w:val="none"/>
                <w:lang w:eastAsia="zh-CN"/>
              </w:rPr>
            </w:pPr>
            <w:r>
              <w:rPr>
                <w:rFonts w:hint="eastAsia"/>
                <w:color w:val="auto"/>
                <w:highlight w:val="none"/>
                <w:lang w:eastAsia="zh-CN"/>
              </w:rPr>
              <w:t>环保管理体系与措施</w:t>
            </w:r>
          </w:p>
        </w:tc>
        <w:tc>
          <w:tcPr>
            <w:tcW w:w="928" w:type="dxa"/>
            <w:tcBorders>
              <w:bottom w:val="nil"/>
            </w:tcBorders>
            <w:vAlign w:val="center"/>
          </w:tcPr>
          <w:p>
            <w:pPr>
              <w:pStyle w:val="10"/>
              <w:spacing w:before="68"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vAlign w:val="center"/>
          </w:tcPr>
          <w:p>
            <w:pPr>
              <w:pStyle w:val="10"/>
              <w:spacing w:before="126" w:line="221" w:lineRule="auto"/>
              <w:ind w:left="113"/>
              <w:jc w:val="both"/>
              <w:rPr>
                <w:color w:val="auto"/>
                <w:spacing w:val="-6"/>
                <w:highlight w:val="none"/>
                <w:lang w:eastAsia="zh-CN"/>
              </w:rPr>
            </w:pPr>
            <w:r>
              <w:rPr>
                <w:rFonts w:hint="eastAsia"/>
                <w:color w:val="auto"/>
                <w:spacing w:val="-6"/>
                <w:highlight w:val="none"/>
                <w:lang w:eastAsia="zh-CN"/>
              </w:rPr>
              <w:t>环境保护措施合理、明确且考虑周全，且符合本项目实际。环境保护措施合理、明确且考虑周全，且符合本项目实际优秀得 2分；环境保护措施合理、明确且考虑较为周全，且符合本项目实际较好得 1 分；环境保护措施合理，且符合本项目实际一般得0.5 分；较差或没有的，得 0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2" w:line="230" w:lineRule="auto"/>
              <w:ind w:right="200"/>
              <w:jc w:val="center"/>
              <w:rPr>
                <w:color w:val="auto"/>
                <w:highlight w:val="none"/>
                <w:lang w:eastAsia="zh-CN"/>
              </w:rPr>
            </w:pPr>
            <w:r>
              <w:rPr>
                <w:rFonts w:hint="eastAsia"/>
                <w:color w:val="auto"/>
                <w:highlight w:val="none"/>
                <w:lang w:eastAsia="zh-CN"/>
              </w:rPr>
              <w:t>文明施工保证措施</w:t>
            </w:r>
          </w:p>
        </w:tc>
        <w:tc>
          <w:tcPr>
            <w:tcW w:w="928" w:type="dxa"/>
            <w:tcBorders>
              <w:bottom w:val="nil"/>
            </w:tcBorders>
            <w:vAlign w:val="center"/>
          </w:tcPr>
          <w:p>
            <w:pPr>
              <w:pStyle w:val="10"/>
              <w:spacing w:before="68"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vAlign w:val="center"/>
          </w:tcPr>
          <w:p>
            <w:pPr>
              <w:pStyle w:val="10"/>
              <w:spacing w:before="126" w:line="221" w:lineRule="auto"/>
              <w:ind w:left="113"/>
              <w:jc w:val="both"/>
              <w:rPr>
                <w:color w:val="auto"/>
                <w:spacing w:val="-6"/>
                <w:highlight w:val="none"/>
                <w:lang w:eastAsia="zh-CN"/>
              </w:rPr>
            </w:pPr>
            <w:r>
              <w:rPr>
                <w:rFonts w:hint="eastAsia"/>
                <w:color w:val="auto"/>
                <w:spacing w:val="-6"/>
                <w:highlight w:val="none"/>
                <w:lang w:eastAsia="zh-CN"/>
              </w:rPr>
              <w:t>有针对性，能保证本工程要求，且符合本项目实际情况，冬季施工，现场围挡、警示标志、路口封闭，材料堆放合理整齐，具有减少扰民措施等。整体措施全面有针对性、详尽具体得2分，整体措施全面有针对性、较为详尽得1分，整体措施全面、略为详尽得0.5分（含），较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bottom w:val="nil"/>
            </w:tcBorders>
            <w:vAlign w:val="center"/>
          </w:tcPr>
          <w:p>
            <w:pPr>
              <w:pStyle w:val="10"/>
              <w:spacing w:before="222" w:line="230" w:lineRule="auto"/>
              <w:ind w:right="200"/>
              <w:jc w:val="center"/>
              <w:rPr>
                <w:color w:val="auto"/>
                <w:highlight w:val="none"/>
                <w:lang w:eastAsia="zh-CN"/>
              </w:rPr>
            </w:pPr>
            <w:r>
              <w:rPr>
                <w:rFonts w:hint="eastAsia"/>
                <w:color w:val="auto"/>
                <w:highlight w:val="none"/>
                <w:lang w:eastAsia="zh-CN"/>
              </w:rPr>
              <w:t>劳动力安排计划及保证措施</w:t>
            </w:r>
          </w:p>
        </w:tc>
        <w:tc>
          <w:tcPr>
            <w:tcW w:w="928" w:type="dxa"/>
            <w:tcBorders>
              <w:bottom w:val="nil"/>
            </w:tcBorders>
            <w:vAlign w:val="center"/>
          </w:tcPr>
          <w:p>
            <w:pPr>
              <w:pStyle w:val="10"/>
              <w:spacing w:before="68"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vAlign w:val="center"/>
          </w:tcPr>
          <w:p>
            <w:pPr>
              <w:pStyle w:val="10"/>
              <w:spacing w:before="126" w:line="221" w:lineRule="auto"/>
              <w:ind w:left="113"/>
              <w:jc w:val="both"/>
              <w:rPr>
                <w:color w:val="auto"/>
                <w:spacing w:val="-6"/>
                <w:highlight w:val="none"/>
                <w:lang w:eastAsia="zh-CN"/>
              </w:rPr>
            </w:pPr>
            <w:r>
              <w:rPr>
                <w:rFonts w:hint="eastAsia"/>
                <w:color w:val="auto"/>
                <w:spacing w:val="-6"/>
                <w:highlight w:val="none"/>
                <w:lang w:eastAsia="zh-CN"/>
              </w:rPr>
              <w:t>各工种配合比例合理，数量充足，时间安排合理。劳动力安排以及各类生产资源的投入非常合理可行，并能充分保障进度计划的实施，得2分；劳动力安排以及各类生产资源的投入合理可行，并能保障进度计划的实施，得1分；劳动力安排以及各类生产资源的投入较合理可行，能较充分保障进度计划的实施为一般，得0.5分；劳动力安排以及各类生产资源的投入不合理可行，不能保障进度计划的实施为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6"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1058" w:type="dxa"/>
            <w:vMerge w:val="continue"/>
            <w:tcBorders>
              <w:top w:val="single" w:color="auto" w:sz="4" w:space="0"/>
              <w:left w:val="single" w:color="auto" w:sz="4" w:space="0"/>
              <w:bottom w:val="single" w:color="auto" w:sz="4" w:space="0"/>
              <w:right w:val="single" w:color="auto" w:sz="4" w:space="0"/>
            </w:tcBorders>
          </w:tcPr>
          <w:p>
            <w:pPr>
              <w:rPr>
                <w:rFonts w:ascii="宋体" w:hAnsi="宋体" w:eastAsia="宋体"/>
                <w:color w:val="auto"/>
                <w:highlight w:val="none"/>
                <w:lang w:eastAsia="zh-CN"/>
              </w:rPr>
            </w:pPr>
          </w:p>
        </w:tc>
        <w:tc>
          <w:tcPr>
            <w:tcW w:w="2085" w:type="dxa"/>
            <w:tcBorders>
              <w:left w:val="single" w:color="auto" w:sz="4" w:space="0"/>
            </w:tcBorders>
            <w:vAlign w:val="center"/>
          </w:tcPr>
          <w:p>
            <w:pPr>
              <w:jc w:val="center"/>
              <w:rPr>
                <w:rFonts w:ascii="宋体" w:hAnsi="宋体" w:eastAsia="宋体"/>
                <w:color w:val="auto"/>
                <w:highlight w:val="none"/>
                <w:lang w:eastAsia="zh-CN"/>
              </w:rPr>
            </w:pPr>
            <w:r>
              <w:rPr>
                <w:rFonts w:hint="eastAsia" w:ascii="宋体" w:hAnsi="宋体" w:eastAsia="宋体"/>
                <w:color w:val="auto"/>
                <w:highlight w:val="none"/>
                <w:lang w:eastAsia="zh-CN"/>
              </w:rPr>
              <w:t>材料供应计划与保证措施</w:t>
            </w:r>
          </w:p>
        </w:tc>
        <w:tc>
          <w:tcPr>
            <w:tcW w:w="928" w:type="dxa"/>
            <w:vAlign w:val="center"/>
          </w:tcPr>
          <w:p>
            <w:pPr>
              <w:pStyle w:val="10"/>
              <w:spacing w:before="68"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vAlign w:val="center"/>
          </w:tcPr>
          <w:p>
            <w:pPr>
              <w:pStyle w:val="10"/>
              <w:spacing w:before="125" w:line="221" w:lineRule="auto"/>
              <w:ind w:left="113"/>
              <w:jc w:val="both"/>
              <w:rPr>
                <w:color w:val="auto"/>
                <w:highlight w:val="none"/>
                <w:lang w:eastAsia="zh-CN"/>
              </w:rPr>
            </w:pPr>
            <w:r>
              <w:rPr>
                <w:rFonts w:hint="eastAsia"/>
                <w:color w:val="auto"/>
                <w:highlight w:val="none"/>
                <w:lang w:eastAsia="zh-CN"/>
              </w:rPr>
              <w:t>提供材料供应保障、进场计划及保证措施且与施工程序相符，满足工程要求。主要材料设备的采购、进场也非常合理可行，能充分保障进度计划的实施得2分；主要材料设备的采购、进场也合理可行，能充分保障进度计划的实施，得1分；主要材料设备的采购、进场也较合理可行，能较充分保障进度计划的实施得0.5分；主要材料设备的采购、进场也不合理可行，不能保障进度计划的实施为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6" w:type="dxa"/>
            <w:vMerge w:val="restart"/>
            <w:tcBorders>
              <w:top w:val="single" w:color="auto" w:sz="4" w:space="0"/>
              <w:left w:val="single" w:color="auto" w:sz="4" w:space="0"/>
              <w:right w:val="single" w:color="auto" w:sz="4" w:space="0"/>
            </w:tcBorders>
            <w:vAlign w:val="center"/>
          </w:tcPr>
          <w:p>
            <w:pPr>
              <w:spacing w:before="60" w:line="384" w:lineRule="exact"/>
              <w:ind w:left="165"/>
              <w:jc w:val="both"/>
              <w:rPr>
                <w:rFonts w:ascii="宋体" w:hAnsi="宋体" w:eastAsia="宋体" w:cs="宋体"/>
                <w:color w:val="auto"/>
                <w:highlight w:val="none"/>
              </w:rPr>
            </w:pPr>
            <w:r>
              <w:rPr>
                <w:rFonts w:ascii="宋体" w:hAnsi="宋体" w:eastAsia="宋体" w:cs="宋体"/>
                <w:color w:val="auto"/>
                <w:highlight w:val="none"/>
              </w:rPr>
              <w:t>2.2.4</w:t>
            </w:r>
          </w:p>
          <w:p>
            <w:pPr>
              <w:jc w:val="both"/>
              <w:rPr>
                <w:rFonts w:ascii="宋体" w:hAnsi="宋体" w:eastAsia="宋体" w:cs="宋体"/>
                <w:color w:val="auto"/>
                <w:highlight w:val="none"/>
              </w:rPr>
            </w:pPr>
            <w:r>
              <w:rPr>
                <w:rFonts w:ascii="宋体" w:hAnsi="宋体" w:eastAsia="宋体" w:cs="宋体"/>
                <w:color w:val="auto"/>
                <w:highlight w:val="none"/>
              </w:rPr>
              <w:t>（3）</w:t>
            </w:r>
          </w:p>
        </w:tc>
        <w:tc>
          <w:tcPr>
            <w:tcW w:w="1058" w:type="dxa"/>
            <w:vMerge w:val="restart"/>
            <w:tcBorders>
              <w:top w:val="single" w:color="auto" w:sz="4" w:space="0"/>
              <w:left w:val="single" w:color="auto" w:sz="4" w:space="0"/>
              <w:right w:val="single" w:color="auto" w:sz="4" w:space="0"/>
            </w:tcBorders>
            <w:vAlign w:val="center"/>
          </w:tcPr>
          <w:p>
            <w:pPr>
              <w:pStyle w:val="10"/>
              <w:spacing w:before="68" w:line="221" w:lineRule="auto"/>
              <w:ind w:left="120"/>
              <w:jc w:val="both"/>
              <w:rPr>
                <w:color w:val="auto"/>
                <w:highlight w:val="none"/>
                <w:lang w:eastAsia="zh-CN"/>
              </w:rPr>
            </w:pPr>
            <w:r>
              <w:rPr>
                <w:color w:val="auto"/>
                <w:highlight w:val="none"/>
                <w:lang w:eastAsia="zh-CN"/>
              </w:rPr>
              <w:t>资信业绩</w:t>
            </w:r>
          </w:p>
          <w:p>
            <w:pPr>
              <w:pStyle w:val="10"/>
              <w:spacing w:before="168" w:line="221" w:lineRule="auto"/>
              <w:ind w:left="114"/>
              <w:jc w:val="both"/>
              <w:rPr>
                <w:color w:val="auto"/>
                <w:highlight w:val="none"/>
                <w:lang w:eastAsia="zh-CN"/>
              </w:rPr>
            </w:pPr>
            <w:r>
              <w:rPr>
                <w:color w:val="auto"/>
                <w:highlight w:val="none"/>
                <w:lang w:eastAsia="zh-CN"/>
              </w:rPr>
              <w:t>部分（综</w:t>
            </w:r>
          </w:p>
          <w:p>
            <w:pPr>
              <w:pStyle w:val="10"/>
              <w:spacing w:before="169" w:line="221" w:lineRule="auto"/>
              <w:ind w:left="112"/>
              <w:jc w:val="both"/>
              <w:rPr>
                <w:color w:val="auto"/>
                <w:highlight w:val="none"/>
                <w:lang w:eastAsia="zh-CN"/>
              </w:rPr>
            </w:pPr>
            <w:r>
              <w:rPr>
                <w:color w:val="auto"/>
                <w:highlight w:val="none"/>
                <w:lang w:eastAsia="zh-CN"/>
              </w:rPr>
              <w:t>合标）评分标准</w:t>
            </w:r>
          </w:p>
        </w:tc>
        <w:tc>
          <w:tcPr>
            <w:tcW w:w="2085" w:type="dxa"/>
            <w:tcBorders>
              <w:left w:val="single" w:color="auto" w:sz="4" w:space="0"/>
            </w:tcBorders>
            <w:vAlign w:val="center"/>
          </w:tcPr>
          <w:p>
            <w:pPr>
              <w:jc w:val="center"/>
              <w:rPr>
                <w:rFonts w:ascii="宋体" w:hAnsi="宋体" w:eastAsia="宋体" w:cs="宋体"/>
                <w:color w:val="auto"/>
                <w:highlight w:val="none"/>
                <w:lang w:eastAsia="zh-CN"/>
              </w:rPr>
            </w:pPr>
            <w:r>
              <w:rPr>
                <w:rFonts w:hint="eastAsia" w:ascii="宋体" w:hAnsi="宋体" w:eastAsia="宋体" w:cs="宋体"/>
                <w:color w:val="auto"/>
                <w:highlight w:val="none"/>
                <w:lang w:eastAsia="zh-CN"/>
              </w:rPr>
              <w:t>企业业绩</w:t>
            </w:r>
          </w:p>
        </w:tc>
        <w:tc>
          <w:tcPr>
            <w:tcW w:w="928" w:type="dxa"/>
            <w:vAlign w:val="center"/>
          </w:tcPr>
          <w:p>
            <w:pPr>
              <w:pStyle w:val="10"/>
              <w:spacing w:before="126" w:line="221" w:lineRule="auto"/>
              <w:jc w:val="center"/>
              <w:rPr>
                <w:color w:val="auto"/>
                <w:highlight w:val="none"/>
                <w:lang w:eastAsia="zh-CN"/>
              </w:rPr>
            </w:pPr>
            <w:r>
              <w:rPr>
                <w:rFonts w:hint="eastAsia"/>
                <w:color w:val="auto"/>
                <w:highlight w:val="none"/>
                <w:lang w:eastAsia="zh-CN"/>
              </w:rPr>
              <w:t>2</w:t>
            </w:r>
            <w:r>
              <w:rPr>
                <w:color w:val="auto"/>
                <w:highlight w:val="none"/>
                <w:lang w:eastAsia="zh-CN"/>
              </w:rPr>
              <w:t>分</w:t>
            </w:r>
          </w:p>
        </w:tc>
        <w:tc>
          <w:tcPr>
            <w:tcW w:w="4119" w:type="dxa"/>
          </w:tcPr>
          <w:p>
            <w:pPr>
              <w:pStyle w:val="10"/>
              <w:spacing w:before="125" w:line="221" w:lineRule="auto"/>
              <w:ind w:left="113"/>
              <w:rPr>
                <w:color w:val="auto"/>
                <w:highlight w:val="none"/>
                <w:lang w:eastAsia="zh-CN"/>
              </w:rPr>
            </w:pPr>
            <w:r>
              <w:rPr>
                <w:rFonts w:hint="eastAsia"/>
                <w:color w:val="auto"/>
                <w:highlight w:val="none"/>
                <w:lang w:eastAsia="zh-CN"/>
              </w:rPr>
              <w:t>企业近年（202</w:t>
            </w:r>
            <w:r>
              <w:rPr>
                <w:rFonts w:hint="eastAsia"/>
                <w:color w:val="auto"/>
                <w:highlight w:val="none"/>
                <w:lang w:val="en-US" w:eastAsia="zh-CN"/>
              </w:rPr>
              <w:t>1</w:t>
            </w:r>
            <w:r>
              <w:rPr>
                <w:rFonts w:hint="eastAsia"/>
                <w:color w:val="auto"/>
                <w:highlight w:val="none"/>
                <w:lang w:eastAsia="zh-CN"/>
              </w:rPr>
              <w:t>年1月1日至今）签订并完成的</w:t>
            </w:r>
            <w:r>
              <w:rPr>
                <w:rFonts w:hint="eastAsia"/>
                <w:color w:val="auto"/>
                <w:highlight w:val="none"/>
                <w:lang w:val="en-US" w:eastAsia="zh-CN"/>
              </w:rPr>
              <w:t>9</w:t>
            </w:r>
            <w:r>
              <w:rPr>
                <w:color w:val="auto"/>
                <w:highlight w:val="none"/>
                <w:lang w:eastAsia="zh-CN"/>
              </w:rPr>
              <w:t>00</w:t>
            </w:r>
            <w:r>
              <w:rPr>
                <w:rFonts w:hint="eastAsia"/>
                <w:color w:val="auto"/>
                <w:highlight w:val="none"/>
                <w:lang w:eastAsia="zh-CN"/>
              </w:rPr>
              <w:t>万以上</w:t>
            </w:r>
            <w:r>
              <w:rPr>
                <w:rFonts w:hint="eastAsia"/>
                <w:color w:val="auto"/>
                <w:spacing w:val="-2"/>
                <w:highlight w:val="none"/>
                <w:lang w:eastAsia="zh-CN"/>
              </w:rPr>
              <w:t>类似农业工程</w:t>
            </w:r>
            <w:r>
              <w:rPr>
                <w:rFonts w:hint="eastAsia"/>
                <w:color w:val="auto"/>
                <w:highlight w:val="none"/>
                <w:lang w:eastAsia="zh-CN"/>
              </w:rPr>
              <w:t>项目业绩每个1分，最高2分。</w:t>
            </w:r>
          </w:p>
          <w:p>
            <w:pPr>
              <w:pStyle w:val="10"/>
              <w:spacing w:before="125" w:line="221" w:lineRule="auto"/>
              <w:ind w:left="113"/>
              <w:rPr>
                <w:color w:val="auto"/>
                <w:highlight w:val="none"/>
                <w:lang w:eastAsia="zh-CN"/>
              </w:rPr>
            </w:pPr>
            <w:r>
              <w:rPr>
                <w:rFonts w:hint="eastAsia"/>
                <w:color w:val="auto"/>
                <w:highlight w:val="none"/>
                <w:lang w:eastAsia="zh-CN"/>
              </w:rPr>
              <w:t>注：中标通知书、施工合同及竣工相关证明材料，缺一不可（以竣工时间为准）为评审依据，投标文件中附彩色扫描件，在投标文件中还须提供业绩的网上中标公示截图及查询网址，没有或上述资料不全不得分。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6" w:type="dxa"/>
            <w:vMerge w:val="continue"/>
            <w:tcBorders>
              <w:left w:val="single" w:color="auto" w:sz="4" w:space="0"/>
              <w:bottom w:val="single" w:color="auto" w:sz="4" w:space="0"/>
              <w:right w:val="single" w:color="auto" w:sz="4" w:space="0"/>
            </w:tcBorders>
          </w:tcPr>
          <w:p>
            <w:pPr>
              <w:rPr>
                <w:rFonts w:ascii="宋体" w:hAnsi="宋体" w:eastAsia="宋体" w:cs="宋体"/>
                <w:color w:val="auto"/>
                <w:highlight w:val="none"/>
                <w:lang w:eastAsia="zh-CN"/>
              </w:rPr>
            </w:pPr>
          </w:p>
        </w:tc>
        <w:tc>
          <w:tcPr>
            <w:tcW w:w="1058" w:type="dxa"/>
            <w:vMerge w:val="continue"/>
            <w:tcBorders>
              <w:left w:val="single" w:color="auto" w:sz="4" w:space="0"/>
              <w:bottom w:val="single" w:color="auto" w:sz="4" w:space="0"/>
              <w:right w:val="single" w:color="auto" w:sz="4" w:space="0"/>
            </w:tcBorders>
          </w:tcPr>
          <w:p>
            <w:pPr>
              <w:rPr>
                <w:rFonts w:ascii="宋体" w:hAnsi="宋体" w:eastAsia="宋体" w:cs="宋体"/>
                <w:color w:val="auto"/>
                <w:highlight w:val="none"/>
                <w:lang w:eastAsia="zh-CN"/>
              </w:rPr>
            </w:pPr>
          </w:p>
        </w:tc>
        <w:tc>
          <w:tcPr>
            <w:tcW w:w="2085" w:type="dxa"/>
            <w:tcBorders>
              <w:left w:val="single" w:color="auto" w:sz="4" w:space="0"/>
            </w:tcBorders>
            <w:vAlign w:val="center"/>
          </w:tcPr>
          <w:p>
            <w:pPr>
              <w:jc w:val="center"/>
              <w:rPr>
                <w:rFonts w:ascii="宋体" w:hAnsi="宋体" w:eastAsia="宋体" w:cs="宋体"/>
                <w:color w:val="auto"/>
                <w:highlight w:val="none"/>
                <w:lang w:eastAsia="zh-CN"/>
              </w:rPr>
            </w:pPr>
            <w:r>
              <w:rPr>
                <w:rFonts w:hint="eastAsia" w:ascii="宋体" w:hAnsi="宋体" w:eastAsia="宋体" w:cs="宋体"/>
                <w:color w:val="auto"/>
                <w:highlight w:val="none"/>
                <w:lang w:eastAsia="zh-CN"/>
              </w:rPr>
              <w:t>项目经理及项目人员配备</w:t>
            </w:r>
          </w:p>
        </w:tc>
        <w:tc>
          <w:tcPr>
            <w:tcW w:w="928" w:type="dxa"/>
            <w:vAlign w:val="center"/>
          </w:tcPr>
          <w:p>
            <w:pPr>
              <w:pStyle w:val="10"/>
              <w:shd w:val="clear" w:color="auto" w:fill="auto"/>
              <w:spacing w:before="126" w:line="221" w:lineRule="auto"/>
              <w:jc w:val="center"/>
              <w:rPr>
                <w:color w:val="auto"/>
                <w:highlight w:val="none"/>
                <w:lang w:eastAsia="zh-CN"/>
              </w:rPr>
            </w:pPr>
            <w:r>
              <w:rPr>
                <w:color w:val="auto"/>
                <w:sz w:val="24"/>
                <w:szCs w:val="24"/>
                <w:highlight w:val="none"/>
                <w:lang w:eastAsia="zh-CN"/>
              </w:rPr>
              <w:t>4分</w:t>
            </w:r>
          </w:p>
        </w:tc>
        <w:tc>
          <w:tcPr>
            <w:tcW w:w="4119" w:type="dxa"/>
            <w:vAlign w:val="top"/>
          </w:tcPr>
          <w:p>
            <w:pPr>
              <w:pStyle w:val="10"/>
              <w:numPr>
                <w:ilvl w:val="0"/>
                <w:numId w:val="3"/>
              </w:numPr>
              <w:shd w:val="clear" w:color="auto" w:fill="auto"/>
              <w:spacing w:before="125" w:line="221" w:lineRule="auto"/>
              <w:ind w:left="113"/>
              <w:rPr>
                <w:rFonts w:hint="eastAsia"/>
                <w:color w:val="auto"/>
                <w:sz w:val="21"/>
                <w:szCs w:val="21"/>
                <w:highlight w:val="none"/>
                <w:lang w:eastAsia="zh-CN"/>
              </w:rPr>
            </w:pPr>
            <w:r>
              <w:rPr>
                <w:rFonts w:hint="eastAsia"/>
                <w:color w:val="auto"/>
                <w:sz w:val="21"/>
                <w:szCs w:val="21"/>
                <w:highlight w:val="none"/>
                <w:lang w:eastAsia="zh-CN"/>
              </w:rPr>
              <w:t>项目经理具有中级及以上职称的得2分。</w:t>
            </w:r>
          </w:p>
          <w:p>
            <w:pPr>
              <w:pStyle w:val="10"/>
              <w:numPr>
                <w:ilvl w:val="0"/>
                <w:numId w:val="3"/>
              </w:numPr>
              <w:shd w:val="clear" w:color="auto" w:fill="auto"/>
              <w:spacing w:before="125" w:line="221" w:lineRule="auto"/>
              <w:ind w:left="113"/>
              <w:rPr>
                <w:rFonts w:hint="eastAsia"/>
                <w:color w:val="auto"/>
                <w:sz w:val="21"/>
                <w:szCs w:val="21"/>
                <w:highlight w:val="none"/>
                <w:lang w:eastAsia="zh-CN"/>
              </w:rPr>
            </w:pPr>
            <w:r>
              <w:rPr>
                <w:rFonts w:hint="eastAsia"/>
                <w:color w:val="auto"/>
                <w:sz w:val="21"/>
                <w:szCs w:val="21"/>
                <w:highlight w:val="none"/>
                <w:lang w:eastAsia="zh-CN"/>
              </w:rPr>
              <w:t>项目组织机构人员[施工员、质检员、安全员、资料员（档案员）、材料员]全部具有中级及以上职称得2分，每少一名扣0.5分,最低得0分。</w:t>
            </w:r>
          </w:p>
          <w:p>
            <w:pPr>
              <w:pStyle w:val="10"/>
              <w:shd w:val="clear" w:color="auto" w:fill="auto"/>
              <w:spacing w:before="125" w:line="221" w:lineRule="auto"/>
              <w:ind w:left="113" w:leftChars="0"/>
              <w:rPr>
                <w:color w:val="auto"/>
                <w:highlight w:val="none"/>
                <w:lang w:eastAsia="zh-CN"/>
              </w:rPr>
            </w:pPr>
            <w:r>
              <w:rPr>
                <w:rFonts w:hint="eastAsia"/>
                <w:color w:val="auto"/>
                <w:sz w:val="21"/>
                <w:szCs w:val="21"/>
                <w:highlight w:val="none"/>
                <w:lang w:eastAsia="zh-CN"/>
              </w:rPr>
              <w:t>[评标时以</w:t>
            </w:r>
            <w:r>
              <w:rPr>
                <w:rFonts w:hint="eastAsia"/>
                <w:color w:val="auto"/>
                <w:sz w:val="21"/>
                <w:szCs w:val="21"/>
                <w:highlight w:val="none"/>
                <w:lang w:val="en-US" w:eastAsia="zh-CN"/>
              </w:rPr>
              <w:t>上述人员证书</w:t>
            </w:r>
            <w:r>
              <w:rPr>
                <w:rFonts w:hint="eastAsia"/>
                <w:color w:val="auto"/>
                <w:sz w:val="21"/>
                <w:szCs w:val="21"/>
                <w:highlight w:val="none"/>
                <w:lang w:eastAsia="zh-CN"/>
              </w:rPr>
              <w:t>及其与投标人单位签订的一年以上（含1年）劳动合同或经人社部门认定盖章的社会养老保险证明为评审依据，投标文件中附彩色扫描件，不满足以上要求不得分。]</w:t>
            </w:r>
          </w:p>
        </w:tc>
      </w:tr>
    </w:tbl>
    <w:p>
      <w:pPr>
        <w:pStyle w:val="2"/>
        <w:rPr>
          <w:rFonts w:ascii="宋体" w:hAnsi="宋体" w:eastAsia="宋体"/>
          <w:color w:val="auto"/>
          <w:highlight w:val="none"/>
          <w:lang w:eastAsia="zh-CN"/>
        </w:rPr>
      </w:pPr>
    </w:p>
    <w:p>
      <w:pPr>
        <w:spacing w:before="29"/>
        <w:rPr>
          <w:rFonts w:ascii="宋体" w:hAnsi="宋体" w:eastAsia="宋体"/>
          <w:color w:val="auto"/>
          <w:highlight w:val="none"/>
          <w:lang w:eastAsia="zh-CN"/>
        </w:rPr>
      </w:pPr>
    </w:p>
    <w:p>
      <w:pPr>
        <w:spacing w:before="29"/>
        <w:rPr>
          <w:rFonts w:ascii="宋体" w:hAnsi="宋体" w:eastAsia="宋体"/>
          <w:color w:val="auto"/>
          <w:highlight w:val="none"/>
          <w:lang w:eastAsia="zh-CN"/>
        </w:rPr>
      </w:pPr>
    </w:p>
    <w:p>
      <w:pPr>
        <w:spacing w:before="114" w:line="334" w:lineRule="auto"/>
        <w:ind w:firstLine="424"/>
        <w:jc w:val="both"/>
        <w:rPr>
          <w:rFonts w:ascii="宋体" w:hAnsi="宋体" w:eastAsia="宋体" w:cs="宋体"/>
          <w:color w:val="auto"/>
          <w:spacing w:val="2"/>
          <w:sz w:val="21"/>
          <w:szCs w:val="21"/>
          <w:highlight w:val="none"/>
          <w:lang w:eastAsia="zh-CN"/>
        </w:rPr>
      </w:pPr>
      <w:r>
        <w:rPr>
          <w:rFonts w:ascii="宋体" w:hAnsi="宋体" w:eastAsia="宋体" w:cs="宋体"/>
          <w:color w:val="auto"/>
          <w:spacing w:val="2"/>
          <w:sz w:val="21"/>
          <w:szCs w:val="21"/>
          <w:highlight w:val="none"/>
          <w:lang w:eastAsia="zh-CN"/>
        </w:rPr>
        <w:t>注：（1）评标委员会在评标过程中，如要求投标人澄清或说明的， 评标委员会要求投标人在线澄清或说明的时间距投标人收到评标委员会通知的时间不得少于 60 分钟。</w:t>
      </w:r>
    </w:p>
    <w:p>
      <w:pPr>
        <w:spacing w:before="114" w:line="334" w:lineRule="auto"/>
        <w:ind w:firstLine="424"/>
        <w:jc w:val="both"/>
        <w:rPr>
          <w:rFonts w:ascii="宋体" w:hAnsi="宋体" w:eastAsia="宋体" w:cs="宋体"/>
          <w:color w:val="auto"/>
          <w:spacing w:val="2"/>
          <w:sz w:val="21"/>
          <w:szCs w:val="21"/>
          <w:highlight w:val="none"/>
          <w:lang w:eastAsia="zh-CN"/>
        </w:rPr>
      </w:pPr>
      <w:r>
        <w:rPr>
          <w:rFonts w:ascii="宋体" w:hAnsi="宋体" w:eastAsia="宋体" w:cs="宋体"/>
          <w:color w:val="auto"/>
          <w:spacing w:val="2"/>
          <w:sz w:val="21"/>
          <w:szCs w:val="21"/>
          <w:highlight w:val="none"/>
          <w:lang w:eastAsia="zh-CN"/>
        </w:rPr>
        <w:t>评标委员会认为投标人的澄清或说明不够明确， 应再次要求投标人对不明确的内容进行澄清或说明，评标委员会要求投标人再次在线澄清或说明的时间距投标人收到评标委员会通知的时间不得少于 30 分钟。</w:t>
      </w:r>
    </w:p>
    <w:p>
      <w:pPr>
        <w:spacing w:before="114" w:line="334" w:lineRule="auto"/>
        <w:ind w:firstLine="424"/>
        <w:jc w:val="both"/>
        <w:rPr>
          <w:rFonts w:ascii="宋体" w:hAnsi="宋体" w:eastAsia="宋体" w:cs="宋体"/>
          <w:color w:val="auto"/>
          <w:spacing w:val="2"/>
          <w:sz w:val="21"/>
          <w:szCs w:val="21"/>
          <w:highlight w:val="none"/>
          <w:lang w:eastAsia="zh-CN"/>
        </w:rPr>
      </w:pPr>
      <w:r>
        <w:rPr>
          <w:rFonts w:ascii="宋体" w:hAnsi="宋体" w:eastAsia="宋体" w:cs="宋体"/>
          <w:color w:val="auto"/>
          <w:spacing w:val="2"/>
          <w:sz w:val="21"/>
          <w:szCs w:val="21"/>
          <w:highlight w:val="none"/>
          <w:lang w:eastAsia="zh-CN"/>
        </w:rPr>
        <w:t>投标人未在规定时间内作出澄清或说明的，或者评标委员会成员认为该投标人的两次澄清或说明都不符合评标委员会要求的，作否决投标处理。</w:t>
      </w:r>
    </w:p>
    <w:p>
      <w:pPr>
        <w:spacing w:before="114" w:line="334" w:lineRule="auto"/>
        <w:ind w:firstLine="424"/>
        <w:jc w:val="both"/>
        <w:rPr>
          <w:rFonts w:ascii="宋体" w:hAnsi="宋体" w:eastAsia="宋体" w:cs="宋体"/>
          <w:color w:val="auto"/>
          <w:spacing w:val="2"/>
          <w:sz w:val="21"/>
          <w:szCs w:val="21"/>
          <w:highlight w:val="none"/>
          <w:lang w:eastAsia="zh-CN"/>
        </w:rPr>
      </w:pPr>
      <w:r>
        <w:rPr>
          <w:rFonts w:ascii="宋体" w:hAnsi="宋体" w:eastAsia="宋体" w:cs="宋体"/>
          <w:color w:val="auto"/>
          <w:spacing w:val="2"/>
          <w:sz w:val="21"/>
          <w:szCs w:val="21"/>
          <w:highlight w:val="none"/>
          <w:lang w:eastAsia="zh-CN"/>
        </w:rPr>
        <w:t>（2）投标人串通投标或弄虚作假或有其他违法行为，评标委员会在评标过程中发现，证据 确凿的，经评标委员会成员三分之二以上同意， 其投标作否决投标处理； 证据不够确凿的， 其投标不能作否决投标处理， 但评标委员会在向招标人提交书面评标报告时，应予说明。在评标结束后发现投标人串通投标或弄虚作假或有其他违法行为，查证属实的，取消其中标资格。</w:t>
      </w:r>
    </w:p>
    <w:p>
      <w:pPr>
        <w:pStyle w:val="2"/>
        <w:spacing w:line="255" w:lineRule="auto"/>
        <w:rPr>
          <w:color w:val="auto"/>
          <w:highlight w:val="none"/>
        </w:rPr>
      </w:pPr>
    </w:p>
    <w:p>
      <w:pPr>
        <w:spacing w:before="91" w:line="500" w:lineRule="exact"/>
        <w:ind w:left="5"/>
        <w:rPr>
          <w:rFonts w:ascii="黑体" w:hAnsi="黑体" w:eastAsia="黑体" w:cs="黑体"/>
          <w:color w:val="auto"/>
          <w:spacing w:val="-1"/>
          <w:position w:val="16"/>
          <w:sz w:val="28"/>
          <w:szCs w:val="28"/>
          <w:highlight w:val="none"/>
        </w:rPr>
      </w:pPr>
      <w:bookmarkStart w:id="94" w:name="bookmark126"/>
      <w:bookmarkEnd w:id="94"/>
    </w:p>
    <w:p>
      <w:pPr>
        <w:spacing w:before="91" w:line="500" w:lineRule="exact"/>
        <w:ind w:left="5"/>
        <w:rPr>
          <w:rFonts w:ascii="黑体" w:hAnsi="黑体" w:eastAsia="黑体" w:cs="黑体"/>
          <w:color w:val="auto"/>
          <w:spacing w:val="-1"/>
          <w:position w:val="16"/>
          <w:sz w:val="28"/>
          <w:szCs w:val="28"/>
          <w:highlight w:val="none"/>
        </w:rPr>
      </w:pPr>
    </w:p>
    <w:p>
      <w:pPr>
        <w:spacing w:before="91" w:line="500" w:lineRule="exact"/>
        <w:ind w:left="5"/>
        <w:rPr>
          <w:rFonts w:ascii="黑体" w:hAnsi="黑体" w:eastAsia="黑体" w:cs="黑体"/>
          <w:color w:val="auto"/>
          <w:spacing w:val="-1"/>
          <w:position w:val="16"/>
          <w:sz w:val="28"/>
          <w:szCs w:val="28"/>
          <w:highlight w:val="none"/>
        </w:rPr>
      </w:pPr>
    </w:p>
    <w:p>
      <w:pPr>
        <w:spacing w:before="91" w:line="500" w:lineRule="exact"/>
        <w:ind w:left="5"/>
        <w:rPr>
          <w:rFonts w:ascii="黑体" w:hAnsi="黑体" w:eastAsia="黑体" w:cs="黑体"/>
          <w:color w:val="auto"/>
          <w:spacing w:val="-1"/>
          <w:position w:val="16"/>
          <w:sz w:val="28"/>
          <w:szCs w:val="28"/>
          <w:highlight w:val="none"/>
        </w:rPr>
      </w:pPr>
    </w:p>
    <w:p>
      <w:pPr>
        <w:spacing w:before="91" w:line="500" w:lineRule="exact"/>
        <w:ind w:left="5"/>
        <w:rPr>
          <w:rFonts w:ascii="黑体" w:hAnsi="黑体" w:eastAsia="黑体" w:cs="黑体"/>
          <w:color w:val="auto"/>
          <w:spacing w:val="-1"/>
          <w:position w:val="16"/>
          <w:sz w:val="28"/>
          <w:szCs w:val="28"/>
          <w:highlight w:val="none"/>
        </w:rPr>
      </w:pPr>
    </w:p>
    <w:p>
      <w:pPr>
        <w:spacing w:before="91" w:line="500" w:lineRule="exact"/>
        <w:ind w:left="5"/>
        <w:rPr>
          <w:rFonts w:ascii="黑体" w:hAnsi="黑体" w:eastAsia="黑体" w:cs="黑体"/>
          <w:color w:val="auto"/>
          <w:spacing w:val="-1"/>
          <w:position w:val="16"/>
          <w:sz w:val="28"/>
          <w:szCs w:val="28"/>
          <w:highlight w:val="none"/>
        </w:rPr>
      </w:pPr>
    </w:p>
    <w:p>
      <w:pPr>
        <w:spacing w:before="91" w:line="500" w:lineRule="exact"/>
        <w:ind w:left="5"/>
        <w:rPr>
          <w:rFonts w:ascii="黑体" w:hAnsi="黑体" w:eastAsia="黑体" w:cs="黑体"/>
          <w:color w:val="auto"/>
          <w:spacing w:val="-1"/>
          <w:position w:val="16"/>
          <w:sz w:val="28"/>
          <w:szCs w:val="28"/>
          <w:highlight w:val="none"/>
        </w:rPr>
      </w:pPr>
    </w:p>
    <w:p>
      <w:pPr>
        <w:spacing w:before="91" w:line="500" w:lineRule="exact"/>
        <w:ind w:left="5"/>
        <w:rPr>
          <w:rFonts w:ascii="黑体" w:hAnsi="黑体" w:eastAsia="黑体" w:cs="黑体"/>
          <w:color w:val="auto"/>
          <w:spacing w:val="-1"/>
          <w:position w:val="16"/>
          <w:sz w:val="28"/>
          <w:szCs w:val="28"/>
          <w:highlight w:val="none"/>
        </w:rPr>
      </w:pPr>
    </w:p>
    <w:p>
      <w:pPr>
        <w:pStyle w:val="4"/>
      </w:pPr>
    </w:p>
    <w:p>
      <w:pPr>
        <w:spacing w:before="91" w:line="500" w:lineRule="exact"/>
        <w:ind w:left="5"/>
        <w:rPr>
          <w:rFonts w:ascii="黑体" w:hAnsi="黑体" w:eastAsia="黑体" w:cs="黑体"/>
          <w:color w:val="auto"/>
          <w:sz w:val="28"/>
          <w:szCs w:val="28"/>
          <w:highlight w:val="none"/>
        </w:rPr>
      </w:pPr>
      <w:r>
        <w:rPr>
          <w:rFonts w:ascii="黑体" w:hAnsi="黑体" w:eastAsia="黑体" w:cs="黑体"/>
          <w:color w:val="auto"/>
          <w:spacing w:val="-1"/>
          <w:position w:val="16"/>
          <w:sz w:val="28"/>
          <w:szCs w:val="28"/>
          <w:highlight w:val="none"/>
        </w:rPr>
        <w:t>评标办法正文部分</w:t>
      </w:r>
    </w:p>
    <w:p>
      <w:pPr>
        <w:spacing w:line="218" w:lineRule="auto"/>
        <w:ind w:left="28"/>
        <w:rPr>
          <w:rFonts w:ascii="黑体" w:hAnsi="黑体" w:eastAsia="黑体" w:cs="黑体"/>
          <w:color w:val="auto"/>
          <w:sz w:val="28"/>
          <w:szCs w:val="28"/>
          <w:highlight w:val="none"/>
        </w:rPr>
      </w:pPr>
      <w:r>
        <w:rPr>
          <w:rFonts w:ascii="Times New Roman" w:hAnsi="Times New Roman" w:eastAsia="Times New Roman" w:cs="Times New Roman"/>
          <w:color w:val="auto"/>
          <w:spacing w:val="-4"/>
          <w:sz w:val="28"/>
          <w:szCs w:val="28"/>
          <w:highlight w:val="none"/>
        </w:rPr>
        <w:t xml:space="preserve">1.  </w:t>
      </w:r>
      <w:r>
        <w:rPr>
          <w:rFonts w:ascii="黑体" w:hAnsi="黑体" w:eastAsia="黑体" w:cs="黑体"/>
          <w:color w:val="auto"/>
          <w:spacing w:val="-4"/>
          <w:sz w:val="28"/>
          <w:szCs w:val="28"/>
          <w:highlight w:val="none"/>
        </w:rPr>
        <w:t>评标方法</w:t>
      </w:r>
    </w:p>
    <w:p>
      <w:pPr>
        <w:spacing w:before="114" w:line="334" w:lineRule="auto"/>
        <w:ind w:firstLine="424"/>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本次评标采用综合评估法。评标委员会对满足招标文件实质性要求</w:t>
      </w:r>
      <w:r>
        <w:rPr>
          <w:rFonts w:ascii="宋体" w:hAnsi="宋体" w:eastAsia="宋体" w:cs="宋体"/>
          <w:color w:val="auto"/>
          <w:spacing w:val="1"/>
          <w:sz w:val="21"/>
          <w:szCs w:val="21"/>
          <w:highlight w:val="none"/>
        </w:rPr>
        <w:t>的投标文件，按照本章第</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2"/>
          <w:sz w:val="21"/>
          <w:szCs w:val="21"/>
          <w:highlight w:val="none"/>
        </w:rPr>
        <w:t>2.2</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2"/>
          <w:sz w:val="21"/>
          <w:szCs w:val="21"/>
          <w:highlight w:val="none"/>
        </w:rPr>
        <w:t>款规定的评分标准进行打分，并按得分由</w:t>
      </w:r>
      <w:r>
        <w:rPr>
          <w:rFonts w:ascii="宋体" w:hAnsi="宋体" w:eastAsia="宋体" w:cs="宋体"/>
          <w:color w:val="auto"/>
          <w:spacing w:val="-3"/>
          <w:sz w:val="21"/>
          <w:szCs w:val="21"/>
          <w:highlight w:val="none"/>
        </w:rPr>
        <w:t>高到低顺序推荐中标候选人，或根据招标人授权直接</w:t>
      </w:r>
      <w:r>
        <w:rPr>
          <w:rFonts w:ascii="宋体" w:hAnsi="宋体" w:eastAsia="宋体" w:cs="宋体"/>
          <w:color w:val="auto"/>
          <w:sz w:val="21"/>
          <w:szCs w:val="21"/>
          <w:highlight w:val="none"/>
        </w:rPr>
        <w:t xml:space="preserve"> 确定中标人，但投标报价低于其成本的除外。综合评分相等时， 依次按下列因素排</w:t>
      </w:r>
      <w:r>
        <w:rPr>
          <w:rFonts w:ascii="宋体" w:hAnsi="宋体" w:eastAsia="宋体" w:cs="宋体"/>
          <w:color w:val="auto"/>
          <w:spacing w:val="-1"/>
          <w:sz w:val="21"/>
          <w:szCs w:val="21"/>
          <w:highlight w:val="none"/>
        </w:rPr>
        <w:t>序</w:t>
      </w:r>
      <w:r>
        <w:rPr>
          <w:rFonts w:ascii="宋体" w:hAnsi="宋体" w:eastAsia="宋体" w:cs="宋体"/>
          <w:color w:val="auto"/>
          <w:spacing w:val="-52"/>
          <w:w w:val="93"/>
          <w:sz w:val="21"/>
          <w:szCs w:val="21"/>
          <w:highlight w:val="none"/>
        </w:rPr>
        <w:t>：（</w:t>
      </w:r>
      <w:r>
        <w:rPr>
          <w:rFonts w:ascii="宋体" w:hAnsi="宋体" w:eastAsia="宋体" w:cs="宋体"/>
          <w:color w:val="auto"/>
          <w:spacing w:val="-1"/>
          <w:sz w:val="21"/>
          <w:szCs w:val="21"/>
          <w:highlight w:val="none"/>
        </w:rPr>
        <w:t>1）投标</w:t>
      </w:r>
      <w:r>
        <w:rPr>
          <w:rFonts w:ascii="宋体" w:hAnsi="宋体" w:eastAsia="宋体" w:cs="宋体"/>
          <w:color w:val="auto"/>
          <w:spacing w:val="4"/>
          <w:sz w:val="21"/>
          <w:szCs w:val="21"/>
          <w:highlight w:val="none"/>
        </w:rPr>
        <w:t>报价由低到高（2）施工组织设计得分由高到低（3）资信业绩得分由高到低（4）其他因素得分</w:t>
      </w:r>
      <w:r>
        <w:rPr>
          <w:rFonts w:ascii="宋体" w:hAnsi="宋体" w:eastAsia="宋体" w:cs="宋体"/>
          <w:color w:val="auto"/>
          <w:spacing w:val="-6"/>
          <w:sz w:val="21"/>
          <w:szCs w:val="21"/>
          <w:highlight w:val="none"/>
        </w:rPr>
        <w:t>由高到低； 上述因素仍不能排定顺序的，由招标人或者招标人授权的评标委员会自行确定。</w:t>
      </w:r>
    </w:p>
    <w:p>
      <w:pPr>
        <w:spacing w:before="185" w:line="219" w:lineRule="auto"/>
        <w:ind w:left="1"/>
        <w:rPr>
          <w:rFonts w:ascii="黑体" w:hAnsi="黑体" w:eastAsia="黑体" w:cs="黑体"/>
          <w:color w:val="auto"/>
          <w:sz w:val="28"/>
          <w:szCs w:val="28"/>
          <w:highlight w:val="none"/>
        </w:rPr>
      </w:pPr>
      <w:r>
        <w:rPr>
          <w:rFonts w:ascii="Times New Roman" w:hAnsi="Times New Roman" w:eastAsia="Times New Roman" w:cs="Times New Roman"/>
          <w:color w:val="auto"/>
          <w:spacing w:val="-1"/>
          <w:sz w:val="28"/>
          <w:szCs w:val="28"/>
          <w:highlight w:val="none"/>
        </w:rPr>
        <w:t xml:space="preserve">2.  </w:t>
      </w:r>
      <w:r>
        <w:rPr>
          <w:rFonts w:ascii="黑体" w:hAnsi="黑体" w:eastAsia="黑体" w:cs="黑体"/>
          <w:color w:val="auto"/>
          <w:spacing w:val="-1"/>
          <w:sz w:val="28"/>
          <w:szCs w:val="28"/>
          <w:highlight w:val="none"/>
        </w:rPr>
        <w:t>评审标准</w:t>
      </w:r>
    </w:p>
    <w:p>
      <w:pPr>
        <w:spacing w:before="103" w:line="219" w:lineRule="auto"/>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2.1  </w:t>
      </w:r>
      <w:r>
        <w:rPr>
          <w:rFonts w:ascii="黑体" w:hAnsi="黑体" w:eastAsia="黑体" w:cs="黑体"/>
          <w:color w:val="auto"/>
          <w:spacing w:val="-1"/>
          <w:sz w:val="24"/>
          <w:szCs w:val="24"/>
          <w:highlight w:val="none"/>
        </w:rPr>
        <w:t>初步评审标准</w:t>
      </w:r>
    </w:p>
    <w:p>
      <w:pPr>
        <w:spacing w:before="124"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2.1.1  </w:t>
      </w:r>
      <w:r>
        <w:rPr>
          <w:rFonts w:ascii="宋体" w:hAnsi="宋体" w:eastAsia="宋体" w:cs="宋体"/>
          <w:color w:val="auto"/>
          <w:spacing w:val="-1"/>
          <w:sz w:val="21"/>
          <w:szCs w:val="21"/>
          <w:highlight w:val="none"/>
        </w:rPr>
        <w:t>形式评审标准：见评标办法前附表。</w:t>
      </w:r>
    </w:p>
    <w:p>
      <w:pPr>
        <w:spacing w:before="132"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2.1.2  </w:t>
      </w:r>
      <w:r>
        <w:rPr>
          <w:rFonts w:ascii="宋体" w:hAnsi="宋体" w:eastAsia="宋体" w:cs="宋体"/>
          <w:color w:val="auto"/>
          <w:spacing w:val="-1"/>
          <w:sz w:val="21"/>
          <w:szCs w:val="21"/>
          <w:highlight w:val="none"/>
        </w:rPr>
        <w:t>资格评审标准：见评标办法前附表。</w:t>
      </w:r>
    </w:p>
    <w:p>
      <w:pPr>
        <w:spacing w:before="129"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2.1.3  </w:t>
      </w:r>
      <w:r>
        <w:rPr>
          <w:rFonts w:ascii="宋体" w:hAnsi="宋体" w:eastAsia="宋体" w:cs="宋体"/>
          <w:color w:val="auto"/>
          <w:spacing w:val="-5"/>
          <w:sz w:val="21"/>
          <w:szCs w:val="21"/>
          <w:highlight w:val="none"/>
        </w:rPr>
        <w:t>响应性评审标准： 见评标办法前附表。</w:t>
      </w:r>
    </w:p>
    <w:p>
      <w:pPr>
        <w:spacing w:before="121" w:line="219" w:lineRule="auto"/>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2.2  </w:t>
      </w:r>
      <w:r>
        <w:rPr>
          <w:rFonts w:ascii="黑体" w:hAnsi="黑体" w:eastAsia="黑体" w:cs="黑体"/>
          <w:color w:val="auto"/>
          <w:spacing w:val="-1"/>
          <w:sz w:val="24"/>
          <w:szCs w:val="24"/>
          <w:highlight w:val="none"/>
        </w:rPr>
        <w:t>分值构成与评分标准</w:t>
      </w:r>
    </w:p>
    <w:p>
      <w:pPr>
        <w:spacing w:before="140" w:line="221" w:lineRule="auto"/>
        <w:ind w:left="420"/>
        <w:rPr>
          <w:rFonts w:ascii="黑体" w:hAnsi="黑体" w:eastAsia="黑体" w:cs="黑体"/>
          <w:color w:val="auto"/>
          <w:sz w:val="21"/>
          <w:szCs w:val="21"/>
          <w:highlight w:val="none"/>
        </w:rPr>
      </w:pPr>
      <w:r>
        <w:rPr>
          <w:rFonts w:ascii="Times New Roman" w:hAnsi="Times New Roman" w:eastAsia="Times New Roman" w:cs="Times New Roman"/>
          <w:color w:val="auto"/>
          <w:spacing w:val="-2"/>
          <w:sz w:val="21"/>
          <w:szCs w:val="21"/>
          <w:highlight w:val="none"/>
        </w:rPr>
        <w:t>2.2.1</w:t>
      </w:r>
      <w:r>
        <w:rPr>
          <w:rFonts w:ascii="Times New Roman" w:hAnsi="Times New Roman" w:eastAsia="Times New Roman" w:cs="Times New Roman"/>
          <w:color w:val="auto"/>
          <w:spacing w:val="7"/>
          <w:sz w:val="21"/>
          <w:szCs w:val="21"/>
          <w:highlight w:val="none"/>
        </w:rPr>
        <w:t xml:space="preserve">  </w:t>
      </w:r>
      <w:r>
        <w:rPr>
          <w:rFonts w:ascii="黑体" w:hAnsi="黑体" w:eastAsia="黑体" w:cs="黑体"/>
          <w:color w:val="auto"/>
          <w:spacing w:val="-2"/>
          <w:sz w:val="21"/>
          <w:szCs w:val="21"/>
          <w:highlight w:val="none"/>
        </w:rPr>
        <w:t>分值构成</w:t>
      </w:r>
    </w:p>
    <w:p>
      <w:pPr>
        <w:spacing w:before="133" w:line="240" w:lineRule="auto"/>
        <w:ind w:left="72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）投标报价（经济标</w:t>
      </w:r>
      <w:r>
        <w:rPr>
          <w:rFonts w:ascii="宋体" w:hAnsi="宋体" w:eastAsia="宋体" w:cs="宋体"/>
          <w:color w:val="auto"/>
          <w:spacing w:val="-8"/>
          <w:sz w:val="21"/>
          <w:szCs w:val="21"/>
          <w:highlight w:val="none"/>
        </w:rPr>
        <w:t>）：</w:t>
      </w:r>
      <w:r>
        <w:rPr>
          <w:rFonts w:ascii="宋体" w:hAnsi="宋体" w:eastAsia="宋体" w:cs="宋体"/>
          <w:color w:val="auto"/>
          <w:spacing w:val="-5"/>
          <w:sz w:val="21"/>
          <w:szCs w:val="21"/>
          <w:highlight w:val="none"/>
        </w:rPr>
        <w:t>见评标办法前附表；</w:t>
      </w:r>
    </w:p>
    <w:p>
      <w:pPr>
        <w:spacing w:before="131" w:line="240" w:lineRule="auto"/>
        <w:ind w:left="727"/>
        <w:rPr>
          <w:rFonts w:ascii="宋体" w:hAnsi="宋体" w:eastAsia="宋体" w:cs="宋体"/>
          <w:color w:val="auto"/>
          <w:sz w:val="21"/>
          <w:szCs w:val="21"/>
          <w:highlight w:val="none"/>
        </w:rPr>
      </w:pPr>
      <w:r>
        <w:rPr>
          <w:rFonts w:ascii="宋体" w:hAnsi="宋体" w:eastAsia="宋体" w:cs="宋体"/>
          <w:color w:val="auto"/>
          <w:spacing w:val="-4"/>
          <w:position w:val="12"/>
          <w:sz w:val="21"/>
          <w:szCs w:val="21"/>
          <w:highlight w:val="none"/>
        </w:rPr>
        <w:t>（</w:t>
      </w:r>
      <w:r>
        <w:rPr>
          <w:rFonts w:ascii="Times New Roman" w:hAnsi="Times New Roman" w:eastAsia="Times New Roman" w:cs="Times New Roman"/>
          <w:color w:val="auto"/>
          <w:spacing w:val="-4"/>
          <w:position w:val="12"/>
          <w:sz w:val="21"/>
          <w:szCs w:val="21"/>
          <w:highlight w:val="none"/>
        </w:rPr>
        <w:t>2</w:t>
      </w:r>
      <w:r>
        <w:rPr>
          <w:rFonts w:ascii="宋体" w:hAnsi="宋体" w:eastAsia="宋体" w:cs="宋体"/>
          <w:color w:val="auto"/>
          <w:spacing w:val="-4"/>
          <w:position w:val="12"/>
          <w:sz w:val="21"/>
          <w:szCs w:val="21"/>
          <w:highlight w:val="none"/>
        </w:rPr>
        <w:t>）施工组织设计（技术标</w:t>
      </w:r>
      <w:r>
        <w:rPr>
          <w:rFonts w:ascii="宋体" w:hAnsi="宋体" w:eastAsia="宋体" w:cs="宋体"/>
          <w:color w:val="auto"/>
          <w:spacing w:val="-15"/>
          <w:position w:val="12"/>
          <w:sz w:val="21"/>
          <w:szCs w:val="21"/>
          <w:highlight w:val="none"/>
        </w:rPr>
        <w:t>）：</w:t>
      </w:r>
      <w:r>
        <w:rPr>
          <w:rFonts w:ascii="宋体" w:hAnsi="宋体" w:eastAsia="宋体" w:cs="宋体"/>
          <w:color w:val="auto"/>
          <w:spacing w:val="-4"/>
          <w:position w:val="12"/>
          <w:sz w:val="21"/>
          <w:szCs w:val="21"/>
          <w:highlight w:val="none"/>
        </w:rPr>
        <w:t>见评标办法前附表；</w:t>
      </w:r>
    </w:p>
    <w:p>
      <w:pPr>
        <w:spacing w:before="1" w:line="240" w:lineRule="auto"/>
        <w:ind w:left="7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3</w:t>
      </w:r>
      <w:r>
        <w:rPr>
          <w:rFonts w:ascii="宋体" w:hAnsi="宋体" w:eastAsia="宋体" w:cs="宋体"/>
          <w:color w:val="auto"/>
          <w:spacing w:val="-7"/>
          <w:sz w:val="21"/>
          <w:szCs w:val="21"/>
          <w:highlight w:val="none"/>
        </w:rPr>
        <w:t>）</w:t>
      </w:r>
      <w:r>
        <w:rPr>
          <w:rFonts w:hint="eastAsia" w:ascii="宋体" w:hAnsi="宋体" w:eastAsia="宋体" w:cs="宋体"/>
          <w:color w:val="auto"/>
          <w:spacing w:val="-7"/>
          <w:sz w:val="21"/>
          <w:szCs w:val="21"/>
          <w:highlight w:val="none"/>
          <w:lang w:eastAsia="zh-CN"/>
        </w:rPr>
        <w:t>综合标</w:t>
      </w:r>
      <w:r>
        <w:rPr>
          <w:rFonts w:ascii="宋体" w:hAnsi="宋体" w:eastAsia="宋体" w:cs="宋体"/>
          <w:color w:val="auto"/>
          <w:spacing w:val="-7"/>
          <w:sz w:val="21"/>
          <w:szCs w:val="21"/>
          <w:highlight w:val="none"/>
        </w:rPr>
        <w:t>： 见评标办法前附表；</w:t>
      </w:r>
    </w:p>
    <w:p>
      <w:pPr>
        <w:spacing w:before="1" w:line="219" w:lineRule="auto"/>
        <w:ind w:left="420"/>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2.2.2  </w:t>
      </w:r>
      <w:r>
        <w:rPr>
          <w:rFonts w:ascii="黑体" w:hAnsi="黑体" w:eastAsia="黑体" w:cs="黑体"/>
          <w:color w:val="auto"/>
          <w:spacing w:val="-1"/>
          <w:sz w:val="21"/>
          <w:szCs w:val="21"/>
          <w:highlight w:val="none"/>
        </w:rPr>
        <w:t>评标基准价计算</w:t>
      </w:r>
    </w:p>
    <w:p>
      <w:pPr>
        <w:spacing w:before="135" w:line="219" w:lineRule="auto"/>
        <w:ind w:left="72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）评标价确定方法： 见评标办法前附表；</w:t>
      </w:r>
    </w:p>
    <w:p>
      <w:pPr>
        <w:spacing w:before="130" w:line="219" w:lineRule="auto"/>
        <w:ind w:left="7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）评标基准价计算方法：见评标办法前附表。</w:t>
      </w:r>
    </w:p>
    <w:p>
      <w:pPr>
        <w:spacing w:before="146" w:line="220" w:lineRule="auto"/>
        <w:ind w:left="420"/>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2.2.3  </w:t>
      </w:r>
      <w:r>
        <w:rPr>
          <w:rFonts w:ascii="黑体" w:hAnsi="黑体" w:eastAsia="黑体" w:cs="黑体"/>
          <w:color w:val="auto"/>
          <w:spacing w:val="-1"/>
          <w:sz w:val="21"/>
          <w:szCs w:val="21"/>
          <w:highlight w:val="none"/>
        </w:rPr>
        <w:t>投标报价的偏差率计算</w:t>
      </w:r>
    </w:p>
    <w:p>
      <w:pPr>
        <w:spacing w:before="134" w:line="397" w:lineRule="exact"/>
        <w:ind w:left="723"/>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投标报价的偏差率计算公式：见评标办法前附表。</w:t>
      </w:r>
    </w:p>
    <w:p>
      <w:pPr>
        <w:spacing w:before="1" w:line="219" w:lineRule="auto"/>
        <w:ind w:left="420"/>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2.2.4  </w:t>
      </w:r>
      <w:r>
        <w:rPr>
          <w:rFonts w:ascii="黑体" w:hAnsi="黑体" w:eastAsia="黑体" w:cs="黑体"/>
          <w:color w:val="auto"/>
          <w:spacing w:val="-1"/>
          <w:sz w:val="21"/>
          <w:szCs w:val="21"/>
          <w:highlight w:val="none"/>
        </w:rPr>
        <w:t>评分标准</w:t>
      </w:r>
    </w:p>
    <w:p>
      <w:pPr>
        <w:spacing w:before="133" w:line="220" w:lineRule="auto"/>
        <w:ind w:left="72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）经济标评分标准： 见评标办法前附表；</w:t>
      </w:r>
    </w:p>
    <w:p>
      <w:pPr>
        <w:spacing w:before="129" w:line="220" w:lineRule="auto"/>
        <w:ind w:left="72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）技术标评分标准： 见评标办法前附表；</w:t>
      </w:r>
    </w:p>
    <w:p>
      <w:pPr>
        <w:spacing w:before="132" w:line="220" w:lineRule="auto"/>
        <w:ind w:left="72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w:t>
      </w:r>
      <w:r>
        <w:rPr>
          <w:rFonts w:hint="eastAsia" w:ascii="宋体" w:hAnsi="宋体" w:eastAsia="宋体" w:cs="宋体"/>
          <w:color w:val="auto"/>
          <w:spacing w:val="-7"/>
          <w:sz w:val="21"/>
          <w:szCs w:val="21"/>
          <w:highlight w:val="none"/>
          <w:lang w:eastAsia="zh-CN"/>
        </w:rPr>
        <w:t>综合标</w:t>
      </w:r>
      <w:r>
        <w:rPr>
          <w:rFonts w:ascii="宋体" w:hAnsi="宋体" w:eastAsia="宋体" w:cs="宋体"/>
          <w:color w:val="auto"/>
          <w:spacing w:val="-6"/>
          <w:sz w:val="21"/>
          <w:szCs w:val="21"/>
          <w:highlight w:val="none"/>
        </w:rPr>
        <w:t>评分标准： 见评标办法前附表；</w:t>
      </w:r>
    </w:p>
    <w:p>
      <w:pPr>
        <w:spacing w:before="184" w:line="436" w:lineRule="exact"/>
        <w:ind w:left="7"/>
        <w:rPr>
          <w:rFonts w:ascii="黑体" w:hAnsi="黑体" w:eastAsia="黑体" w:cs="黑体"/>
          <w:color w:val="auto"/>
          <w:sz w:val="28"/>
          <w:szCs w:val="28"/>
          <w:highlight w:val="none"/>
        </w:rPr>
      </w:pPr>
      <w:r>
        <w:rPr>
          <w:rFonts w:ascii="Times New Roman" w:hAnsi="Times New Roman" w:eastAsia="Times New Roman" w:cs="Times New Roman"/>
          <w:color w:val="auto"/>
          <w:spacing w:val="-1"/>
          <w:position w:val="11"/>
          <w:sz w:val="28"/>
          <w:szCs w:val="28"/>
          <w:highlight w:val="none"/>
        </w:rPr>
        <w:t xml:space="preserve">3.  </w:t>
      </w:r>
      <w:r>
        <w:rPr>
          <w:rFonts w:ascii="黑体" w:hAnsi="黑体" w:eastAsia="黑体" w:cs="黑体"/>
          <w:color w:val="auto"/>
          <w:spacing w:val="-1"/>
          <w:position w:val="11"/>
          <w:sz w:val="28"/>
          <w:szCs w:val="28"/>
          <w:highlight w:val="none"/>
        </w:rPr>
        <w:t>评标程序</w:t>
      </w:r>
    </w:p>
    <w:p>
      <w:pPr>
        <w:spacing w:before="1" w:line="218" w:lineRule="auto"/>
        <w:ind w:left="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初步评审</w:t>
      </w:r>
    </w:p>
    <w:p>
      <w:pPr>
        <w:spacing w:before="125" w:line="381"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3.1.1</w:t>
      </w:r>
      <w:r>
        <w:rPr>
          <w:rFonts w:ascii="Times New Roman" w:hAnsi="Times New Roman" w:eastAsia="Times New Roman" w:cs="Times New Roman"/>
          <w:color w:val="auto"/>
          <w:spacing w:val="34"/>
          <w:position w:val="12"/>
          <w:sz w:val="21"/>
          <w:szCs w:val="21"/>
          <w:highlight w:val="none"/>
        </w:rPr>
        <w:t xml:space="preserve"> </w:t>
      </w:r>
      <w:r>
        <w:rPr>
          <w:rFonts w:ascii="宋体" w:hAnsi="宋体" w:eastAsia="宋体" w:cs="宋体"/>
          <w:color w:val="auto"/>
          <w:position w:val="12"/>
          <w:sz w:val="21"/>
          <w:szCs w:val="21"/>
          <w:highlight w:val="none"/>
        </w:rPr>
        <w:t>评标委员会依据本章第</w:t>
      </w:r>
      <w:r>
        <w:rPr>
          <w:rFonts w:ascii="宋体" w:hAnsi="宋体" w:eastAsia="宋体" w:cs="宋体"/>
          <w:color w:val="auto"/>
          <w:spacing w:val="-22"/>
          <w:position w:val="12"/>
          <w:sz w:val="21"/>
          <w:szCs w:val="21"/>
          <w:highlight w:val="none"/>
        </w:rPr>
        <w:t xml:space="preserve"> </w:t>
      </w:r>
      <w:r>
        <w:rPr>
          <w:rFonts w:ascii="Times New Roman" w:hAnsi="Times New Roman" w:eastAsia="Times New Roman" w:cs="Times New Roman"/>
          <w:color w:val="auto"/>
          <w:position w:val="12"/>
          <w:sz w:val="21"/>
          <w:szCs w:val="21"/>
          <w:highlight w:val="none"/>
        </w:rPr>
        <w:t>2.1</w:t>
      </w:r>
      <w:r>
        <w:rPr>
          <w:rFonts w:ascii="Times New Roman" w:hAnsi="Times New Roman" w:eastAsia="Times New Roman" w:cs="Times New Roman"/>
          <w:color w:val="auto"/>
          <w:spacing w:val="36"/>
          <w:w w:val="101"/>
          <w:position w:val="12"/>
          <w:sz w:val="21"/>
          <w:szCs w:val="21"/>
          <w:highlight w:val="none"/>
        </w:rPr>
        <w:t xml:space="preserve"> </w:t>
      </w:r>
      <w:r>
        <w:rPr>
          <w:rFonts w:ascii="宋体" w:hAnsi="宋体" w:eastAsia="宋体" w:cs="宋体"/>
          <w:color w:val="auto"/>
          <w:position w:val="12"/>
          <w:sz w:val="21"/>
          <w:szCs w:val="21"/>
          <w:highlight w:val="none"/>
        </w:rPr>
        <w:t>款规定</w:t>
      </w:r>
      <w:r>
        <w:rPr>
          <w:rFonts w:ascii="宋体" w:hAnsi="宋体" w:eastAsia="宋体" w:cs="宋体"/>
          <w:color w:val="auto"/>
          <w:spacing w:val="-1"/>
          <w:position w:val="12"/>
          <w:sz w:val="21"/>
          <w:szCs w:val="21"/>
          <w:highlight w:val="none"/>
        </w:rPr>
        <w:t>的标准对投标文件进行初步评审。有一项不符合评审</w:t>
      </w:r>
    </w:p>
    <w:p>
      <w:pPr>
        <w:spacing w:before="1" w:line="219"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标准的，评标委员会应当否决其投标。</w:t>
      </w:r>
    </w:p>
    <w:p>
      <w:pPr>
        <w:spacing w:before="129" w:line="380" w:lineRule="exact"/>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2"/>
          <w:sz w:val="21"/>
          <w:szCs w:val="21"/>
          <w:highlight w:val="none"/>
        </w:rPr>
        <w:t xml:space="preserve">3.1.2  </w:t>
      </w:r>
      <w:r>
        <w:rPr>
          <w:rFonts w:ascii="宋体" w:hAnsi="宋体" w:eastAsia="宋体" w:cs="宋体"/>
          <w:color w:val="auto"/>
          <w:spacing w:val="-4"/>
          <w:position w:val="12"/>
          <w:sz w:val="21"/>
          <w:szCs w:val="21"/>
          <w:highlight w:val="none"/>
        </w:rPr>
        <w:t>投标人有以下情形之一的，</w:t>
      </w:r>
      <w:r>
        <w:rPr>
          <w:rFonts w:ascii="宋体" w:hAnsi="宋体" w:eastAsia="宋体" w:cs="宋体"/>
          <w:color w:val="auto"/>
          <w:spacing w:val="-7"/>
          <w:position w:val="12"/>
          <w:sz w:val="21"/>
          <w:szCs w:val="21"/>
          <w:highlight w:val="none"/>
        </w:rPr>
        <w:t xml:space="preserve"> </w:t>
      </w:r>
      <w:r>
        <w:rPr>
          <w:rFonts w:ascii="宋体" w:hAnsi="宋体" w:eastAsia="宋体" w:cs="宋体"/>
          <w:color w:val="auto"/>
          <w:spacing w:val="-4"/>
          <w:position w:val="12"/>
          <w:sz w:val="21"/>
          <w:szCs w:val="21"/>
          <w:highlight w:val="none"/>
        </w:rPr>
        <w:t>评标委员会应当否决其投标：</w:t>
      </w:r>
    </w:p>
    <w:p>
      <w:pPr>
        <w:spacing w:before="1" w:line="219" w:lineRule="auto"/>
        <w:ind w:left="430"/>
        <w:rPr>
          <w:color w:val="auto"/>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）不按评标委员会要求澄清、说明或补正。</w:t>
      </w:r>
    </w:p>
    <w:p>
      <w:pPr>
        <w:spacing w:before="68" w:line="396" w:lineRule="exact"/>
        <w:ind w:left="42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）有串通投标、弄虚作假、行贿或有其他违法行为；</w:t>
      </w:r>
    </w:p>
    <w:p>
      <w:pPr>
        <w:spacing w:line="221" w:lineRule="auto"/>
        <w:ind w:left="751"/>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）有下列情形之一的，</w:t>
      </w:r>
      <w:r>
        <w:rPr>
          <w:rFonts w:ascii="宋体" w:hAnsi="宋体" w:eastAsia="宋体" w:cs="宋体"/>
          <w:color w:val="auto"/>
          <w:spacing w:val="-14"/>
          <w:sz w:val="21"/>
          <w:szCs w:val="21"/>
          <w:highlight w:val="none"/>
        </w:rPr>
        <w:t xml:space="preserve"> </w:t>
      </w:r>
      <w:r>
        <w:rPr>
          <w:rFonts w:ascii="宋体" w:hAnsi="宋体" w:eastAsia="宋体" w:cs="宋体"/>
          <w:color w:val="auto"/>
          <w:spacing w:val="-6"/>
          <w:sz w:val="21"/>
          <w:szCs w:val="21"/>
          <w:highlight w:val="none"/>
        </w:rPr>
        <w:t>视为投标人相互串通投标：</w:t>
      </w:r>
    </w:p>
    <w:p>
      <w:pPr>
        <w:spacing w:before="152" w:line="240" w:lineRule="auto"/>
        <w:ind w:left="1002"/>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① 不同投标人的投标文件由同一单位或者个人编制；</w:t>
      </w:r>
    </w:p>
    <w:p>
      <w:pPr>
        <w:spacing w:before="152" w:line="240" w:lineRule="auto"/>
        <w:ind w:left="1002"/>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② 不同投标人委托同一单位或者个人办理投标事宜；</w:t>
      </w:r>
    </w:p>
    <w:p>
      <w:pPr>
        <w:spacing w:before="152" w:line="240" w:lineRule="auto"/>
        <w:ind w:left="0" w:leftChars="0" w:firstLine="999" w:firstLineChars="476"/>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③ 不同投标人使用同一电脑等电子设备办理投标事宜（下载招标文件、上传投标文件等关键环节）；</w:t>
      </w:r>
    </w:p>
    <w:p>
      <w:pPr>
        <w:spacing w:before="150" w:line="240" w:lineRule="auto"/>
        <w:ind w:left="10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 不同投标人的投标文件载明的项目管理成员为同</w:t>
      </w:r>
      <w:r>
        <w:rPr>
          <w:rFonts w:ascii="宋体" w:hAnsi="宋体" w:eastAsia="宋体" w:cs="宋体"/>
          <w:color w:val="auto"/>
          <w:spacing w:val="-2"/>
          <w:sz w:val="21"/>
          <w:szCs w:val="21"/>
          <w:highlight w:val="none"/>
        </w:rPr>
        <w:t>一人；</w:t>
      </w:r>
    </w:p>
    <w:p>
      <w:pPr>
        <w:spacing w:before="153" w:line="240" w:lineRule="auto"/>
        <w:ind w:left="100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⑤ 不同投标人的投标文件非典型一致或者投标报价呈规律性差异；</w:t>
      </w:r>
    </w:p>
    <w:p>
      <w:pPr>
        <w:spacing w:line="240" w:lineRule="auto"/>
        <w:ind w:left="100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⑥ 不同投标人的投标文件相互混装；</w:t>
      </w:r>
    </w:p>
    <w:p>
      <w:pPr>
        <w:spacing w:before="153" w:line="240" w:lineRule="auto"/>
        <w:ind w:left="10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⑦ 不同投标人的投标保证金或保函（保险）财务费用从同一单位或者个人的账户转出；</w:t>
      </w:r>
    </w:p>
    <w:p>
      <w:pPr>
        <w:spacing w:before="152" w:line="240" w:lineRule="auto"/>
        <w:jc w:val="right"/>
        <w:rPr>
          <w:rFonts w:ascii="宋体" w:hAnsi="宋体" w:eastAsia="宋体" w:cs="宋体"/>
          <w:color w:val="auto"/>
          <w:sz w:val="21"/>
          <w:szCs w:val="21"/>
          <w:highlight w:val="none"/>
        </w:rPr>
      </w:pPr>
      <w:r>
        <w:rPr>
          <w:rFonts w:hint="eastAsia" w:ascii="宋体" w:hAnsi="宋体" w:eastAsia="宋体" w:cs="宋体"/>
          <w:color w:val="auto"/>
          <w:spacing w:val="-6"/>
          <w:position w:val="14"/>
          <w:sz w:val="21"/>
          <w:szCs w:val="21"/>
          <w:highlight w:val="none"/>
          <w:lang w:val="en-US" w:eastAsia="zh-CN"/>
        </w:rPr>
        <w:t xml:space="preserve">  </w:t>
      </w:r>
      <w:r>
        <w:rPr>
          <w:rFonts w:ascii="宋体" w:hAnsi="宋体" w:eastAsia="宋体" w:cs="宋体"/>
          <w:color w:val="auto"/>
          <w:spacing w:val="-6"/>
          <w:position w:val="14"/>
          <w:sz w:val="21"/>
          <w:szCs w:val="21"/>
          <w:highlight w:val="none"/>
        </w:rPr>
        <w:t>⑧ 不同投标人的投标文件存在“</w:t>
      </w:r>
      <w:r>
        <w:rPr>
          <w:rFonts w:ascii="Times New Roman" w:hAnsi="Times New Roman" w:eastAsia="Times New Roman" w:cs="Times New Roman"/>
          <w:color w:val="auto"/>
          <w:spacing w:val="-6"/>
          <w:position w:val="14"/>
          <w:sz w:val="21"/>
          <w:szCs w:val="21"/>
          <w:highlight w:val="none"/>
        </w:rPr>
        <w:t xml:space="preserve">MAC  </w:t>
      </w:r>
      <w:r>
        <w:rPr>
          <w:rFonts w:ascii="宋体" w:hAnsi="宋体" w:eastAsia="宋体" w:cs="宋体"/>
          <w:color w:val="auto"/>
          <w:spacing w:val="-6"/>
          <w:position w:val="14"/>
          <w:sz w:val="21"/>
          <w:szCs w:val="21"/>
          <w:highlight w:val="none"/>
        </w:rPr>
        <w:t>地址”、“文件创建标识码”、“文件制作机器码”</w:t>
      </w:r>
    </w:p>
    <w:p>
      <w:pPr>
        <w:spacing w:before="1" w:line="240" w:lineRule="auto"/>
        <w:ind w:left="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等唯一性标识一致等情形。</w:t>
      </w:r>
    </w:p>
    <w:p>
      <w:pPr>
        <w:spacing w:before="132" w:line="220" w:lineRule="auto"/>
        <w:ind w:left="73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）有下列情形之一的，属于弄虚作假行为：</w:t>
      </w:r>
    </w:p>
    <w:p>
      <w:pPr>
        <w:spacing w:before="147" w:line="218" w:lineRule="auto"/>
        <w:ind w:left="100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① 使用通过受让或者租借等方式获取的资格、资质证书投标的，即以他人名义投标的。</w:t>
      </w:r>
    </w:p>
    <w:p>
      <w:pPr>
        <w:spacing w:before="153" w:line="218" w:lineRule="auto"/>
        <w:ind w:left="100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② 使用伪造、变造的许可证件；</w:t>
      </w:r>
    </w:p>
    <w:p>
      <w:pPr>
        <w:spacing w:before="153" w:line="218" w:lineRule="auto"/>
        <w:ind w:left="10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③ 提供虚假的财务状况或者业绩；</w:t>
      </w:r>
    </w:p>
    <w:p>
      <w:pPr>
        <w:spacing w:before="150" w:line="401" w:lineRule="exact"/>
        <w:ind w:left="100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④ 提供虚假的项目负责人或者主要技术人员简历、社会保险证明；</w:t>
      </w:r>
    </w:p>
    <w:p>
      <w:pPr>
        <w:spacing w:line="218" w:lineRule="auto"/>
        <w:ind w:left="10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⑤ 提供虚假的信用状况；</w:t>
      </w:r>
    </w:p>
    <w:p>
      <w:pPr>
        <w:spacing w:before="153" w:line="218" w:lineRule="auto"/>
        <w:ind w:left="99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⑥ 其他弄虚作假的行为。</w:t>
      </w:r>
    </w:p>
    <w:p>
      <w:pPr>
        <w:spacing w:before="136" w:line="333" w:lineRule="auto"/>
        <w:ind w:left="5" w:right="-5" w:rightChars="0" w:firstLine="41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3.1.3</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z w:val="21"/>
          <w:szCs w:val="21"/>
          <w:highlight w:val="none"/>
        </w:rPr>
        <w:t>投标报价有算术错误的及其他错误的，评标委员会按</w:t>
      </w:r>
      <w:r>
        <w:rPr>
          <w:rFonts w:ascii="宋体" w:hAnsi="宋体" w:eastAsia="宋体" w:cs="宋体"/>
          <w:color w:val="auto"/>
          <w:spacing w:val="-1"/>
          <w:sz w:val="21"/>
          <w:szCs w:val="21"/>
          <w:highlight w:val="none"/>
        </w:rPr>
        <w:t>以下原则对投标报价进行修正</w:t>
      </w:r>
      <w:r>
        <w:rPr>
          <w:rFonts w:ascii="宋体" w:hAnsi="宋体" w:eastAsia="宋体" w:cs="宋体"/>
          <w:color w:val="auto"/>
          <w:sz w:val="21"/>
          <w:szCs w:val="21"/>
          <w:highlight w:val="none"/>
        </w:rPr>
        <w:t>，修 正的价格经投标人书面确认后具有约束力。投标人不接受修正价格的，或者修正后的投标报价超过招标控制价的（如有），评标委员会应当否决其投标。</w:t>
      </w:r>
    </w:p>
    <w:p>
      <w:pPr>
        <w:spacing w:before="136" w:line="333" w:lineRule="auto"/>
        <w:ind w:left="5" w:right="311" w:firstLine="416"/>
        <w:rPr>
          <w:rFonts w:ascii="宋体" w:hAnsi="宋体" w:eastAsia="宋体" w:cs="宋体"/>
          <w:color w:val="auto"/>
          <w:sz w:val="21"/>
          <w:szCs w:val="21"/>
          <w:highlight w:val="none"/>
        </w:rPr>
      </w:pPr>
      <w:r>
        <w:rPr>
          <w:rFonts w:ascii="宋体" w:hAnsi="宋体" w:eastAsia="宋体" w:cs="宋体"/>
          <w:color w:val="auto"/>
          <w:sz w:val="21"/>
          <w:szCs w:val="21"/>
          <w:highlight w:val="none"/>
        </w:rPr>
        <w:t>（1）投标文件中的大写金额与小写金额不一致的，以大写金额为准；</w:t>
      </w:r>
    </w:p>
    <w:p>
      <w:pPr>
        <w:tabs>
          <w:tab w:val="left" w:pos="8820"/>
        </w:tabs>
        <w:spacing w:before="136" w:line="333" w:lineRule="auto"/>
        <w:ind w:left="5" w:right="-5" w:rightChars="0" w:firstLine="416"/>
        <w:rPr>
          <w:rFonts w:ascii="宋体" w:hAnsi="宋体" w:eastAsia="宋体" w:cs="宋体"/>
          <w:color w:val="auto"/>
          <w:sz w:val="21"/>
          <w:szCs w:val="21"/>
          <w:highlight w:val="none"/>
        </w:rPr>
      </w:pPr>
      <w:r>
        <w:rPr>
          <w:rFonts w:ascii="宋体" w:hAnsi="宋体" w:eastAsia="宋体" w:cs="宋体"/>
          <w:color w:val="auto"/>
          <w:sz w:val="21"/>
          <w:szCs w:val="21"/>
          <w:highlight w:val="none"/>
        </w:rPr>
        <w:t>（2）总价金额与单价金额不一致的，以单价金额为准，但单价金额小数点有明显错误的除外。</w:t>
      </w:r>
    </w:p>
    <w:p>
      <w:pPr>
        <w:spacing w:before="136" w:line="333" w:lineRule="auto"/>
        <w:ind w:left="5" w:right="-5" w:rightChars="0" w:firstLine="416"/>
        <w:rPr>
          <w:rFonts w:ascii="宋体" w:hAnsi="宋体" w:eastAsia="宋体" w:cs="宋体"/>
          <w:color w:val="auto"/>
          <w:sz w:val="21"/>
          <w:szCs w:val="21"/>
          <w:highlight w:val="none"/>
        </w:rPr>
      </w:pPr>
      <w:r>
        <w:rPr>
          <w:rFonts w:ascii="宋体" w:hAnsi="宋体" w:eastAsia="宋体" w:cs="宋体"/>
          <w:color w:val="auto"/>
          <w:sz w:val="21"/>
          <w:szCs w:val="21"/>
          <w:highlight w:val="none"/>
        </w:rPr>
        <w:t>3.1.4  评标委员会发现投标人的报价明显低于其他投标报价，或者在设有最高投标限价时明 显低于最高投标限价，使得其投标报价可能低于其个别成本的，应当要求该投标人作出书面说明 并提供相应的证明材料。投标人不能合理说明或者不能提供相应证明材料的，由评标委员会认定该投标人以低于成本报价竞标，否决其投标。</w:t>
      </w:r>
    </w:p>
    <w:p>
      <w:pPr>
        <w:spacing w:before="136" w:line="333" w:lineRule="auto"/>
        <w:ind w:left="5" w:right="-5" w:rightChars="0" w:firstLine="416"/>
        <w:rPr>
          <w:rFonts w:ascii="宋体" w:hAnsi="宋体" w:eastAsia="宋体" w:cs="宋体"/>
          <w:color w:val="auto"/>
          <w:sz w:val="21"/>
          <w:szCs w:val="21"/>
          <w:highlight w:val="none"/>
        </w:rPr>
      </w:pPr>
      <w:r>
        <w:rPr>
          <w:rFonts w:ascii="宋体" w:hAnsi="宋体" w:eastAsia="宋体" w:cs="宋体"/>
          <w:color w:val="auto"/>
          <w:sz w:val="21"/>
          <w:szCs w:val="21"/>
          <w:highlight w:val="none"/>
        </w:rPr>
        <w:t>3.1.5  评标委员会否决不合格投标后，因有效投标不足三个使得投标明显缺乏竞争的，评标委员会可以否决全部投标。</w:t>
      </w:r>
    </w:p>
    <w:p>
      <w:pPr>
        <w:spacing w:before="121" w:line="219" w:lineRule="auto"/>
        <w:ind w:left="2"/>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详细评审</w:t>
      </w:r>
    </w:p>
    <w:p>
      <w:pPr>
        <w:spacing w:before="125" w:line="240"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评标委员会对通过了初步评审的投标文件进行详细评审。</w:t>
      </w:r>
    </w:p>
    <w:p>
      <w:pPr>
        <w:spacing w:before="131" w:line="240"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3.2.2  </w:t>
      </w:r>
      <w:r>
        <w:rPr>
          <w:rFonts w:ascii="宋体" w:hAnsi="宋体" w:eastAsia="宋体" w:cs="宋体"/>
          <w:color w:val="auto"/>
          <w:sz w:val="21"/>
          <w:szCs w:val="21"/>
          <w:highlight w:val="none"/>
        </w:rPr>
        <w:t>评标委员会按本章第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2.2 </w:t>
      </w:r>
      <w:r>
        <w:rPr>
          <w:rFonts w:ascii="宋体" w:hAnsi="宋体" w:eastAsia="宋体" w:cs="宋体"/>
          <w:color w:val="auto"/>
          <w:sz w:val="21"/>
          <w:szCs w:val="21"/>
          <w:highlight w:val="none"/>
        </w:rPr>
        <w:t>款规定的量化因素和分值进行打分，并计算</w:t>
      </w:r>
      <w:r>
        <w:rPr>
          <w:rFonts w:ascii="宋体" w:hAnsi="宋体" w:eastAsia="宋体" w:cs="宋体"/>
          <w:color w:val="auto"/>
          <w:spacing w:val="-1"/>
          <w:sz w:val="21"/>
          <w:szCs w:val="21"/>
          <w:highlight w:val="none"/>
        </w:rPr>
        <w:t>出综合评估得分。</w:t>
      </w:r>
      <w:bookmarkStart w:id="95" w:name="bookmark127"/>
      <w:bookmarkEnd w:id="95"/>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）按本章第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2"/>
          <w:sz w:val="21"/>
          <w:szCs w:val="21"/>
          <w:highlight w:val="none"/>
        </w:rPr>
        <w:t>2.2.4</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w:t>
      </w:r>
      <w:r>
        <w:rPr>
          <w:rFonts w:ascii="宋体" w:hAnsi="宋体" w:eastAsia="宋体" w:cs="宋体"/>
          <w:color w:val="auto"/>
          <w:spacing w:val="-59"/>
          <w:sz w:val="21"/>
          <w:szCs w:val="21"/>
          <w:highlight w:val="none"/>
        </w:rPr>
        <w:t xml:space="preserve"> </w:t>
      </w:r>
      <w:r>
        <w:rPr>
          <w:rFonts w:ascii="宋体" w:hAnsi="宋体" w:eastAsia="宋体" w:cs="宋体"/>
          <w:color w:val="auto"/>
          <w:spacing w:val="-2"/>
          <w:sz w:val="21"/>
          <w:szCs w:val="21"/>
          <w:highlight w:val="none"/>
        </w:rPr>
        <w:t>目规定的评审因素和分值对经济标计算出得分</w:t>
      </w:r>
      <w:r>
        <w:rPr>
          <w:rFonts w:ascii="宋体" w:hAnsi="宋体" w:eastAsia="宋体" w:cs="宋体"/>
          <w:color w:val="auto"/>
          <w:spacing w:val="-50"/>
          <w:sz w:val="21"/>
          <w:szCs w:val="21"/>
          <w:highlight w:val="none"/>
        </w:rPr>
        <w:t xml:space="preserve"> </w:t>
      </w:r>
      <w:r>
        <w:rPr>
          <w:rFonts w:ascii="Times New Roman" w:hAnsi="Times New Roman" w:eastAsia="Times New Roman" w:cs="Times New Roman"/>
          <w:color w:val="auto"/>
          <w:spacing w:val="-2"/>
          <w:sz w:val="21"/>
          <w:szCs w:val="21"/>
          <w:highlight w:val="none"/>
        </w:rPr>
        <w:t>A</w:t>
      </w:r>
      <w:r>
        <w:rPr>
          <w:rFonts w:ascii="宋体" w:hAnsi="宋体" w:eastAsia="宋体" w:cs="宋体"/>
          <w:color w:val="auto"/>
          <w:spacing w:val="-2"/>
          <w:sz w:val="21"/>
          <w:szCs w:val="21"/>
          <w:highlight w:val="none"/>
        </w:rPr>
        <w:t>；</w:t>
      </w:r>
    </w:p>
    <w:p>
      <w:pPr>
        <w:spacing w:before="150" w:line="240" w:lineRule="auto"/>
        <w:ind w:left="7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）按本章第</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2"/>
          <w:sz w:val="21"/>
          <w:szCs w:val="21"/>
          <w:highlight w:val="none"/>
        </w:rPr>
        <w:t>2.2.4</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w:t>
      </w:r>
      <w:r>
        <w:rPr>
          <w:rFonts w:ascii="宋体" w:hAnsi="宋体" w:eastAsia="宋体" w:cs="宋体"/>
          <w:color w:val="auto"/>
          <w:spacing w:val="-58"/>
          <w:sz w:val="21"/>
          <w:szCs w:val="21"/>
          <w:highlight w:val="none"/>
        </w:rPr>
        <w:t xml:space="preserve"> </w:t>
      </w:r>
      <w:r>
        <w:rPr>
          <w:rFonts w:ascii="宋体" w:hAnsi="宋体" w:eastAsia="宋体" w:cs="宋体"/>
          <w:color w:val="auto"/>
          <w:spacing w:val="-2"/>
          <w:sz w:val="21"/>
          <w:szCs w:val="21"/>
          <w:highlight w:val="none"/>
        </w:rPr>
        <w:t>目规定的评审因素和分值对技术标计算出得分</w:t>
      </w:r>
      <w:r>
        <w:rPr>
          <w:rFonts w:ascii="宋体" w:hAnsi="宋体" w:eastAsia="宋体" w:cs="宋体"/>
          <w:color w:val="auto"/>
          <w:spacing w:val="-49"/>
          <w:sz w:val="21"/>
          <w:szCs w:val="21"/>
          <w:highlight w:val="none"/>
        </w:rPr>
        <w:t xml:space="preserve"> </w:t>
      </w:r>
      <w:r>
        <w:rPr>
          <w:rFonts w:ascii="Times New Roman" w:hAnsi="Times New Roman" w:eastAsia="Times New Roman" w:cs="Times New Roman"/>
          <w:color w:val="auto"/>
          <w:spacing w:val="-2"/>
          <w:sz w:val="21"/>
          <w:szCs w:val="21"/>
          <w:highlight w:val="none"/>
        </w:rPr>
        <w:t>B</w:t>
      </w:r>
      <w:r>
        <w:rPr>
          <w:rFonts w:ascii="宋体" w:hAnsi="宋体" w:eastAsia="宋体" w:cs="宋体"/>
          <w:color w:val="auto"/>
          <w:spacing w:val="-2"/>
          <w:sz w:val="21"/>
          <w:szCs w:val="21"/>
          <w:highlight w:val="none"/>
        </w:rPr>
        <w:t>；</w:t>
      </w:r>
    </w:p>
    <w:p>
      <w:pPr>
        <w:spacing w:before="150" w:line="240" w:lineRule="auto"/>
        <w:ind w:left="7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）按本章第</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2.2.4</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w:t>
      </w:r>
      <w:r>
        <w:rPr>
          <w:rFonts w:ascii="宋体" w:hAnsi="宋体" w:eastAsia="宋体" w:cs="宋体"/>
          <w:color w:val="auto"/>
          <w:spacing w:val="-58"/>
          <w:sz w:val="21"/>
          <w:szCs w:val="21"/>
          <w:highlight w:val="none"/>
        </w:rPr>
        <w:t xml:space="preserve"> </w:t>
      </w:r>
      <w:r>
        <w:rPr>
          <w:rFonts w:ascii="宋体" w:hAnsi="宋体" w:eastAsia="宋体" w:cs="宋体"/>
          <w:color w:val="auto"/>
          <w:spacing w:val="-2"/>
          <w:sz w:val="21"/>
          <w:szCs w:val="21"/>
          <w:highlight w:val="none"/>
        </w:rPr>
        <w:t>目规定的评审因素和分值对</w:t>
      </w:r>
      <w:r>
        <w:rPr>
          <w:rFonts w:hint="eastAsia" w:ascii="宋体" w:hAnsi="宋体" w:eastAsia="宋体" w:cs="宋体"/>
          <w:color w:val="auto"/>
          <w:spacing w:val="-2"/>
          <w:sz w:val="21"/>
          <w:szCs w:val="21"/>
          <w:highlight w:val="none"/>
          <w:lang w:eastAsia="zh-CN"/>
        </w:rPr>
        <w:t>综合标（其他）</w:t>
      </w:r>
      <w:r>
        <w:rPr>
          <w:rFonts w:ascii="宋体" w:hAnsi="宋体" w:eastAsia="宋体" w:cs="宋体"/>
          <w:color w:val="auto"/>
          <w:spacing w:val="-2"/>
          <w:sz w:val="21"/>
          <w:szCs w:val="21"/>
          <w:highlight w:val="none"/>
        </w:rPr>
        <w:t>计算出得分</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C</w:t>
      </w:r>
      <w:r>
        <w:rPr>
          <w:rFonts w:ascii="宋体" w:hAnsi="宋体" w:eastAsia="宋体" w:cs="宋体"/>
          <w:color w:val="auto"/>
          <w:spacing w:val="-2"/>
          <w:sz w:val="21"/>
          <w:szCs w:val="21"/>
          <w:highlight w:val="none"/>
        </w:rPr>
        <w:t>；</w:t>
      </w:r>
    </w:p>
    <w:p>
      <w:pPr>
        <w:spacing w:before="133"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3.2.3  </w:t>
      </w:r>
      <w:r>
        <w:rPr>
          <w:rFonts w:ascii="宋体" w:hAnsi="宋体" w:eastAsia="宋体" w:cs="宋体"/>
          <w:color w:val="auto"/>
          <w:sz w:val="21"/>
          <w:szCs w:val="21"/>
          <w:highlight w:val="none"/>
        </w:rPr>
        <w:t>评分分值计算保留小数点后两位，小数点后第三位“</w:t>
      </w:r>
      <w:r>
        <w:rPr>
          <w:rFonts w:ascii="宋体" w:hAnsi="宋体" w:eastAsia="宋体" w:cs="宋体"/>
          <w:color w:val="auto"/>
          <w:spacing w:val="-1"/>
          <w:sz w:val="21"/>
          <w:szCs w:val="21"/>
          <w:highlight w:val="none"/>
        </w:rPr>
        <w:t>四舍五入”。</w:t>
      </w:r>
    </w:p>
    <w:p>
      <w:pPr>
        <w:spacing w:before="130"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投标人得分</w:t>
      </w:r>
      <w:r>
        <w:rPr>
          <w:rFonts w:ascii="Times New Roman" w:hAnsi="Times New Roman" w:eastAsia="Times New Roman" w:cs="Times New Roman"/>
          <w:color w:val="auto"/>
          <w:spacing w:val="-1"/>
          <w:sz w:val="21"/>
          <w:szCs w:val="21"/>
          <w:highlight w:val="none"/>
        </w:rPr>
        <w:t>=A+B+C</w:t>
      </w:r>
      <w:r>
        <w:rPr>
          <w:rFonts w:ascii="宋体" w:hAnsi="宋体" w:eastAsia="宋体" w:cs="宋体"/>
          <w:color w:val="auto"/>
          <w:spacing w:val="-1"/>
          <w:sz w:val="21"/>
          <w:szCs w:val="21"/>
          <w:highlight w:val="none"/>
        </w:rPr>
        <w:t>。</w:t>
      </w:r>
    </w:p>
    <w:p>
      <w:pPr>
        <w:spacing w:before="128"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3.2.5  </w:t>
      </w:r>
      <w:r>
        <w:rPr>
          <w:rFonts w:ascii="宋体" w:hAnsi="宋体" w:eastAsia="宋体" w:cs="宋体"/>
          <w:color w:val="auto"/>
          <w:sz w:val="21"/>
          <w:szCs w:val="21"/>
          <w:highlight w:val="none"/>
        </w:rPr>
        <w:t>各投标人最终得分的确定办法为：所有评标委员会成员的综合评分的算</w:t>
      </w:r>
      <w:r>
        <w:rPr>
          <w:rFonts w:ascii="宋体" w:hAnsi="宋体" w:eastAsia="宋体" w:cs="宋体"/>
          <w:color w:val="auto"/>
          <w:spacing w:val="-1"/>
          <w:sz w:val="21"/>
          <w:szCs w:val="21"/>
          <w:highlight w:val="none"/>
        </w:rPr>
        <w:t>术平均值。</w:t>
      </w:r>
    </w:p>
    <w:p>
      <w:pPr>
        <w:spacing w:before="121" w:line="240" w:lineRule="auto"/>
        <w:ind w:left="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投标文件的澄清和补正</w:t>
      </w:r>
    </w:p>
    <w:p>
      <w:pPr>
        <w:tabs>
          <w:tab w:val="left" w:pos="0"/>
          <w:tab w:val="left" w:pos="630"/>
        </w:tabs>
        <w:spacing w:before="150" w:line="240" w:lineRule="auto"/>
        <w:ind w:left="3" w:leftChars="0" w:firstLine="718" w:firstLineChars="349"/>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3.3.1 在评标过程中， 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tabs>
          <w:tab w:val="left" w:pos="0"/>
          <w:tab w:val="left" w:pos="630"/>
        </w:tabs>
        <w:spacing w:before="150" w:line="240" w:lineRule="auto"/>
        <w:ind w:left="3" w:leftChars="0" w:firstLine="718" w:firstLineChars="349"/>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3.3.2  澄清、说明和补正不得超出投标文件的范围且不得改变投标文件的实质性内容（算术错误修正的除外）。投标人的书面澄清、说明和补正属于投标文件的组成部分。</w:t>
      </w:r>
    </w:p>
    <w:p>
      <w:pPr>
        <w:tabs>
          <w:tab w:val="left" w:pos="0"/>
          <w:tab w:val="left" w:pos="630"/>
        </w:tabs>
        <w:spacing w:before="150" w:line="240" w:lineRule="auto"/>
        <w:ind w:left="3" w:leftChars="0" w:firstLine="718" w:firstLineChars="349"/>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3.3.3  评标委员会对投标人提交的澄清、说明或补正有疑问的，可以要求投标人进一步澄清、说明或补正，直至满足评标委员会的要求。</w:t>
      </w:r>
    </w:p>
    <w:p>
      <w:pPr>
        <w:spacing w:before="121" w:line="240" w:lineRule="auto"/>
        <w:ind w:left="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黑体" w:hAnsi="黑体" w:eastAsia="黑体" w:cs="黑体"/>
          <w:color w:val="auto"/>
          <w:spacing w:val="-1"/>
          <w:sz w:val="24"/>
          <w:szCs w:val="24"/>
          <w:highlight w:val="none"/>
        </w:rPr>
        <w:t>评标结果</w:t>
      </w:r>
    </w:p>
    <w:p>
      <w:pPr>
        <w:spacing w:before="125" w:line="240" w:lineRule="auto"/>
        <w:ind w:left="0" w:leftChars="0" w:firstLine="418" w:firstLineChars="203"/>
        <w:rPr>
          <w:rFonts w:ascii="宋体" w:hAnsi="宋体" w:eastAsia="宋体" w:cs="宋体"/>
          <w:color w:val="auto"/>
          <w:spacing w:val="-2"/>
          <w:position w:val="12"/>
          <w:sz w:val="21"/>
          <w:szCs w:val="21"/>
          <w:highlight w:val="none"/>
        </w:rPr>
      </w:pPr>
      <w:r>
        <w:rPr>
          <w:rFonts w:ascii="宋体" w:hAnsi="宋体" w:eastAsia="宋体" w:cs="宋体"/>
          <w:color w:val="auto"/>
          <w:spacing w:val="-2"/>
          <w:position w:val="12"/>
          <w:sz w:val="21"/>
          <w:szCs w:val="21"/>
          <w:highlight w:val="none"/>
        </w:rPr>
        <w:t>3.4.1 除第二章“投标人须知”前附表授权直接确定中标人外， 评标委员会按照得分由高到低的顺序或按照有效评标价由低到高的顺序推荐中标候选人。</w:t>
      </w:r>
    </w:p>
    <w:p>
      <w:pPr>
        <w:spacing w:before="125" w:line="240" w:lineRule="auto"/>
        <w:ind w:left="420"/>
        <w:rPr>
          <w:rFonts w:ascii="宋体" w:hAnsi="宋体" w:eastAsia="宋体" w:cs="宋体"/>
          <w:color w:val="auto"/>
          <w:spacing w:val="-2"/>
          <w:position w:val="12"/>
          <w:sz w:val="21"/>
          <w:szCs w:val="21"/>
          <w:highlight w:val="none"/>
        </w:rPr>
      </w:pPr>
      <w:r>
        <w:rPr>
          <w:rFonts w:ascii="宋体" w:hAnsi="宋体" w:eastAsia="宋体" w:cs="宋体"/>
          <w:color w:val="auto"/>
          <w:spacing w:val="-2"/>
          <w:position w:val="12"/>
          <w:sz w:val="21"/>
          <w:szCs w:val="21"/>
          <w:highlight w:val="none"/>
        </w:rPr>
        <w:t>3.4.2 评标委员会完成评标后，应当向招标人提交书面评标报告。</w:t>
      </w:r>
    </w:p>
    <w:p>
      <w:pPr>
        <w:spacing w:line="219" w:lineRule="auto"/>
        <w:rPr>
          <w:rFonts w:ascii="宋体" w:hAnsi="宋体" w:eastAsia="宋体" w:cs="宋体"/>
          <w:color w:val="auto"/>
          <w:sz w:val="21"/>
          <w:szCs w:val="21"/>
          <w:highlight w:val="none"/>
        </w:rPr>
        <w:sectPr>
          <w:footerReference r:id="rId30" w:type="default"/>
          <w:pgSz w:w="11905" w:h="16843"/>
          <w:pgMar w:top="1769" w:right="1548" w:bottom="1003" w:left="1542" w:header="0" w:footer="828" w:gutter="0"/>
          <w:pgNumType w:fmt="numberInDash"/>
          <w:cols w:space="0" w:num="1"/>
          <w:rtlGutter w:val="0"/>
          <w:docGrid w:linePitch="0" w:charSpace="0"/>
        </w:sectPr>
      </w:pPr>
    </w:p>
    <w:p>
      <w:pPr>
        <w:spacing w:before="310" w:line="220" w:lineRule="auto"/>
        <w:ind w:left="40"/>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附件</w:t>
      </w:r>
      <w:r>
        <w:rPr>
          <w:rFonts w:ascii="黑体" w:hAnsi="黑体" w:eastAsia="黑体" w:cs="黑体"/>
          <w:color w:val="auto"/>
          <w:spacing w:val="-58"/>
          <w:sz w:val="28"/>
          <w:szCs w:val="28"/>
          <w:highlight w:val="none"/>
        </w:rPr>
        <w:t xml:space="preserve"> </w:t>
      </w:r>
      <w:r>
        <w:rPr>
          <w:rFonts w:ascii="黑体" w:hAnsi="黑体" w:eastAsia="黑体" w:cs="黑体"/>
          <w:color w:val="auto"/>
          <w:spacing w:val="-4"/>
          <w:sz w:val="28"/>
          <w:szCs w:val="28"/>
          <w:highlight w:val="none"/>
        </w:rPr>
        <w:t>A：否决投标的条件</w:t>
      </w:r>
    </w:p>
    <w:p>
      <w:pPr>
        <w:pStyle w:val="2"/>
        <w:spacing w:line="460" w:lineRule="auto"/>
        <w:rPr>
          <w:color w:val="auto"/>
          <w:highlight w:val="none"/>
        </w:rPr>
      </w:pPr>
    </w:p>
    <w:p>
      <w:pPr>
        <w:spacing w:before="91" w:line="220" w:lineRule="auto"/>
        <w:ind w:left="3193"/>
        <w:rPr>
          <w:rFonts w:ascii="黑体" w:hAnsi="黑体" w:eastAsia="黑体" w:cs="黑体"/>
          <w:color w:val="auto"/>
          <w:sz w:val="28"/>
          <w:szCs w:val="28"/>
          <w:highlight w:val="none"/>
        </w:rPr>
      </w:pPr>
      <w:bookmarkStart w:id="96" w:name="bookmark128"/>
      <w:bookmarkEnd w:id="96"/>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否决投标的条件</w:t>
      </w:r>
    </w:p>
    <w:p>
      <w:pPr>
        <w:spacing w:before="104" w:line="219" w:lineRule="auto"/>
        <w:ind w:left="42"/>
        <w:rPr>
          <w:rFonts w:ascii="黑体" w:hAnsi="黑体" w:eastAsia="黑体" w:cs="黑体"/>
          <w:color w:val="auto"/>
          <w:sz w:val="24"/>
          <w:szCs w:val="24"/>
          <w:highlight w:val="none"/>
        </w:rPr>
      </w:pPr>
      <w:r>
        <w:rPr>
          <w:rFonts w:ascii="Times New Roman" w:hAnsi="Times New Roman" w:eastAsia="Times New Roman" w:cs="Times New Roman"/>
          <w:color w:val="auto"/>
          <w:spacing w:val="-8"/>
          <w:sz w:val="24"/>
          <w:szCs w:val="24"/>
          <w:highlight w:val="none"/>
        </w:rPr>
        <w:t>1.</w:t>
      </w:r>
      <w:r>
        <w:rPr>
          <w:rFonts w:ascii="黑体" w:hAnsi="黑体" w:eastAsia="黑体" w:cs="黑体"/>
          <w:color w:val="auto"/>
          <w:spacing w:val="-8"/>
          <w:sz w:val="24"/>
          <w:szCs w:val="24"/>
          <w:highlight w:val="none"/>
        </w:rPr>
        <w:t>总</w:t>
      </w:r>
      <w:r>
        <w:rPr>
          <w:rFonts w:ascii="黑体" w:hAnsi="黑体" w:eastAsia="黑体" w:cs="黑体"/>
          <w:color w:val="auto"/>
          <w:spacing w:val="5"/>
          <w:sz w:val="24"/>
          <w:szCs w:val="24"/>
          <w:highlight w:val="none"/>
        </w:rPr>
        <w:t xml:space="preserve">  </w:t>
      </w:r>
      <w:r>
        <w:rPr>
          <w:rFonts w:ascii="黑体" w:hAnsi="黑体" w:eastAsia="黑体" w:cs="黑体"/>
          <w:color w:val="auto"/>
          <w:spacing w:val="-8"/>
          <w:sz w:val="24"/>
          <w:szCs w:val="24"/>
          <w:highlight w:val="none"/>
        </w:rPr>
        <w:t>则</w:t>
      </w:r>
    </w:p>
    <w:p>
      <w:pPr>
        <w:spacing w:before="162" w:line="430" w:lineRule="exact"/>
        <w:ind w:left="443"/>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本附件所集中列示的否决投标的条件，是本章“评标办法”的组成部分，</w:t>
      </w:r>
      <w:r>
        <w:rPr>
          <w:rFonts w:ascii="宋体" w:hAnsi="宋体" w:eastAsia="宋体" w:cs="宋体"/>
          <w:color w:val="auto"/>
          <w:spacing w:val="2"/>
          <w:position w:val="16"/>
          <w:sz w:val="21"/>
          <w:szCs w:val="21"/>
          <w:highlight w:val="none"/>
        </w:rPr>
        <w:t>是对第二章</w:t>
      </w:r>
    </w:p>
    <w:p>
      <w:pPr>
        <w:spacing w:line="219" w:lineRule="auto"/>
        <w:ind w:left="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“投标人须知”和本章正文部分所规定的否决投标的条件的总结和补充，如果出现不一致</w:t>
      </w:r>
    </w:p>
    <w:p>
      <w:pPr>
        <w:spacing w:before="179" w:line="384" w:lineRule="exact"/>
        <w:ind w:left="40"/>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的情况，以本章前附表和正文部分的规定为准。</w:t>
      </w:r>
    </w:p>
    <w:p>
      <w:pPr>
        <w:spacing w:before="1"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黑体" w:hAnsi="黑体" w:eastAsia="黑体" w:cs="黑体"/>
          <w:color w:val="auto"/>
          <w:spacing w:val="-1"/>
          <w:sz w:val="24"/>
          <w:szCs w:val="24"/>
          <w:highlight w:val="none"/>
        </w:rPr>
        <w:t>否决投标的条件</w:t>
      </w:r>
    </w:p>
    <w:p>
      <w:pPr>
        <w:spacing w:before="162" w:line="220" w:lineRule="auto"/>
        <w:ind w:left="4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投标人或其投标文件有下列情形之一的，</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评标委员会应当否决其投标：</w:t>
      </w:r>
    </w:p>
    <w:p>
      <w:pPr>
        <w:spacing w:before="179" w:line="430" w:lineRule="exact"/>
        <w:ind w:left="438"/>
        <w:rPr>
          <w:rFonts w:ascii="宋体" w:hAnsi="宋体" w:eastAsia="宋体" w:cs="宋体"/>
          <w:color w:val="auto"/>
          <w:sz w:val="21"/>
          <w:szCs w:val="21"/>
          <w:highlight w:val="none"/>
        </w:rPr>
      </w:pPr>
      <w:r>
        <w:rPr>
          <w:rFonts w:ascii="Times New Roman" w:hAnsi="Times New Roman" w:eastAsia="Times New Roman" w:cs="Times New Roman"/>
          <w:color w:val="auto"/>
          <w:position w:val="16"/>
          <w:sz w:val="21"/>
          <w:szCs w:val="21"/>
          <w:highlight w:val="none"/>
        </w:rPr>
        <w:t>2.1</w:t>
      </w:r>
      <w:r>
        <w:rPr>
          <w:rFonts w:ascii="Times New Roman" w:hAnsi="Times New Roman" w:eastAsia="Times New Roman" w:cs="Times New Roman"/>
          <w:color w:val="auto"/>
          <w:spacing w:val="18"/>
          <w:position w:val="16"/>
          <w:sz w:val="21"/>
          <w:szCs w:val="21"/>
          <w:highlight w:val="none"/>
        </w:rPr>
        <w:t xml:space="preserve"> </w:t>
      </w:r>
      <w:r>
        <w:rPr>
          <w:rFonts w:ascii="宋体" w:hAnsi="宋体" w:eastAsia="宋体" w:cs="宋体"/>
          <w:color w:val="auto"/>
          <w:position w:val="16"/>
          <w:sz w:val="21"/>
          <w:szCs w:val="21"/>
          <w:highlight w:val="none"/>
        </w:rPr>
        <w:t>在形式评审、资格评审、响应性评审中，评标委员会认定投标人的投标</w:t>
      </w:r>
      <w:r>
        <w:rPr>
          <w:rFonts w:ascii="宋体" w:hAnsi="宋体" w:eastAsia="宋体" w:cs="宋体"/>
          <w:color w:val="auto"/>
          <w:spacing w:val="-1"/>
          <w:position w:val="16"/>
          <w:sz w:val="21"/>
          <w:szCs w:val="21"/>
          <w:highlight w:val="none"/>
        </w:rPr>
        <w:t>文件不符合</w:t>
      </w:r>
    </w:p>
    <w:p>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评标办法前附表中规定的任何一项评审标准的。主要包括以下内</w:t>
      </w:r>
      <w:r>
        <w:rPr>
          <w:rFonts w:ascii="宋体" w:hAnsi="宋体" w:eastAsia="宋体" w:cs="宋体"/>
          <w:color w:val="auto"/>
          <w:spacing w:val="-1"/>
          <w:sz w:val="21"/>
          <w:szCs w:val="21"/>
          <w:highlight w:val="none"/>
        </w:rPr>
        <w:t>容：</w:t>
      </w:r>
    </w:p>
    <w:p>
      <w:pPr>
        <w:spacing w:before="179" w:line="430" w:lineRule="exact"/>
        <w:ind w:left="0" w:leftChars="0" w:firstLine="420" w:firstLineChars="200"/>
        <w:rPr>
          <w:rFonts w:ascii="宋体" w:hAnsi="宋体" w:eastAsia="宋体" w:cs="宋体"/>
          <w:color w:val="auto"/>
          <w:position w:val="16"/>
          <w:sz w:val="21"/>
          <w:szCs w:val="21"/>
          <w:highlight w:val="none"/>
        </w:rPr>
      </w:pPr>
      <w:r>
        <w:rPr>
          <w:rFonts w:ascii="宋体" w:hAnsi="宋体" w:eastAsia="宋体" w:cs="宋体"/>
          <w:color w:val="auto"/>
          <w:position w:val="16"/>
          <w:sz w:val="21"/>
          <w:szCs w:val="21"/>
          <w:highlight w:val="none"/>
        </w:rPr>
        <w:t>（1）投标人名称与营业执照、资质证书、安全生产许可证不一致；或提供无效的营业执照、资质证书、安全生产许可证的；</w:t>
      </w:r>
    </w:p>
    <w:p>
      <w:pPr>
        <w:spacing w:before="180" w:line="429" w:lineRule="exact"/>
        <w:jc w:val="center"/>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2</w:t>
      </w:r>
      <w:r>
        <w:rPr>
          <w:rFonts w:ascii="宋体" w:hAnsi="宋体" w:eastAsia="宋体" w:cs="宋体"/>
          <w:color w:val="auto"/>
          <w:spacing w:val="1"/>
          <w:position w:val="16"/>
          <w:sz w:val="21"/>
          <w:szCs w:val="21"/>
          <w:highlight w:val="none"/>
        </w:rPr>
        <w:t xml:space="preserve">）未按照第二章“投标人须知”第 </w:t>
      </w:r>
      <w:r>
        <w:rPr>
          <w:rFonts w:ascii="Times New Roman" w:hAnsi="Times New Roman" w:eastAsia="Times New Roman" w:cs="Times New Roman"/>
          <w:color w:val="auto"/>
          <w:spacing w:val="1"/>
          <w:position w:val="16"/>
          <w:sz w:val="21"/>
          <w:szCs w:val="21"/>
          <w:highlight w:val="none"/>
        </w:rPr>
        <w:t>3.7.3</w:t>
      </w: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4</w:t>
      </w:r>
      <w:r>
        <w:rPr>
          <w:rFonts w:ascii="宋体" w:hAnsi="宋体" w:eastAsia="宋体" w:cs="宋体"/>
          <w:color w:val="auto"/>
          <w:spacing w:val="1"/>
          <w:position w:val="16"/>
          <w:sz w:val="21"/>
          <w:szCs w:val="21"/>
          <w:highlight w:val="none"/>
        </w:rPr>
        <w:t>）</w:t>
      </w:r>
      <w:r>
        <w:rPr>
          <w:rFonts w:ascii="宋体" w:hAnsi="宋体" w:eastAsia="宋体" w:cs="宋体"/>
          <w:color w:val="auto"/>
          <w:spacing w:val="-41"/>
          <w:position w:val="16"/>
          <w:sz w:val="21"/>
          <w:szCs w:val="21"/>
          <w:highlight w:val="none"/>
        </w:rPr>
        <w:t xml:space="preserve"> </w:t>
      </w:r>
      <w:r>
        <w:rPr>
          <w:rFonts w:ascii="宋体" w:hAnsi="宋体" w:eastAsia="宋体" w:cs="宋体"/>
          <w:color w:val="auto"/>
          <w:spacing w:val="1"/>
          <w:position w:val="16"/>
          <w:sz w:val="21"/>
          <w:szCs w:val="21"/>
          <w:highlight w:val="none"/>
        </w:rPr>
        <w:t>目规定和第八章“投标文件格式”</w:t>
      </w:r>
    </w:p>
    <w:p>
      <w:pPr>
        <w:spacing w:before="1" w:line="219" w:lineRule="auto"/>
        <w:ind w:left="4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的要求进行电子签章的；</w:t>
      </w:r>
    </w:p>
    <w:p>
      <w:pPr>
        <w:spacing w:before="180" w:line="379" w:lineRule="auto"/>
        <w:ind w:right="-5" w:rightChars="0" w:firstLine="420" w:firstLineChars="200"/>
        <w:rPr>
          <w:rFonts w:ascii="宋体" w:hAnsi="宋体" w:eastAsia="宋体" w:cs="宋体"/>
          <w:color w:val="auto"/>
          <w:sz w:val="21"/>
          <w:szCs w:val="21"/>
          <w:highlight w:val="none"/>
        </w:rPr>
      </w:pPr>
      <w:r>
        <w:rPr>
          <w:rFonts w:ascii="宋体" w:hAnsi="宋体" w:eastAsia="宋体" w:cs="宋体"/>
          <w:color w:val="auto"/>
          <w:sz w:val="21"/>
          <w:szCs w:val="21"/>
          <w:highlight w:val="none"/>
        </w:rPr>
        <w:t>（3）联合体投标没有提交共同投标协议或共同投标协议未按</w:t>
      </w:r>
      <w:r>
        <w:rPr>
          <w:rFonts w:ascii="宋体" w:hAnsi="宋体" w:eastAsia="宋体" w:cs="宋体"/>
          <w:color w:val="auto"/>
          <w:spacing w:val="-1"/>
          <w:sz w:val="21"/>
          <w:szCs w:val="21"/>
          <w:highlight w:val="none"/>
        </w:rPr>
        <w:t>招标文件提供的格式</w:t>
      </w:r>
      <w:r>
        <w:rPr>
          <w:rFonts w:ascii="宋体" w:hAnsi="宋体" w:eastAsia="宋体" w:cs="宋体"/>
          <w:color w:val="auto"/>
          <w:spacing w:val="3"/>
          <w:sz w:val="21"/>
          <w:szCs w:val="21"/>
          <w:highlight w:val="none"/>
        </w:rPr>
        <w:t>签署、提交，未明确联合体牵头人和各方权利与义务，未</w:t>
      </w:r>
      <w:r>
        <w:rPr>
          <w:rFonts w:ascii="宋体" w:hAnsi="宋体" w:eastAsia="宋体" w:cs="宋体"/>
          <w:color w:val="auto"/>
          <w:spacing w:val="2"/>
          <w:sz w:val="21"/>
          <w:szCs w:val="21"/>
          <w:highlight w:val="none"/>
        </w:rPr>
        <w:t>承诺就中标项目向招标人承担连</w:t>
      </w:r>
      <w:r>
        <w:rPr>
          <w:rFonts w:ascii="宋体" w:hAnsi="宋体" w:eastAsia="宋体" w:cs="宋体"/>
          <w:color w:val="auto"/>
          <w:spacing w:val="-2"/>
          <w:sz w:val="21"/>
          <w:szCs w:val="21"/>
          <w:highlight w:val="none"/>
        </w:rPr>
        <w:t>带责任的（如有</w:t>
      </w:r>
      <w:r>
        <w:rPr>
          <w:rFonts w:ascii="宋体" w:hAnsi="宋体" w:eastAsia="宋体" w:cs="宋体"/>
          <w:color w:val="auto"/>
          <w:spacing w:val="-54"/>
          <w:w w:val="97"/>
          <w:sz w:val="21"/>
          <w:szCs w:val="21"/>
          <w:highlight w:val="none"/>
        </w:rPr>
        <w:t>）；</w:t>
      </w:r>
    </w:p>
    <w:p>
      <w:pPr>
        <w:spacing w:before="179" w:line="429" w:lineRule="exact"/>
        <w:ind w:left="4" w:leftChars="0" w:firstLine="427" w:firstLineChars="19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（4）同一投标人提交两个以上不同的投标文件或者投标报价的（但招标文件要求提交备选投标的除外）；</w:t>
      </w:r>
    </w:p>
    <w:p>
      <w:pPr>
        <w:spacing w:before="179" w:line="240" w:lineRule="auto"/>
        <w:ind w:left="4" w:leftChars="0" w:firstLine="407" w:firstLineChars="19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（5）未按照招标文件的要求报送应有的投标报价表格的；</w:t>
      </w:r>
    </w:p>
    <w:p>
      <w:pPr>
        <w:spacing w:before="178" w:line="240" w:lineRule="auto"/>
        <w:ind w:left="4" w:leftChars="0" w:firstLine="407" w:firstLineChars="19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hint="eastAsia" w:ascii="宋体" w:hAnsi="宋体" w:eastAsia="宋体" w:cs="宋体"/>
          <w:color w:val="auto"/>
          <w:spacing w:val="-2"/>
          <w:sz w:val="21"/>
          <w:szCs w:val="21"/>
          <w:highlight w:val="none"/>
          <w:lang w:val="en-US" w:eastAsia="zh-CN"/>
        </w:rPr>
        <w:t>6</w:t>
      </w:r>
      <w:r>
        <w:rPr>
          <w:rFonts w:ascii="宋体" w:hAnsi="宋体" w:eastAsia="宋体" w:cs="宋体"/>
          <w:color w:val="auto"/>
          <w:spacing w:val="-2"/>
          <w:sz w:val="21"/>
          <w:szCs w:val="21"/>
          <w:highlight w:val="none"/>
        </w:rPr>
        <w:t>）投标人资质条件不符合国家规定和招标文件要求的；</w:t>
      </w:r>
    </w:p>
    <w:p>
      <w:pPr>
        <w:spacing w:before="179" w:line="240" w:lineRule="auto"/>
        <w:ind w:left="4" w:leftChars="0" w:firstLine="427" w:firstLineChars="198"/>
        <w:rPr>
          <w:rFonts w:ascii="宋体" w:hAnsi="宋体" w:eastAsia="宋体" w:cs="宋体"/>
          <w:color w:val="auto"/>
          <w:spacing w:val="3"/>
          <w:position w:val="16"/>
          <w:sz w:val="21"/>
          <w:szCs w:val="21"/>
          <w:highlight w:val="none"/>
        </w:rPr>
      </w:pPr>
      <w:r>
        <w:rPr>
          <w:rFonts w:ascii="宋体" w:hAnsi="宋体" w:eastAsia="宋体" w:cs="宋体"/>
          <w:color w:val="auto"/>
          <w:spacing w:val="3"/>
          <w:position w:val="16"/>
          <w:sz w:val="21"/>
          <w:szCs w:val="21"/>
          <w:highlight w:val="none"/>
        </w:rPr>
        <w:t>（</w:t>
      </w:r>
      <w:r>
        <w:rPr>
          <w:rFonts w:hint="eastAsia" w:ascii="宋体" w:hAnsi="宋体" w:eastAsia="宋体" w:cs="宋体"/>
          <w:color w:val="auto"/>
          <w:spacing w:val="3"/>
          <w:position w:val="16"/>
          <w:sz w:val="21"/>
          <w:szCs w:val="21"/>
          <w:highlight w:val="none"/>
          <w:lang w:val="en-US" w:eastAsia="zh-CN"/>
        </w:rPr>
        <w:t>7</w:t>
      </w:r>
      <w:r>
        <w:rPr>
          <w:rFonts w:ascii="宋体" w:hAnsi="宋体" w:eastAsia="宋体" w:cs="宋体"/>
          <w:color w:val="auto"/>
          <w:spacing w:val="3"/>
          <w:position w:val="16"/>
          <w:sz w:val="21"/>
          <w:szCs w:val="21"/>
          <w:highlight w:val="none"/>
        </w:rPr>
        <w:t>）项目负责人资格不符合招标文件规定的专业等级要求，或已在其他在建工程担任项目经理（同一工程相邻分段发包或者分期施工的除外）；</w:t>
      </w:r>
    </w:p>
    <w:p>
      <w:pPr>
        <w:spacing w:before="179" w:line="240" w:lineRule="auto"/>
        <w:ind w:left="0" w:leftChars="0" w:firstLine="418" w:firstLineChars="20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hint="eastAsia" w:ascii="宋体" w:hAnsi="宋体" w:eastAsia="宋体" w:cs="宋体"/>
          <w:color w:val="auto"/>
          <w:spacing w:val="-2"/>
          <w:sz w:val="21"/>
          <w:szCs w:val="21"/>
          <w:highlight w:val="none"/>
          <w:lang w:val="en-US" w:eastAsia="zh-CN"/>
        </w:rPr>
        <w:t>8</w:t>
      </w:r>
      <w:r>
        <w:rPr>
          <w:rFonts w:ascii="宋体" w:hAnsi="宋体" w:eastAsia="宋体" w:cs="宋体"/>
          <w:color w:val="auto"/>
          <w:spacing w:val="-2"/>
          <w:sz w:val="21"/>
          <w:szCs w:val="21"/>
          <w:highlight w:val="none"/>
        </w:rPr>
        <w:t>）不具有投标人须知第</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2"/>
          <w:sz w:val="21"/>
          <w:szCs w:val="21"/>
          <w:highlight w:val="none"/>
        </w:rPr>
        <w:t>1.4.3</w:t>
      </w:r>
      <w:r>
        <w:rPr>
          <w:rFonts w:ascii="宋体" w:hAnsi="宋体" w:eastAsia="宋体" w:cs="宋体"/>
          <w:color w:val="auto"/>
          <w:spacing w:val="-2"/>
          <w:sz w:val="21"/>
          <w:szCs w:val="21"/>
          <w:highlight w:val="none"/>
        </w:rPr>
        <w:t>（</w:t>
      </w:r>
      <w:r>
        <w:rPr>
          <w:rFonts w:hint="eastAsia" w:ascii="Times New Roman" w:hAnsi="Times New Roman" w:eastAsia="宋体" w:cs="Times New Roman"/>
          <w:color w:val="auto"/>
          <w:spacing w:val="-2"/>
          <w:sz w:val="21"/>
          <w:szCs w:val="21"/>
          <w:highlight w:val="none"/>
          <w:lang w:val="en-US" w:eastAsia="zh-CN"/>
        </w:rPr>
        <w:t>6</w:t>
      </w:r>
      <w:r>
        <w:rPr>
          <w:rFonts w:ascii="宋体" w:hAnsi="宋体" w:eastAsia="宋体" w:cs="宋体"/>
          <w:color w:val="auto"/>
          <w:spacing w:val="-2"/>
          <w:sz w:val="21"/>
          <w:szCs w:val="21"/>
          <w:highlight w:val="none"/>
        </w:rPr>
        <w:t>）至（</w:t>
      </w:r>
      <w:r>
        <w:rPr>
          <w:rFonts w:ascii="Times New Roman" w:hAnsi="Times New Roman" w:eastAsia="Times New Roman" w:cs="Times New Roman"/>
          <w:color w:val="auto"/>
          <w:spacing w:val="-2"/>
          <w:sz w:val="21"/>
          <w:szCs w:val="21"/>
          <w:highlight w:val="none"/>
        </w:rPr>
        <w:t>1</w:t>
      </w:r>
      <w:r>
        <w:rPr>
          <w:rFonts w:hint="eastAsia" w:ascii="Times New Roman" w:hAnsi="Times New Roman" w:eastAsia="宋体" w:cs="Times New Roman"/>
          <w:color w:val="auto"/>
          <w:spacing w:val="-2"/>
          <w:sz w:val="21"/>
          <w:szCs w:val="21"/>
          <w:highlight w:val="none"/>
          <w:lang w:val="en-US" w:eastAsia="zh-CN"/>
        </w:rPr>
        <w:t>3</w:t>
      </w:r>
      <w:r>
        <w:rPr>
          <w:rFonts w:ascii="宋体" w:hAnsi="宋体" w:eastAsia="宋体" w:cs="宋体"/>
          <w:color w:val="auto"/>
          <w:spacing w:val="-2"/>
          <w:sz w:val="21"/>
          <w:szCs w:val="21"/>
          <w:highlight w:val="none"/>
        </w:rPr>
        <w:t>）条目规定的情形；</w:t>
      </w:r>
    </w:p>
    <w:p>
      <w:pPr>
        <w:spacing w:before="178" w:line="240" w:lineRule="auto"/>
        <w:ind w:left="0" w:leftChars="0" w:firstLine="418" w:firstLineChars="203"/>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w:t>
      </w:r>
      <w:r>
        <w:rPr>
          <w:rFonts w:hint="eastAsia" w:ascii="宋体" w:hAnsi="宋体" w:eastAsia="宋体" w:cs="宋体"/>
          <w:color w:val="auto"/>
          <w:spacing w:val="-2"/>
          <w:sz w:val="21"/>
          <w:szCs w:val="21"/>
          <w:highlight w:val="none"/>
          <w:lang w:val="en-US" w:eastAsia="zh-CN"/>
        </w:rPr>
        <w:t>9</w:t>
      </w:r>
      <w:r>
        <w:rPr>
          <w:rFonts w:ascii="宋体" w:hAnsi="宋体" w:eastAsia="宋体" w:cs="宋体"/>
          <w:color w:val="auto"/>
          <w:spacing w:val="-2"/>
          <w:sz w:val="21"/>
          <w:szCs w:val="21"/>
          <w:highlight w:val="none"/>
        </w:rPr>
        <w:t>）未按招标文件要求提交投标保证金的；</w:t>
      </w:r>
    </w:p>
    <w:p>
      <w:pPr>
        <w:spacing w:before="179" w:line="240" w:lineRule="auto"/>
        <w:ind w:left="0" w:leftChars="0" w:firstLine="418" w:firstLineChars="203"/>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w:t>
      </w:r>
      <w:r>
        <w:rPr>
          <w:rFonts w:hint="eastAsia" w:ascii="宋体" w:hAnsi="宋体" w:eastAsia="宋体" w:cs="宋体"/>
          <w:color w:val="auto"/>
          <w:spacing w:val="-2"/>
          <w:sz w:val="21"/>
          <w:szCs w:val="21"/>
          <w:highlight w:val="none"/>
          <w:lang w:val="en-US" w:eastAsia="zh-CN"/>
        </w:rPr>
        <w:t>0</w:t>
      </w:r>
      <w:r>
        <w:rPr>
          <w:rFonts w:ascii="宋体" w:hAnsi="宋体" w:eastAsia="宋体" w:cs="宋体"/>
          <w:color w:val="auto"/>
          <w:spacing w:val="-2"/>
          <w:sz w:val="21"/>
          <w:szCs w:val="21"/>
          <w:highlight w:val="none"/>
        </w:rPr>
        <w:t>）投标人填写的清单编码、清单名称、项目特征、计量单位、工程量与招标文件给定的工程量清单不一致的；</w:t>
      </w:r>
    </w:p>
    <w:p>
      <w:pPr>
        <w:spacing w:before="179" w:line="240" w:lineRule="auto"/>
        <w:ind w:left="0" w:leftChars="0" w:firstLine="418" w:firstLineChars="20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w:t>
      </w:r>
      <w:r>
        <w:rPr>
          <w:rFonts w:hint="eastAsia" w:ascii="宋体" w:hAnsi="宋体" w:eastAsia="宋体" w:cs="宋体"/>
          <w:color w:val="auto"/>
          <w:spacing w:val="-2"/>
          <w:sz w:val="21"/>
          <w:szCs w:val="21"/>
          <w:highlight w:val="none"/>
          <w:lang w:val="en-US" w:eastAsia="zh-CN"/>
        </w:rPr>
        <w:t>1</w:t>
      </w:r>
      <w:r>
        <w:rPr>
          <w:rFonts w:ascii="宋体" w:hAnsi="宋体" w:eastAsia="宋体" w:cs="宋体"/>
          <w:color w:val="auto"/>
          <w:spacing w:val="-2"/>
          <w:sz w:val="21"/>
          <w:szCs w:val="21"/>
          <w:highlight w:val="none"/>
        </w:rPr>
        <w:t>）投标人修改招标文件给定</w:t>
      </w:r>
      <w:r>
        <w:rPr>
          <w:rFonts w:ascii="宋体" w:hAnsi="宋体" w:eastAsia="宋体" w:cs="宋体"/>
          <w:color w:val="auto"/>
          <w:spacing w:val="3"/>
          <w:sz w:val="21"/>
          <w:szCs w:val="21"/>
          <w:highlight w:val="none"/>
        </w:rPr>
        <w:t>的工程量清单</w:t>
      </w:r>
      <w:r>
        <w:rPr>
          <w:rFonts w:ascii="宋体" w:hAnsi="宋体" w:eastAsia="宋体" w:cs="宋体"/>
          <w:color w:val="auto"/>
          <w:spacing w:val="2"/>
          <w:sz w:val="21"/>
          <w:szCs w:val="21"/>
          <w:highlight w:val="none"/>
        </w:rPr>
        <w:t>中所列价格（包括暂列金额、材料</w:t>
      </w:r>
      <w:bookmarkStart w:id="97" w:name="bookmark129"/>
      <w:bookmarkEnd w:id="97"/>
      <w:r>
        <w:rPr>
          <w:rFonts w:ascii="宋体" w:hAnsi="宋体" w:eastAsia="宋体" w:cs="宋体"/>
          <w:color w:val="auto"/>
          <w:spacing w:val="-5"/>
          <w:sz w:val="21"/>
          <w:szCs w:val="21"/>
          <w:highlight w:val="none"/>
        </w:rPr>
        <w:t>暂估价、专业工程暂估价、招标人供应材料价等）的；</w:t>
      </w:r>
    </w:p>
    <w:p>
      <w:pPr>
        <w:spacing w:before="179" w:line="240" w:lineRule="auto"/>
        <w:ind w:firstLine="408" w:firstLineChars="20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w:t>
      </w:r>
      <w:r>
        <w:rPr>
          <w:rFonts w:hint="eastAsia" w:ascii="宋体" w:hAnsi="宋体" w:eastAsia="宋体" w:cs="宋体"/>
          <w:color w:val="auto"/>
          <w:spacing w:val="-3"/>
          <w:sz w:val="21"/>
          <w:szCs w:val="21"/>
          <w:highlight w:val="none"/>
          <w:lang w:val="en-US" w:eastAsia="zh-CN"/>
        </w:rPr>
        <w:t>2</w:t>
      </w:r>
      <w:r>
        <w:rPr>
          <w:rFonts w:ascii="宋体" w:hAnsi="宋体" w:eastAsia="宋体" w:cs="宋体"/>
          <w:color w:val="auto"/>
          <w:spacing w:val="-3"/>
          <w:sz w:val="21"/>
          <w:szCs w:val="21"/>
          <w:highlight w:val="none"/>
        </w:rPr>
        <w:t>）工期未响应招标文件规定的；</w:t>
      </w:r>
    </w:p>
    <w:p>
      <w:pPr>
        <w:spacing w:before="178" w:line="240" w:lineRule="auto"/>
        <w:ind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w:t>
      </w:r>
      <w:r>
        <w:rPr>
          <w:rFonts w:hint="eastAsia" w:ascii="宋体" w:hAnsi="宋体" w:eastAsia="宋体" w:cs="宋体"/>
          <w:color w:val="auto"/>
          <w:spacing w:val="-2"/>
          <w:sz w:val="21"/>
          <w:szCs w:val="21"/>
          <w:highlight w:val="none"/>
          <w:lang w:val="en-US" w:eastAsia="zh-CN"/>
        </w:rPr>
        <w:t>3</w:t>
      </w:r>
      <w:r>
        <w:rPr>
          <w:rFonts w:ascii="宋体" w:hAnsi="宋体" w:eastAsia="宋体" w:cs="宋体"/>
          <w:color w:val="auto"/>
          <w:spacing w:val="-2"/>
          <w:sz w:val="21"/>
          <w:szCs w:val="21"/>
          <w:highlight w:val="none"/>
        </w:rPr>
        <w:t>）投标人不接受算术错误修正后的报价；</w:t>
      </w:r>
    </w:p>
    <w:p>
      <w:pPr>
        <w:spacing w:before="182" w:line="240" w:lineRule="auto"/>
        <w:ind w:firstLine="416" w:firstLineChars="200"/>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（1</w:t>
      </w:r>
      <w:r>
        <w:rPr>
          <w:rFonts w:hint="eastAsia" w:ascii="宋体" w:hAnsi="宋体" w:eastAsia="宋体" w:cs="宋体"/>
          <w:color w:val="auto"/>
          <w:spacing w:val="-1"/>
          <w:position w:val="16"/>
          <w:sz w:val="21"/>
          <w:szCs w:val="21"/>
          <w:highlight w:val="none"/>
          <w:lang w:val="en-US" w:eastAsia="zh-CN"/>
        </w:rPr>
        <w:t>4</w:t>
      </w:r>
      <w:r>
        <w:rPr>
          <w:rFonts w:ascii="宋体" w:hAnsi="宋体" w:eastAsia="宋体" w:cs="宋体"/>
          <w:color w:val="auto"/>
          <w:spacing w:val="-1"/>
          <w:position w:val="16"/>
          <w:sz w:val="21"/>
          <w:szCs w:val="21"/>
          <w:highlight w:val="none"/>
        </w:rPr>
        <w:t>）投标报价（含修正后）高于招标文件设定的最高投</w:t>
      </w:r>
      <w:r>
        <w:rPr>
          <w:rFonts w:ascii="宋体" w:hAnsi="宋体" w:eastAsia="宋体" w:cs="宋体"/>
          <w:color w:val="auto"/>
          <w:spacing w:val="-2"/>
          <w:position w:val="16"/>
          <w:sz w:val="21"/>
          <w:szCs w:val="21"/>
          <w:highlight w:val="none"/>
        </w:rPr>
        <w:t>标价的；</w:t>
      </w:r>
    </w:p>
    <w:p>
      <w:pPr>
        <w:spacing w:line="240" w:lineRule="auto"/>
        <w:ind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w:t>
      </w:r>
      <w:r>
        <w:rPr>
          <w:rFonts w:hint="eastAsia" w:ascii="宋体" w:hAnsi="宋体" w:eastAsia="宋体" w:cs="宋体"/>
          <w:color w:val="auto"/>
          <w:spacing w:val="-2"/>
          <w:sz w:val="21"/>
          <w:szCs w:val="21"/>
          <w:highlight w:val="none"/>
          <w:lang w:val="en-US" w:eastAsia="zh-CN"/>
        </w:rPr>
        <w:t>5</w:t>
      </w:r>
      <w:r>
        <w:rPr>
          <w:rFonts w:ascii="宋体" w:hAnsi="宋体" w:eastAsia="宋体" w:cs="宋体"/>
          <w:color w:val="auto"/>
          <w:spacing w:val="-2"/>
          <w:sz w:val="21"/>
          <w:szCs w:val="21"/>
          <w:highlight w:val="none"/>
        </w:rPr>
        <w:t>）质量标准不满足招标文件规定的；</w:t>
      </w:r>
    </w:p>
    <w:p>
      <w:pPr>
        <w:spacing w:before="178" w:line="240" w:lineRule="auto"/>
        <w:ind w:firstLine="416" w:firstLineChars="2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w:t>
      </w:r>
      <w:r>
        <w:rPr>
          <w:rFonts w:hint="eastAsia" w:ascii="宋体" w:hAnsi="宋体" w:eastAsia="宋体" w:cs="宋体"/>
          <w:color w:val="auto"/>
          <w:spacing w:val="-1"/>
          <w:sz w:val="21"/>
          <w:szCs w:val="21"/>
          <w:highlight w:val="none"/>
          <w:lang w:val="en-US" w:eastAsia="zh-CN"/>
        </w:rPr>
        <w:t>6</w:t>
      </w:r>
      <w:r>
        <w:rPr>
          <w:rFonts w:ascii="宋体" w:hAnsi="宋体" w:eastAsia="宋体" w:cs="宋体"/>
          <w:color w:val="auto"/>
          <w:spacing w:val="-1"/>
          <w:sz w:val="21"/>
          <w:szCs w:val="21"/>
          <w:highlight w:val="none"/>
        </w:rPr>
        <w:t>）投标有效期不符合招标文件规定的；</w:t>
      </w:r>
    </w:p>
    <w:p>
      <w:pPr>
        <w:spacing w:before="179" w:line="240" w:lineRule="auto"/>
        <w:ind w:firstLine="416" w:firstLineChars="200"/>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hint="eastAsia" w:ascii="宋体" w:hAnsi="宋体" w:eastAsia="宋体" w:cs="宋体"/>
          <w:color w:val="auto"/>
          <w:spacing w:val="-1"/>
          <w:position w:val="16"/>
          <w:sz w:val="21"/>
          <w:szCs w:val="21"/>
          <w:highlight w:val="none"/>
          <w:lang w:val="en-US" w:eastAsia="zh-CN"/>
        </w:rPr>
        <w:t>17</w:t>
      </w:r>
      <w:r>
        <w:rPr>
          <w:rFonts w:ascii="宋体" w:hAnsi="宋体" w:eastAsia="宋体" w:cs="宋体"/>
          <w:color w:val="auto"/>
          <w:spacing w:val="-1"/>
          <w:position w:val="16"/>
          <w:sz w:val="21"/>
          <w:szCs w:val="21"/>
          <w:highlight w:val="none"/>
        </w:rPr>
        <w:t>）权利义务承诺不符合或低于招标文件规定的；</w:t>
      </w:r>
    </w:p>
    <w:p>
      <w:pPr>
        <w:spacing w:line="240" w:lineRule="auto"/>
        <w:ind w:firstLine="416" w:firstLineChars="2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val="en-US" w:eastAsia="zh-CN"/>
        </w:rPr>
        <w:t>18</w:t>
      </w:r>
      <w:r>
        <w:rPr>
          <w:rFonts w:ascii="宋体" w:hAnsi="宋体" w:eastAsia="宋体" w:cs="宋体"/>
          <w:color w:val="auto"/>
          <w:spacing w:val="-1"/>
          <w:sz w:val="21"/>
          <w:szCs w:val="21"/>
          <w:highlight w:val="none"/>
        </w:rPr>
        <w:t>）技术标准和要求不符合招标文件规定的；</w:t>
      </w:r>
    </w:p>
    <w:p>
      <w:pPr>
        <w:spacing w:before="179" w:line="240" w:lineRule="auto"/>
        <w:ind w:firstLine="412" w:firstLineChars="20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hint="eastAsia" w:ascii="宋体" w:hAnsi="宋体" w:eastAsia="宋体" w:cs="宋体"/>
          <w:color w:val="auto"/>
          <w:spacing w:val="-2"/>
          <w:sz w:val="21"/>
          <w:szCs w:val="21"/>
          <w:highlight w:val="none"/>
          <w:lang w:val="en-US" w:eastAsia="zh-CN"/>
        </w:rPr>
        <w:t>19</w:t>
      </w:r>
      <w:r>
        <w:rPr>
          <w:rFonts w:ascii="宋体" w:hAnsi="宋体" w:eastAsia="宋体" w:cs="宋体"/>
          <w:color w:val="auto"/>
          <w:spacing w:val="-2"/>
          <w:sz w:val="21"/>
          <w:szCs w:val="21"/>
          <w:highlight w:val="none"/>
        </w:rPr>
        <w:t>）分包计划不符合招标文件规定的。</w:t>
      </w:r>
    </w:p>
    <w:p>
      <w:pPr>
        <w:spacing w:before="181"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2.2 </w:t>
      </w:r>
      <w:r>
        <w:rPr>
          <w:rFonts w:ascii="宋体" w:hAnsi="宋体" w:eastAsia="宋体" w:cs="宋体"/>
          <w:color w:val="auto"/>
          <w:spacing w:val="-1"/>
          <w:sz w:val="21"/>
          <w:szCs w:val="21"/>
          <w:highlight w:val="none"/>
        </w:rPr>
        <w:t>不按评标委员会要求澄清、说明或补正的。</w:t>
      </w:r>
    </w:p>
    <w:p>
      <w:pPr>
        <w:spacing w:before="181" w:line="240" w:lineRule="auto"/>
        <w:ind w:left="868" w:right="1960" w:hanging="430"/>
        <w:rPr>
          <w:rFonts w:ascii="宋体" w:hAnsi="宋体" w:eastAsia="宋体" w:cs="宋体"/>
          <w:color w:val="auto"/>
          <w:spacing w:val="11"/>
          <w:sz w:val="21"/>
          <w:szCs w:val="21"/>
          <w:highlight w:val="none"/>
        </w:rPr>
      </w:pPr>
      <w:r>
        <w:rPr>
          <w:rFonts w:ascii="Times New Roman" w:hAnsi="Times New Roman" w:eastAsia="Times New Roman" w:cs="Times New Roman"/>
          <w:color w:val="auto"/>
          <w:spacing w:val="-2"/>
          <w:sz w:val="21"/>
          <w:szCs w:val="21"/>
          <w:highlight w:val="none"/>
        </w:rPr>
        <w:t xml:space="preserve">2.3 </w:t>
      </w:r>
      <w:r>
        <w:rPr>
          <w:rFonts w:ascii="宋体" w:hAnsi="宋体" w:eastAsia="宋体" w:cs="宋体"/>
          <w:color w:val="auto"/>
          <w:spacing w:val="-2"/>
          <w:sz w:val="21"/>
          <w:szCs w:val="21"/>
          <w:highlight w:val="none"/>
        </w:rPr>
        <w:t>有串通投标、弄虚作假或有其他违法行为的。包括以下内容：</w:t>
      </w:r>
      <w:r>
        <w:rPr>
          <w:rFonts w:ascii="宋体" w:hAnsi="宋体" w:eastAsia="宋体" w:cs="宋体"/>
          <w:color w:val="auto"/>
          <w:spacing w:val="11"/>
          <w:sz w:val="21"/>
          <w:szCs w:val="21"/>
          <w:highlight w:val="none"/>
        </w:rPr>
        <w:t xml:space="preserve"> </w:t>
      </w:r>
    </w:p>
    <w:p>
      <w:pPr>
        <w:spacing w:before="181" w:line="240" w:lineRule="auto"/>
        <w:ind w:left="868" w:right="1960" w:hanging="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）有下列情形之一的，视为投标人相互串通投标：</w:t>
      </w:r>
    </w:p>
    <w:p>
      <w:pPr>
        <w:spacing w:before="156" w:line="240" w:lineRule="auto"/>
        <w:ind w:left="107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① 不同投标人的投标文件由同一单位或者</w:t>
      </w:r>
      <w:r>
        <w:rPr>
          <w:rFonts w:ascii="宋体" w:hAnsi="宋体" w:eastAsia="宋体" w:cs="宋体"/>
          <w:color w:val="auto"/>
          <w:spacing w:val="-1"/>
          <w:position w:val="14"/>
          <w:sz w:val="21"/>
          <w:szCs w:val="21"/>
          <w:highlight w:val="none"/>
        </w:rPr>
        <w:t>个人编制；</w:t>
      </w:r>
    </w:p>
    <w:p>
      <w:pPr>
        <w:spacing w:before="1" w:line="218" w:lineRule="auto"/>
        <w:ind w:left="1072"/>
        <w:rPr>
          <w:rFonts w:ascii="宋体" w:hAnsi="宋体" w:eastAsia="宋体" w:cs="宋体"/>
          <w:color w:val="auto"/>
          <w:sz w:val="21"/>
          <w:szCs w:val="21"/>
          <w:highlight w:val="none"/>
        </w:rPr>
      </w:pPr>
      <w:r>
        <w:rPr>
          <w:rFonts w:ascii="宋体" w:hAnsi="宋体" w:eastAsia="宋体" w:cs="宋体"/>
          <w:color w:val="auto"/>
          <w:sz w:val="21"/>
          <w:szCs w:val="21"/>
          <w:highlight w:val="none"/>
        </w:rPr>
        <w:t>② 不同投标人委托同一单位或者个人办理投</w:t>
      </w:r>
      <w:r>
        <w:rPr>
          <w:rFonts w:ascii="宋体" w:hAnsi="宋体" w:eastAsia="宋体" w:cs="宋体"/>
          <w:color w:val="auto"/>
          <w:spacing w:val="-1"/>
          <w:sz w:val="21"/>
          <w:szCs w:val="21"/>
          <w:highlight w:val="none"/>
        </w:rPr>
        <w:t>标事宜；</w:t>
      </w:r>
    </w:p>
    <w:p>
      <w:pPr>
        <w:spacing w:before="152" w:line="401" w:lineRule="exact"/>
        <w:ind w:right="9"/>
        <w:jc w:val="center"/>
        <w:rPr>
          <w:rFonts w:ascii="宋体" w:hAnsi="宋体" w:eastAsia="宋体" w:cs="宋体"/>
          <w:color w:val="auto"/>
          <w:sz w:val="21"/>
          <w:szCs w:val="21"/>
          <w:highlight w:val="none"/>
        </w:rPr>
      </w:pPr>
      <w:r>
        <w:rPr>
          <w:rFonts w:hint="eastAsia" w:ascii="宋体" w:hAnsi="宋体" w:eastAsia="宋体" w:cs="宋体"/>
          <w:color w:val="auto"/>
          <w:position w:val="14"/>
          <w:sz w:val="21"/>
          <w:szCs w:val="21"/>
          <w:highlight w:val="none"/>
          <w:lang w:val="en-US" w:eastAsia="zh-CN"/>
        </w:rPr>
        <w:t xml:space="preserve">   </w:t>
      </w:r>
      <w:r>
        <w:rPr>
          <w:rFonts w:ascii="宋体" w:hAnsi="宋体" w:eastAsia="宋体" w:cs="宋体"/>
          <w:color w:val="auto"/>
          <w:position w:val="14"/>
          <w:sz w:val="21"/>
          <w:szCs w:val="21"/>
          <w:highlight w:val="none"/>
        </w:rPr>
        <w:t>③ 不同投标人使用同一电脑等电子设备办理投标事宜（下载招标文件、上传投</w:t>
      </w:r>
    </w:p>
    <w:p>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标文件等关键环节</w:t>
      </w:r>
      <w:r>
        <w:rPr>
          <w:rFonts w:ascii="宋体" w:hAnsi="宋体" w:eastAsia="宋体" w:cs="宋体"/>
          <w:color w:val="auto"/>
          <w:spacing w:val="-28"/>
          <w:sz w:val="21"/>
          <w:szCs w:val="21"/>
          <w:highlight w:val="none"/>
        </w:rPr>
        <w:t>）；</w:t>
      </w:r>
    </w:p>
    <w:p>
      <w:pPr>
        <w:spacing w:before="148" w:line="218" w:lineRule="auto"/>
        <w:ind w:left="107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 不同投标人的投标文件载明的项目管理成员为同</w:t>
      </w:r>
      <w:r>
        <w:rPr>
          <w:rFonts w:ascii="宋体" w:hAnsi="宋体" w:eastAsia="宋体" w:cs="宋体"/>
          <w:color w:val="auto"/>
          <w:spacing w:val="-2"/>
          <w:sz w:val="21"/>
          <w:szCs w:val="21"/>
          <w:highlight w:val="none"/>
        </w:rPr>
        <w:t>一人；</w:t>
      </w:r>
    </w:p>
    <w:p>
      <w:pPr>
        <w:spacing w:before="152" w:line="401" w:lineRule="exact"/>
        <w:ind w:left="107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⑤ 不同投标人的投标文件非典型一致或者投标报价呈规律性差异；</w:t>
      </w:r>
    </w:p>
    <w:p>
      <w:pPr>
        <w:spacing w:before="1" w:line="218" w:lineRule="auto"/>
        <w:ind w:left="107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⑥ 不同投标人的投标文件相互混装；</w:t>
      </w:r>
    </w:p>
    <w:p>
      <w:pPr>
        <w:spacing w:before="150" w:line="400" w:lineRule="exact"/>
        <w:ind w:right="9"/>
        <w:jc w:val="center"/>
        <w:rPr>
          <w:rFonts w:ascii="宋体" w:hAnsi="宋体" w:eastAsia="宋体" w:cs="宋体"/>
          <w:color w:val="auto"/>
          <w:sz w:val="21"/>
          <w:szCs w:val="21"/>
          <w:highlight w:val="none"/>
        </w:rPr>
      </w:pPr>
      <w:r>
        <w:rPr>
          <w:rFonts w:hint="eastAsia" w:ascii="宋体" w:hAnsi="宋体" w:eastAsia="宋体" w:cs="宋体"/>
          <w:color w:val="auto"/>
          <w:position w:val="14"/>
          <w:sz w:val="21"/>
          <w:szCs w:val="21"/>
          <w:highlight w:val="none"/>
          <w:lang w:val="en-US" w:eastAsia="zh-CN"/>
        </w:rPr>
        <w:t xml:space="preserve"> </w:t>
      </w:r>
      <w:r>
        <w:rPr>
          <w:rFonts w:ascii="宋体" w:hAnsi="宋体" w:eastAsia="宋体" w:cs="宋体"/>
          <w:color w:val="auto"/>
          <w:position w:val="14"/>
          <w:sz w:val="21"/>
          <w:szCs w:val="21"/>
          <w:highlight w:val="none"/>
        </w:rPr>
        <w:t>⑦ 不同投标人的投标保证金或保函（保险）财务费用从同一单位或者个人的账</w:t>
      </w:r>
    </w:p>
    <w:p>
      <w:pPr>
        <w:spacing w:before="1" w:line="221"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户转出；</w:t>
      </w:r>
    </w:p>
    <w:p>
      <w:pPr>
        <w:spacing w:before="149" w:line="398" w:lineRule="exact"/>
        <w:ind w:right="11"/>
        <w:jc w:val="center"/>
        <w:rPr>
          <w:rFonts w:ascii="宋体" w:hAnsi="宋体" w:eastAsia="宋体" w:cs="宋体"/>
          <w:color w:val="auto"/>
          <w:sz w:val="21"/>
          <w:szCs w:val="21"/>
          <w:highlight w:val="none"/>
        </w:rPr>
      </w:pPr>
      <w:r>
        <w:rPr>
          <w:rFonts w:hint="eastAsia" w:ascii="宋体" w:hAnsi="宋体" w:eastAsia="宋体" w:cs="宋体"/>
          <w:color w:val="auto"/>
          <w:spacing w:val="-9"/>
          <w:position w:val="14"/>
          <w:sz w:val="21"/>
          <w:szCs w:val="21"/>
          <w:highlight w:val="none"/>
          <w:lang w:val="en-US" w:eastAsia="zh-CN"/>
        </w:rPr>
        <w:t xml:space="preserve"> </w:t>
      </w:r>
      <w:r>
        <w:rPr>
          <w:rFonts w:ascii="宋体" w:hAnsi="宋体" w:eastAsia="宋体" w:cs="宋体"/>
          <w:color w:val="auto"/>
          <w:spacing w:val="-9"/>
          <w:position w:val="14"/>
          <w:sz w:val="21"/>
          <w:szCs w:val="21"/>
          <w:highlight w:val="none"/>
        </w:rPr>
        <w:t>⑧ 不同投标人的投标文件存在“</w:t>
      </w:r>
      <w:r>
        <w:rPr>
          <w:rFonts w:ascii="Times New Roman" w:hAnsi="Times New Roman" w:eastAsia="Times New Roman" w:cs="Times New Roman"/>
          <w:color w:val="auto"/>
          <w:spacing w:val="-9"/>
          <w:position w:val="14"/>
          <w:sz w:val="21"/>
          <w:szCs w:val="21"/>
          <w:highlight w:val="none"/>
        </w:rPr>
        <w:t xml:space="preserve">MAC  </w:t>
      </w:r>
      <w:r>
        <w:rPr>
          <w:rFonts w:ascii="宋体" w:hAnsi="宋体" w:eastAsia="宋体" w:cs="宋体"/>
          <w:color w:val="auto"/>
          <w:spacing w:val="-9"/>
          <w:position w:val="14"/>
          <w:sz w:val="21"/>
          <w:szCs w:val="21"/>
          <w:highlight w:val="none"/>
        </w:rPr>
        <w:t>地</w:t>
      </w:r>
      <w:r>
        <w:rPr>
          <w:rFonts w:ascii="宋体" w:hAnsi="宋体" w:eastAsia="宋体" w:cs="宋体"/>
          <w:color w:val="auto"/>
          <w:spacing w:val="-10"/>
          <w:position w:val="14"/>
          <w:sz w:val="21"/>
          <w:szCs w:val="21"/>
          <w:highlight w:val="none"/>
        </w:rPr>
        <w:t>址”、“文件创建标识码”、“文件制作</w:t>
      </w:r>
    </w:p>
    <w:p>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机器码”等唯一性标识一致等情形。</w:t>
      </w:r>
    </w:p>
    <w:p>
      <w:pPr>
        <w:spacing w:before="173" w:line="220" w:lineRule="auto"/>
        <w:ind w:left="86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pPr>
        <w:spacing w:before="158" w:line="401" w:lineRule="exact"/>
        <w:ind w:right="9"/>
        <w:jc w:val="center"/>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① 使用通过受让或者租借等方式获取的资格、资质证书投标的， 即以他人名义</w:t>
      </w:r>
    </w:p>
    <w:p>
      <w:pPr>
        <w:spacing w:line="221"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投标的。</w:t>
      </w:r>
    </w:p>
    <w:p>
      <w:pPr>
        <w:spacing w:before="150" w:line="218" w:lineRule="auto"/>
        <w:ind w:left="107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② 使用伪造、变造的许可证件；</w:t>
      </w:r>
    </w:p>
    <w:p>
      <w:pPr>
        <w:spacing w:before="150" w:line="218" w:lineRule="auto"/>
        <w:ind w:left="107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③ 提供虚假的财务状况或者业绩；</w:t>
      </w:r>
    </w:p>
    <w:p>
      <w:pPr>
        <w:spacing w:before="152" w:line="401" w:lineRule="exact"/>
        <w:ind w:left="107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④ 提供虚假的项目负责人或者主要技术人员简历、社会保险证明；</w:t>
      </w:r>
    </w:p>
    <w:p>
      <w:pPr>
        <w:spacing w:before="1" w:line="218" w:lineRule="auto"/>
        <w:ind w:left="107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⑤ 提供虚假的信用状况；</w:t>
      </w:r>
    </w:p>
    <w:p>
      <w:pPr>
        <w:spacing w:before="150" w:line="218" w:lineRule="auto"/>
        <w:ind w:left="107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⑥ 其他弄虚作假的行为。</w:t>
      </w:r>
    </w:p>
    <w:p>
      <w:pPr>
        <w:spacing w:before="174" w:line="408" w:lineRule="exact"/>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2.4 </w:t>
      </w:r>
      <w:r>
        <w:rPr>
          <w:rFonts w:ascii="宋体" w:hAnsi="宋体" w:eastAsia="宋体" w:cs="宋体"/>
          <w:color w:val="auto"/>
          <w:spacing w:val="-1"/>
          <w:position w:val="15"/>
          <w:sz w:val="21"/>
          <w:szCs w:val="21"/>
          <w:highlight w:val="none"/>
        </w:rPr>
        <w:t>有第二章“投标人须知”第</w:t>
      </w:r>
      <w:r>
        <w:rPr>
          <w:rFonts w:ascii="宋体" w:hAnsi="宋体" w:eastAsia="宋体" w:cs="宋体"/>
          <w:color w:val="auto"/>
          <w:spacing w:val="-24"/>
          <w:position w:val="15"/>
          <w:sz w:val="21"/>
          <w:szCs w:val="21"/>
          <w:highlight w:val="none"/>
        </w:rPr>
        <w:t xml:space="preserve"> </w:t>
      </w:r>
      <w:r>
        <w:rPr>
          <w:rFonts w:ascii="宋体" w:hAnsi="宋体" w:eastAsia="宋体" w:cs="宋体"/>
          <w:color w:val="auto"/>
          <w:spacing w:val="-1"/>
          <w:position w:val="15"/>
          <w:sz w:val="21"/>
          <w:szCs w:val="21"/>
          <w:highlight w:val="none"/>
        </w:rPr>
        <w:t>1.4.3</w:t>
      </w:r>
      <w:r>
        <w:rPr>
          <w:rFonts w:ascii="宋体" w:hAnsi="宋体" w:eastAsia="宋体" w:cs="宋体"/>
          <w:color w:val="auto"/>
          <w:spacing w:val="-43"/>
          <w:position w:val="15"/>
          <w:sz w:val="21"/>
          <w:szCs w:val="21"/>
          <w:highlight w:val="none"/>
        </w:rPr>
        <w:t xml:space="preserve"> </w:t>
      </w:r>
      <w:r>
        <w:rPr>
          <w:rFonts w:ascii="宋体" w:hAnsi="宋体" w:eastAsia="宋体" w:cs="宋体"/>
          <w:color w:val="auto"/>
          <w:spacing w:val="-1"/>
          <w:position w:val="15"/>
          <w:sz w:val="21"/>
          <w:szCs w:val="21"/>
          <w:highlight w:val="none"/>
        </w:rPr>
        <w:t>项规定的任何一种情形。包括以下内容：</w:t>
      </w:r>
    </w:p>
    <w:p>
      <w:pPr>
        <w:spacing w:before="1" w:line="219" w:lineRule="auto"/>
        <w:ind w:left="3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）为招标人不具有独立法人资格的附属</w:t>
      </w:r>
      <w:r>
        <w:rPr>
          <w:rFonts w:ascii="宋体" w:hAnsi="宋体" w:eastAsia="宋体" w:cs="宋体"/>
          <w:color w:val="auto"/>
          <w:spacing w:val="-4"/>
          <w:sz w:val="21"/>
          <w:szCs w:val="21"/>
          <w:highlight w:val="none"/>
        </w:rPr>
        <w:t>机构（单位</w:t>
      </w:r>
      <w:r>
        <w:rPr>
          <w:rFonts w:ascii="宋体" w:hAnsi="宋体" w:eastAsia="宋体" w:cs="宋体"/>
          <w:color w:val="auto"/>
          <w:spacing w:val="-28"/>
          <w:sz w:val="21"/>
          <w:szCs w:val="21"/>
          <w:highlight w:val="none"/>
        </w:rPr>
        <w:t>）；</w:t>
      </w:r>
    </w:p>
    <w:p>
      <w:pPr>
        <w:spacing w:before="149" w:line="398" w:lineRule="exact"/>
        <w:ind w:left="343"/>
        <w:rPr>
          <w:rFonts w:ascii="宋体" w:hAnsi="宋体" w:eastAsia="宋体" w:cs="宋体"/>
          <w:color w:val="auto"/>
          <w:sz w:val="21"/>
          <w:szCs w:val="21"/>
          <w:highlight w:val="none"/>
        </w:rPr>
      </w:pPr>
      <w:bookmarkStart w:id="98" w:name="bookmark130"/>
      <w:bookmarkEnd w:id="98"/>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）为本标段前期准备提供设计或咨询服务的，但设计施工总承包的除</w:t>
      </w:r>
      <w:r>
        <w:rPr>
          <w:rFonts w:ascii="宋体" w:hAnsi="宋体" w:eastAsia="宋体" w:cs="宋体"/>
          <w:color w:val="auto"/>
          <w:spacing w:val="-2"/>
          <w:position w:val="14"/>
          <w:sz w:val="21"/>
          <w:szCs w:val="21"/>
          <w:highlight w:val="none"/>
        </w:rPr>
        <w:t>外；</w:t>
      </w:r>
    </w:p>
    <w:p>
      <w:pPr>
        <w:spacing w:line="219" w:lineRule="auto"/>
        <w:ind w:left="3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）为本标段的监理人；</w:t>
      </w:r>
    </w:p>
    <w:p>
      <w:pPr>
        <w:spacing w:before="150" w:line="220" w:lineRule="auto"/>
        <w:ind w:left="3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）为本标段的代建人；</w:t>
      </w:r>
    </w:p>
    <w:p>
      <w:pPr>
        <w:spacing w:before="150" w:line="220" w:lineRule="auto"/>
        <w:ind w:left="3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）为本标段提供招标代理服务；</w:t>
      </w:r>
    </w:p>
    <w:p>
      <w:pPr>
        <w:spacing w:before="148" w:line="220" w:lineRule="auto"/>
        <w:ind w:left="3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）与本标段的监理人或代建人或招标代理机构同为一个法定</w:t>
      </w:r>
      <w:r>
        <w:rPr>
          <w:rFonts w:ascii="宋体" w:hAnsi="宋体" w:eastAsia="宋体" w:cs="宋体"/>
          <w:color w:val="auto"/>
          <w:spacing w:val="-2"/>
          <w:sz w:val="21"/>
          <w:szCs w:val="21"/>
          <w:highlight w:val="none"/>
        </w:rPr>
        <w:t>代表人；</w:t>
      </w:r>
    </w:p>
    <w:p>
      <w:pPr>
        <w:spacing w:before="151" w:line="220" w:lineRule="auto"/>
        <w:ind w:left="3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）与本标段的监理人或代建人或招标代理机构相互</w:t>
      </w:r>
      <w:r>
        <w:rPr>
          <w:rFonts w:ascii="宋体" w:hAnsi="宋体" w:eastAsia="宋体" w:cs="宋体"/>
          <w:color w:val="auto"/>
          <w:spacing w:val="-2"/>
          <w:sz w:val="21"/>
          <w:szCs w:val="21"/>
          <w:highlight w:val="none"/>
        </w:rPr>
        <w:t>控股或参股；</w:t>
      </w:r>
    </w:p>
    <w:p>
      <w:pPr>
        <w:spacing w:before="151" w:line="220" w:lineRule="auto"/>
        <w:ind w:left="3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）与本标段的监理人或代建人或招标代理机构相互</w:t>
      </w:r>
      <w:r>
        <w:rPr>
          <w:rFonts w:ascii="宋体" w:hAnsi="宋体" w:eastAsia="宋体" w:cs="宋体"/>
          <w:color w:val="auto"/>
          <w:spacing w:val="-2"/>
          <w:sz w:val="21"/>
          <w:szCs w:val="21"/>
          <w:highlight w:val="none"/>
        </w:rPr>
        <w:t>任职或工作；</w:t>
      </w:r>
    </w:p>
    <w:p>
      <w:pPr>
        <w:spacing w:before="148" w:line="401" w:lineRule="exact"/>
        <w:ind w:left="343"/>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9</w:t>
      </w:r>
      <w:r>
        <w:rPr>
          <w:rFonts w:ascii="宋体" w:hAnsi="宋体" w:eastAsia="宋体" w:cs="宋体"/>
          <w:color w:val="auto"/>
          <w:spacing w:val="2"/>
          <w:position w:val="14"/>
          <w:sz w:val="21"/>
          <w:szCs w:val="21"/>
          <w:highlight w:val="none"/>
        </w:rPr>
        <w:t>）被依法暂停或取消投标资格（指被本招标项目所在地县级及以上农业农村主管部</w:t>
      </w:r>
    </w:p>
    <w:p>
      <w:pPr>
        <w:spacing w:before="1" w:line="220" w:lineRule="auto"/>
        <w:ind w:left="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门暂停或取消投标资格或禁止进入该区域市场且处于有效期内</w:t>
      </w:r>
      <w:r>
        <w:rPr>
          <w:rFonts w:ascii="宋体" w:hAnsi="宋体" w:eastAsia="宋体" w:cs="宋体"/>
          <w:color w:val="auto"/>
          <w:spacing w:val="-54"/>
          <w:w w:val="97"/>
          <w:sz w:val="21"/>
          <w:szCs w:val="21"/>
          <w:highlight w:val="none"/>
        </w:rPr>
        <w:t>）；</w:t>
      </w:r>
    </w:p>
    <w:p>
      <w:pPr>
        <w:spacing w:before="150" w:line="220" w:lineRule="auto"/>
        <w:ind w:left="343"/>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10</w:t>
      </w:r>
      <w:r>
        <w:rPr>
          <w:rFonts w:ascii="宋体" w:hAnsi="宋体" w:eastAsia="宋体" w:cs="宋体"/>
          <w:color w:val="auto"/>
          <w:sz w:val="21"/>
          <w:szCs w:val="21"/>
          <w:highlight w:val="none"/>
        </w:rPr>
        <w:t>）被责令停产停业、暂扣或者吊销许可证、</w:t>
      </w:r>
      <w:r>
        <w:rPr>
          <w:rFonts w:ascii="宋体" w:hAnsi="宋体" w:eastAsia="宋体" w:cs="宋体"/>
          <w:color w:val="auto"/>
          <w:spacing w:val="-1"/>
          <w:sz w:val="21"/>
          <w:szCs w:val="21"/>
          <w:highlight w:val="none"/>
        </w:rPr>
        <w:t>暂扣或者吊销执照；</w:t>
      </w:r>
    </w:p>
    <w:p>
      <w:pPr>
        <w:spacing w:before="148" w:line="401" w:lineRule="exact"/>
        <w:ind w:left="343"/>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w:t>
      </w:r>
      <w:r>
        <w:rPr>
          <w:rFonts w:ascii="Times New Roman" w:hAnsi="Times New Roman" w:eastAsia="Times New Roman" w:cs="Times New Roman"/>
          <w:color w:val="auto"/>
          <w:spacing w:val="-6"/>
          <w:position w:val="14"/>
          <w:sz w:val="21"/>
          <w:szCs w:val="21"/>
          <w:highlight w:val="none"/>
        </w:rPr>
        <w:t>11</w:t>
      </w:r>
      <w:r>
        <w:rPr>
          <w:rFonts w:ascii="宋体" w:hAnsi="宋体" w:eastAsia="宋体" w:cs="宋体"/>
          <w:color w:val="auto"/>
          <w:spacing w:val="-6"/>
          <w:position w:val="14"/>
          <w:sz w:val="21"/>
          <w:szCs w:val="21"/>
          <w:highlight w:val="none"/>
        </w:rPr>
        <w:t>）财产被接管或冻结的；</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6"/>
          <w:position w:val="14"/>
          <w:sz w:val="21"/>
          <w:szCs w:val="21"/>
          <w:highlight w:val="none"/>
        </w:rPr>
        <w:t>进入清算程序，或被宣告破产，</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7"/>
          <w:position w:val="14"/>
          <w:sz w:val="21"/>
          <w:szCs w:val="21"/>
          <w:highlight w:val="none"/>
        </w:rPr>
        <w:t>或其他丧失履约能力的情</w:t>
      </w:r>
    </w:p>
    <w:p>
      <w:pPr>
        <w:spacing w:before="1" w:line="222" w:lineRule="auto"/>
        <w:ind w:left="25"/>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形；</w:t>
      </w:r>
    </w:p>
    <w:p>
      <w:pPr>
        <w:spacing w:before="147" w:line="398" w:lineRule="exact"/>
        <w:ind w:left="343"/>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12</w:t>
      </w:r>
      <w:r>
        <w:rPr>
          <w:rFonts w:ascii="宋体" w:hAnsi="宋体" w:eastAsia="宋体" w:cs="宋体"/>
          <w:color w:val="auto"/>
          <w:spacing w:val="-1"/>
          <w:position w:val="14"/>
          <w:sz w:val="21"/>
          <w:szCs w:val="21"/>
          <w:highlight w:val="none"/>
        </w:rPr>
        <w:t>）在最近三年内有骗取中标或严重违约或重大工程质量问题的</w:t>
      </w:r>
      <w:r>
        <w:rPr>
          <w:rFonts w:ascii="宋体" w:hAnsi="宋体" w:eastAsia="宋体" w:cs="宋体"/>
          <w:color w:val="auto"/>
          <w:spacing w:val="52"/>
          <w:position w:val="14"/>
          <w:sz w:val="21"/>
          <w:szCs w:val="21"/>
          <w:highlight w:val="none"/>
        </w:rPr>
        <w:t xml:space="preserve"> </w:t>
      </w:r>
      <w:r>
        <w:rPr>
          <w:rFonts w:ascii="宋体" w:hAnsi="宋体" w:eastAsia="宋体" w:cs="宋体"/>
          <w:color w:val="auto"/>
          <w:spacing w:val="-1"/>
          <w:position w:val="14"/>
          <w:sz w:val="21"/>
          <w:szCs w:val="21"/>
          <w:highlight w:val="none"/>
        </w:rPr>
        <w:t>（以相关行业主管</w:t>
      </w:r>
    </w:p>
    <w:p>
      <w:pPr>
        <w:spacing w:before="1" w:line="219" w:lineRule="auto"/>
        <w:ind w:left="25"/>
        <w:rPr>
          <w:rFonts w:ascii="宋体" w:hAnsi="宋体" w:eastAsia="宋体" w:cs="宋体"/>
          <w:color w:val="auto"/>
          <w:sz w:val="21"/>
          <w:szCs w:val="21"/>
          <w:highlight w:val="none"/>
        </w:rPr>
      </w:pPr>
      <w:r>
        <w:rPr>
          <w:rFonts w:ascii="宋体" w:hAnsi="宋体" w:eastAsia="宋体" w:cs="宋体"/>
          <w:color w:val="auto"/>
          <w:sz w:val="21"/>
          <w:szCs w:val="21"/>
          <w:highlight w:val="none"/>
        </w:rPr>
        <w:t>部门的行政处罚决定或司法机关出具的有关</w:t>
      </w:r>
      <w:r>
        <w:rPr>
          <w:rFonts w:ascii="宋体" w:hAnsi="宋体" w:eastAsia="宋体" w:cs="宋体"/>
          <w:color w:val="auto"/>
          <w:spacing w:val="-1"/>
          <w:sz w:val="21"/>
          <w:szCs w:val="21"/>
          <w:highlight w:val="none"/>
        </w:rPr>
        <w:t>法律文书为准</w:t>
      </w:r>
      <w:r>
        <w:rPr>
          <w:rFonts w:ascii="宋体" w:hAnsi="宋体" w:eastAsia="宋体" w:cs="宋体"/>
          <w:color w:val="auto"/>
          <w:spacing w:val="-54"/>
          <w:w w:val="97"/>
          <w:sz w:val="21"/>
          <w:szCs w:val="21"/>
          <w:highlight w:val="none"/>
        </w:rPr>
        <w:t>）；</w:t>
      </w:r>
    </w:p>
    <w:p>
      <w:pPr>
        <w:spacing w:before="152" w:line="213" w:lineRule="auto"/>
        <w:ind w:left="3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13</w:t>
      </w:r>
      <w:r>
        <w:rPr>
          <w:rFonts w:ascii="宋体" w:hAnsi="宋体" w:eastAsia="宋体" w:cs="宋体"/>
          <w:color w:val="auto"/>
          <w:spacing w:val="-2"/>
          <w:sz w:val="21"/>
          <w:szCs w:val="21"/>
          <w:highlight w:val="none"/>
        </w:rPr>
        <w:t>）在“国家企业信用信息公示系统”（</w:t>
      </w:r>
      <w:r>
        <w:rPr>
          <w:rFonts w:ascii="Times New Roman" w:hAnsi="Times New Roman" w:eastAsia="Times New Roman" w:cs="Times New Roman"/>
          <w:color w:val="auto"/>
          <w:spacing w:val="-2"/>
          <w:sz w:val="21"/>
          <w:szCs w:val="21"/>
          <w:highlight w:val="none"/>
        </w:rPr>
        <w:t>www.gsxt.gov.c</w:t>
      </w:r>
      <w:r>
        <w:rPr>
          <w:rFonts w:ascii="Times New Roman" w:hAnsi="Times New Roman" w:eastAsia="Times New Roman" w:cs="Times New Roman"/>
          <w:color w:val="auto"/>
          <w:spacing w:val="-3"/>
          <w:sz w:val="21"/>
          <w:szCs w:val="21"/>
          <w:highlight w:val="none"/>
        </w:rPr>
        <w:t>n</w:t>
      </w:r>
      <w:r>
        <w:rPr>
          <w:rFonts w:ascii="宋体" w:hAnsi="宋体" w:eastAsia="宋体" w:cs="宋体"/>
          <w:color w:val="auto"/>
          <w:spacing w:val="-3"/>
          <w:sz w:val="21"/>
          <w:szCs w:val="21"/>
          <w:highlight w:val="none"/>
        </w:rPr>
        <w:t>）中被列入严重违法失信企</w:t>
      </w:r>
    </w:p>
    <w:p>
      <w:pPr>
        <w:spacing w:before="158"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业名单；</w:t>
      </w:r>
    </w:p>
    <w:p>
      <w:pPr>
        <w:spacing w:before="6" w:line="359" w:lineRule="auto"/>
        <w:ind w:left="29" w:firstLine="31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14</w:t>
      </w:r>
      <w:r>
        <w:rPr>
          <w:rFonts w:ascii="宋体" w:hAnsi="宋体" w:eastAsia="宋体" w:cs="宋体"/>
          <w:color w:val="auto"/>
          <w:spacing w:val="15"/>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15"/>
          <w:sz w:val="21"/>
          <w:szCs w:val="21"/>
          <w:highlight w:val="none"/>
        </w:rPr>
        <w:t>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15"/>
          <w:sz w:val="21"/>
          <w:szCs w:val="21"/>
          <w:highlight w:val="none"/>
        </w:rPr>
        <w:t>）</w:t>
      </w:r>
      <w:r>
        <w:rPr>
          <w:rFonts w:ascii="宋体" w:hAnsi="宋体" w:eastAsia="宋体" w:cs="宋体"/>
          <w:color w:val="auto"/>
          <w:spacing w:val="15"/>
          <w:sz w:val="21"/>
          <w:szCs w:val="21"/>
          <w:highlight w:val="none"/>
        </w:rPr>
        <w:fldChar w:fldCharType="end"/>
      </w:r>
      <w:r>
        <w:rPr>
          <w:rFonts w:ascii="宋体" w:hAnsi="宋体" w:eastAsia="宋体" w:cs="宋体"/>
          <w:color w:val="auto"/>
          <w:spacing w:val="-55"/>
          <w:sz w:val="21"/>
          <w:szCs w:val="21"/>
          <w:highlight w:val="none"/>
        </w:rPr>
        <w:t xml:space="preserve"> </w:t>
      </w:r>
      <w:r>
        <w:rPr>
          <w:rFonts w:ascii="宋体" w:hAnsi="宋体" w:eastAsia="宋体" w:cs="宋体"/>
          <w:color w:val="auto"/>
          <w:spacing w:val="15"/>
          <w:sz w:val="21"/>
          <w:szCs w:val="21"/>
          <w:highlight w:val="none"/>
        </w:rPr>
        <w:t>或“中国执行信息公开网”</w:t>
      </w:r>
      <w:r>
        <w:rPr>
          <w:rFonts w:ascii="宋体" w:hAnsi="宋体" w:eastAsia="宋体" w:cs="宋体"/>
          <w:color w:val="auto"/>
          <w:sz w:val="21"/>
          <w:szCs w:val="21"/>
          <w:highlight w:val="none"/>
        </w:rPr>
        <w:t xml:space="preserve"> </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http://zxgk.court.gov</w:t>
      </w:r>
      <w:r>
        <w:rPr>
          <w:rFonts w:ascii="Times New Roman" w:hAnsi="Times New Roman" w:eastAsia="Times New Roman" w:cs="Times New Roman"/>
          <w:color w:val="auto"/>
          <w:spacing w:val="-1"/>
          <w:sz w:val="21"/>
          <w:szCs w:val="21"/>
          <w:highlight w:val="none"/>
        </w:rPr>
        <w:t>.cn/shixin/</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rPr>
        <w:fldChar w:fldCharType="end"/>
      </w:r>
      <w:r>
        <w:rPr>
          <w:rFonts w:ascii="宋体" w:hAnsi="宋体" w:eastAsia="宋体" w:cs="宋体"/>
          <w:color w:val="auto"/>
          <w:spacing w:val="-1"/>
          <w:sz w:val="21"/>
          <w:szCs w:val="21"/>
          <w:highlight w:val="none"/>
        </w:rPr>
        <w:t xml:space="preserve"> 被列入失信被执行人名单；</w:t>
      </w:r>
    </w:p>
    <w:p>
      <w:pPr>
        <w:spacing w:before="1" w:line="220" w:lineRule="auto"/>
        <w:ind w:left="343"/>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15</w:t>
      </w:r>
      <w:r>
        <w:rPr>
          <w:rFonts w:ascii="宋体" w:hAnsi="宋体" w:eastAsia="宋体" w:cs="宋体"/>
          <w:color w:val="auto"/>
          <w:spacing w:val="-1"/>
          <w:position w:val="14"/>
          <w:sz w:val="21"/>
          <w:szCs w:val="21"/>
          <w:highlight w:val="none"/>
        </w:rPr>
        <w:t>）</w:t>
      </w:r>
      <w:r>
        <w:rPr>
          <w:rFonts w:ascii="宋体" w:hAnsi="宋体" w:eastAsia="宋体" w:cs="宋体"/>
          <w:color w:val="auto"/>
          <w:spacing w:val="-1"/>
          <w:sz w:val="21"/>
          <w:szCs w:val="21"/>
          <w:highlight w:val="none"/>
        </w:rPr>
        <w:t>法律法规规定的其他情形。</w:t>
      </w:r>
    </w:p>
    <w:p>
      <w:pPr>
        <w:spacing w:before="171" w:line="432" w:lineRule="exact"/>
        <w:ind w:left="438"/>
        <w:rPr>
          <w:rFonts w:ascii="宋体" w:hAnsi="宋体" w:eastAsia="宋体" w:cs="宋体"/>
          <w:color w:val="auto"/>
          <w:sz w:val="21"/>
          <w:szCs w:val="21"/>
          <w:highlight w:val="none"/>
        </w:rPr>
      </w:pPr>
      <w:r>
        <w:rPr>
          <w:rFonts w:ascii="Times New Roman" w:hAnsi="Times New Roman" w:eastAsia="Times New Roman" w:cs="Times New Roman"/>
          <w:color w:val="auto"/>
          <w:position w:val="16"/>
          <w:sz w:val="21"/>
          <w:szCs w:val="21"/>
          <w:highlight w:val="none"/>
        </w:rPr>
        <w:t>2.5</w:t>
      </w:r>
      <w:r>
        <w:rPr>
          <w:rFonts w:ascii="Times New Roman" w:hAnsi="Times New Roman" w:eastAsia="Times New Roman" w:cs="Times New Roman"/>
          <w:color w:val="auto"/>
          <w:spacing w:val="22"/>
          <w:position w:val="16"/>
          <w:sz w:val="21"/>
          <w:szCs w:val="21"/>
          <w:highlight w:val="none"/>
        </w:rPr>
        <w:t xml:space="preserve"> </w:t>
      </w:r>
      <w:r>
        <w:rPr>
          <w:rFonts w:ascii="宋体" w:hAnsi="宋体" w:eastAsia="宋体" w:cs="宋体"/>
          <w:color w:val="auto"/>
          <w:position w:val="16"/>
          <w:sz w:val="21"/>
          <w:szCs w:val="21"/>
          <w:highlight w:val="none"/>
        </w:rPr>
        <w:t>未按招标文件要求进行实名身份认证的或同一标段实名身份认</w:t>
      </w:r>
      <w:r>
        <w:rPr>
          <w:rFonts w:ascii="宋体" w:hAnsi="宋体" w:eastAsia="宋体" w:cs="宋体"/>
          <w:color w:val="auto"/>
          <w:spacing w:val="-1"/>
          <w:position w:val="16"/>
          <w:sz w:val="21"/>
          <w:szCs w:val="21"/>
          <w:highlight w:val="none"/>
        </w:rPr>
        <w:t>证中存在不同投标人</w:t>
      </w:r>
    </w:p>
    <w:p>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之间身份证识别器码一致的。</w:t>
      </w:r>
    </w:p>
    <w:p>
      <w:pPr>
        <w:spacing w:before="179" w:line="219"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2.6 </w:t>
      </w:r>
      <w:r>
        <w:rPr>
          <w:rFonts w:ascii="宋体" w:hAnsi="宋体" w:eastAsia="宋体" w:cs="宋体"/>
          <w:color w:val="auto"/>
          <w:sz w:val="21"/>
          <w:szCs w:val="21"/>
          <w:highlight w:val="none"/>
        </w:rPr>
        <w:t>投标报价明显低于企业成本可能影响履约</w:t>
      </w:r>
      <w:r>
        <w:rPr>
          <w:rFonts w:ascii="宋体" w:hAnsi="宋体" w:eastAsia="宋体" w:cs="宋体"/>
          <w:color w:val="auto"/>
          <w:spacing w:val="-1"/>
          <w:sz w:val="21"/>
          <w:szCs w:val="21"/>
          <w:highlight w:val="none"/>
        </w:rPr>
        <w:t>的。</w:t>
      </w:r>
    </w:p>
    <w:p>
      <w:pPr>
        <w:pStyle w:val="2"/>
        <w:spacing w:line="244" w:lineRule="auto"/>
        <w:rPr>
          <w:color w:val="auto"/>
          <w:highlight w:val="none"/>
        </w:rPr>
      </w:pPr>
    </w:p>
    <w:p>
      <w:pPr>
        <w:spacing w:before="68" w:line="148" w:lineRule="exact"/>
        <w:ind w:left="469"/>
        <w:rPr>
          <w:rFonts w:ascii="仿宋" w:hAnsi="仿宋" w:eastAsia="仿宋" w:cs="仿宋"/>
          <w:color w:val="auto"/>
          <w:sz w:val="21"/>
          <w:szCs w:val="21"/>
          <w:highlight w:val="none"/>
        </w:rPr>
      </w:pPr>
      <w:r>
        <w:rPr>
          <w:rFonts w:ascii="仿宋" w:hAnsi="仿宋" w:eastAsia="仿宋" w:cs="仿宋"/>
          <w:color w:val="auto"/>
          <w:spacing w:val="-9"/>
          <w:position w:val="-3"/>
          <w:sz w:val="21"/>
          <w:szCs w:val="21"/>
          <w:highlight w:val="none"/>
        </w:rPr>
        <w:t>……</w:t>
      </w:r>
    </w:p>
    <w:p>
      <w:pPr>
        <w:spacing w:line="148" w:lineRule="exact"/>
        <w:rPr>
          <w:rFonts w:ascii="仿宋" w:hAnsi="仿宋" w:eastAsia="仿宋" w:cs="仿宋"/>
          <w:color w:val="auto"/>
          <w:sz w:val="21"/>
          <w:szCs w:val="21"/>
          <w:highlight w:val="none"/>
        </w:rPr>
        <w:sectPr>
          <w:footerReference r:id="rId31" w:type="default"/>
          <w:pgSz w:w="11905" w:h="16843"/>
          <w:pgMar w:top="1769" w:right="1548" w:bottom="1003" w:left="1542" w:header="0" w:footer="828" w:gutter="0"/>
          <w:pgNumType w:fmt="numberInDash"/>
          <w:cols w:space="0" w:num="1"/>
          <w:rtlGutter w:val="0"/>
          <w:docGrid w:linePitch="0" w:charSpace="0"/>
        </w:sectPr>
      </w:pPr>
    </w:p>
    <w:p>
      <w:pPr>
        <w:rPr>
          <w:rFonts w:ascii="黑体" w:hAnsi="黑体" w:eastAsia="黑体" w:cs="黑体"/>
          <w:color w:val="auto"/>
          <w:spacing w:val="-5"/>
          <w:sz w:val="24"/>
          <w:szCs w:val="24"/>
          <w:highlight w:val="none"/>
        </w:rPr>
      </w:pPr>
      <w:bookmarkStart w:id="99" w:name="bookmark131"/>
      <w:bookmarkEnd w:id="99"/>
    </w:p>
    <w:p>
      <w:pPr>
        <w:spacing w:before="78" w:line="218" w:lineRule="auto"/>
        <w:ind w:left="27"/>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0"/>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：评标委员会签到表</w:t>
      </w:r>
    </w:p>
    <w:p>
      <w:pPr>
        <w:spacing w:before="285" w:line="218" w:lineRule="auto"/>
        <w:ind w:left="5235"/>
        <w:rPr>
          <w:rFonts w:ascii="黑体" w:hAnsi="黑体" w:eastAsia="黑体" w:cs="黑体"/>
          <w:color w:val="auto"/>
          <w:sz w:val="36"/>
          <w:szCs w:val="36"/>
          <w:highlight w:val="none"/>
        </w:rPr>
      </w:pPr>
      <w:bookmarkStart w:id="100" w:name="bookmark139"/>
      <w:bookmarkEnd w:id="100"/>
      <w:r>
        <w:rPr>
          <w:rFonts w:ascii="黑体" w:hAnsi="黑体" w:eastAsia="黑体" w:cs="黑体"/>
          <w:color w:val="auto"/>
          <w:spacing w:val="-2"/>
          <w:sz w:val="36"/>
          <w:szCs w:val="36"/>
          <w:highlight w:val="none"/>
        </w:rPr>
        <w:t>评标委员会签到表</w:t>
      </w:r>
    </w:p>
    <w:p>
      <w:pPr>
        <w:spacing w:line="200" w:lineRule="exact"/>
        <w:rPr>
          <w:color w:val="auto"/>
          <w:highlight w:val="none"/>
        </w:rPr>
      </w:pPr>
    </w:p>
    <w:p>
      <w:pPr>
        <w:spacing w:line="200" w:lineRule="exact"/>
        <w:rPr>
          <w:color w:val="auto"/>
          <w:highlight w:val="none"/>
        </w:rPr>
        <w:sectPr>
          <w:footerReference r:id="rId32" w:type="default"/>
          <w:pgSz w:w="16843" w:h="11905" w:orient="landscape"/>
          <w:pgMar w:top="1542" w:right="1769" w:bottom="1548" w:left="1003" w:header="0" w:footer="828" w:gutter="0"/>
          <w:pgNumType w:fmt="numberInDash"/>
          <w:cols w:space="0" w:num="1"/>
          <w:rtlGutter w:val="0"/>
          <w:docGrid w:linePitch="0" w:charSpace="0"/>
        </w:sectPr>
      </w:pPr>
    </w:p>
    <w:p>
      <w:pPr>
        <w:spacing w:before="42" w:line="360" w:lineRule="auto"/>
        <w:ind w:left="10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360" w:lineRule="auto"/>
        <w:ind w:left="10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项目编号</w:t>
      </w:r>
    </w:p>
    <w:p>
      <w:pPr>
        <w:pStyle w:val="2"/>
        <w:spacing w:line="360" w:lineRule="auto"/>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评标时间：</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7"/>
          <w:sz w:val="21"/>
          <w:szCs w:val="21"/>
          <w:highlight w:val="none"/>
        </w:rPr>
        <w:t>日</w:t>
      </w:r>
    </w:p>
    <w:p>
      <w:pPr>
        <w:spacing w:line="360" w:lineRule="auto"/>
        <w:rPr>
          <w:rFonts w:ascii="宋体" w:hAnsi="宋体" w:eastAsia="宋体" w:cs="宋体"/>
          <w:color w:val="auto"/>
          <w:sz w:val="21"/>
          <w:szCs w:val="21"/>
          <w:highlight w:val="none"/>
        </w:rPr>
        <w:sectPr>
          <w:type w:val="continuous"/>
          <w:pgSz w:w="16843" w:h="11905" w:orient="landscape"/>
          <w:pgMar w:top="1542" w:right="1769" w:bottom="1548" w:left="1003" w:header="0" w:footer="828" w:gutter="0"/>
          <w:pgNumType w:fmt="numberInDash"/>
          <w:cols w:space="0" w:num="1"/>
          <w:rtlGutter w:val="0"/>
          <w:docGrid w:linePitch="0" w:charSpace="0"/>
        </w:sectPr>
      </w:pPr>
    </w:p>
    <w:p>
      <w:pPr>
        <w:spacing w:line="360" w:lineRule="auto"/>
        <w:rPr>
          <w:color w:val="auto"/>
          <w:highlight w:val="none"/>
        </w:rPr>
      </w:pPr>
    </w:p>
    <w:tbl>
      <w:tblPr>
        <w:tblStyle w:val="9"/>
        <w:tblW w:w="13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1934"/>
        <w:gridCol w:w="1699"/>
        <w:gridCol w:w="1984"/>
        <w:gridCol w:w="1842"/>
        <w:gridCol w:w="1469"/>
        <w:gridCol w:w="1557"/>
        <w:gridCol w:w="17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76" w:type="dxa"/>
            <w:vAlign w:val="top"/>
          </w:tcPr>
          <w:p>
            <w:pPr>
              <w:pStyle w:val="10"/>
              <w:spacing w:before="252" w:line="360" w:lineRule="auto"/>
              <w:ind w:left="432"/>
              <w:rPr>
                <w:color w:val="auto"/>
                <w:highlight w:val="none"/>
              </w:rPr>
            </w:pPr>
            <w:r>
              <w:rPr>
                <w:color w:val="auto"/>
                <w:spacing w:val="-2"/>
                <w:highlight w:val="none"/>
              </w:rPr>
              <w:t>姓名</w:t>
            </w:r>
          </w:p>
        </w:tc>
        <w:tc>
          <w:tcPr>
            <w:tcW w:w="1934" w:type="dxa"/>
            <w:vAlign w:val="top"/>
          </w:tcPr>
          <w:p>
            <w:pPr>
              <w:pStyle w:val="10"/>
              <w:spacing w:before="253" w:line="360" w:lineRule="auto"/>
              <w:ind w:left="548"/>
              <w:rPr>
                <w:color w:val="auto"/>
                <w:highlight w:val="none"/>
              </w:rPr>
            </w:pPr>
            <w:r>
              <w:rPr>
                <w:color w:val="auto"/>
                <w:spacing w:val="-2"/>
                <w:highlight w:val="none"/>
              </w:rPr>
              <w:t>所在单位</w:t>
            </w:r>
          </w:p>
        </w:tc>
        <w:tc>
          <w:tcPr>
            <w:tcW w:w="1699" w:type="dxa"/>
            <w:vAlign w:val="top"/>
          </w:tcPr>
          <w:p>
            <w:pPr>
              <w:pStyle w:val="10"/>
              <w:spacing w:before="253" w:line="360" w:lineRule="auto"/>
              <w:ind w:left="431"/>
              <w:rPr>
                <w:color w:val="auto"/>
                <w:highlight w:val="none"/>
              </w:rPr>
            </w:pPr>
            <w:r>
              <w:rPr>
                <w:color w:val="auto"/>
                <w:spacing w:val="-1"/>
                <w:highlight w:val="none"/>
              </w:rPr>
              <w:t>评标专业</w:t>
            </w:r>
          </w:p>
        </w:tc>
        <w:tc>
          <w:tcPr>
            <w:tcW w:w="1984" w:type="dxa"/>
            <w:vAlign w:val="top"/>
          </w:tcPr>
          <w:p>
            <w:pPr>
              <w:pStyle w:val="10"/>
              <w:spacing w:before="252" w:line="360" w:lineRule="auto"/>
              <w:ind w:left="582"/>
              <w:rPr>
                <w:color w:val="auto"/>
                <w:highlight w:val="none"/>
              </w:rPr>
            </w:pPr>
            <w:r>
              <w:rPr>
                <w:color w:val="auto"/>
                <w:spacing w:val="-3"/>
                <w:highlight w:val="none"/>
              </w:rPr>
              <w:t>身份证号</w:t>
            </w:r>
          </w:p>
        </w:tc>
        <w:tc>
          <w:tcPr>
            <w:tcW w:w="1842" w:type="dxa"/>
            <w:vAlign w:val="top"/>
          </w:tcPr>
          <w:p>
            <w:pPr>
              <w:pStyle w:val="10"/>
              <w:spacing w:before="252" w:line="360" w:lineRule="auto"/>
              <w:ind w:left="508"/>
              <w:rPr>
                <w:color w:val="auto"/>
                <w:highlight w:val="none"/>
              </w:rPr>
            </w:pPr>
            <w:r>
              <w:rPr>
                <w:color w:val="auto"/>
                <w:spacing w:val="-2"/>
                <w:highlight w:val="none"/>
              </w:rPr>
              <w:t>联系方式</w:t>
            </w:r>
          </w:p>
        </w:tc>
        <w:tc>
          <w:tcPr>
            <w:tcW w:w="1469" w:type="dxa"/>
            <w:vAlign w:val="top"/>
          </w:tcPr>
          <w:p>
            <w:pPr>
              <w:pStyle w:val="10"/>
              <w:spacing w:before="252" w:line="360" w:lineRule="auto"/>
              <w:ind w:left="319"/>
              <w:rPr>
                <w:color w:val="auto"/>
                <w:highlight w:val="none"/>
              </w:rPr>
            </w:pPr>
            <w:r>
              <w:rPr>
                <w:color w:val="auto"/>
                <w:spacing w:val="-1"/>
                <w:highlight w:val="none"/>
              </w:rPr>
              <w:t>评审内容</w:t>
            </w:r>
          </w:p>
        </w:tc>
        <w:tc>
          <w:tcPr>
            <w:tcW w:w="1557" w:type="dxa"/>
            <w:vAlign w:val="top"/>
          </w:tcPr>
          <w:p>
            <w:pPr>
              <w:pStyle w:val="10"/>
              <w:spacing w:before="252" w:line="360" w:lineRule="auto"/>
              <w:ind w:left="364"/>
              <w:rPr>
                <w:color w:val="auto"/>
                <w:highlight w:val="none"/>
              </w:rPr>
            </w:pPr>
            <w:r>
              <w:rPr>
                <w:color w:val="auto"/>
                <w:spacing w:val="-1"/>
                <w:highlight w:val="none"/>
              </w:rPr>
              <w:t>评审角色</w:t>
            </w:r>
          </w:p>
        </w:tc>
        <w:tc>
          <w:tcPr>
            <w:tcW w:w="1757" w:type="dxa"/>
            <w:vAlign w:val="top"/>
          </w:tcPr>
          <w:p>
            <w:pPr>
              <w:pStyle w:val="10"/>
              <w:spacing w:before="253" w:line="360" w:lineRule="auto"/>
              <w:ind w:left="252"/>
              <w:rPr>
                <w:color w:val="auto"/>
                <w:highlight w:val="none"/>
              </w:rPr>
            </w:pPr>
            <w:r>
              <w:rPr>
                <w:color w:val="auto"/>
                <w:spacing w:val="-1"/>
                <w:highlight w:val="none"/>
              </w:rPr>
              <w:t>评标专家签名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6"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276" w:type="dxa"/>
            <w:vAlign w:val="top"/>
          </w:tcPr>
          <w:p>
            <w:pPr>
              <w:rPr>
                <w:rFonts w:ascii="Arial"/>
                <w:color w:val="auto"/>
                <w:sz w:val="21"/>
                <w:highlight w:val="none"/>
              </w:rPr>
            </w:pPr>
          </w:p>
        </w:tc>
        <w:tc>
          <w:tcPr>
            <w:tcW w:w="1934"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984" w:type="dxa"/>
            <w:vAlign w:val="top"/>
          </w:tcPr>
          <w:p>
            <w:pPr>
              <w:rPr>
                <w:rFonts w:ascii="Arial"/>
                <w:color w:val="auto"/>
                <w:sz w:val="21"/>
                <w:highlight w:val="none"/>
              </w:rPr>
            </w:pPr>
          </w:p>
        </w:tc>
        <w:tc>
          <w:tcPr>
            <w:tcW w:w="1842" w:type="dxa"/>
            <w:vAlign w:val="top"/>
          </w:tcPr>
          <w:p>
            <w:pPr>
              <w:rPr>
                <w:rFonts w:ascii="Arial"/>
                <w:color w:val="auto"/>
                <w:sz w:val="21"/>
                <w:highlight w:val="none"/>
              </w:rPr>
            </w:pPr>
          </w:p>
        </w:tc>
        <w:tc>
          <w:tcPr>
            <w:tcW w:w="1469"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757" w:type="dxa"/>
            <w:vAlign w:val="top"/>
          </w:tcPr>
          <w:p>
            <w:pPr>
              <w:rPr>
                <w:rFonts w:ascii="Arial"/>
                <w:color w:val="auto"/>
                <w:sz w:val="21"/>
                <w:highlight w:val="none"/>
              </w:rPr>
            </w:pPr>
          </w:p>
        </w:tc>
      </w:tr>
    </w:tbl>
    <w:p>
      <w:pPr>
        <w:pStyle w:val="2"/>
        <w:spacing w:line="14" w:lineRule="auto"/>
        <w:rPr>
          <w:color w:val="auto"/>
          <w:sz w:val="2"/>
          <w:highlight w:val="none"/>
        </w:rPr>
      </w:pPr>
    </w:p>
    <w:p>
      <w:pPr>
        <w:spacing w:line="14" w:lineRule="auto"/>
        <w:rPr>
          <w:color w:val="auto"/>
          <w:sz w:val="2"/>
          <w:szCs w:val="2"/>
          <w:highlight w:val="none"/>
        </w:rPr>
        <w:sectPr>
          <w:type w:val="continuous"/>
          <w:pgSz w:w="16843" w:h="11905" w:orient="landscape"/>
          <w:pgMar w:top="1542" w:right="1769" w:bottom="1548" w:left="1003" w:header="0" w:footer="828" w:gutter="0"/>
          <w:pgNumType w:fmt="numberInDash"/>
          <w:cols w:space="0" w:num="1"/>
          <w:rtlGutter w:val="0"/>
          <w:docGrid w:linePitch="0" w:charSpace="0"/>
        </w:sectPr>
      </w:pPr>
    </w:p>
    <w:p>
      <w:pPr>
        <w:pStyle w:val="2"/>
        <w:spacing w:line="303" w:lineRule="auto"/>
        <w:rPr>
          <w:color w:val="auto"/>
          <w:highlight w:val="none"/>
        </w:rPr>
      </w:pPr>
    </w:p>
    <w:p>
      <w:pPr>
        <w:spacing w:before="78" w:line="219" w:lineRule="auto"/>
        <w:ind w:left="1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w:t>
      </w:r>
      <w:r>
        <w:rPr>
          <w:rFonts w:ascii="黑体" w:hAnsi="黑体" w:eastAsia="黑体" w:cs="黑体"/>
          <w:color w:val="auto"/>
          <w:spacing w:val="-53"/>
          <w:sz w:val="24"/>
          <w:szCs w:val="24"/>
          <w:highlight w:val="none"/>
        </w:rPr>
        <w:t xml:space="preserve"> </w:t>
      </w:r>
      <w:r>
        <w:rPr>
          <w:rFonts w:ascii="Times New Roman" w:hAnsi="Times New Roman" w:eastAsia="Times New Roman" w:cs="Times New Roman"/>
          <w:color w:val="auto"/>
          <w:spacing w:val="-2"/>
          <w:sz w:val="24"/>
          <w:szCs w:val="24"/>
          <w:highlight w:val="none"/>
        </w:rPr>
        <w:t>A-2</w:t>
      </w:r>
      <w:r>
        <w:rPr>
          <w:rFonts w:ascii="黑体" w:hAnsi="黑体" w:eastAsia="黑体" w:cs="黑体"/>
          <w:color w:val="auto"/>
          <w:spacing w:val="-2"/>
          <w:sz w:val="24"/>
          <w:szCs w:val="24"/>
          <w:highlight w:val="none"/>
        </w:rPr>
        <w:t>：评标专家告知承诺函</w:t>
      </w:r>
    </w:p>
    <w:p>
      <w:pPr>
        <w:pStyle w:val="2"/>
        <w:spacing w:line="302" w:lineRule="auto"/>
        <w:rPr>
          <w:color w:val="auto"/>
          <w:highlight w:val="none"/>
        </w:rPr>
      </w:pPr>
    </w:p>
    <w:p>
      <w:pPr>
        <w:pStyle w:val="2"/>
        <w:spacing w:line="302" w:lineRule="auto"/>
        <w:rPr>
          <w:color w:val="auto"/>
          <w:highlight w:val="none"/>
        </w:rPr>
      </w:pPr>
    </w:p>
    <w:p>
      <w:pPr>
        <w:spacing w:before="117" w:line="219" w:lineRule="auto"/>
        <w:ind w:left="2138"/>
        <w:rPr>
          <w:rFonts w:ascii="黑体" w:hAnsi="黑体" w:eastAsia="黑体" w:cs="黑体"/>
          <w:color w:val="auto"/>
          <w:sz w:val="36"/>
          <w:szCs w:val="36"/>
          <w:highlight w:val="none"/>
        </w:rPr>
      </w:pPr>
      <w:bookmarkStart w:id="101" w:name="bookmark140"/>
      <w:bookmarkEnd w:id="101"/>
      <w:r>
        <w:rPr>
          <w:rFonts w:ascii="黑体" w:hAnsi="黑体" w:eastAsia="黑体" w:cs="黑体"/>
          <w:color w:val="auto"/>
          <w:spacing w:val="-6"/>
          <w:sz w:val="36"/>
          <w:szCs w:val="36"/>
          <w:highlight w:val="none"/>
        </w:rPr>
        <w:t>（姓名）评标专家告知承诺函</w:t>
      </w:r>
    </w:p>
    <w:p>
      <w:pPr>
        <w:pStyle w:val="2"/>
        <w:spacing w:line="264" w:lineRule="auto"/>
        <w:rPr>
          <w:color w:val="auto"/>
          <w:highlight w:val="none"/>
        </w:rPr>
      </w:pPr>
    </w:p>
    <w:p>
      <w:pPr>
        <w:pStyle w:val="2"/>
        <w:spacing w:line="265" w:lineRule="auto"/>
        <w:rPr>
          <w:color w:val="auto"/>
          <w:highlight w:val="none"/>
        </w:rPr>
      </w:pPr>
    </w:p>
    <w:p>
      <w:pPr>
        <w:spacing w:before="68" w:line="220"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本人接受招标人邀请，担任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（标段名称）</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项目招标的评标专家。</w:t>
      </w:r>
    </w:p>
    <w:p>
      <w:pPr>
        <w:spacing w:before="158" w:line="408" w:lineRule="exact"/>
        <w:ind w:left="420"/>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本人作为辽宁省评标专家库评标专家，</w:t>
      </w:r>
      <w:r>
        <w:rPr>
          <w:rFonts w:ascii="宋体" w:hAnsi="宋体" w:eastAsia="宋体" w:cs="宋体"/>
          <w:color w:val="auto"/>
          <w:spacing w:val="44"/>
          <w:position w:val="15"/>
          <w:sz w:val="21"/>
          <w:szCs w:val="21"/>
          <w:highlight w:val="none"/>
        </w:rPr>
        <w:t xml:space="preserve"> </w:t>
      </w:r>
      <w:r>
        <w:rPr>
          <w:rFonts w:ascii="宋体" w:hAnsi="宋体" w:eastAsia="宋体" w:cs="宋体"/>
          <w:color w:val="auto"/>
          <w:spacing w:val="-2"/>
          <w:position w:val="15"/>
          <w:sz w:val="21"/>
          <w:szCs w:val="21"/>
          <w:highlight w:val="none"/>
        </w:rPr>
        <w:t>已知悉相关权利义务，已熟知告知承诺函内容，并在</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此郑重承诺:</w:t>
      </w:r>
    </w:p>
    <w:p>
      <w:pPr>
        <w:spacing w:before="159" w:line="221" w:lineRule="auto"/>
        <w:ind w:left="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一、尽职承诺</w:t>
      </w:r>
    </w:p>
    <w:p>
      <w:pPr>
        <w:spacing w:before="157" w:line="408" w:lineRule="exact"/>
        <w:ind w:left="425"/>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（一）客观、公正地履行职务， 严格按照法律法规规定、评标办法独立完成该项目</w:t>
      </w:r>
      <w:r>
        <w:rPr>
          <w:rFonts w:ascii="宋体" w:hAnsi="宋体" w:eastAsia="宋体" w:cs="宋体"/>
          <w:color w:val="auto"/>
          <w:spacing w:val="-2"/>
          <w:position w:val="14"/>
          <w:sz w:val="21"/>
          <w:szCs w:val="21"/>
          <w:highlight w:val="none"/>
        </w:rPr>
        <w:t>的评标工</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作。</w:t>
      </w:r>
    </w:p>
    <w:p>
      <w:pPr>
        <w:spacing w:before="157" w:line="410" w:lineRule="exact"/>
        <w:ind w:left="425"/>
        <w:rPr>
          <w:rFonts w:ascii="宋体" w:hAnsi="宋体" w:eastAsia="宋体" w:cs="宋体"/>
          <w:color w:val="auto"/>
          <w:sz w:val="21"/>
          <w:szCs w:val="21"/>
          <w:highlight w:val="none"/>
        </w:rPr>
      </w:pPr>
      <w:r>
        <w:rPr>
          <w:rFonts w:ascii="宋体" w:hAnsi="宋体" w:eastAsia="宋体" w:cs="宋体"/>
          <w:color w:val="auto"/>
          <w:spacing w:val="-4"/>
          <w:position w:val="15"/>
          <w:sz w:val="21"/>
          <w:szCs w:val="21"/>
          <w:highlight w:val="none"/>
        </w:rPr>
        <w:t>（二） 严格遵守评标纪律， 保证评标过程中不发表任何涉及实质性内容的倾向性、引导性言</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论，不擅离职守。</w:t>
      </w:r>
    </w:p>
    <w:p>
      <w:pPr>
        <w:spacing w:before="156" w:line="359" w:lineRule="auto"/>
        <w:ind w:right="183"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（三）严格遵守《中华人民共和国招标投标法</w:t>
      </w:r>
      <w:r>
        <w:rPr>
          <w:rFonts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rPr>
        <w:t>中华人民共和国保守国家秘密法</w:t>
      </w:r>
      <w:r>
        <w:rPr>
          <w:rFonts w:ascii="宋体" w:hAnsi="宋体" w:eastAsia="宋体" w:cs="宋体"/>
          <w:color w:val="auto"/>
          <w:spacing w:val="-4"/>
          <w:sz w:val="21"/>
          <w:szCs w:val="21"/>
          <w:highlight w:val="none"/>
        </w:rPr>
        <w:t>》《中华人民共和国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招标投标法实施条例》相关规定， 遵守职业道德，对所提出的评审意见承担个人责任，自觉维护</w:t>
      </w:r>
      <w:r>
        <w:rPr>
          <w:rFonts w:ascii="宋体" w:hAnsi="宋体" w:eastAsia="宋体" w:cs="宋体"/>
          <w:color w:val="auto"/>
          <w:spacing w:val="-3"/>
          <w:sz w:val="21"/>
          <w:szCs w:val="21"/>
          <w:highlight w:val="none"/>
        </w:rPr>
        <w:t>国家利益、社会公共利益。</w:t>
      </w:r>
    </w:p>
    <w:p>
      <w:pPr>
        <w:spacing w:before="158" w:line="220" w:lineRule="auto"/>
        <w:ind w:left="42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（四）</w:t>
      </w:r>
      <w:r>
        <w:rPr>
          <w:rFonts w:ascii="宋体" w:hAnsi="宋体" w:eastAsia="宋体" w:cs="宋体"/>
          <w:color w:val="auto"/>
          <w:spacing w:val="-11"/>
          <w:sz w:val="21"/>
          <w:szCs w:val="21"/>
          <w:highlight w:val="none"/>
        </w:rPr>
        <w:t xml:space="preserve"> </w:t>
      </w:r>
      <w:r>
        <w:rPr>
          <w:rFonts w:ascii="宋体" w:hAnsi="宋体" w:eastAsia="宋体" w:cs="宋体"/>
          <w:color w:val="auto"/>
          <w:spacing w:val="-6"/>
          <w:sz w:val="21"/>
          <w:szCs w:val="21"/>
          <w:highlight w:val="none"/>
        </w:rPr>
        <w:t>对依法应当否决的投标提出否决意见。</w:t>
      </w:r>
    </w:p>
    <w:p>
      <w:pPr>
        <w:spacing w:before="160" w:line="221" w:lineRule="auto"/>
        <w:ind w:left="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二、回避承诺</w:t>
      </w:r>
    </w:p>
    <w:p>
      <w:pPr>
        <w:spacing w:before="156" w:line="221" w:lineRule="auto"/>
        <w:ind w:left="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（一）与招标人或投标人的主要负责人不存在近亲属关系。</w:t>
      </w:r>
    </w:p>
    <w:p>
      <w:pPr>
        <w:spacing w:before="157" w:line="221" w:lineRule="auto"/>
        <w:ind w:left="42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（二） 非项目主管部门或者行政监督部门的人员。</w:t>
      </w:r>
    </w:p>
    <w:p>
      <w:pPr>
        <w:spacing w:before="157" w:line="220"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近</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5</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年未与投标人或者投标人主要负责人有其他社会关系或者经济利益关系。</w:t>
      </w:r>
    </w:p>
    <w:p>
      <w:pPr>
        <w:spacing w:before="158" w:line="411" w:lineRule="exact"/>
        <w:ind w:left="425"/>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（四） 未曾因在招标、评标以及其他与招标投标有关活动中从事违法行为而受过行</w:t>
      </w:r>
      <w:r>
        <w:rPr>
          <w:rFonts w:ascii="宋体" w:hAnsi="宋体" w:eastAsia="宋体" w:cs="宋体"/>
          <w:color w:val="auto"/>
          <w:spacing w:val="-2"/>
          <w:position w:val="15"/>
          <w:sz w:val="21"/>
          <w:szCs w:val="21"/>
          <w:highlight w:val="none"/>
        </w:rPr>
        <w:t>政处罚或</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刑事处罚的。</w:t>
      </w:r>
    </w:p>
    <w:p>
      <w:pPr>
        <w:spacing w:before="156" w:line="221" w:lineRule="auto"/>
        <w:ind w:left="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三、保密承诺</w:t>
      </w:r>
    </w:p>
    <w:p>
      <w:pPr>
        <w:spacing w:before="157" w:line="408" w:lineRule="exact"/>
        <w:jc w:val="right"/>
        <w:rPr>
          <w:rFonts w:ascii="宋体" w:hAnsi="宋体" w:eastAsia="宋体" w:cs="宋体"/>
          <w:color w:val="auto"/>
          <w:sz w:val="21"/>
          <w:szCs w:val="21"/>
          <w:highlight w:val="none"/>
        </w:rPr>
      </w:pPr>
      <w:r>
        <w:rPr>
          <w:rFonts w:ascii="宋体" w:hAnsi="宋体" w:eastAsia="宋体" w:cs="宋体"/>
          <w:color w:val="auto"/>
          <w:spacing w:val="-6"/>
          <w:position w:val="15"/>
          <w:sz w:val="21"/>
          <w:szCs w:val="21"/>
          <w:highlight w:val="none"/>
        </w:rPr>
        <w:t>（一）不在公共社交网站、媒体、平台， 如微信群、QQ 群、朋友圈、个人微博等，</w:t>
      </w:r>
      <w:r>
        <w:rPr>
          <w:rFonts w:ascii="宋体" w:hAnsi="宋体" w:eastAsia="宋体" w:cs="宋体"/>
          <w:color w:val="auto"/>
          <w:spacing w:val="-7"/>
          <w:position w:val="15"/>
          <w:sz w:val="21"/>
          <w:szCs w:val="21"/>
          <w:highlight w:val="none"/>
        </w:rPr>
        <w:t xml:space="preserve"> 通过视频、</w:t>
      </w:r>
    </w:p>
    <w:p>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图片、暗语等方式泄露评标任务。</w:t>
      </w:r>
    </w:p>
    <w:p>
      <w:pPr>
        <w:spacing w:before="159" w:line="408" w:lineRule="exact"/>
        <w:ind w:left="425"/>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（二） 评审结束时， 全部清退不应由个人持有的评审项目所有文件和资料，不向任何人透露</w:t>
      </w:r>
    </w:p>
    <w:p>
      <w:pPr>
        <w:spacing w:before="1" w:line="219"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投标文件的评审和比较情况、中标候选人推荐情况以及与评审有关的其他情况。</w:t>
      </w:r>
    </w:p>
    <w:p>
      <w:pPr>
        <w:spacing w:before="158" w:line="221" w:lineRule="auto"/>
        <w:ind w:left="43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四、廉洁承诺</w:t>
      </w:r>
    </w:p>
    <w:p>
      <w:pPr>
        <w:spacing w:before="157" w:line="408" w:lineRule="exact"/>
        <w:ind w:left="425"/>
        <w:rPr>
          <w:rFonts w:ascii="宋体" w:hAnsi="宋体" w:eastAsia="宋体" w:cs="宋体"/>
          <w:color w:val="auto"/>
          <w:sz w:val="21"/>
          <w:szCs w:val="21"/>
          <w:highlight w:val="none"/>
        </w:rPr>
      </w:pPr>
      <w:r>
        <w:rPr>
          <w:rFonts w:ascii="宋体" w:hAnsi="宋体" w:eastAsia="宋体" w:cs="宋体"/>
          <w:color w:val="auto"/>
          <w:spacing w:val="-4"/>
          <w:position w:val="15"/>
          <w:sz w:val="21"/>
          <w:szCs w:val="21"/>
          <w:highlight w:val="none"/>
        </w:rPr>
        <w:t>（一）严格履行廉政自律责任， 遵守评标廉政纪律， 没有私下接触招标人、招标代理机构、</w:t>
      </w:r>
    </w:p>
    <w:p>
      <w:pPr>
        <w:spacing w:before="1" w:line="220"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投标人，没有收受利益相关人或企业的财物、好处。</w:t>
      </w:r>
    </w:p>
    <w:p>
      <w:pPr>
        <w:spacing w:before="159" w:line="408" w:lineRule="exact"/>
        <w:ind w:left="425"/>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（二） 不向招标人征询确定中标人的意向或者接受任何单位、个人明示暗示特定投</w:t>
      </w:r>
      <w:r>
        <w:rPr>
          <w:rFonts w:ascii="宋体" w:hAnsi="宋体" w:eastAsia="宋体" w:cs="宋体"/>
          <w:color w:val="auto"/>
          <w:spacing w:val="-2"/>
          <w:position w:val="14"/>
          <w:sz w:val="21"/>
          <w:szCs w:val="21"/>
          <w:highlight w:val="none"/>
        </w:rPr>
        <w:t>标人的要</w:t>
      </w:r>
    </w:p>
    <w:p>
      <w:pPr>
        <w:spacing w:line="222" w:lineRule="auto"/>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求。</w:t>
      </w:r>
    </w:p>
    <w:p>
      <w:pPr>
        <w:spacing w:line="222" w:lineRule="auto"/>
        <w:rPr>
          <w:rFonts w:ascii="宋体" w:hAnsi="宋体" w:eastAsia="宋体" w:cs="宋体"/>
          <w:color w:val="auto"/>
          <w:sz w:val="21"/>
          <w:szCs w:val="21"/>
          <w:highlight w:val="none"/>
        </w:rPr>
        <w:sectPr>
          <w:footerReference r:id="rId33" w:type="default"/>
          <w:pgSz w:w="11907" w:h="16841"/>
          <w:pgMar w:top="1431" w:right="1346" w:bottom="995" w:left="1483" w:header="0" w:footer="791" w:gutter="0"/>
          <w:pgNumType w:fmt="numberInDash"/>
          <w:cols w:space="720" w:num="1"/>
        </w:sectPr>
      </w:pPr>
    </w:p>
    <w:p>
      <w:pPr>
        <w:spacing w:before="299" w:line="221" w:lineRule="auto"/>
        <w:ind w:left="425"/>
        <w:rPr>
          <w:rFonts w:ascii="宋体" w:hAnsi="宋体" w:eastAsia="宋体" w:cs="宋体"/>
          <w:color w:val="auto"/>
          <w:sz w:val="21"/>
          <w:szCs w:val="21"/>
          <w:highlight w:val="none"/>
        </w:rPr>
      </w:pPr>
      <w:bookmarkStart w:id="102" w:name="bookmark141"/>
      <w:bookmarkEnd w:id="102"/>
      <w:r>
        <w:rPr>
          <w:rFonts w:ascii="宋体" w:hAnsi="宋体" w:eastAsia="宋体" w:cs="宋体"/>
          <w:color w:val="auto"/>
          <w:spacing w:val="-3"/>
          <w:sz w:val="21"/>
          <w:szCs w:val="21"/>
          <w:highlight w:val="none"/>
        </w:rPr>
        <w:t>（三）</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不暗示或者诱导投标人作出澄清、说明或者接受投标人主动提出的澄清、说明。</w:t>
      </w:r>
    </w:p>
    <w:p>
      <w:pPr>
        <w:spacing w:before="157" w:line="408" w:lineRule="exact"/>
        <w:ind w:right="1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（四） 自觉抵制招标投标活动中的违法违规行为，积极配合协助行政监督部门、纪</w:t>
      </w:r>
      <w:r>
        <w:rPr>
          <w:rFonts w:ascii="宋体" w:hAnsi="宋体" w:eastAsia="宋体" w:cs="宋体"/>
          <w:color w:val="auto"/>
          <w:spacing w:val="-2"/>
          <w:position w:val="14"/>
          <w:sz w:val="21"/>
          <w:szCs w:val="21"/>
          <w:highlight w:val="none"/>
        </w:rPr>
        <w:t>检监察部</w:t>
      </w:r>
    </w:p>
    <w:p>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门、公安部门、检察机关等依法进行监督。</w:t>
      </w:r>
    </w:p>
    <w:p>
      <w:pPr>
        <w:spacing w:before="157" w:line="221"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五、不参与串通投标承诺</w:t>
      </w:r>
    </w:p>
    <w:p>
      <w:pPr>
        <w:spacing w:before="159" w:line="220" w:lineRule="auto"/>
        <w:ind w:left="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（一）依法依规参加本招标项目的评标工作，</w:t>
      </w:r>
      <w:r>
        <w:rPr>
          <w:rFonts w:ascii="宋体" w:hAnsi="宋体" w:eastAsia="宋体" w:cs="宋体"/>
          <w:color w:val="auto"/>
          <w:spacing w:val="-2"/>
          <w:sz w:val="21"/>
          <w:szCs w:val="21"/>
          <w:highlight w:val="none"/>
        </w:rPr>
        <w:t xml:space="preserve"> </w:t>
      </w:r>
      <w:r>
        <w:rPr>
          <w:rFonts w:ascii="宋体" w:hAnsi="宋体" w:eastAsia="宋体" w:cs="宋体"/>
          <w:color w:val="auto"/>
          <w:spacing w:val="-4"/>
          <w:sz w:val="21"/>
          <w:szCs w:val="21"/>
          <w:highlight w:val="none"/>
        </w:rPr>
        <w:t>不参与串通投标。</w:t>
      </w:r>
    </w:p>
    <w:p>
      <w:pPr>
        <w:spacing w:before="160" w:line="359" w:lineRule="auto"/>
        <w:ind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（二） 清楚并知晓《中华人民共和国刑法》第一百六十三条“公司、</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企业或者其他单位的工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作人员，利用职务上的便利，索取他人财物或者非法收受他人财物，为他人谋取利益，数额较大</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的，处三年以下有期徒刑或者拘役，并处罚金； 数额巨大或者有其他严重情节的，处三年以上十</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年以下有期徒刑，并处罚金；数额特别巨大或者有其他特别严重情节的，处十年以上有期徒刑或</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者无期徒刑，并处罚金”的规定。</w:t>
      </w:r>
    </w:p>
    <w:p>
      <w:pPr>
        <w:spacing w:before="157" w:line="408" w:lineRule="exact"/>
        <w:ind w:right="1"/>
        <w:jc w:val="right"/>
        <w:rPr>
          <w:rFonts w:ascii="宋体" w:hAnsi="宋体" w:eastAsia="宋体" w:cs="宋体"/>
          <w:color w:val="auto"/>
          <w:sz w:val="21"/>
          <w:szCs w:val="21"/>
          <w:highlight w:val="none"/>
        </w:rPr>
      </w:pPr>
      <w:r>
        <w:rPr>
          <w:rFonts w:ascii="宋体" w:hAnsi="宋体" w:eastAsia="宋体" w:cs="宋体"/>
          <w:color w:val="auto"/>
          <w:spacing w:val="-7"/>
          <w:position w:val="15"/>
          <w:sz w:val="21"/>
          <w:szCs w:val="21"/>
          <w:highlight w:val="none"/>
        </w:rPr>
        <w:t>（三） 本人如被查实在本招标项目评标工作中参与串通投标的，自愿承担相应法律责任， 接</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受相应刑事和纪律、行政处罚以及失信惩戒。</w:t>
      </w:r>
    </w:p>
    <w:p>
      <w:pPr>
        <w:spacing w:before="157" w:line="220"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六、本承诺函由我本人亲自签字确认。</w:t>
      </w:r>
    </w:p>
    <w:p>
      <w:pPr>
        <w:pStyle w:val="2"/>
        <w:spacing w:line="300" w:lineRule="auto"/>
        <w:rPr>
          <w:color w:val="auto"/>
          <w:highlight w:val="none"/>
        </w:rPr>
      </w:pPr>
    </w:p>
    <w:p>
      <w:pPr>
        <w:pStyle w:val="2"/>
        <w:spacing w:line="301" w:lineRule="auto"/>
        <w:rPr>
          <w:color w:val="auto"/>
          <w:highlight w:val="none"/>
        </w:rPr>
      </w:pPr>
    </w:p>
    <w:p>
      <w:pPr>
        <w:pStyle w:val="2"/>
        <w:spacing w:line="301" w:lineRule="auto"/>
        <w:rPr>
          <w:color w:val="auto"/>
          <w:highlight w:val="none"/>
        </w:rPr>
      </w:pPr>
    </w:p>
    <w:p>
      <w:pPr>
        <w:spacing w:before="69" w:line="220" w:lineRule="auto"/>
        <w:ind w:left="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本人是□ 否□</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为中共党员</w:t>
      </w:r>
    </w:p>
    <w:p>
      <w:pPr>
        <w:spacing w:before="157" w:line="221" w:lineRule="auto"/>
        <w:ind w:left="168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 xml:space="preserve">（应单选， </w:t>
      </w:r>
      <w:r>
        <w:rPr>
          <w:rFonts w:ascii="宋体" w:hAnsi="宋体" w:eastAsia="宋体" w:cs="宋体"/>
          <w:color w:val="auto"/>
          <w:spacing w:val="-13"/>
          <w:sz w:val="21"/>
          <w:szCs w:val="21"/>
          <w:highlight w:val="none"/>
          <w14:textOutline w14:w="3831" w14:cap="flat" w14:cmpd="sng">
            <w14:solidFill>
              <w14:srgbClr w14:val="000000"/>
            </w14:solidFill>
            <w14:prstDash w14:val="solid"/>
            <w14:miter w14:val="0"/>
          </w14:textOutline>
        </w:rPr>
        <w:t>并在方框内打“</w:t>
      </w:r>
      <w:r>
        <w:rPr>
          <w:rFonts w:ascii="宋体" w:hAnsi="宋体" w:eastAsia="宋体" w:cs="宋体"/>
          <w:color w:val="auto"/>
          <w:spacing w:val="-36"/>
          <w:sz w:val="21"/>
          <w:szCs w:val="21"/>
          <w:highlight w:val="none"/>
        </w:rPr>
        <w:t xml:space="preserve"> </w:t>
      </w:r>
      <w:r>
        <w:rPr>
          <w:rFonts w:ascii="宋体" w:hAnsi="宋体" w:eastAsia="宋体" w:cs="宋体"/>
          <w:color w:val="auto"/>
          <w:spacing w:val="-13"/>
          <w:sz w:val="21"/>
          <w:szCs w:val="21"/>
          <w:highlight w:val="none"/>
          <w14:textOutline w14:w="3831" w14:cap="flat" w14:cmpd="sng">
            <w14:solidFill>
              <w14:srgbClr w14:val="000000"/>
            </w14:solidFill>
            <w14:prstDash w14:val="solid"/>
            <w14:miter w14:val="0"/>
          </w14:textOutline>
        </w:rPr>
        <w:t>√</w:t>
      </w:r>
      <w:r>
        <w:rPr>
          <w:rFonts w:ascii="宋体" w:hAnsi="宋体" w:eastAsia="宋体" w:cs="宋体"/>
          <w:color w:val="auto"/>
          <w:spacing w:val="-77"/>
          <w:sz w:val="21"/>
          <w:szCs w:val="21"/>
          <w:highlight w:val="none"/>
        </w:rPr>
        <w:t xml:space="preserve"> </w:t>
      </w:r>
      <w:r>
        <w:rPr>
          <w:rFonts w:ascii="宋体" w:hAnsi="宋体" w:eastAsia="宋体" w:cs="宋体"/>
          <w:color w:val="auto"/>
          <w:spacing w:val="-13"/>
          <w:sz w:val="21"/>
          <w:szCs w:val="21"/>
          <w:highlight w:val="none"/>
          <w14:textOutline w14:w="3831" w14:cap="flat" w14:cmpd="sng">
            <w14:solidFill>
              <w14:srgbClr w14:val="000000"/>
            </w14:solidFill>
            <w14:prstDash w14:val="solid"/>
            <w14:miter w14:val="0"/>
          </w14:textOutline>
        </w:rPr>
        <w:t>”</w:t>
      </w:r>
      <w:r>
        <w:rPr>
          <w:rFonts w:ascii="宋体" w:hAnsi="宋体" w:eastAsia="宋体" w:cs="宋体"/>
          <w:color w:val="auto"/>
          <w:spacing w:val="-13"/>
          <w:sz w:val="21"/>
          <w:szCs w:val="21"/>
          <w:highlight w:val="none"/>
        </w:rPr>
        <w:t>)</w:t>
      </w:r>
    </w:p>
    <w:p>
      <w:pPr>
        <w:pStyle w:val="2"/>
        <w:spacing w:line="261" w:lineRule="auto"/>
        <w:rPr>
          <w:color w:val="auto"/>
          <w:highlight w:val="none"/>
        </w:rPr>
      </w:pPr>
    </w:p>
    <w:p>
      <w:pPr>
        <w:pStyle w:val="2"/>
        <w:spacing w:line="261" w:lineRule="auto"/>
        <w:rPr>
          <w:color w:val="auto"/>
          <w:highlight w:val="none"/>
        </w:rPr>
      </w:pPr>
    </w:p>
    <w:p>
      <w:pPr>
        <w:pStyle w:val="2"/>
        <w:spacing w:line="261" w:lineRule="auto"/>
        <w:rPr>
          <w:color w:val="auto"/>
          <w:highlight w:val="none"/>
        </w:rPr>
      </w:pPr>
    </w:p>
    <w:p>
      <w:pPr>
        <w:pStyle w:val="2"/>
        <w:spacing w:line="261" w:lineRule="auto"/>
        <w:rPr>
          <w:color w:val="auto"/>
          <w:highlight w:val="none"/>
        </w:rPr>
      </w:pPr>
    </w:p>
    <w:p>
      <w:pPr>
        <w:pStyle w:val="2"/>
        <w:spacing w:line="262" w:lineRule="auto"/>
        <w:rPr>
          <w:color w:val="auto"/>
          <w:highlight w:val="none"/>
        </w:rPr>
      </w:pPr>
    </w:p>
    <w:p>
      <w:pPr>
        <w:spacing w:before="69" w:line="221" w:lineRule="auto"/>
        <w:ind w:left="5080"/>
        <w:rPr>
          <w:rFonts w:ascii="宋体" w:hAnsi="宋体" w:eastAsia="宋体" w:cs="宋体"/>
          <w:color w:val="auto"/>
          <w:sz w:val="21"/>
          <w:szCs w:val="21"/>
          <w:highlight w:val="none"/>
        </w:rPr>
      </w:pPr>
      <w:r>
        <w:rPr>
          <w:rFonts w:ascii="宋体" w:hAnsi="宋体" w:eastAsia="宋体" w:cs="宋体"/>
          <w:color w:val="auto"/>
          <w:spacing w:val="-23"/>
          <w:w w:val="99"/>
          <w:sz w:val="21"/>
          <w:szCs w:val="21"/>
          <w:highlight w:val="none"/>
        </w:rPr>
        <w:t>承</w:t>
      </w:r>
      <w:r>
        <w:rPr>
          <w:rFonts w:ascii="宋体" w:hAnsi="宋体" w:eastAsia="宋体" w:cs="宋体"/>
          <w:color w:val="auto"/>
          <w:spacing w:val="6"/>
          <w:sz w:val="21"/>
          <w:szCs w:val="21"/>
          <w:highlight w:val="none"/>
        </w:rPr>
        <w:t xml:space="preserve"> </w:t>
      </w:r>
      <w:r>
        <w:rPr>
          <w:rFonts w:ascii="宋体" w:hAnsi="宋体" w:eastAsia="宋体" w:cs="宋体"/>
          <w:color w:val="auto"/>
          <w:spacing w:val="-23"/>
          <w:w w:val="99"/>
          <w:sz w:val="21"/>
          <w:szCs w:val="21"/>
          <w:highlight w:val="none"/>
        </w:rPr>
        <w:t>诺</w:t>
      </w:r>
      <w:r>
        <w:rPr>
          <w:rFonts w:ascii="宋体" w:hAnsi="宋体" w:eastAsia="宋体" w:cs="宋体"/>
          <w:color w:val="auto"/>
          <w:spacing w:val="8"/>
          <w:sz w:val="21"/>
          <w:szCs w:val="21"/>
          <w:highlight w:val="none"/>
        </w:rPr>
        <w:t xml:space="preserve"> </w:t>
      </w:r>
      <w:r>
        <w:rPr>
          <w:rFonts w:ascii="宋体" w:hAnsi="宋体" w:eastAsia="宋体" w:cs="宋体"/>
          <w:color w:val="auto"/>
          <w:spacing w:val="-23"/>
          <w:w w:val="99"/>
          <w:sz w:val="21"/>
          <w:szCs w:val="21"/>
          <w:highlight w:val="none"/>
        </w:rPr>
        <w:t>人</w:t>
      </w:r>
      <w:r>
        <w:rPr>
          <w:rFonts w:ascii="宋体" w:hAnsi="宋体" w:eastAsia="宋体" w:cs="宋体"/>
          <w:color w:val="auto"/>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3"/>
          <w:w w:val="99"/>
          <w:sz w:val="21"/>
          <w:szCs w:val="21"/>
          <w:highlight w:val="none"/>
        </w:rPr>
        <w:t>签字）</w:t>
      </w:r>
    </w:p>
    <w:p>
      <w:pPr>
        <w:pStyle w:val="2"/>
        <w:spacing w:line="246" w:lineRule="auto"/>
        <w:rPr>
          <w:color w:val="auto"/>
          <w:highlight w:val="none"/>
        </w:rPr>
      </w:pPr>
    </w:p>
    <w:p>
      <w:pPr>
        <w:pStyle w:val="2"/>
        <w:spacing w:line="247" w:lineRule="auto"/>
        <w:rPr>
          <w:color w:val="auto"/>
          <w:highlight w:val="none"/>
        </w:rPr>
      </w:pPr>
    </w:p>
    <w:p>
      <w:pPr>
        <w:spacing w:before="70" w:line="221" w:lineRule="auto"/>
        <w:ind w:left="539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承诺时间：    年</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日</w:t>
      </w:r>
    </w:p>
    <w:p>
      <w:pPr>
        <w:spacing w:line="221" w:lineRule="auto"/>
        <w:rPr>
          <w:rFonts w:ascii="宋体" w:hAnsi="宋体" w:eastAsia="宋体" w:cs="宋体"/>
          <w:color w:val="auto"/>
          <w:sz w:val="21"/>
          <w:szCs w:val="21"/>
          <w:highlight w:val="none"/>
        </w:rPr>
        <w:sectPr>
          <w:footerReference r:id="rId34" w:type="default"/>
          <w:pgSz w:w="11907" w:h="16841"/>
          <w:pgMar w:top="1431" w:right="1524" w:bottom="995" w:left="1483" w:header="0" w:footer="791" w:gutter="0"/>
          <w:pgNumType w:fmt="numberInDash"/>
          <w:cols w:space="720" w:num="1"/>
        </w:sectPr>
      </w:pPr>
    </w:p>
    <w:p>
      <w:pPr>
        <w:pStyle w:val="2"/>
        <w:spacing w:line="355" w:lineRule="auto"/>
        <w:rPr>
          <w:color w:val="auto"/>
          <w:highlight w:val="none"/>
        </w:rPr>
      </w:pPr>
    </w:p>
    <w:p>
      <w:pPr>
        <w:pStyle w:val="2"/>
        <w:spacing w:line="356" w:lineRule="auto"/>
        <w:rPr>
          <w:color w:val="auto"/>
          <w:highlight w:val="none"/>
        </w:rPr>
      </w:pPr>
    </w:p>
    <w:p>
      <w:pPr>
        <w:spacing w:before="78" w:line="218" w:lineRule="auto"/>
        <w:ind w:left="423"/>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8"/>
          <w:sz w:val="24"/>
          <w:szCs w:val="24"/>
          <w:highlight w:val="none"/>
        </w:rPr>
        <w:t xml:space="preserve"> </w:t>
      </w:r>
      <w:r>
        <w:rPr>
          <w:rFonts w:ascii="Times New Roman" w:hAnsi="Times New Roman" w:eastAsia="Times New Roman" w:cs="Times New Roman"/>
          <w:color w:val="auto"/>
          <w:spacing w:val="-3"/>
          <w:sz w:val="24"/>
          <w:szCs w:val="24"/>
          <w:highlight w:val="none"/>
        </w:rPr>
        <w:t>A-3</w:t>
      </w:r>
      <w:r>
        <w:rPr>
          <w:rFonts w:ascii="黑体" w:hAnsi="黑体" w:eastAsia="黑体" w:cs="黑体"/>
          <w:color w:val="auto"/>
          <w:spacing w:val="-3"/>
          <w:sz w:val="24"/>
          <w:szCs w:val="24"/>
          <w:highlight w:val="none"/>
        </w:rPr>
        <w:t>：技术暗标编号确认表</w:t>
      </w:r>
    </w:p>
    <w:p>
      <w:pPr>
        <w:pStyle w:val="2"/>
        <w:spacing w:line="406" w:lineRule="auto"/>
        <w:rPr>
          <w:color w:val="auto"/>
          <w:highlight w:val="none"/>
        </w:rPr>
      </w:pPr>
    </w:p>
    <w:p>
      <w:pPr>
        <w:spacing w:before="117" w:line="218" w:lineRule="auto"/>
        <w:ind w:left="3127"/>
        <w:rPr>
          <w:rFonts w:ascii="黑体" w:hAnsi="黑体" w:eastAsia="黑体" w:cs="黑体"/>
          <w:color w:val="auto"/>
          <w:sz w:val="36"/>
          <w:szCs w:val="36"/>
          <w:highlight w:val="none"/>
        </w:rPr>
      </w:pPr>
      <w:bookmarkStart w:id="103" w:name="bookmark142"/>
      <w:bookmarkEnd w:id="103"/>
      <w:r>
        <w:rPr>
          <w:rFonts w:ascii="黑体" w:hAnsi="黑体" w:eastAsia="黑体" w:cs="黑体"/>
          <w:color w:val="auto"/>
          <w:spacing w:val="-2"/>
          <w:sz w:val="36"/>
          <w:szCs w:val="36"/>
          <w:highlight w:val="none"/>
        </w:rPr>
        <w:t>技术暗标编号确认表</w:t>
      </w:r>
    </w:p>
    <w:p>
      <w:pPr>
        <w:spacing w:before="242" w:line="221" w:lineRule="auto"/>
        <w:ind w:left="29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ind w:left="292"/>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94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1993"/>
        <w:gridCol w:w="771"/>
        <w:gridCol w:w="772"/>
        <w:gridCol w:w="770"/>
        <w:gridCol w:w="773"/>
        <w:gridCol w:w="770"/>
        <w:gridCol w:w="772"/>
        <w:gridCol w:w="771"/>
        <w:gridCol w:w="772"/>
        <w:gridCol w:w="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25" w:type="dxa"/>
            <w:vMerge w:val="restart"/>
            <w:tcBorders>
              <w:bottom w:val="nil"/>
            </w:tcBorders>
            <w:textDirection w:val="tbRlV"/>
            <w:vAlign w:val="top"/>
          </w:tcPr>
          <w:p>
            <w:pPr>
              <w:pStyle w:val="10"/>
              <w:spacing w:before="155" w:line="211" w:lineRule="auto"/>
              <w:ind w:left="89"/>
              <w:rPr>
                <w:color w:val="auto"/>
                <w:highlight w:val="none"/>
              </w:rPr>
            </w:pPr>
            <w:r>
              <w:rPr>
                <w:color w:val="auto"/>
                <w:spacing w:val="31"/>
                <w:highlight w:val="none"/>
              </w:rPr>
              <w:t>序号</w:t>
            </w:r>
          </w:p>
        </w:tc>
        <w:tc>
          <w:tcPr>
            <w:tcW w:w="1993" w:type="dxa"/>
            <w:vMerge w:val="restart"/>
            <w:tcBorders>
              <w:bottom w:val="nil"/>
            </w:tcBorders>
            <w:vAlign w:val="top"/>
          </w:tcPr>
          <w:p>
            <w:pPr>
              <w:pStyle w:val="10"/>
              <w:spacing w:before="224" w:line="221" w:lineRule="auto"/>
              <w:ind w:left="476"/>
              <w:rPr>
                <w:color w:val="auto"/>
                <w:highlight w:val="none"/>
              </w:rPr>
            </w:pPr>
            <w:r>
              <w:rPr>
                <w:color w:val="auto"/>
                <w:spacing w:val="-2"/>
                <w:highlight w:val="none"/>
              </w:rPr>
              <w:t>投标人名称</w:t>
            </w:r>
          </w:p>
        </w:tc>
        <w:tc>
          <w:tcPr>
            <w:tcW w:w="6948" w:type="dxa"/>
            <w:gridSpan w:val="9"/>
            <w:vAlign w:val="top"/>
          </w:tcPr>
          <w:p>
            <w:pPr>
              <w:pStyle w:val="10"/>
              <w:spacing w:before="33" w:line="221" w:lineRule="auto"/>
              <w:ind w:left="2529"/>
              <w:rPr>
                <w:color w:val="auto"/>
                <w:highlight w:val="none"/>
              </w:rPr>
            </w:pPr>
            <w:r>
              <w:rPr>
                <w:color w:val="auto"/>
                <w:spacing w:val="-1"/>
                <w:highlight w:val="none"/>
              </w:rPr>
              <w:t>评审因素及暗标编号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25" w:type="dxa"/>
            <w:vMerge w:val="continue"/>
            <w:tcBorders>
              <w:top w:val="nil"/>
            </w:tcBorders>
            <w:textDirection w:val="tbRlV"/>
            <w:vAlign w:val="top"/>
          </w:tcPr>
          <w:p>
            <w:pPr>
              <w:rPr>
                <w:rFonts w:ascii="Arial"/>
                <w:color w:val="auto"/>
                <w:sz w:val="21"/>
                <w:highlight w:val="none"/>
              </w:rPr>
            </w:pPr>
          </w:p>
        </w:tc>
        <w:tc>
          <w:tcPr>
            <w:tcW w:w="1993" w:type="dxa"/>
            <w:vMerge w:val="continue"/>
            <w:tcBorders>
              <w:top w:val="nil"/>
            </w:tcBorders>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vAlign w:val="top"/>
          </w:tcPr>
          <w:p>
            <w:pPr>
              <w:pStyle w:val="10"/>
              <w:spacing w:before="180" w:line="183" w:lineRule="auto"/>
              <w:ind w:left="230"/>
              <w:rPr>
                <w:color w:val="auto"/>
                <w:highlight w:val="none"/>
              </w:rPr>
            </w:pPr>
            <w:r>
              <w:rPr>
                <w:color w:val="auto"/>
                <w:highlight w:val="none"/>
              </w:rPr>
              <w:t>1</w:t>
            </w:r>
          </w:p>
        </w:tc>
        <w:tc>
          <w:tcPr>
            <w:tcW w:w="1993"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vAlign w:val="top"/>
          </w:tcPr>
          <w:p>
            <w:pPr>
              <w:pStyle w:val="10"/>
              <w:spacing w:before="181" w:line="182" w:lineRule="auto"/>
              <w:ind w:left="216"/>
              <w:rPr>
                <w:color w:val="auto"/>
                <w:highlight w:val="none"/>
              </w:rPr>
            </w:pPr>
            <w:r>
              <w:rPr>
                <w:color w:val="auto"/>
                <w:highlight w:val="none"/>
              </w:rPr>
              <w:t>2</w:t>
            </w:r>
          </w:p>
        </w:tc>
        <w:tc>
          <w:tcPr>
            <w:tcW w:w="1993"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vAlign w:val="top"/>
          </w:tcPr>
          <w:p>
            <w:pPr>
              <w:pStyle w:val="10"/>
              <w:spacing w:before="184" w:line="182" w:lineRule="auto"/>
              <w:ind w:left="218"/>
              <w:rPr>
                <w:color w:val="auto"/>
                <w:highlight w:val="none"/>
              </w:rPr>
            </w:pPr>
            <w:r>
              <w:rPr>
                <w:color w:val="auto"/>
                <w:highlight w:val="none"/>
              </w:rPr>
              <w:t>3</w:t>
            </w:r>
          </w:p>
        </w:tc>
        <w:tc>
          <w:tcPr>
            <w:tcW w:w="1993"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vAlign w:val="top"/>
          </w:tcPr>
          <w:p>
            <w:pPr>
              <w:pStyle w:val="10"/>
              <w:spacing w:before="185" w:line="182" w:lineRule="auto"/>
              <w:ind w:left="213"/>
              <w:rPr>
                <w:color w:val="auto"/>
                <w:highlight w:val="none"/>
              </w:rPr>
            </w:pPr>
            <w:r>
              <w:rPr>
                <w:color w:val="auto"/>
                <w:highlight w:val="none"/>
              </w:rPr>
              <w:t>4</w:t>
            </w:r>
          </w:p>
        </w:tc>
        <w:tc>
          <w:tcPr>
            <w:tcW w:w="1993"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525" w:type="dxa"/>
            <w:vAlign w:val="top"/>
          </w:tcPr>
          <w:p>
            <w:pPr>
              <w:pStyle w:val="10"/>
              <w:spacing w:before="187" w:line="181" w:lineRule="auto"/>
              <w:ind w:left="218"/>
              <w:rPr>
                <w:color w:val="auto"/>
                <w:highlight w:val="none"/>
              </w:rPr>
            </w:pPr>
            <w:r>
              <w:rPr>
                <w:color w:val="auto"/>
                <w:highlight w:val="none"/>
              </w:rPr>
              <w:t>5</w:t>
            </w:r>
          </w:p>
        </w:tc>
        <w:tc>
          <w:tcPr>
            <w:tcW w:w="1993"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25" w:type="dxa"/>
            <w:vAlign w:val="top"/>
          </w:tcPr>
          <w:p>
            <w:pPr>
              <w:spacing w:before="149" w:line="332" w:lineRule="exact"/>
              <w:ind w:left="173"/>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1993"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3" w:type="dxa"/>
            <w:vAlign w:val="top"/>
          </w:tcPr>
          <w:p>
            <w:pPr>
              <w:rPr>
                <w:rFonts w:ascii="Arial"/>
                <w:color w:val="auto"/>
                <w:sz w:val="21"/>
                <w:highlight w:val="none"/>
              </w:rPr>
            </w:pPr>
          </w:p>
        </w:tc>
        <w:tc>
          <w:tcPr>
            <w:tcW w:w="770"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772" w:type="dxa"/>
            <w:vAlign w:val="top"/>
          </w:tcPr>
          <w:p>
            <w:pPr>
              <w:rPr>
                <w:rFonts w:ascii="Arial"/>
                <w:color w:val="auto"/>
                <w:sz w:val="21"/>
                <w:highlight w:val="none"/>
              </w:rPr>
            </w:pPr>
          </w:p>
        </w:tc>
        <w:tc>
          <w:tcPr>
            <w:tcW w:w="777" w:type="dxa"/>
            <w:vAlign w:val="top"/>
          </w:tcPr>
          <w:p>
            <w:pPr>
              <w:rPr>
                <w:rFonts w:ascii="Arial"/>
                <w:color w:val="auto"/>
                <w:sz w:val="21"/>
                <w:highlight w:val="none"/>
              </w:rPr>
            </w:pPr>
          </w:p>
        </w:tc>
      </w:tr>
    </w:tbl>
    <w:p>
      <w:pPr>
        <w:spacing w:before="272" w:line="221" w:lineRule="auto"/>
        <w:ind w:left="6287"/>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日期：          年</w:t>
      </w:r>
      <w:r>
        <w:rPr>
          <w:rFonts w:ascii="宋体" w:hAnsi="宋体" w:eastAsia="宋体" w:cs="宋体"/>
          <w:color w:val="auto"/>
          <w:spacing w:val="6"/>
          <w:sz w:val="21"/>
          <w:szCs w:val="21"/>
          <w:highlight w:val="none"/>
        </w:rPr>
        <w:t xml:space="preserve">    </w:t>
      </w:r>
      <w:r>
        <w:rPr>
          <w:rFonts w:ascii="宋体" w:hAnsi="宋体" w:eastAsia="宋体" w:cs="宋体"/>
          <w:color w:val="auto"/>
          <w:spacing w:val="-16"/>
          <w:sz w:val="21"/>
          <w:szCs w:val="21"/>
          <w:highlight w:val="none"/>
        </w:rPr>
        <w:t>月     日</w:t>
      </w:r>
    </w:p>
    <w:p>
      <w:pPr>
        <w:spacing w:line="221" w:lineRule="auto"/>
        <w:rPr>
          <w:rFonts w:ascii="宋体" w:hAnsi="宋体" w:eastAsia="宋体" w:cs="宋体"/>
          <w:color w:val="auto"/>
          <w:sz w:val="21"/>
          <w:szCs w:val="21"/>
          <w:highlight w:val="none"/>
        </w:rPr>
        <w:sectPr>
          <w:footerReference r:id="rId35" w:type="default"/>
          <w:pgSz w:w="11907" w:h="16841"/>
          <w:pgMar w:top="1431" w:right="1243" w:bottom="995" w:left="1190" w:header="0" w:footer="791" w:gutter="0"/>
          <w:pgNumType w:fmt="numberInDash"/>
          <w:cols w:space="720" w:num="1"/>
        </w:sectPr>
      </w:pPr>
    </w:p>
    <w:p>
      <w:pPr>
        <w:pStyle w:val="2"/>
        <w:spacing w:line="272" w:lineRule="auto"/>
        <w:rPr>
          <w:color w:val="auto"/>
          <w:highlight w:val="none"/>
        </w:rPr>
      </w:pPr>
    </w:p>
    <w:p>
      <w:pPr>
        <w:pStyle w:val="2"/>
        <w:spacing w:line="272" w:lineRule="auto"/>
        <w:rPr>
          <w:color w:val="auto"/>
          <w:highlight w:val="none"/>
        </w:rPr>
      </w:pPr>
    </w:p>
    <w:p>
      <w:pPr>
        <w:spacing w:before="78" w:line="219" w:lineRule="auto"/>
        <w:ind w:left="14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A-4</w:t>
      </w:r>
      <w:r>
        <w:rPr>
          <w:rFonts w:ascii="黑体" w:hAnsi="黑体" w:eastAsia="黑体" w:cs="黑体"/>
          <w:color w:val="auto"/>
          <w:spacing w:val="-3"/>
          <w:sz w:val="24"/>
          <w:szCs w:val="24"/>
          <w:highlight w:val="none"/>
        </w:rPr>
        <w:t>：形式评审记录表</w:t>
      </w:r>
    </w:p>
    <w:p>
      <w:pPr>
        <w:pStyle w:val="2"/>
        <w:spacing w:line="406" w:lineRule="auto"/>
        <w:rPr>
          <w:color w:val="auto"/>
          <w:highlight w:val="none"/>
        </w:rPr>
      </w:pPr>
    </w:p>
    <w:p>
      <w:pPr>
        <w:spacing w:before="117" w:line="219" w:lineRule="auto"/>
        <w:ind w:left="3207"/>
        <w:rPr>
          <w:rFonts w:ascii="黑体" w:hAnsi="黑体" w:eastAsia="黑体" w:cs="黑体"/>
          <w:color w:val="auto"/>
          <w:sz w:val="36"/>
          <w:szCs w:val="36"/>
          <w:highlight w:val="none"/>
        </w:rPr>
      </w:pPr>
      <w:bookmarkStart w:id="104" w:name="bookmark143"/>
      <w:bookmarkEnd w:id="104"/>
      <w:r>
        <w:rPr>
          <w:rFonts w:ascii="黑体" w:hAnsi="黑体" w:eastAsia="黑体" w:cs="黑体"/>
          <w:color w:val="auto"/>
          <w:spacing w:val="-3"/>
          <w:sz w:val="36"/>
          <w:szCs w:val="36"/>
          <w:highlight w:val="none"/>
        </w:rPr>
        <w:t>形式评审记录表</w:t>
      </w:r>
    </w:p>
    <w:p>
      <w:pPr>
        <w:spacing w:before="239" w:line="221" w:lineRule="auto"/>
        <w:ind w:left="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ind w:left="9"/>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52" w:type="dxa"/>
            <w:vMerge w:val="restart"/>
            <w:tcBorders>
              <w:bottom w:val="nil"/>
            </w:tcBorders>
            <w:textDirection w:val="tbRlV"/>
            <w:vAlign w:val="top"/>
          </w:tcPr>
          <w:p>
            <w:pPr>
              <w:pStyle w:val="10"/>
              <w:spacing w:before="167" w:line="211" w:lineRule="auto"/>
              <w:ind w:left="187"/>
              <w:rPr>
                <w:color w:val="auto"/>
                <w:highlight w:val="none"/>
              </w:rPr>
            </w:pPr>
            <w:r>
              <w:rPr>
                <w:color w:val="auto"/>
                <w:spacing w:val="31"/>
                <w:highlight w:val="none"/>
              </w:rPr>
              <w:t>序号</w:t>
            </w:r>
          </w:p>
        </w:tc>
        <w:tc>
          <w:tcPr>
            <w:tcW w:w="1168" w:type="dxa"/>
            <w:vMerge w:val="restart"/>
            <w:tcBorders>
              <w:bottom w:val="nil"/>
            </w:tcBorders>
            <w:vAlign w:val="top"/>
          </w:tcPr>
          <w:p>
            <w:pPr>
              <w:pStyle w:val="10"/>
              <w:spacing w:before="187" w:line="231" w:lineRule="auto"/>
              <w:ind w:left="479" w:right="162" w:hanging="311"/>
              <w:rPr>
                <w:color w:val="auto"/>
                <w:highlight w:val="none"/>
              </w:rPr>
            </w:pPr>
            <w:r>
              <w:rPr>
                <w:color w:val="auto"/>
                <w:spacing w:val="-3"/>
                <w:highlight w:val="none"/>
              </w:rPr>
              <w:t>投标人名</w:t>
            </w:r>
            <w:r>
              <w:rPr>
                <w:color w:val="auto"/>
                <w:spacing w:val="2"/>
                <w:highlight w:val="none"/>
              </w:rPr>
              <w:t xml:space="preserve"> </w:t>
            </w:r>
            <w:r>
              <w:rPr>
                <w:color w:val="auto"/>
                <w:highlight w:val="none"/>
              </w:rPr>
              <w:t>称</w:t>
            </w:r>
          </w:p>
        </w:tc>
        <w:tc>
          <w:tcPr>
            <w:tcW w:w="6118" w:type="dxa"/>
            <w:gridSpan w:val="9"/>
            <w:vAlign w:val="top"/>
          </w:tcPr>
          <w:p>
            <w:pPr>
              <w:pStyle w:val="10"/>
              <w:spacing w:before="108" w:line="221" w:lineRule="auto"/>
              <w:ind w:left="2118"/>
              <w:rPr>
                <w:color w:val="auto"/>
                <w:highlight w:val="none"/>
              </w:rPr>
            </w:pPr>
            <w:r>
              <w:rPr>
                <w:color w:val="auto"/>
                <w:spacing w:val="-1"/>
                <w:highlight w:val="none"/>
              </w:rPr>
              <w:t>评审标准及评审意见</w:t>
            </w:r>
          </w:p>
        </w:tc>
        <w:tc>
          <w:tcPr>
            <w:tcW w:w="1060" w:type="dxa"/>
            <w:vMerge w:val="restart"/>
            <w:tcBorders>
              <w:bottom w:val="nil"/>
            </w:tcBorders>
            <w:vAlign w:val="top"/>
          </w:tcPr>
          <w:p>
            <w:pPr>
              <w:spacing w:line="253" w:lineRule="auto"/>
              <w:rPr>
                <w:rFonts w:ascii="Arial"/>
                <w:color w:val="auto"/>
                <w:sz w:val="21"/>
                <w:highlight w:val="none"/>
              </w:rPr>
            </w:pPr>
          </w:p>
          <w:p>
            <w:pPr>
              <w:pStyle w:val="10"/>
              <w:spacing w:before="68" w:line="221" w:lineRule="auto"/>
              <w:ind w:left="114"/>
              <w:rPr>
                <w:color w:val="auto"/>
                <w:highlight w:val="none"/>
              </w:rPr>
            </w:pPr>
            <w:r>
              <w:rPr>
                <w:color w:val="auto"/>
                <w:spacing w:val="-1"/>
                <w:highlight w:val="none"/>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552" w:type="dxa"/>
            <w:vMerge w:val="continue"/>
            <w:tcBorders>
              <w:top w:val="nil"/>
            </w:tcBorders>
            <w:textDirection w:val="tbRlV"/>
            <w:vAlign w:val="top"/>
          </w:tcPr>
          <w:p>
            <w:pPr>
              <w:rPr>
                <w:rFonts w:ascii="Arial"/>
                <w:color w:val="auto"/>
                <w:sz w:val="21"/>
                <w:highlight w:val="none"/>
              </w:rPr>
            </w:pPr>
          </w:p>
        </w:tc>
        <w:tc>
          <w:tcPr>
            <w:tcW w:w="1168" w:type="dxa"/>
            <w:vMerge w:val="continue"/>
            <w:tcBorders>
              <w:top w:val="nil"/>
            </w:tcBorders>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3" w:line="183" w:lineRule="auto"/>
              <w:ind w:left="244"/>
              <w:rPr>
                <w:color w:val="auto"/>
                <w:highlight w:val="none"/>
              </w:rPr>
            </w:pPr>
            <w:r>
              <w:rPr>
                <w:color w:val="auto"/>
                <w:highlight w:val="none"/>
              </w:rPr>
              <w:t>1</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212" w:line="182" w:lineRule="auto"/>
              <w:ind w:left="231"/>
              <w:rPr>
                <w:color w:val="auto"/>
                <w:highlight w:val="none"/>
              </w:rPr>
            </w:pPr>
            <w:r>
              <w:rPr>
                <w:color w:val="auto"/>
                <w:highlight w:val="none"/>
              </w:rPr>
              <w:t>2</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5" w:line="182" w:lineRule="auto"/>
              <w:ind w:left="233"/>
              <w:rPr>
                <w:color w:val="auto"/>
                <w:highlight w:val="none"/>
              </w:rPr>
            </w:pPr>
            <w:r>
              <w:rPr>
                <w:color w:val="auto"/>
                <w:highlight w:val="none"/>
              </w:rPr>
              <w:t>3</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213" w:line="182" w:lineRule="auto"/>
              <w:ind w:left="227"/>
              <w:rPr>
                <w:color w:val="auto"/>
                <w:highlight w:val="none"/>
              </w:rPr>
            </w:pPr>
            <w:r>
              <w:rPr>
                <w:color w:val="auto"/>
                <w:highlight w:val="none"/>
              </w:rPr>
              <w:t>4</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5" w:line="181" w:lineRule="auto"/>
              <w:ind w:left="233"/>
              <w:rPr>
                <w:color w:val="auto"/>
                <w:highlight w:val="none"/>
              </w:rPr>
            </w:pPr>
            <w:r>
              <w:rPr>
                <w:color w:val="auto"/>
                <w:highlight w:val="none"/>
              </w:rPr>
              <w:t>5</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7" w:line="182" w:lineRule="auto"/>
              <w:ind w:left="230"/>
              <w:rPr>
                <w:color w:val="auto"/>
                <w:highlight w:val="none"/>
              </w:rPr>
            </w:pPr>
            <w:r>
              <w:rPr>
                <w:color w:val="auto"/>
                <w:highlight w:val="none"/>
              </w:rPr>
              <w:t>6</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552" w:type="dxa"/>
            <w:vAlign w:val="top"/>
          </w:tcPr>
          <w:p>
            <w:pPr>
              <w:pStyle w:val="10"/>
              <w:spacing w:before="180" w:line="332" w:lineRule="exact"/>
              <w:ind w:left="189"/>
              <w:rPr>
                <w:color w:val="auto"/>
                <w:highlight w:val="none"/>
              </w:rPr>
            </w:pPr>
            <w:r>
              <w:rPr>
                <w:color w:val="auto"/>
                <w:position w:val="2"/>
                <w:highlight w:val="none"/>
              </w:rPr>
              <w:t>…</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898" w:type="dxa"/>
            <w:gridSpan w:val="12"/>
            <w:vAlign w:val="top"/>
          </w:tcPr>
          <w:p>
            <w:pPr>
              <w:pStyle w:val="10"/>
              <w:spacing w:before="290" w:line="220" w:lineRule="auto"/>
              <w:ind w:left="115"/>
              <w:rPr>
                <w:color w:val="auto"/>
                <w:highlight w:val="none"/>
              </w:rPr>
            </w:pPr>
            <w:r>
              <w:rPr>
                <w:color w:val="auto"/>
                <w:spacing w:val="-1"/>
                <w:highlight w:val="none"/>
              </w:rPr>
              <w:t>评标委员会全体成员签名：</w:t>
            </w:r>
          </w:p>
        </w:tc>
      </w:tr>
    </w:tbl>
    <w:p>
      <w:pPr>
        <w:spacing w:before="140" w:line="221" w:lineRule="auto"/>
        <w:ind w:right="35"/>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24"/>
          <w:sz w:val="21"/>
          <w:szCs w:val="21"/>
          <w:highlight w:val="none"/>
        </w:rPr>
        <w:t>日</w:t>
      </w:r>
    </w:p>
    <w:p>
      <w:pPr>
        <w:spacing w:line="221" w:lineRule="auto"/>
        <w:rPr>
          <w:rFonts w:ascii="宋体" w:hAnsi="宋体" w:eastAsia="宋体" w:cs="宋体"/>
          <w:color w:val="auto"/>
          <w:sz w:val="21"/>
          <w:szCs w:val="21"/>
          <w:highlight w:val="none"/>
        </w:rPr>
        <w:sectPr>
          <w:footerReference r:id="rId36" w:type="default"/>
          <w:pgSz w:w="11907" w:h="16841"/>
          <w:pgMar w:top="1431" w:right="1529" w:bottom="995" w:left="1474" w:header="0" w:footer="791" w:gutter="0"/>
          <w:pgNumType w:fmt="numberInDash"/>
          <w:cols w:space="720" w:num="1"/>
        </w:sectPr>
      </w:pPr>
    </w:p>
    <w:p>
      <w:pPr>
        <w:pStyle w:val="2"/>
        <w:spacing w:line="303" w:lineRule="auto"/>
        <w:rPr>
          <w:color w:val="auto"/>
          <w:highlight w:val="none"/>
        </w:rPr>
      </w:pPr>
    </w:p>
    <w:p>
      <w:pPr>
        <w:spacing w:before="78" w:line="219" w:lineRule="auto"/>
        <w:ind w:left="14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A-5</w:t>
      </w:r>
      <w:r>
        <w:rPr>
          <w:rFonts w:ascii="黑体" w:hAnsi="黑体" w:eastAsia="黑体" w:cs="黑体"/>
          <w:color w:val="auto"/>
          <w:spacing w:val="-3"/>
          <w:sz w:val="24"/>
          <w:szCs w:val="24"/>
          <w:highlight w:val="none"/>
        </w:rPr>
        <w:t>：资格评审记录表</w:t>
      </w:r>
    </w:p>
    <w:p>
      <w:pPr>
        <w:pStyle w:val="2"/>
        <w:spacing w:line="406" w:lineRule="auto"/>
        <w:rPr>
          <w:color w:val="auto"/>
          <w:highlight w:val="none"/>
        </w:rPr>
      </w:pPr>
    </w:p>
    <w:p>
      <w:pPr>
        <w:spacing w:before="117" w:line="219" w:lineRule="auto"/>
        <w:ind w:left="3216"/>
        <w:rPr>
          <w:rFonts w:ascii="黑体" w:hAnsi="黑体" w:eastAsia="黑体" w:cs="黑体"/>
          <w:color w:val="auto"/>
          <w:sz w:val="36"/>
          <w:szCs w:val="36"/>
          <w:highlight w:val="none"/>
        </w:rPr>
      </w:pPr>
      <w:r>
        <w:rPr>
          <w:rFonts w:ascii="黑体" w:hAnsi="黑体" w:eastAsia="黑体" w:cs="黑体"/>
          <w:color w:val="auto"/>
          <w:spacing w:val="-4"/>
          <w:sz w:val="36"/>
          <w:szCs w:val="36"/>
          <w:highlight w:val="none"/>
        </w:rPr>
        <w:t>资格评审记录表</w:t>
      </w:r>
    </w:p>
    <w:p>
      <w:pPr>
        <w:spacing w:before="239" w:line="221" w:lineRule="auto"/>
        <w:ind w:left="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22" w:line="212" w:lineRule="auto"/>
        <w:ind w:left="9"/>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52" w:type="dxa"/>
            <w:vMerge w:val="restart"/>
            <w:tcBorders>
              <w:bottom w:val="nil"/>
            </w:tcBorders>
            <w:textDirection w:val="tbRlV"/>
            <w:vAlign w:val="top"/>
          </w:tcPr>
          <w:p>
            <w:pPr>
              <w:pStyle w:val="10"/>
              <w:spacing w:before="167" w:line="211" w:lineRule="auto"/>
              <w:ind w:left="187"/>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168" w:type="dxa"/>
            <w:vMerge w:val="restart"/>
            <w:tcBorders>
              <w:bottom w:val="nil"/>
            </w:tcBorders>
            <w:vAlign w:val="top"/>
          </w:tcPr>
          <w:p>
            <w:pPr>
              <w:pStyle w:val="10"/>
              <w:spacing w:before="187" w:line="232" w:lineRule="auto"/>
              <w:ind w:left="479" w:right="162" w:hanging="311"/>
              <w:rPr>
                <w:color w:val="auto"/>
                <w:highlight w:val="none"/>
              </w:rPr>
            </w:pPr>
            <w:r>
              <w:rPr>
                <w:color w:val="auto"/>
                <w:spacing w:val="-3"/>
                <w:highlight w:val="none"/>
              </w:rPr>
              <w:t>投标人名</w:t>
            </w:r>
            <w:r>
              <w:rPr>
                <w:color w:val="auto"/>
                <w:spacing w:val="2"/>
                <w:highlight w:val="none"/>
              </w:rPr>
              <w:t xml:space="preserve"> </w:t>
            </w:r>
            <w:r>
              <w:rPr>
                <w:color w:val="auto"/>
                <w:highlight w:val="none"/>
              </w:rPr>
              <w:t>称</w:t>
            </w:r>
          </w:p>
        </w:tc>
        <w:tc>
          <w:tcPr>
            <w:tcW w:w="6118" w:type="dxa"/>
            <w:gridSpan w:val="9"/>
            <w:vAlign w:val="top"/>
          </w:tcPr>
          <w:p>
            <w:pPr>
              <w:pStyle w:val="10"/>
              <w:spacing w:before="108" w:line="221" w:lineRule="auto"/>
              <w:ind w:left="2118"/>
              <w:rPr>
                <w:color w:val="auto"/>
                <w:highlight w:val="none"/>
              </w:rPr>
            </w:pPr>
            <w:r>
              <w:rPr>
                <w:color w:val="auto"/>
                <w:spacing w:val="-1"/>
                <w:highlight w:val="none"/>
              </w:rPr>
              <w:t>评审标准及评审意见</w:t>
            </w:r>
          </w:p>
        </w:tc>
        <w:tc>
          <w:tcPr>
            <w:tcW w:w="1060" w:type="dxa"/>
            <w:vMerge w:val="restart"/>
            <w:tcBorders>
              <w:bottom w:val="nil"/>
            </w:tcBorders>
            <w:vAlign w:val="top"/>
          </w:tcPr>
          <w:p>
            <w:pPr>
              <w:spacing w:line="255" w:lineRule="auto"/>
              <w:rPr>
                <w:rFonts w:ascii="Arial"/>
                <w:color w:val="auto"/>
                <w:sz w:val="21"/>
                <w:highlight w:val="none"/>
              </w:rPr>
            </w:pPr>
          </w:p>
          <w:p>
            <w:pPr>
              <w:pStyle w:val="10"/>
              <w:spacing w:before="68" w:line="221" w:lineRule="auto"/>
              <w:ind w:left="114"/>
              <w:rPr>
                <w:color w:val="auto"/>
                <w:highlight w:val="none"/>
              </w:rPr>
            </w:pPr>
            <w:r>
              <w:rPr>
                <w:color w:val="auto"/>
                <w:spacing w:val="-1"/>
                <w:highlight w:val="none"/>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52" w:type="dxa"/>
            <w:vMerge w:val="continue"/>
            <w:tcBorders>
              <w:top w:val="nil"/>
            </w:tcBorders>
            <w:textDirection w:val="tbRlV"/>
            <w:vAlign w:val="top"/>
          </w:tcPr>
          <w:p>
            <w:pPr>
              <w:rPr>
                <w:rFonts w:ascii="Arial"/>
                <w:color w:val="auto"/>
                <w:sz w:val="21"/>
                <w:highlight w:val="none"/>
              </w:rPr>
            </w:pPr>
          </w:p>
        </w:tc>
        <w:tc>
          <w:tcPr>
            <w:tcW w:w="1168" w:type="dxa"/>
            <w:vMerge w:val="continue"/>
            <w:tcBorders>
              <w:top w:val="nil"/>
            </w:tcBorders>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211" w:line="183" w:lineRule="auto"/>
              <w:ind w:left="244"/>
              <w:rPr>
                <w:color w:val="auto"/>
                <w:highlight w:val="none"/>
              </w:rPr>
            </w:pPr>
            <w:r>
              <w:rPr>
                <w:color w:val="auto"/>
                <w:highlight w:val="none"/>
              </w:rPr>
              <w:t>1</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5" w:line="182" w:lineRule="auto"/>
              <w:ind w:left="231"/>
              <w:rPr>
                <w:color w:val="auto"/>
                <w:highlight w:val="none"/>
              </w:rPr>
            </w:pPr>
            <w:r>
              <w:rPr>
                <w:color w:val="auto"/>
                <w:highlight w:val="none"/>
              </w:rPr>
              <w:t>2</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5" w:line="182" w:lineRule="auto"/>
              <w:ind w:left="233"/>
              <w:rPr>
                <w:color w:val="auto"/>
                <w:highlight w:val="none"/>
              </w:rPr>
            </w:pPr>
            <w:r>
              <w:rPr>
                <w:color w:val="auto"/>
                <w:highlight w:val="none"/>
              </w:rPr>
              <w:t>3</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3" w:line="182" w:lineRule="auto"/>
              <w:ind w:left="227"/>
              <w:rPr>
                <w:color w:val="auto"/>
                <w:highlight w:val="none"/>
              </w:rPr>
            </w:pPr>
            <w:r>
              <w:rPr>
                <w:color w:val="auto"/>
                <w:highlight w:val="none"/>
              </w:rPr>
              <w:t>4</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7" w:line="181" w:lineRule="auto"/>
              <w:ind w:left="233"/>
              <w:rPr>
                <w:color w:val="auto"/>
                <w:highlight w:val="none"/>
              </w:rPr>
            </w:pPr>
            <w:r>
              <w:rPr>
                <w:color w:val="auto"/>
                <w:highlight w:val="none"/>
              </w:rPr>
              <w:t>5</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4" w:line="182" w:lineRule="auto"/>
              <w:ind w:left="230"/>
              <w:rPr>
                <w:color w:val="auto"/>
                <w:highlight w:val="none"/>
              </w:rPr>
            </w:pPr>
            <w:r>
              <w:rPr>
                <w:color w:val="auto"/>
                <w:highlight w:val="none"/>
              </w:rPr>
              <w:t>6</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181" w:line="332" w:lineRule="exact"/>
              <w:ind w:left="189"/>
              <w:rPr>
                <w:color w:val="auto"/>
                <w:highlight w:val="none"/>
              </w:rPr>
            </w:pPr>
            <w:r>
              <w:rPr>
                <w:color w:val="auto"/>
                <w:position w:val="2"/>
                <w:highlight w:val="none"/>
              </w:rPr>
              <w:t>…</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8898" w:type="dxa"/>
            <w:gridSpan w:val="12"/>
            <w:vAlign w:val="top"/>
          </w:tcPr>
          <w:p>
            <w:pPr>
              <w:spacing w:line="282" w:lineRule="auto"/>
              <w:rPr>
                <w:rFonts w:ascii="Arial"/>
                <w:color w:val="auto"/>
                <w:sz w:val="21"/>
                <w:highlight w:val="none"/>
              </w:rPr>
            </w:pPr>
          </w:p>
          <w:p>
            <w:pPr>
              <w:pStyle w:val="10"/>
              <w:spacing w:before="68" w:line="220" w:lineRule="auto"/>
              <w:ind w:left="115"/>
              <w:rPr>
                <w:color w:val="auto"/>
                <w:highlight w:val="none"/>
              </w:rPr>
            </w:pPr>
            <w:r>
              <w:rPr>
                <w:color w:val="auto"/>
                <w:spacing w:val="-1"/>
                <w:highlight w:val="none"/>
              </w:rPr>
              <w:t>评标委员会全体成员签名：</w:t>
            </w:r>
          </w:p>
        </w:tc>
      </w:tr>
    </w:tbl>
    <w:p>
      <w:pPr>
        <w:spacing w:before="140" w:line="221" w:lineRule="auto"/>
        <w:ind w:right="35"/>
        <w:jc w:val="right"/>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日期：</w:t>
      </w:r>
      <w:r>
        <w:rPr>
          <w:rFonts w:ascii="宋体" w:hAnsi="宋体" w:eastAsia="宋体" w:cs="宋体"/>
          <w:color w:val="auto"/>
          <w:spacing w:val="2"/>
          <w:sz w:val="21"/>
          <w:szCs w:val="21"/>
          <w:highlight w:val="none"/>
        </w:rPr>
        <w:t xml:space="preserve">    </w:t>
      </w:r>
      <w:r>
        <w:rPr>
          <w:rFonts w:ascii="宋体" w:hAnsi="宋体" w:eastAsia="宋体" w:cs="宋体"/>
          <w:color w:val="auto"/>
          <w:spacing w:val="-11"/>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1"/>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日</w:t>
      </w:r>
    </w:p>
    <w:p>
      <w:pPr>
        <w:spacing w:line="221" w:lineRule="auto"/>
        <w:rPr>
          <w:rFonts w:ascii="宋体" w:hAnsi="宋体" w:eastAsia="宋体" w:cs="宋体"/>
          <w:color w:val="auto"/>
          <w:sz w:val="21"/>
          <w:szCs w:val="21"/>
          <w:highlight w:val="none"/>
        </w:rPr>
        <w:sectPr>
          <w:footerReference r:id="rId37" w:type="default"/>
          <w:pgSz w:w="11907" w:h="16841"/>
          <w:pgMar w:top="1431" w:right="1529" w:bottom="995" w:left="1474" w:header="0" w:footer="791" w:gutter="0"/>
          <w:pgNumType w:fmt="numberInDash"/>
          <w:cols w:space="720" w:num="1"/>
        </w:sectPr>
      </w:pPr>
    </w:p>
    <w:p>
      <w:pPr>
        <w:pStyle w:val="2"/>
        <w:spacing w:line="303" w:lineRule="auto"/>
        <w:rPr>
          <w:color w:val="auto"/>
          <w:highlight w:val="none"/>
        </w:rPr>
      </w:pPr>
    </w:p>
    <w:p>
      <w:pPr>
        <w:spacing w:before="78" w:line="219" w:lineRule="auto"/>
        <w:ind w:left="14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1"/>
          <w:sz w:val="24"/>
          <w:szCs w:val="24"/>
          <w:highlight w:val="none"/>
        </w:rPr>
        <w:t xml:space="preserve"> </w:t>
      </w:r>
      <w:r>
        <w:rPr>
          <w:rFonts w:ascii="Times New Roman" w:hAnsi="Times New Roman" w:eastAsia="Times New Roman" w:cs="Times New Roman"/>
          <w:color w:val="auto"/>
          <w:spacing w:val="-3"/>
          <w:sz w:val="24"/>
          <w:szCs w:val="24"/>
          <w:highlight w:val="none"/>
        </w:rPr>
        <w:t>A-6</w:t>
      </w:r>
      <w:r>
        <w:rPr>
          <w:rFonts w:ascii="黑体" w:hAnsi="黑体" w:eastAsia="黑体" w:cs="黑体"/>
          <w:color w:val="auto"/>
          <w:spacing w:val="-3"/>
          <w:sz w:val="24"/>
          <w:szCs w:val="24"/>
          <w:highlight w:val="none"/>
        </w:rPr>
        <w:t>：响应性评审记录表</w:t>
      </w:r>
    </w:p>
    <w:p>
      <w:pPr>
        <w:pStyle w:val="2"/>
        <w:spacing w:line="406" w:lineRule="auto"/>
        <w:rPr>
          <w:color w:val="auto"/>
          <w:highlight w:val="none"/>
        </w:rPr>
      </w:pPr>
    </w:p>
    <w:p>
      <w:pPr>
        <w:spacing w:before="117" w:line="219" w:lineRule="auto"/>
        <w:ind w:left="3038"/>
        <w:rPr>
          <w:rFonts w:ascii="黑体" w:hAnsi="黑体" w:eastAsia="黑体" w:cs="黑体"/>
          <w:color w:val="auto"/>
          <w:sz w:val="36"/>
          <w:szCs w:val="36"/>
          <w:highlight w:val="none"/>
        </w:rPr>
      </w:pPr>
      <w:r>
        <w:rPr>
          <w:rFonts w:ascii="黑体" w:hAnsi="黑体" w:eastAsia="黑体" w:cs="黑体"/>
          <w:color w:val="auto"/>
          <w:spacing w:val="-4"/>
          <w:sz w:val="36"/>
          <w:szCs w:val="36"/>
          <w:highlight w:val="none"/>
        </w:rPr>
        <w:t>响应性评审记录表</w:t>
      </w:r>
    </w:p>
    <w:p>
      <w:pPr>
        <w:spacing w:before="239" w:line="221" w:lineRule="auto"/>
        <w:ind w:left="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22" w:line="212" w:lineRule="auto"/>
        <w:ind w:left="9"/>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52" w:type="dxa"/>
            <w:vMerge w:val="restart"/>
            <w:tcBorders>
              <w:bottom w:val="nil"/>
            </w:tcBorders>
            <w:textDirection w:val="tbRlV"/>
            <w:vAlign w:val="top"/>
          </w:tcPr>
          <w:p>
            <w:pPr>
              <w:pStyle w:val="10"/>
              <w:spacing w:before="167" w:line="211" w:lineRule="auto"/>
              <w:ind w:left="187"/>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168" w:type="dxa"/>
            <w:vMerge w:val="restart"/>
            <w:tcBorders>
              <w:bottom w:val="nil"/>
            </w:tcBorders>
            <w:vAlign w:val="top"/>
          </w:tcPr>
          <w:p>
            <w:pPr>
              <w:pStyle w:val="10"/>
              <w:spacing w:before="187" w:line="232" w:lineRule="auto"/>
              <w:ind w:left="479" w:right="162" w:hanging="311"/>
              <w:rPr>
                <w:color w:val="auto"/>
                <w:highlight w:val="none"/>
              </w:rPr>
            </w:pPr>
            <w:r>
              <w:rPr>
                <w:color w:val="auto"/>
                <w:spacing w:val="-3"/>
                <w:highlight w:val="none"/>
              </w:rPr>
              <w:t>投标人名</w:t>
            </w:r>
            <w:r>
              <w:rPr>
                <w:color w:val="auto"/>
                <w:spacing w:val="2"/>
                <w:highlight w:val="none"/>
              </w:rPr>
              <w:t xml:space="preserve"> </w:t>
            </w:r>
            <w:r>
              <w:rPr>
                <w:color w:val="auto"/>
                <w:highlight w:val="none"/>
              </w:rPr>
              <w:t>称</w:t>
            </w:r>
          </w:p>
        </w:tc>
        <w:tc>
          <w:tcPr>
            <w:tcW w:w="6118" w:type="dxa"/>
            <w:gridSpan w:val="9"/>
            <w:vAlign w:val="top"/>
          </w:tcPr>
          <w:p>
            <w:pPr>
              <w:pStyle w:val="10"/>
              <w:spacing w:before="108" w:line="221" w:lineRule="auto"/>
              <w:ind w:left="2118"/>
              <w:rPr>
                <w:color w:val="auto"/>
                <w:highlight w:val="none"/>
              </w:rPr>
            </w:pPr>
            <w:r>
              <w:rPr>
                <w:color w:val="auto"/>
                <w:spacing w:val="-1"/>
                <w:highlight w:val="none"/>
              </w:rPr>
              <w:t>评审标准及评审意见</w:t>
            </w:r>
          </w:p>
        </w:tc>
        <w:tc>
          <w:tcPr>
            <w:tcW w:w="1060" w:type="dxa"/>
            <w:vMerge w:val="restart"/>
            <w:tcBorders>
              <w:bottom w:val="nil"/>
            </w:tcBorders>
            <w:vAlign w:val="top"/>
          </w:tcPr>
          <w:p>
            <w:pPr>
              <w:spacing w:line="255" w:lineRule="auto"/>
              <w:rPr>
                <w:rFonts w:ascii="Arial"/>
                <w:color w:val="auto"/>
                <w:sz w:val="21"/>
                <w:highlight w:val="none"/>
              </w:rPr>
            </w:pPr>
          </w:p>
          <w:p>
            <w:pPr>
              <w:pStyle w:val="10"/>
              <w:spacing w:before="68" w:line="221" w:lineRule="auto"/>
              <w:ind w:left="114"/>
              <w:rPr>
                <w:color w:val="auto"/>
                <w:highlight w:val="none"/>
              </w:rPr>
            </w:pPr>
            <w:r>
              <w:rPr>
                <w:color w:val="auto"/>
                <w:spacing w:val="-1"/>
                <w:highlight w:val="none"/>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52" w:type="dxa"/>
            <w:vMerge w:val="continue"/>
            <w:tcBorders>
              <w:top w:val="nil"/>
            </w:tcBorders>
            <w:textDirection w:val="tbRlV"/>
            <w:vAlign w:val="top"/>
          </w:tcPr>
          <w:p>
            <w:pPr>
              <w:rPr>
                <w:rFonts w:ascii="Arial"/>
                <w:color w:val="auto"/>
                <w:sz w:val="21"/>
                <w:highlight w:val="none"/>
              </w:rPr>
            </w:pPr>
          </w:p>
        </w:tc>
        <w:tc>
          <w:tcPr>
            <w:tcW w:w="1168" w:type="dxa"/>
            <w:vMerge w:val="continue"/>
            <w:tcBorders>
              <w:top w:val="nil"/>
            </w:tcBorders>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211" w:line="183" w:lineRule="auto"/>
              <w:ind w:left="244"/>
              <w:rPr>
                <w:color w:val="auto"/>
                <w:highlight w:val="none"/>
              </w:rPr>
            </w:pPr>
            <w:r>
              <w:rPr>
                <w:color w:val="auto"/>
                <w:highlight w:val="none"/>
              </w:rPr>
              <w:t>1</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215" w:line="182" w:lineRule="auto"/>
              <w:ind w:left="231"/>
              <w:rPr>
                <w:color w:val="auto"/>
                <w:highlight w:val="none"/>
              </w:rPr>
            </w:pPr>
            <w:r>
              <w:rPr>
                <w:color w:val="auto"/>
                <w:highlight w:val="none"/>
              </w:rPr>
              <w:t>2</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6" w:line="182" w:lineRule="auto"/>
              <w:ind w:left="233"/>
              <w:rPr>
                <w:color w:val="auto"/>
                <w:highlight w:val="none"/>
              </w:rPr>
            </w:pPr>
            <w:r>
              <w:rPr>
                <w:color w:val="auto"/>
                <w:highlight w:val="none"/>
              </w:rPr>
              <w:t>3</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4" w:line="182" w:lineRule="auto"/>
              <w:ind w:left="227"/>
              <w:rPr>
                <w:color w:val="auto"/>
                <w:highlight w:val="none"/>
              </w:rPr>
            </w:pPr>
            <w:r>
              <w:rPr>
                <w:color w:val="auto"/>
                <w:highlight w:val="none"/>
              </w:rPr>
              <w:t>4</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8" w:line="181" w:lineRule="auto"/>
              <w:ind w:left="233"/>
              <w:rPr>
                <w:color w:val="auto"/>
                <w:highlight w:val="none"/>
              </w:rPr>
            </w:pPr>
            <w:r>
              <w:rPr>
                <w:color w:val="auto"/>
                <w:highlight w:val="none"/>
              </w:rPr>
              <w:t>5</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5" w:line="182" w:lineRule="auto"/>
              <w:ind w:left="230"/>
              <w:rPr>
                <w:color w:val="auto"/>
                <w:highlight w:val="none"/>
              </w:rPr>
            </w:pPr>
            <w:r>
              <w:rPr>
                <w:color w:val="auto"/>
                <w:highlight w:val="none"/>
              </w:rPr>
              <w:t>6</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182" w:line="332" w:lineRule="exact"/>
              <w:ind w:left="189"/>
              <w:rPr>
                <w:color w:val="auto"/>
                <w:highlight w:val="none"/>
              </w:rPr>
            </w:pPr>
            <w:r>
              <w:rPr>
                <w:color w:val="auto"/>
                <w:position w:val="2"/>
                <w:highlight w:val="none"/>
              </w:rPr>
              <w:t>…</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898" w:type="dxa"/>
            <w:gridSpan w:val="12"/>
            <w:vAlign w:val="top"/>
          </w:tcPr>
          <w:p>
            <w:pPr>
              <w:pStyle w:val="10"/>
              <w:spacing w:before="34" w:line="220" w:lineRule="auto"/>
              <w:ind w:left="115"/>
              <w:rPr>
                <w:color w:val="auto"/>
                <w:highlight w:val="none"/>
              </w:rPr>
            </w:pPr>
            <w:r>
              <w:rPr>
                <w:color w:val="auto"/>
                <w:spacing w:val="-1"/>
                <w:highlight w:val="none"/>
              </w:rPr>
              <w:t>评标委员会全体成员签名：</w:t>
            </w:r>
          </w:p>
        </w:tc>
      </w:tr>
    </w:tbl>
    <w:p>
      <w:pPr>
        <w:spacing w:before="137" w:line="221" w:lineRule="auto"/>
        <w:ind w:left="624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日期：</w:t>
      </w:r>
      <w:r>
        <w:rPr>
          <w:rFonts w:ascii="宋体" w:hAnsi="宋体" w:eastAsia="宋体" w:cs="宋体"/>
          <w:color w:val="auto"/>
          <w:spacing w:val="2"/>
          <w:sz w:val="21"/>
          <w:szCs w:val="21"/>
          <w:highlight w:val="none"/>
        </w:rPr>
        <w:t xml:space="preserve">    </w:t>
      </w:r>
      <w:r>
        <w:rPr>
          <w:rFonts w:ascii="宋体" w:hAnsi="宋体" w:eastAsia="宋体" w:cs="宋体"/>
          <w:color w:val="auto"/>
          <w:spacing w:val="-11"/>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1"/>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日</w:t>
      </w:r>
    </w:p>
    <w:p>
      <w:pPr>
        <w:spacing w:line="221" w:lineRule="auto"/>
        <w:rPr>
          <w:rFonts w:ascii="宋体" w:hAnsi="宋体" w:eastAsia="宋体" w:cs="宋体"/>
          <w:color w:val="auto"/>
          <w:sz w:val="21"/>
          <w:szCs w:val="21"/>
          <w:highlight w:val="none"/>
        </w:rPr>
        <w:sectPr>
          <w:footerReference r:id="rId38" w:type="default"/>
          <w:pgSz w:w="11907" w:h="16841"/>
          <w:pgMar w:top="1431" w:right="1529" w:bottom="995" w:left="1474" w:header="0" w:footer="791" w:gutter="0"/>
          <w:pgNumType w:fmt="numberInDash"/>
          <w:cols w:space="720" w:num="1"/>
        </w:sectPr>
      </w:pPr>
    </w:p>
    <w:p>
      <w:pPr>
        <w:pStyle w:val="2"/>
        <w:spacing w:line="303" w:lineRule="auto"/>
        <w:rPr>
          <w:color w:val="auto"/>
          <w:highlight w:val="none"/>
        </w:rPr>
      </w:pPr>
    </w:p>
    <w:p>
      <w:pPr>
        <w:spacing w:before="78" w:line="219" w:lineRule="auto"/>
        <w:ind w:left="140"/>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w:t>
      </w:r>
      <w:r>
        <w:rPr>
          <w:rFonts w:ascii="黑体" w:hAnsi="黑体" w:eastAsia="黑体" w:cs="黑体"/>
          <w:color w:val="auto"/>
          <w:spacing w:val="-58"/>
          <w:sz w:val="24"/>
          <w:szCs w:val="24"/>
          <w:highlight w:val="none"/>
        </w:rPr>
        <w:t xml:space="preserve"> </w:t>
      </w:r>
      <w:r>
        <w:rPr>
          <w:rFonts w:ascii="Times New Roman" w:hAnsi="Times New Roman" w:eastAsia="Times New Roman" w:cs="Times New Roman"/>
          <w:color w:val="auto"/>
          <w:spacing w:val="-2"/>
          <w:sz w:val="24"/>
          <w:szCs w:val="24"/>
          <w:highlight w:val="none"/>
        </w:rPr>
        <w:t>A-7</w:t>
      </w:r>
      <w:r>
        <w:rPr>
          <w:rFonts w:ascii="黑体" w:hAnsi="黑体" w:eastAsia="黑体" w:cs="黑体"/>
          <w:color w:val="auto"/>
          <w:spacing w:val="-2"/>
          <w:sz w:val="24"/>
          <w:szCs w:val="24"/>
          <w:highlight w:val="none"/>
        </w:rPr>
        <w:t>：施工组织设计评审记录表（合格</w:t>
      </w:r>
      <w:r>
        <w:rPr>
          <w:rFonts w:ascii="黑体" w:hAnsi="黑体" w:eastAsia="黑体" w:cs="黑体"/>
          <w:color w:val="auto"/>
          <w:spacing w:val="-3"/>
          <w:sz w:val="24"/>
          <w:szCs w:val="24"/>
          <w:highlight w:val="none"/>
        </w:rPr>
        <w:t>性）</w:t>
      </w:r>
    </w:p>
    <w:p>
      <w:pPr>
        <w:pStyle w:val="2"/>
        <w:spacing w:line="298" w:lineRule="auto"/>
        <w:rPr>
          <w:color w:val="auto"/>
          <w:highlight w:val="none"/>
        </w:rPr>
      </w:pPr>
    </w:p>
    <w:p>
      <w:pPr>
        <w:pStyle w:val="2"/>
        <w:spacing w:line="299" w:lineRule="auto"/>
        <w:rPr>
          <w:color w:val="auto"/>
          <w:highlight w:val="none"/>
        </w:rPr>
      </w:pPr>
    </w:p>
    <w:p>
      <w:pPr>
        <w:spacing w:before="117" w:line="206" w:lineRule="auto"/>
        <w:ind w:left="2481"/>
        <w:rPr>
          <w:rFonts w:ascii="黑体" w:hAnsi="黑体" w:eastAsia="黑体" w:cs="黑体"/>
          <w:color w:val="auto"/>
          <w:sz w:val="36"/>
          <w:szCs w:val="36"/>
          <w:highlight w:val="none"/>
        </w:rPr>
      </w:pPr>
      <w:r>
        <w:rPr>
          <w:rFonts w:ascii="黑体" w:hAnsi="黑体" w:eastAsia="黑体" w:cs="黑体"/>
          <w:color w:val="auto"/>
          <w:spacing w:val="-1"/>
          <w:sz w:val="36"/>
          <w:szCs w:val="36"/>
          <w:highlight w:val="none"/>
        </w:rPr>
        <w:t>施工组织设计评审记录表</w:t>
      </w:r>
    </w:p>
    <w:p>
      <w:pPr>
        <w:spacing w:line="214" w:lineRule="auto"/>
        <w:ind w:left="1787"/>
        <w:rPr>
          <w:rFonts w:ascii="黑体" w:hAnsi="黑体" w:eastAsia="黑体" w:cs="黑体"/>
          <w:color w:val="auto"/>
          <w:sz w:val="36"/>
          <w:szCs w:val="36"/>
          <w:highlight w:val="none"/>
        </w:rPr>
      </w:pPr>
      <w:r>
        <w:rPr>
          <w:rFonts w:ascii="黑体" w:hAnsi="黑体" w:eastAsia="黑体" w:cs="黑体"/>
          <w:color w:val="auto"/>
          <w:spacing w:val="-5"/>
          <w:sz w:val="36"/>
          <w:szCs w:val="36"/>
          <w:highlight w:val="none"/>
        </w:rPr>
        <w:t>（适用于经评审的最低投标价法）</w:t>
      </w:r>
    </w:p>
    <w:p>
      <w:pPr>
        <w:spacing w:line="221" w:lineRule="auto"/>
        <w:ind w:left="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ind w:left="9"/>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52" w:type="dxa"/>
            <w:vMerge w:val="restart"/>
            <w:tcBorders>
              <w:bottom w:val="nil"/>
            </w:tcBorders>
            <w:textDirection w:val="tbRlV"/>
            <w:vAlign w:val="top"/>
          </w:tcPr>
          <w:p>
            <w:pPr>
              <w:pStyle w:val="10"/>
              <w:spacing w:before="167" w:line="211" w:lineRule="auto"/>
              <w:ind w:left="187"/>
              <w:rPr>
                <w:color w:val="auto"/>
                <w:highlight w:val="none"/>
              </w:rPr>
            </w:pPr>
            <w:r>
              <w:rPr>
                <w:color w:val="auto"/>
                <w:spacing w:val="31"/>
                <w:highlight w:val="none"/>
              </w:rPr>
              <w:t>序号</w:t>
            </w:r>
          </w:p>
        </w:tc>
        <w:tc>
          <w:tcPr>
            <w:tcW w:w="1168" w:type="dxa"/>
            <w:vMerge w:val="restart"/>
            <w:tcBorders>
              <w:bottom w:val="nil"/>
            </w:tcBorders>
            <w:vAlign w:val="top"/>
          </w:tcPr>
          <w:p>
            <w:pPr>
              <w:pStyle w:val="10"/>
              <w:spacing w:before="187" w:line="231" w:lineRule="auto"/>
              <w:ind w:left="479" w:right="162" w:hanging="311"/>
              <w:rPr>
                <w:color w:val="auto"/>
                <w:highlight w:val="none"/>
              </w:rPr>
            </w:pPr>
            <w:r>
              <w:rPr>
                <w:color w:val="auto"/>
                <w:spacing w:val="-3"/>
                <w:highlight w:val="none"/>
              </w:rPr>
              <w:t>投标人名</w:t>
            </w:r>
            <w:r>
              <w:rPr>
                <w:color w:val="auto"/>
                <w:spacing w:val="2"/>
                <w:highlight w:val="none"/>
              </w:rPr>
              <w:t xml:space="preserve"> </w:t>
            </w:r>
            <w:r>
              <w:rPr>
                <w:color w:val="auto"/>
                <w:highlight w:val="none"/>
              </w:rPr>
              <w:t>称</w:t>
            </w:r>
          </w:p>
        </w:tc>
        <w:tc>
          <w:tcPr>
            <w:tcW w:w="6118" w:type="dxa"/>
            <w:gridSpan w:val="9"/>
            <w:vAlign w:val="top"/>
          </w:tcPr>
          <w:p>
            <w:pPr>
              <w:pStyle w:val="10"/>
              <w:spacing w:before="108" w:line="221" w:lineRule="auto"/>
              <w:ind w:left="2118"/>
              <w:rPr>
                <w:color w:val="auto"/>
                <w:highlight w:val="none"/>
              </w:rPr>
            </w:pPr>
            <w:r>
              <w:rPr>
                <w:color w:val="auto"/>
                <w:spacing w:val="-1"/>
                <w:highlight w:val="none"/>
              </w:rPr>
              <w:t>评审标准及评审意见</w:t>
            </w:r>
          </w:p>
        </w:tc>
        <w:tc>
          <w:tcPr>
            <w:tcW w:w="1060" w:type="dxa"/>
            <w:vMerge w:val="restart"/>
            <w:tcBorders>
              <w:bottom w:val="nil"/>
            </w:tcBorders>
            <w:vAlign w:val="top"/>
          </w:tcPr>
          <w:p>
            <w:pPr>
              <w:spacing w:line="253" w:lineRule="auto"/>
              <w:rPr>
                <w:rFonts w:ascii="Arial"/>
                <w:color w:val="auto"/>
                <w:sz w:val="21"/>
                <w:highlight w:val="none"/>
              </w:rPr>
            </w:pPr>
          </w:p>
          <w:p>
            <w:pPr>
              <w:pStyle w:val="10"/>
              <w:spacing w:before="68" w:line="221" w:lineRule="auto"/>
              <w:ind w:left="114"/>
              <w:rPr>
                <w:color w:val="auto"/>
                <w:highlight w:val="none"/>
              </w:rPr>
            </w:pPr>
            <w:r>
              <w:rPr>
                <w:color w:val="auto"/>
                <w:spacing w:val="-1"/>
                <w:highlight w:val="none"/>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52" w:type="dxa"/>
            <w:vMerge w:val="continue"/>
            <w:tcBorders>
              <w:top w:val="nil"/>
            </w:tcBorders>
            <w:textDirection w:val="tbRlV"/>
            <w:vAlign w:val="top"/>
          </w:tcPr>
          <w:p>
            <w:pPr>
              <w:rPr>
                <w:rFonts w:ascii="Arial"/>
                <w:color w:val="auto"/>
                <w:sz w:val="21"/>
                <w:highlight w:val="none"/>
              </w:rPr>
            </w:pPr>
          </w:p>
        </w:tc>
        <w:tc>
          <w:tcPr>
            <w:tcW w:w="1168" w:type="dxa"/>
            <w:vMerge w:val="continue"/>
            <w:tcBorders>
              <w:top w:val="nil"/>
            </w:tcBorders>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3" w:line="183" w:lineRule="auto"/>
              <w:ind w:left="244"/>
              <w:rPr>
                <w:color w:val="auto"/>
                <w:highlight w:val="none"/>
              </w:rPr>
            </w:pPr>
            <w:r>
              <w:rPr>
                <w:color w:val="auto"/>
                <w:highlight w:val="none"/>
              </w:rPr>
              <w:t>1</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212" w:line="182" w:lineRule="auto"/>
              <w:ind w:left="231"/>
              <w:rPr>
                <w:color w:val="auto"/>
                <w:highlight w:val="none"/>
              </w:rPr>
            </w:pPr>
            <w:r>
              <w:rPr>
                <w:color w:val="auto"/>
                <w:highlight w:val="none"/>
              </w:rPr>
              <w:t>2</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5" w:line="182" w:lineRule="auto"/>
              <w:ind w:left="233"/>
              <w:rPr>
                <w:color w:val="auto"/>
                <w:highlight w:val="none"/>
              </w:rPr>
            </w:pPr>
            <w:r>
              <w:rPr>
                <w:color w:val="auto"/>
                <w:highlight w:val="none"/>
              </w:rPr>
              <w:t>3</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5" w:line="182" w:lineRule="auto"/>
              <w:ind w:left="227"/>
              <w:rPr>
                <w:color w:val="auto"/>
                <w:highlight w:val="none"/>
              </w:rPr>
            </w:pPr>
            <w:r>
              <w:rPr>
                <w:color w:val="auto"/>
                <w:highlight w:val="none"/>
              </w:rPr>
              <w:t>4</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vAlign w:val="top"/>
          </w:tcPr>
          <w:p>
            <w:pPr>
              <w:pStyle w:val="10"/>
              <w:spacing w:before="215" w:line="181" w:lineRule="auto"/>
              <w:ind w:left="233"/>
              <w:rPr>
                <w:color w:val="auto"/>
                <w:highlight w:val="none"/>
              </w:rPr>
            </w:pPr>
            <w:r>
              <w:rPr>
                <w:color w:val="auto"/>
                <w:highlight w:val="none"/>
              </w:rPr>
              <w:t>5</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vAlign w:val="top"/>
          </w:tcPr>
          <w:p>
            <w:pPr>
              <w:pStyle w:val="10"/>
              <w:spacing w:before="216" w:line="182" w:lineRule="auto"/>
              <w:ind w:left="230"/>
              <w:rPr>
                <w:color w:val="auto"/>
                <w:highlight w:val="none"/>
              </w:rPr>
            </w:pPr>
            <w:r>
              <w:rPr>
                <w:color w:val="auto"/>
                <w:highlight w:val="none"/>
              </w:rPr>
              <w:t>6</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vAlign w:val="top"/>
          </w:tcPr>
          <w:p>
            <w:pPr>
              <w:pStyle w:val="10"/>
              <w:spacing w:before="179" w:line="332" w:lineRule="exact"/>
              <w:ind w:left="189"/>
              <w:rPr>
                <w:color w:val="auto"/>
                <w:highlight w:val="none"/>
              </w:rPr>
            </w:pPr>
            <w:r>
              <w:rPr>
                <w:color w:val="auto"/>
                <w:position w:val="2"/>
                <w:highlight w:val="none"/>
              </w:rPr>
              <w:t>…</w:t>
            </w:r>
          </w:p>
        </w:tc>
        <w:tc>
          <w:tcPr>
            <w:tcW w:w="1168"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1"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79" w:type="dxa"/>
            <w:vAlign w:val="top"/>
          </w:tcPr>
          <w:p>
            <w:pPr>
              <w:rPr>
                <w:rFonts w:ascii="Arial"/>
                <w:color w:val="auto"/>
                <w:sz w:val="21"/>
                <w:highlight w:val="none"/>
              </w:rPr>
            </w:pPr>
          </w:p>
        </w:tc>
        <w:tc>
          <w:tcPr>
            <w:tcW w:w="682" w:type="dxa"/>
            <w:vAlign w:val="top"/>
          </w:tcPr>
          <w:p>
            <w:pPr>
              <w:rPr>
                <w:rFonts w:ascii="Arial"/>
                <w:color w:val="auto"/>
                <w:sz w:val="21"/>
                <w:highlight w:val="none"/>
              </w:rPr>
            </w:pPr>
          </w:p>
        </w:tc>
        <w:tc>
          <w:tcPr>
            <w:tcW w:w="106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898" w:type="dxa"/>
            <w:gridSpan w:val="12"/>
            <w:vAlign w:val="top"/>
          </w:tcPr>
          <w:p>
            <w:pPr>
              <w:pStyle w:val="10"/>
              <w:spacing w:before="33" w:line="220" w:lineRule="auto"/>
              <w:ind w:left="115"/>
              <w:rPr>
                <w:color w:val="auto"/>
                <w:highlight w:val="none"/>
              </w:rPr>
            </w:pPr>
            <w:r>
              <w:rPr>
                <w:color w:val="auto"/>
                <w:spacing w:val="-1"/>
                <w:highlight w:val="none"/>
              </w:rPr>
              <w:t>评标委员会全体成员签名：</w:t>
            </w:r>
          </w:p>
        </w:tc>
      </w:tr>
    </w:tbl>
    <w:p>
      <w:pPr>
        <w:spacing w:before="140" w:line="221" w:lineRule="auto"/>
        <w:ind w:left="624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日期：</w:t>
      </w:r>
      <w:r>
        <w:rPr>
          <w:rFonts w:ascii="宋体" w:hAnsi="宋体" w:eastAsia="宋体" w:cs="宋体"/>
          <w:color w:val="auto"/>
          <w:spacing w:val="2"/>
          <w:sz w:val="21"/>
          <w:szCs w:val="21"/>
          <w:highlight w:val="none"/>
        </w:rPr>
        <w:t xml:space="preserve">    </w:t>
      </w:r>
      <w:r>
        <w:rPr>
          <w:rFonts w:ascii="宋体" w:hAnsi="宋体" w:eastAsia="宋体" w:cs="宋体"/>
          <w:color w:val="auto"/>
          <w:spacing w:val="-11"/>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1"/>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日</w:t>
      </w:r>
    </w:p>
    <w:p>
      <w:pPr>
        <w:spacing w:line="221" w:lineRule="auto"/>
        <w:rPr>
          <w:rFonts w:ascii="宋体" w:hAnsi="宋体" w:eastAsia="宋体" w:cs="宋体"/>
          <w:color w:val="auto"/>
          <w:sz w:val="21"/>
          <w:szCs w:val="21"/>
          <w:highlight w:val="none"/>
        </w:rPr>
        <w:sectPr>
          <w:footerReference r:id="rId39" w:type="default"/>
          <w:pgSz w:w="11907" w:h="16841"/>
          <w:pgMar w:top="1431" w:right="1529" w:bottom="995" w:left="1474" w:header="0" w:footer="791" w:gutter="0"/>
          <w:pgNumType w:fmt="numberInDash"/>
          <w:cols w:space="720" w:num="1"/>
        </w:sectPr>
      </w:pPr>
    </w:p>
    <w:p>
      <w:pPr>
        <w:spacing w:before="124" w:line="219" w:lineRule="auto"/>
        <w:ind w:left="25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8"/>
          <w:sz w:val="24"/>
          <w:szCs w:val="24"/>
          <w:highlight w:val="none"/>
        </w:rPr>
        <w:t xml:space="preserve"> </w:t>
      </w:r>
      <w:r>
        <w:rPr>
          <w:rFonts w:ascii="Times New Roman" w:hAnsi="Times New Roman" w:eastAsia="Times New Roman" w:cs="Times New Roman"/>
          <w:color w:val="auto"/>
          <w:spacing w:val="-3"/>
          <w:sz w:val="24"/>
          <w:szCs w:val="24"/>
          <w:highlight w:val="none"/>
        </w:rPr>
        <w:t>A-8</w:t>
      </w:r>
      <w:r>
        <w:rPr>
          <w:rFonts w:ascii="黑体" w:hAnsi="黑体" w:eastAsia="黑体" w:cs="黑体"/>
          <w:color w:val="auto"/>
          <w:spacing w:val="-3"/>
          <w:sz w:val="24"/>
          <w:szCs w:val="24"/>
          <w:highlight w:val="none"/>
        </w:rPr>
        <w:t>：初步评审汇总记录表</w:t>
      </w:r>
    </w:p>
    <w:p>
      <w:pPr>
        <w:pStyle w:val="2"/>
        <w:spacing w:line="320" w:lineRule="auto"/>
        <w:rPr>
          <w:color w:val="auto"/>
          <w:highlight w:val="none"/>
        </w:rPr>
      </w:pPr>
    </w:p>
    <w:p>
      <w:pPr>
        <w:pStyle w:val="2"/>
        <w:spacing w:line="320" w:lineRule="auto"/>
        <w:rPr>
          <w:color w:val="auto"/>
          <w:highlight w:val="none"/>
        </w:rPr>
      </w:pPr>
    </w:p>
    <w:p>
      <w:pPr>
        <w:spacing w:before="117" w:line="219" w:lineRule="auto"/>
        <w:ind w:left="2658"/>
        <w:rPr>
          <w:rFonts w:ascii="黑体" w:hAnsi="黑体" w:eastAsia="黑体" w:cs="黑体"/>
          <w:color w:val="auto"/>
          <w:sz w:val="36"/>
          <w:szCs w:val="36"/>
          <w:highlight w:val="none"/>
        </w:rPr>
      </w:pPr>
      <w:bookmarkStart w:id="105" w:name="bookmark144"/>
      <w:bookmarkEnd w:id="105"/>
      <w:r>
        <w:rPr>
          <w:rFonts w:ascii="黑体" w:hAnsi="黑体" w:eastAsia="黑体" w:cs="黑体"/>
          <w:color w:val="auto"/>
          <w:spacing w:val="-2"/>
          <w:sz w:val="36"/>
          <w:szCs w:val="36"/>
          <w:highlight w:val="none"/>
        </w:rPr>
        <w:t>初步评审汇总记录表</w:t>
      </w:r>
    </w:p>
    <w:p>
      <w:pPr>
        <w:spacing w:line="213" w:lineRule="exact"/>
        <w:rPr>
          <w:color w:val="auto"/>
          <w:highlight w:val="none"/>
        </w:rPr>
      </w:pPr>
    </w:p>
    <w:p>
      <w:pPr>
        <w:spacing w:line="213" w:lineRule="exact"/>
        <w:rPr>
          <w:color w:val="auto"/>
          <w:highlight w:val="none"/>
        </w:rPr>
        <w:sectPr>
          <w:footerReference r:id="rId40" w:type="default"/>
          <w:pgSz w:w="11907" w:h="16839"/>
          <w:pgMar w:top="1431" w:right="1785" w:bottom="1135" w:left="1685" w:header="0" w:footer="930" w:gutter="0"/>
          <w:pgNumType w:fmt="numberInDash"/>
          <w:cols w:equalWidth="0" w:num="1">
            <w:col w:w="8436"/>
          </w:cols>
        </w:sectPr>
      </w:pPr>
    </w:p>
    <w:p>
      <w:pPr>
        <w:spacing w:before="42" w:line="221" w:lineRule="auto"/>
        <w:ind w:left="12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186" w:lineRule="auto"/>
        <w:ind w:left="121"/>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p>
      <w:pPr>
        <w:pStyle w:val="2"/>
        <w:spacing w:line="14" w:lineRule="auto"/>
        <w:rPr>
          <w:color w:val="auto"/>
          <w:sz w:val="2"/>
          <w:highlight w:val="none"/>
        </w:rPr>
      </w:pPr>
      <w:r>
        <w:rPr>
          <w:color w:val="auto"/>
          <w:sz w:val="2"/>
          <w:szCs w:val="2"/>
          <w:highlight w:val="none"/>
        </w:rPr>
        <w:br w:type="column"/>
      </w:r>
    </w:p>
    <w:p>
      <w:pPr>
        <w:pStyle w:val="2"/>
        <w:spacing w:line="241" w:lineRule="auto"/>
        <w:rPr>
          <w:color w:val="auto"/>
          <w:highlight w:val="none"/>
        </w:rPr>
      </w:pPr>
    </w:p>
    <w:p>
      <w:pPr>
        <w:spacing w:before="69" w:line="186"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单位：人民币元</w:t>
      </w:r>
    </w:p>
    <w:p>
      <w:pPr>
        <w:spacing w:line="186" w:lineRule="auto"/>
        <w:rPr>
          <w:rFonts w:ascii="宋体" w:hAnsi="宋体" w:eastAsia="宋体" w:cs="宋体"/>
          <w:color w:val="auto"/>
          <w:sz w:val="21"/>
          <w:szCs w:val="21"/>
          <w:highlight w:val="none"/>
        </w:rPr>
        <w:sectPr>
          <w:type w:val="continuous"/>
          <w:pgSz w:w="11907" w:h="16839"/>
          <w:pgMar w:top="1431" w:right="1785" w:bottom="1135" w:left="1685" w:header="0" w:footer="930" w:gutter="0"/>
          <w:pgNumType w:fmt="numberInDash"/>
          <w:cols w:equalWidth="0" w:num="2">
            <w:col w:w="6850" w:space="100"/>
            <w:col w:w="1486"/>
          </w:cols>
        </w:sectPr>
      </w:pPr>
    </w:p>
    <w:p>
      <w:pPr>
        <w:spacing w:line="32" w:lineRule="exact"/>
        <w:rPr>
          <w:color w:val="auto"/>
          <w:highlight w:val="none"/>
        </w:rPr>
      </w:pPr>
    </w:p>
    <w:tbl>
      <w:tblPr>
        <w:tblStyle w:val="9"/>
        <w:tblW w:w="8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995"/>
        <w:gridCol w:w="998"/>
        <w:gridCol w:w="995"/>
        <w:gridCol w:w="1080"/>
        <w:gridCol w:w="1991"/>
        <w:gridCol w:w="874"/>
        <w:gridCol w:w="8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26" w:type="dxa"/>
            <w:textDirection w:val="tbRlV"/>
            <w:vAlign w:val="top"/>
          </w:tcPr>
          <w:p>
            <w:pPr>
              <w:pStyle w:val="10"/>
              <w:spacing w:before="205" w:line="211" w:lineRule="auto"/>
              <w:ind w:left="34"/>
              <w:rPr>
                <w:color w:val="auto"/>
                <w:highlight w:val="none"/>
              </w:rPr>
            </w:pPr>
            <w:r>
              <w:rPr>
                <w:color w:val="auto"/>
                <w:spacing w:val="31"/>
                <w:highlight w:val="none"/>
              </w:rPr>
              <w:t>序号</w:t>
            </w:r>
          </w:p>
        </w:tc>
        <w:tc>
          <w:tcPr>
            <w:tcW w:w="995" w:type="dxa"/>
            <w:vAlign w:val="top"/>
          </w:tcPr>
          <w:p>
            <w:pPr>
              <w:pStyle w:val="10"/>
              <w:spacing w:before="34" w:line="224" w:lineRule="auto"/>
              <w:ind w:left="293" w:right="178" w:hanging="105"/>
              <w:rPr>
                <w:color w:val="auto"/>
                <w:highlight w:val="none"/>
              </w:rPr>
            </w:pPr>
            <w:r>
              <w:rPr>
                <w:color w:val="auto"/>
                <w:spacing w:val="-3"/>
                <w:highlight w:val="none"/>
              </w:rPr>
              <w:t>投标人</w:t>
            </w:r>
            <w:r>
              <w:rPr>
                <w:color w:val="auto"/>
                <w:highlight w:val="none"/>
              </w:rPr>
              <w:t xml:space="preserve"> </w:t>
            </w:r>
            <w:r>
              <w:rPr>
                <w:color w:val="auto"/>
                <w:spacing w:val="-3"/>
                <w:highlight w:val="none"/>
              </w:rPr>
              <w:t>名称</w:t>
            </w:r>
          </w:p>
        </w:tc>
        <w:tc>
          <w:tcPr>
            <w:tcW w:w="998" w:type="dxa"/>
            <w:vAlign w:val="top"/>
          </w:tcPr>
          <w:p>
            <w:pPr>
              <w:pStyle w:val="10"/>
              <w:spacing w:before="34" w:line="224" w:lineRule="auto"/>
              <w:ind w:left="197" w:right="180" w:hanging="8"/>
              <w:rPr>
                <w:color w:val="auto"/>
                <w:highlight w:val="none"/>
              </w:rPr>
            </w:pPr>
            <w:r>
              <w:rPr>
                <w:color w:val="auto"/>
                <w:spacing w:val="-3"/>
                <w:highlight w:val="none"/>
              </w:rPr>
              <w:t>形式评</w:t>
            </w:r>
            <w:r>
              <w:rPr>
                <w:color w:val="auto"/>
                <w:highlight w:val="none"/>
              </w:rPr>
              <w:t xml:space="preserve"> </w:t>
            </w:r>
            <w:r>
              <w:rPr>
                <w:color w:val="auto"/>
                <w:spacing w:val="-6"/>
                <w:highlight w:val="none"/>
              </w:rPr>
              <w:t>审结果</w:t>
            </w:r>
          </w:p>
        </w:tc>
        <w:tc>
          <w:tcPr>
            <w:tcW w:w="995" w:type="dxa"/>
            <w:vAlign w:val="top"/>
          </w:tcPr>
          <w:p>
            <w:pPr>
              <w:pStyle w:val="10"/>
              <w:spacing w:before="34" w:line="224" w:lineRule="auto"/>
              <w:ind w:left="195" w:right="179" w:hanging="1"/>
              <w:rPr>
                <w:color w:val="auto"/>
                <w:highlight w:val="none"/>
              </w:rPr>
            </w:pPr>
            <w:r>
              <w:rPr>
                <w:color w:val="auto"/>
                <w:spacing w:val="-5"/>
                <w:highlight w:val="none"/>
              </w:rPr>
              <w:t>资格评</w:t>
            </w:r>
            <w:r>
              <w:rPr>
                <w:color w:val="auto"/>
                <w:highlight w:val="none"/>
              </w:rPr>
              <w:t xml:space="preserve"> </w:t>
            </w:r>
            <w:r>
              <w:rPr>
                <w:color w:val="auto"/>
                <w:spacing w:val="-6"/>
                <w:highlight w:val="none"/>
              </w:rPr>
              <w:t>审结果</w:t>
            </w:r>
          </w:p>
        </w:tc>
        <w:tc>
          <w:tcPr>
            <w:tcW w:w="1080" w:type="dxa"/>
            <w:vAlign w:val="top"/>
          </w:tcPr>
          <w:p>
            <w:pPr>
              <w:pStyle w:val="10"/>
              <w:spacing w:before="34" w:line="224" w:lineRule="auto"/>
              <w:ind w:left="239" w:right="116" w:hanging="105"/>
              <w:rPr>
                <w:color w:val="auto"/>
                <w:highlight w:val="none"/>
              </w:rPr>
            </w:pPr>
            <w:r>
              <w:rPr>
                <w:color w:val="auto"/>
                <w:spacing w:val="-5"/>
                <w:highlight w:val="none"/>
              </w:rPr>
              <w:t>响应性评</w:t>
            </w:r>
            <w:r>
              <w:rPr>
                <w:color w:val="auto"/>
                <w:spacing w:val="2"/>
                <w:highlight w:val="none"/>
              </w:rPr>
              <w:t xml:space="preserve"> </w:t>
            </w:r>
            <w:r>
              <w:rPr>
                <w:color w:val="auto"/>
                <w:spacing w:val="-4"/>
                <w:highlight w:val="none"/>
              </w:rPr>
              <w:t>审结果</w:t>
            </w:r>
          </w:p>
        </w:tc>
        <w:tc>
          <w:tcPr>
            <w:tcW w:w="1991" w:type="dxa"/>
            <w:vAlign w:val="top"/>
          </w:tcPr>
          <w:p>
            <w:pPr>
              <w:pStyle w:val="10"/>
              <w:spacing w:before="34" w:line="224" w:lineRule="auto"/>
              <w:ind w:left="376" w:right="151" w:hanging="217"/>
              <w:rPr>
                <w:color w:val="auto"/>
                <w:highlight w:val="none"/>
              </w:rPr>
            </w:pPr>
            <w:r>
              <w:rPr>
                <w:color w:val="auto"/>
                <w:spacing w:val="-1"/>
                <w:highlight w:val="none"/>
              </w:rPr>
              <w:t>施工组织设计评审</w:t>
            </w:r>
            <w:r>
              <w:rPr>
                <w:color w:val="auto"/>
                <w:spacing w:val="2"/>
                <w:highlight w:val="none"/>
              </w:rPr>
              <w:t xml:space="preserve"> </w:t>
            </w:r>
            <w:r>
              <w:rPr>
                <w:color w:val="auto"/>
                <w:spacing w:val="-2"/>
                <w:highlight w:val="none"/>
              </w:rPr>
              <w:t>结果（如有）</w:t>
            </w:r>
          </w:p>
        </w:tc>
        <w:tc>
          <w:tcPr>
            <w:tcW w:w="874" w:type="dxa"/>
            <w:vAlign w:val="top"/>
          </w:tcPr>
          <w:p>
            <w:pPr>
              <w:pStyle w:val="10"/>
              <w:spacing w:before="34" w:line="224" w:lineRule="auto"/>
              <w:ind w:left="389" w:right="65" w:hanging="209"/>
              <w:rPr>
                <w:color w:val="auto"/>
                <w:highlight w:val="none"/>
              </w:rPr>
            </w:pPr>
            <w:r>
              <w:rPr>
                <w:color w:val="auto"/>
                <w:spacing w:val="-3"/>
                <w:highlight w:val="none"/>
              </w:rPr>
              <w:t>投标报</w:t>
            </w:r>
            <w:r>
              <w:rPr>
                <w:color w:val="auto"/>
                <w:highlight w:val="none"/>
              </w:rPr>
              <w:t xml:space="preserve"> 价</w:t>
            </w:r>
          </w:p>
        </w:tc>
        <w:tc>
          <w:tcPr>
            <w:tcW w:w="861" w:type="dxa"/>
            <w:vAlign w:val="top"/>
          </w:tcPr>
          <w:p>
            <w:pPr>
              <w:pStyle w:val="10"/>
              <w:spacing w:before="34" w:line="224" w:lineRule="auto"/>
              <w:ind w:left="386" w:right="54" w:hanging="211"/>
              <w:rPr>
                <w:color w:val="auto"/>
                <w:highlight w:val="none"/>
              </w:rPr>
            </w:pPr>
            <w:r>
              <w:rPr>
                <w:color w:val="auto"/>
                <w:spacing w:val="-2"/>
                <w:highlight w:val="none"/>
              </w:rPr>
              <w:t>评审结</w:t>
            </w:r>
            <w:r>
              <w:rPr>
                <w:color w:val="auto"/>
                <w:spacing w:val="1"/>
                <w:highlight w:val="none"/>
              </w:rPr>
              <w:t xml:space="preserve"> </w:t>
            </w:r>
            <w:r>
              <w:rPr>
                <w:color w:val="auto"/>
                <w:highlight w:val="none"/>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6" w:type="dxa"/>
            <w:vAlign w:val="top"/>
          </w:tcPr>
          <w:p>
            <w:pPr>
              <w:spacing w:before="164" w:line="183" w:lineRule="auto"/>
              <w:ind w:left="2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95" w:type="dxa"/>
            <w:vAlign w:val="top"/>
          </w:tcPr>
          <w:p>
            <w:pPr>
              <w:rPr>
                <w:rFonts w:ascii="Arial"/>
                <w:color w:val="auto"/>
                <w:sz w:val="21"/>
                <w:highlight w:val="none"/>
              </w:rPr>
            </w:pPr>
          </w:p>
        </w:tc>
        <w:tc>
          <w:tcPr>
            <w:tcW w:w="998"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1080" w:type="dxa"/>
            <w:vAlign w:val="top"/>
          </w:tcPr>
          <w:p>
            <w:pPr>
              <w:rPr>
                <w:rFonts w:ascii="Arial"/>
                <w:color w:val="auto"/>
                <w:sz w:val="21"/>
                <w:highlight w:val="none"/>
              </w:rPr>
            </w:pPr>
          </w:p>
        </w:tc>
        <w:tc>
          <w:tcPr>
            <w:tcW w:w="1991" w:type="dxa"/>
            <w:vAlign w:val="top"/>
          </w:tcPr>
          <w:p>
            <w:pPr>
              <w:rPr>
                <w:rFonts w:ascii="Arial"/>
                <w:color w:val="auto"/>
                <w:sz w:val="21"/>
                <w:highlight w:val="none"/>
              </w:rPr>
            </w:pPr>
          </w:p>
        </w:tc>
        <w:tc>
          <w:tcPr>
            <w:tcW w:w="874" w:type="dxa"/>
            <w:vAlign w:val="top"/>
          </w:tcPr>
          <w:p>
            <w:pPr>
              <w:rPr>
                <w:rFonts w:ascii="Arial"/>
                <w:color w:val="auto"/>
                <w:sz w:val="21"/>
                <w:highlight w:val="none"/>
              </w:rPr>
            </w:pPr>
          </w:p>
        </w:tc>
        <w:tc>
          <w:tcPr>
            <w:tcW w:w="86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vAlign w:val="top"/>
          </w:tcPr>
          <w:p>
            <w:pPr>
              <w:spacing w:before="164" w:line="184" w:lineRule="auto"/>
              <w:ind w:left="2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95" w:type="dxa"/>
            <w:vAlign w:val="top"/>
          </w:tcPr>
          <w:p>
            <w:pPr>
              <w:rPr>
                <w:rFonts w:ascii="Arial"/>
                <w:color w:val="auto"/>
                <w:sz w:val="21"/>
                <w:highlight w:val="none"/>
              </w:rPr>
            </w:pPr>
          </w:p>
        </w:tc>
        <w:tc>
          <w:tcPr>
            <w:tcW w:w="998"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1080" w:type="dxa"/>
            <w:vAlign w:val="top"/>
          </w:tcPr>
          <w:p>
            <w:pPr>
              <w:rPr>
                <w:rFonts w:ascii="Arial"/>
                <w:color w:val="auto"/>
                <w:sz w:val="21"/>
                <w:highlight w:val="none"/>
              </w:rPr>
            </w:pPr>
          </w:p>
        </w:tc>
        <w:tc>
          <w:tcPr>
            <w:tcW w:w="1991" w:type="dxa"/>
            <w:vAlign w:val="top"/>
          </w:tcPr>
          <w:p>
            <w:pPr>
              <w:rPr>
                <w:rFonts w:ascii="Arial"/>
                <w:color w:val="auto"/>
                <w:sz w:val="21"/>
                <w:highlight w:val="none"/>
              </w:rPr>
            </w:pPr>
          </w:p>
        </w:tc>
        <w:tc>
          <w:tcPr>
            <w:tcW w:w="874" w:type="dxa"/>
            <w:vAlign w:val="top"/>
          </w:tcPr>
          <w:p>
            <w:pPr>
              <w:rPr>
                <w:rFonts w:ascii="Arial"/>
                <w:color w:val="auto"/>
                <w:sz w:val="21"/>
                <w:highlight w:val="none"/>
              </w:rPr>
            </w:pPr>
          </w:p>
        </w:tc>
        <w:tc>
          <w:tcPr>
            <w:tcW w:w="86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vAlign w:val="top"/>
          </w:tcPr>
          <w:p>
            <w:pPr>
              <w:spacing w:before="164" w:line="184" w:lineRule="auto"/>
              <w:ind w:left="26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95" w:type="dxa"/>
            <w:vAlign w:val="top"/>
          </w:tcPr>
          <w:p>
            <w:pPr>
              <w:rPr>
                <w:rFonts w:ascii="Arial"/>
                <w:color w:val="auto"/>
                <w:sz w:val="21"/>
                <w:highlight w:val="none"/>
              </w:rPr>
            </w:pPr>
          </w:p>
        </w:tc>
        <w:tc>
          <w:tcPr>
            <w:tcW w:w="998"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1080" w:type="dxa"/>
            <w:vAlign w:val="top"/>
          </w:tcPr>
          <w:p>
            <w:pPr>
              <w:rPr>
                <w:rFonts w:ascii="Arial"/>
                <w:color w:val="auto"/>
                <w:sz w:val="21"/>
                <w:highlight w:val="none"/>
              </w:rPr>
            </w:pPr>
          </w:p>
        </w:tc>
        <w:tc>
          <w:tcPr>
            <w:tcW w:w="1991" w:type="dxa"/>
            <w:vAlign w:val="top"/>
          </w:tcPr>
          <w:p>
            <w:pPr>
              <w:rPr>
                <w:rFonts w:ascii="Arial"/>
                <w:color w:val="auto"/>
                <w:sz w:val="21"/>
                <w:highlight w:val="none"/>
              </w:rPr>
            </w:pPr>
          </w:p>
        </w:tc>
        <w:tc>
          <w:tcPr>
            <w:tcW w:w="874" w:type="dxa"/>
            <w:vAlign w:val="top"/>
          </w:tcPr>
          <w:p>
            <w:pPr>
              <w:rPr>
                <w:rFonts w:ascii="Arial"/>
                <w:color w:val="auto"/>
                <w:sz w:val="21"/>
                <w:highlight w:val="none"/>
              </w:rPr>
            </w:pPr>
          </w:p>
        </w:tc>
        <w:tc>
          <w:tcPr>
            <w:tcW w:w="86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6" w:type="dxa"/>
            <w:vAlign w:val="top"/>
          </w:tcPr>
          <w:p>
            <w:pPr>
              <w:spacing w:before="166" w:line="183" w:lineRule="auto"/>
              <w:ind w:left="259"/>
              <w:rPr>
                <w:rFonts w:ascii="黑体" w:hAnsi="黑体" w:eastAsia="黑体" w:cs="黑体"/>
                <w:color w:val="auto"/>
                <w:sz w:val="21"/>
                <w:szCs w:val="21"/>
                <w:highlight w:val="none"/>
              </w:rPr>
            </w:pPr>
            <w:r>
              <w:rPr>
                <w:rFonts w:ascii="黑体" w:hAnsi="黑体" w:eastAsia="黑体" w:cs="黑体"/>
                <w:color w:val="auto"/>
                <w:sz w:val="21"/>
                <w:szCs w:val="21"/>
                <w:highlight w:val="none"/>
              </w:rPr>
              <w:t>4</w:t>
            </w:r>
          </w:p>
        </w:tc>
        <w:tc>
          <w:tcPr>
            <w:tcW w:w="995" w:type="dxa"/>
            <w:vAlign w:val="top"/>
          </w:tcPr>
          <w:p>
            <w:pPr>
              <w:rPr>
                <w:rFonts w:ascii="Arial"/>
                <w:color w:val="auto"/>
                <w:sz w:val="21"/>
                <w:highlight w:val="none"/>
              </w:rPr>
            </w:pPr>
          </w:p>
        </w:tc>
        <w:tc>
          <w:tcPr>
            <w:tcW w:w="998"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1080" w:type="dxa"/>
            <w:vAlign w:val="top"/>
          </w:tcPr>
          <w:p>
            <w:pPr>
              <w:rPr>
                <w:rFonts w:ascii="Arial"/>
                <w:color w:val="auto"/>
                <w:sz w:val="21"/>
                <w:highlight w:val="none"/>
              </w:rPr>
            </w:pPr>
          </w:p>
        </w:tc>
        <w:tc>
          <w:tcPr>
            <w:tcW w:w="1991" w:type="dxa"/>
            <w:vAlign w:val="top"/>
          </w:tcPr>
          <w:p>
            <w:pPr>
              <w:rPr>
                <w:rFonts w:ascii="Arial"/>
                <w:color w:val="auto"/>
                <w:sz w:val="21"/>
                <w:highlight w:val="none"/>
              </w:rPr>
            </w:pPr>
          </w:p>
        </w:tc>
        <w:tc>
          <w:tcPr>
            <w:tcW w:w="874" w:type="dxa"/>
            <w:vAlign w:val="top"/>
          </w:tcPr>
          <w:p>
            <w:pPr>
              <w:rPr>
                <w:rFonts w:ascii="Arial"/>
                <w:color w:val="auto"/>
                <w:sz w:val="21"/>
                <w:highlight w:val="none"/>
              </w:rPr>
            </w:pPr>
          </w:p>
        </w:tc>
        <w:tc>
          <w:tcPr>
            <w:tcW w:w="86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vAlign w:val="top"/>
          </w:tcPr>
          <w:p>
            <w:pPr>
              <w:spacing w:before="171" w:line="181" w:lineRule="auto"/>
              <w:ind w:left="259"/>
              <w:rPr>
                <w:rFonts w:ascii="黑体" w:hAnsi="黑体" w:eastAsia="黑体" w:cs="黑体"/>
                <w:color w:val="auto"/>
                <w:sz w:val="21"/>
                <w:szCs w:val="21"/>
                <w:highlight w:val="none"/>
              </w:rPr>
            </w:pPr>
            <w:r>
              <w:rPr>
                <w:rFonts w:ascii="黑体" w:hAnsi="黑体" w:eastAsia="黑体" w:cs="黑体"/>
                <w:color w:val="auto"/>
                <w:sz w:val="21"/>
                <w:szCs w:val="21"/>
                <w:highlight w:val="none"/>
              </w:rPr>
              <w:t>5</w:t>
            </w:r>
          </w:p>
        </w:tc>
        <w:tc>
          <w:tcPr>
            <w:tcW w:w="995" w:type="dxa"/>
            <w:vAlign w:val="top"/>
          </w:tcPr>
          <w:p>
            <w:pPr>
              <w:rPr>
                <w:rFonts w:ascii="Arial"/>
                <w:color w:val="auto"/>
                <w:sz w:val="21"/>
                <w:highlight w:val="none"/>
              </w:rPr>
            </w:pPr>
          </w:p>
        </w:tc>
        <w:tc>
          <w:tcPr>
            <w:tcW w:w="998"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1080" w:type="dxa"/>
            <w:vAlign w:val="top"/>
          </w:tcPr>
          <w:p>
            <w:pPr>
              <w:rPr>
                <w:rFonts w:ascii="Arial"/>
                <w:color w:val="auto"/>
                <w:sz w:val="21"/>
                <w:highlight w:val="none"/>
              </w:rPr>
            </w:pPr>
          </w:p>
        </w:tc>
        <w:tc>
          <w:tcPr>
            <w:tcW w:w="1991" w:type="dxa"/>
            <w:vAlign w:val="top"/>
          </w:tcPr>
          <w:p>
            <w:pPr>
              <w:rPr>
                <w:rFonts w:ascii="Arial"/>
                <w:color w:val="auto"/>
                <w:sz w:val="21"/>
                <w:highlight w:val="none"/>
              </w:rPr>
            </w:pPr>
          </w:p>
        </w:tc>
        <w:tc>
          <w:tcPr>
            <w:tcW w:w="874" w:type="dxa"/>
            <w:vAlign w:val="top"/>
          </w:tcPr>
          <w:p>
            <w:pPr>
              <w:rPr>
                <w:rFonts w:ascii="Arial"/>
                <w:color w:val="auto"/>
                <w:sz w:val="21"/>
                <w:highlight w:val="none"/>
              </w:rPr>
            </w:pPr>
          </w:p>
        </w:tc>
        <w:tc>
          <w:tcPr>
            <w:tcW w:w="86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vAlign w:val="top"/>
          </w:tcPr>
          <w:p>
            <w:pPr>
              <w:spacing w:before="135" w:line="332" w:lineRule="exact"/>
              <w:ind w:left="223"/>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995" w:type="dxa"/>
            <w:vAlign w:val="top"/>
          </w:tcPr>
          <w:p>
            <w:pPr>
              <w:rPr>
                <w:rFonts w:ascii="Arial"/>
                <w:color w:val="auto"/>
                <w:sz w:val="21"/>
                <w:highlight w:val="none"/>
              </w:rPr>
            </w:pPr>
          </w:p>
        </w:tc>
        <w:tc>
          <w:tcPr>
            <w:tcW w:w="998"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1080" w:type="dxa"/>
            <w:vAlign w:val="top"/>
          </w:tcPr>
          <w:p>
            <w:pPr>
              <w:rPr>
                <w:rFonts w:ascii="Arial"/>
                <w:color w:val="auto"/>
                <w:sz w:val="21"/>
                <w:highlight w:val="none"/>
              </w:rPr>
            </w:pPr>
          </w:p>
        </w:tc>
        <w:tc>
          <w:tcPr>
            <w:tcW w:w="1991" w:type="dxa"/>
            <w:vAlign w:val="top"/>
          </w:tcPr>
          <w:p>
            <w:pPr>
              <w:rPr>
                <w:rFonts w:ascii="Arial"/>
                <w:color w:val="auto"/>
                <w:sz w:val="21"/>
                <w:highlight w:val="none"/>
              </w:rPr>
            </w:pPr>
          </w:p>
        </w:tc>
        <w:tc>
          <w:tcPr>
            <w:tcW w:w="874" w:type="dxa"/>
            <w:vAlign w:val="top"/>
          </w:tcPr>
          <w:p>
            <w:pPr>
              <w:rPr>
                <w:rFonts w:ascii="Arial"/>
                <w:color w:val="auto"/>
                <w:sz w:val="21"/>
                <w:highlight w:val="none"/>
              </w:rPr>
            </w:pPr>
          </w:p>
        </w:tc>
        <w:tc>
          <w:tcPr>
            <w:tcW w:w="86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0" w:type="dxa"/>
            <w:gridSpan w:val="8"/>
            <w:vAlign w:val="top"/>
          </w:tcPr>
          <w:p>
            <w:pPr>
              <w:pStyle w:val="10"/>
              <w:spacing w:before="33" w:line="220" w:lineRule="auto"/>
              <w:ind w:left="115"/>
              <w:rPr>
                <w:color w:val="auto"/>
                <w:highlight w:val="none"/>
              </w:rPr>
            </w:pPr>
            <w:r>
              <w:rPr>
                <w:color w:val="auto"/>
                <w:spacing w:val="-1"/>
                <w:highlight w:val="none"/>
              </w:rPr>
              <w:t>评标委员会全体成员签名：</w:t>
            </w:r>
          </w:p>
        </w:tc>
      </w:tr>
    </w:tbl>
    <w:p>
      <w:pPr>
        <w:spacing w:before="303" w:line="186" w:lineRule="auto"/>
        <w:jc w:val="right"/>
        <w:rPr>
          <w:rFonts w:ascii="宋体" w:hAnsi="宋体" w:eastAsia="宋体" w:cs="宋体"/>
          <w:color w:val="auto"/>
          <w:sz w:val="21"/>
          <w:szCs w:val="21"/>
          <w:highlight w:val="none"/>
        </w:rPr>
      </w:pPr>
      <w:r>
        <w:rPr>
          <w:rFonts w:ascii="宋体" w:hAnsi="宋体" w:eastAsia="宋体" w:cs="宋体"/>
          <w:color w:val="auto"/>
          <w:spacing w:val="-33"/>
          <w:sz w:val="21"/>
          <w:szCs w:val="21"/>
          <w:highlight w:val="none"/>
        </w:rPr>
        <w:t>日期：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33"/>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33"/>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33"/>
          <w:sz w:val="21"/>
          <w:szCs w:val="21"/>
          <w:highlight w:val="none"/>
        </w:rPr>
        <w:t>日</w:t>
      </w:r>
    </w:p>
    <w:p>
      <w:pPr>
        <w:spacing w:line="186" w:lineRule="auto"/>
        <w:rPr>
          <w:rFonts w:ascii="宋体" w:hAnsi="宋体" w:eastAsia="宋体" w:cs="宋体"/>
          <w:color w:val="auto"/>
          <w:sz w:val="21"/>
          <w:szCs w:val="21"/>
          <w:highlight w:val="none"/>
        </w:rPr>
        <w:sectPr>
          <w:type w:val="continuous"/>
          <w:pgSz w:w="11907" w:h="16839"/>
          <w:pgMar w:top="1431" w:right="1785" w:bottom="1135" w:left="1685" w:header="0" w:footer="930" w:gutter="0"/>
          <w:pgNumType w:fmt="numberInDash"/>
          <w:cols w:equalWidth="0" w:num="1">
            <w:col w:w="8436"/>
          </w:cols>
        </w:sectPr>
      </w:pPr>
    </w:p>
    <w:p>
      <w:pPr>
        <w:spacing w:before="124" w:line="218" w:lineRule="auto"/>
        <w:ind w:left="524"/>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47"/>
          <w:sz w:val="24"/>
          <w:szCs w:val="24"/>
          <w:highlight w:val="none"/>
        </w:rPr>
        <w:t xml:space="preserve"> </w:t>
      </w:r>
      <w:r>
        <w:rPr>
          <w:rFonts w:ascii="Times New Roman" w:hAnsi="Times New Roman" w:eastAsia="Times New Roman" w:cs="Times New Roman"/>
          <w:color w:val="auto"/>
          <w:spacing w:val="-4"/>
          <w:sz w:val="24"/>
          <w:szCs w:val="24"/>
          <w:highlight w:val="none"/>
        </w:rPr>
        <w:t>A-9</w:t>
      </w:r>
      <w:r>
        <w:rPr>
          <w:rFonts w:ascii="黑体" w:hAnsi="黑体" w:eastAsia="黑体" w:cs="黑体"/>
          <w:color w:val="auto"/>
          <w:spacing w:val="-4"/>
          <w:sz w:val="24"/>
          <w:szCs w:val="24"/>
          <w:highlight w:val="none"/>
        </w:rPr>
        <w:t>：否决投标的情况说明</w:t>
      </w:r>
    </w:p>
    <w:p>
      <w:pPr>
        <w:pStyle w:val="2"/>
        <w:spacing w:line="321" w:lineRule="auto"/>
        <w:rPr>
          <w:color w:val="auto"/>
          <w:highlight w:val="none"/>
        </w:rPr>
      </w:pPr>
    </w:p>
    <w:p>
      <w:pPr>
        <w:pStyle w:val="2"/>
        <w:spacing w:line="321" w:lineRule="auto"/>
        <w:rPr>
          <w:color w:val="auto"/>
          <w:highlight w:val="none"/>
        </w:rPr>
      </w:pPr>
    </w:p>
    <w:p>
      <w:pPr>
        <w:spacing w:before="117" w:line="218" w:lineRule="auto"/>
        <w:ind w:left="2932"/>
        <w:rPr>
          <w:rFonts w:ascii="黑体" w:hAnsi="黑体" w:eastAsia="黑体" w:cs="黑体"/>
          <w:color w:val="auto"/>
          <w:sz w:val="36"/>
          <w:szCs w:val="36"/>
          <w:highlight w:val="none"/>
        </w:rPr>
      </w:pPr>
      <w:bookmarkStart w:id="106" w:name="bookmark146"/>
      <w:bookmarkEnd w:id="106"/>
      <w:bookmarkStart w:id="107" w:name="bookmark145"/>
      <w:bookmarkEnd w:id="107"/>
      <w:r>
        <w:rPr>
          <w:rFonts w:ascii="黑体" w:hAnsi="黑体" w:eastAsia="黑体" w:cs="黑体"/>
          <w:color w:val="auto"/>
          <w:spacing w:val="-2"/>
          <w:sz w:val="36"/>
          <w:szCs w:val="36"/>
          <w:highlight w:val="none"/>
        </w:rPr>
        <w:t>否决投标的情况说明</w:t>
      </w:r>
    </w:p>
    <w:p>
      <w:pPr>
        <w:spacing w:before="257" w:line="221" w:lineRule="auto"/>
        <w:ind w:left="39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ind w:left="393"/>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7"/>
        <w:gridCol w:w="1778"/>
        <w:gridCol w:w="50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pPr>
              <w:pStyle w:val="10"/>
              <w:spacing w:before="137" w:line="222" w:lineRule="auto"/>
              <w:ind w:left="139"/>
              <w:rPr>
                <w:color w:val="auto"/>
                <w:highlight w:val="none"/>
              </w:rPr>
            </w:pPr>
            <w:r>
              <w:rPr>
                <w:color w:val="auto"/>
                <w:spacing w:val="-2"/>
                <w:highlight w:val="none"/>
              </w:rPr>
              <w:t>序号</w:t>
            </w:r>
          </w:p>
        </w:tc>
        <w:tc>
          <w:tcPr>
            <w:tcW w:w="1547" w:type="dxa"/>
            <w:vAlign w:val="top"/>
          </w:tcPr>
          <w:p>
            <w:pPr>
              <w:pStyle w:val="10"/>
              <w:spacing w:before="137" w:line="221" w:lineRule="auto"/>
              <w:ind w:left="253"/>
              <w:rPr>
                <w:color w:val="auto"/>
                <w:highlight w:val="none"/>
              </w:rPr>
            </w:pPr>
            <w:r>
              <w:rPr>
                <w:color w:val="auto"/>
                <w:spacing w:val="-2"/>
                <w:highlight w:val="none"/>
              </w:rPr>
              <w:t>投标人名称</w:t>
            </w:r>
          </w:p>
        </w:tc>
        <w:tc>
          <w:tcPr>
            <w:tcW w:w="1778" w:type="dxa"/>
            <w:vAlign w:val="top"/>
          </w:tcPr>
          <w:p>
            <w:pPr>
              <w:pStyle w:val="10"/>
              <w:spacing w:before="137" w:line="220" w:lineRule="auto"/>
              <w:ind w:left="165"/>
              <w:rPr>
                <w:color w:val="auto"/>
                <w:highlight w:val="none"/>
              </w:rPr>
            </w:pPr>
            <w:r>
              <w:rPr>
                <w:color w:val="auto"/>
                <w:spacing w:val="-2"/>
                <w:highlight w:val="none"/>
              </w:rPr>
              <w:t>否决投标的依据</w:t>
            </w:r>
          </w:p>
        </w:tc>
        <w:tc>
          <w:tcPr>
            <w:tcW w:w="5057" w:type="dxa"/>
            <w:vAlign w:val="top"/>
          </w:tcPr>
          <w:p>
            <w:pPr>
              <w:pStyle w:val="10"/>
              <w:spacing w:before="137" w:line="221" w:lineRule="auto"/>
              <w:ind w:left="1172"/>
              <w:rPr>
                <w:color w:val="auto"/>
                <w:highlight w:val="none"/>
              </w:rPr>
            </w:pPr>
            <w:r>
              <w:rPr>
                <w:color w:val="auto"/>
                <w:spacing w:val="-1"/>
                <w:highlight w:val="none"/>
              </w:rPr>
              <w:t>投标文件存在的具体问题描述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59" w:line="182" w:lineRule="auto"/>
              <w:ind w:left="307"/>
              <w:rPr>
                <w:color w:val="auto"/>
                <w:sz w:val="24"/>
                <w:szCs w:val="24"/>
                <w:highlight w:val="none"/>
              </w:rPr>
            </w:pPr>
            <w:r>
              <w:rPr>
                <w:color w:val="auto"/>
                <w:sz w:val="24"/>
                <w:szCs w:val="24"/>
                <w:highlight w:val="none"/>
              </w:rPr>
              <w:t>1</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10"/>
              <w:spacing w:before="162" w:line="181" w:lineRule="auto"/>
              <w:ind w:left="292"/>
              <w:rPr>
                <w:color w:val="auto"/>
                <w:sz w:val="24"/>
                <w:szCs w:val="24"/>
                <w:highlight w:val="none"/>
              </w:rPr>
            </w:pPr>
            <w:r>
              <w:rPr>
                <w:color w:val="auto"/>
                <w:sz w:val="24"/>
                <w:szCs w:val="24"/>
                <w:highlight w:val="none"/>
              </w:rPr>
              <w:t>2</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691" w:type="dxa"/>
            <w:vAlign w:val="top"/>
          </w:tcPr>
          <w:p>
            <w:pPr>
              <w:pStyle w:val="10"/>
              <w:spacing w:before="231" w:line="181" w:lineRule="auto"/>
              <w:ind w:left="294"/>
              <w:rPr>
                <w:color w:val="auto"/>
                <w:sz w:val="24"/>
                <w:szCs w:val="24"/>
                <w:highlight w:val="none"/>
              </w:rPr>
            </w:pPr>
            <w:r>
              <w:rPr>
                <w:color w:val="auto"/>
                <w:sz w:val="24"/>
                <w:szCs w:val="24"/>
                <w:highlight w:val="none"/>
              </w:rPr>
              <w:t>3</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1" w:line="181" w:lineRule="auto"/>
              <w:ind w:left="289"/>
              <w:rPr>
                <w:color w:val="auto"/>
                <w:sz w:val="24"/>
                <w:szCs w:val="24"/>
                <w:highlight w:val="none"/>
              </w:rPr>
            </w:pPr>
            <w:r>
              <w:rPr>
                <w:color w:val="auto"/>
                <w:sz w:val="24"/>
                <w:szCs w:val="24"/>
                <w:highlight w:val="none"/>
              </w:rPr>
              <w:t>4</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3" w:line="180" w:lineRule="auto"/>
              <w:ind w:left="294"/>
              <w:rPr>
                <w:color w:val="auto"/>
                <w:sz w:val="24"/>
                <w:szCs w:val="24"/>
                <w:highlight w:val="none"/>
              </w:rPr>
            </w:pPr>
            <w:r>
              <w:rPr>
                <w:color w:val="auto"/>
                <w:sz w:val="24"/>
                <w:szCs w:val="24"/>
                <w:highlight w:val="none"/>
              </w:rPr>
              <w:t>5</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62" w:line="181" w:lineRule="auto"/>
              <w:ind w:left="291"/>
              <w:rPr>
                <w:color w:val="auto"/>
                <w:sz w:val="24"/>
                <w:szCs w:val="24"/>
                <w:highlight w:val="none"/>
              </w:rPr>
            </w:pPr>
            <w:r>
              <w:rPr>
                <w:color w:val="auto"/>
                <w:sz w:val="24"/>
                <w:szCs w:val="24"/>
                <w:highlight w:val="none"/>
              </w:rPr>
              <w:t>6</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91" w:type="dxa"/>
            <w:vAlign w:val="top"/>
          </w:tcPr>
          <w:p>
            <w:pPr>
              <w:pStyle w:val="10"/>
              <w:spacing w:before="164" w:line="180" w:lineRule="auto"/>
              <w:ind w:left="295"/>
              <w:rPr>
                <w:color w:val="auto"/>
                <w:sz w:val="24"/>
                <w:szCs w:val="24"/>
                <w:highlight w:val="none"/>
              </w:rPr>
            </w:pPr>
            <w:r>
              <w:rPr>
                <w:color w:val="auto"/>
                <w:sz w:val="24"/>
                <w:szCs w:val="24"/>
                <w:highlight w:val="none"/>
              </w:rPr>
              <w:t>7</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10"/>
              <w:spacing w:before="163" w:line="181" w:lineRule="auto"/>
              <w:ind w:left="290"/>
              <w:rPr>
                <w:color w:val="auto"/>
                <w:sz w:val="24"/>
                <w:szCs w:val="24"/>
                <w:highlight w:val="none"/>
              </w:rPr>
            </w:pPr>
            <w:r>
              <w:rPr>
                <w:color w:val="auto"/>
                <w:sz w:val="24"/>
                <w:szCs w:val="24"/>
                <w:highlight w:val="none"/>
              </w:rPr>
              <w:t>8</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10"/>
              <w:spacing w:before="135" w:line="332" w:lineRule="exact"/>
              <w:ind w:left="256"/>
              <w:rPr>
                <w:color w:val="auto"/>
                <w:highlight w:val="none"/>
              </w:rPr>
            </w:pPr>
            <w:r>
              <w:rPr>
                <w:color w:val="auto"/>
                <w:position w:val="2"/>
                <w:highlight w:val="none"/>
              </w:rPr>
              <w:t>…</w:t>
            </w:r>
          </w:p>
        </w:tc>
        <w:tc>
          <w:tcPr>
            <w:tcW w:w="1547"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c>
          <w:tcPr>
            <w:tcW w:w="505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3" w:type="dxa"/>
            <w:gridSpan w:val="4"/>
            <w:vAlign w:val="top"/>
          </w:tcPr>
          <w:p>
            <w:pPr>
              <w:pStyle w:val="10"/>
              <w:spacing w:before="32" w:line="220" w:lineRule="auto"/>
              <w:ind w:left="115"/>
              <w:rPr>
                <w:color w:val="auto"/>
                <w:highlight w:val="none"/>
              </w:rPr>
            </w:pPr>
            <w:r>
              <w:rPr>
                <w:color w:val="auto"/>
                <w:spacing w:val="-1"/>
                <w:highlight w:val="none"/>
              </w:rPr>
              <w:t>评标委员会全体成员签名：</w:t>
            </w:r>
          </w:p>
        </w:tc>
      </w:tr>
    </w:tbl>
    <w:p>
      <w:pPr>
        <w:spacing w:before="29" w:line="221" w:lineRule="auto"/>
        <w:ind w:left="610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日期：</w:t>
      </w:r>
      <w:r>
        <w:rPr>
          <w:rFonts w:ascii="宋体" w:hAnsi="宋体" w:eastAsia="宋体" w:cs="宋体"/>
          <w:color w:val="auto"/>
          <w:spacing w:val="2"/>
          <w:sz w:val="21"/>
          <w:szCs w:val="21"/>
          <w:highlight w:val="none"/>
        </w:rPr>
        <w:t xml:space="preserve">    </w:t>
      </w:r>
      <w:r>
        <w:rPr>
          <w:rFonts w:ascii="宋体" w:hAnsi="宋体" w:eastAsia="宋体" w:cs="宋体"/>
          <w:color w:val="auto"/>
          <w:spacing w:val="-11"/>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1"/>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日</w:t>
      </w:r>
    </w:p>
    <w:p>
      <w:pPr>
        <w:spacing w:line="221" w:lineRule="auto"/>
        <w:rPr>
          <w:rFonts w:ascii="宋体" w:hAnsi="宋体" w:eastAsia="宋体" w:cs="宋体"/>
          <w:color w:val="auto"/>
          <w:sz w:val="21"/>
          <w:szCs w:val="21"/>
          <w:highlight w:val="none"/>
        </w:rPr>
        <w:sectPr>
          <w:footerReference r:id="rId41" w:type="default"/>
          <w:pgSz w:w="11907" w:h="16839"/>
          <w:pgMar w:top="1431" w:right="1414" w:bottom="1135" w:left="1414" w:header="0" w:footer="930" w:gutter="0"/>
          <w:pgNumType w:fmt="numberInDash"/>
          <w:cols w:space="720" w:num="1"/>
        </w:sectPr>
      </w:pPr>
    </w:p>
    <w:p>
      <w:pPr>
        <w:spacing w:before="124" w:line="219" w:lineRule="auto"/>
        <w:ind w:left="15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45"/>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5"/>
          <w:sz w:val="24"/>
          <w:szCs w:val="24"/>
          <w:highlight w:val="none"/>
        </w:rPr>
        <w:t>10</w:t>
      </w:r>
      <w:r>
        <w:rPr>
          <w:rFonts w:ascii="黑体" w:hAnsi="黑体" w:eastAsia="黑体" w:cs="黑体"/>
          <w:color w:val="auto"/>
          <w:spacing w:val="-5"/>
          <w:sz w:val="24"/>
          <w:szCs w:val="24"/>
          <w:highlight w:val="none"/>
        </w:rPr>
        <w:t>：经济标评分记录表</w:t>
      </w:r>
    </w:p>
    <w:p>
      <w:pPr>
        <w:spacing w:before="284" w:line="219" w:lineRule="auto"/>
        <w:ind w:left="1664"/>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经济标（投标报价）评分记录表</w:t>
      </w:r>
    </w:p>
    <w:p>
      <w:pPr>
        <w:spacing w:line="196" w:lineRule="exact"/>
        <w:rPr>
          <w:color w:val="auto"/>
          <w:highlight w:val="none"/>
        </w:rPr>
      </w:pPr>
    </w:p>
    <w:p>
      <w:pPr>
        <w:spacing w:line="196" w:lineRule="exact"/>
        <w:rPr>
          <w:color w:val="auto"/>
          <w:highlight w:val="none"/>
        </w:rPr>
        <w:sectPr>
          <w:footerReference r:id="rId42" w:type="default"/>
          <w:pgSz w:w="11907" w:h="16839"/>
          <w:pgMar w:top="1431" w:right="1785" w:bottom="1135" w:left="1785" w:header="0" w:footer="930" w:gutter="0"/>
          <w:pgNumType w:fmt="numberInDash"/>
          <w:cols w:equalWidth="0" w:num="1">
            <w:col w:w="8335"/>
          </w:cols>
        </w:sectPr>
      </w:pPr>
    </w:p>
    <w:p>
      <w:pPr>
        <w:spacing w:before="42" w:line="221" w:lineRule="auto"/>
        <w:ind w:left="2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186" w:lineRule="auto"/>
        <w:ind w:left="21"/>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p>
      <w:pPr>
        <w:pStyle w:val="2"/>
        <w:spacing w:line="14" w:lineRule="auto"/>
        <w:rPr>
          <w:color w:val="auto"/>
          <w:sz w:val="2"/>
          <w:highlight w:val="none"/>
        </w:rPr>
      </w:pPr>
      <w:r>
        <w:rPr>
          <w:color w:val="auto"/>
          <w:sz w:val="2"/>
          <w:szCs w:val="2"/>
          <w:highlight w:val="none"/>
        </w:rPr>
        <w:br w:type="column"/>
      </w:r>
    </w:p>
    <w:p>
      <w:pPr>
        <w:pStyle w:val="2"/>
        <w:spacing w:line="241" w:lineRule="auto"/>
        <w:rPr>
          <w:color w:val="auto"/>
          <w:highlight w:val="none"/>
        </w:rPr>
      </w:pPr>
    </w:p>
    <w:p>
      <w:pPr>
        <w:spacing w:before="69" w:line="186"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单位：人民币元</w:t>
      </w:r>
    </w:p>
    <w:p>
      <w:pPr>
        <w:spacing w:line="186" w:lineRule="auto"/>
        <w:rPr>
          <w:rFonts w:ascii="宋体" w:hAnsi="宋体" w:eastAsia="宋体" w:cs="宋体"/>
          <w:color w:val="auto"/>
          <w:sz w:val="21"/>
          <w:szCs w:val="21"/>
          <w:highlight w:val="none"/>
        </w:rPr>
        <w:sectPr>
          <w:type w:val="continuous"/>
          <w:pgSz w:w="11907" w:h="16839"/>
          <w:pgMar w:top="1431" w:right="1785" w:bottom="1135" w:left="1785" w:header="0" w:footer="930" w:gutter="0"/>
          <w:pgNumType w:fmt="numberInDash"/>
          <w:cols w:equalWidth="0" w:num="2">
            <w:col w:w="6643" w:space="100"/>
            <w:col w:w="1592"/>
          </w:cols>
        </w:sectPr>
      </w:pPr>
    </w:p>
    <w:p>
      <w:pPr>
        <w:spacing w:line="32" w:lineRule="exact"/>
        <w:rPr>
          <w:color w:val="auto"/>
          <w:highlight w:val="none"/>
        </w:rPr>
      </w:pPr>
    </w:p>
    <w:tbl>
      <w:tblPr>
        <w:tblStyle w:val="9"/>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331"/>
        <w:gridCol w:w="701"/>
        <w:gridCol w:w="995"/>
        <w:gridCol w:w="736"/>
        <w:gridCol w:w="945"/>
        <w:gridCol w:w="842"/>
        <w:gridCol w:w="840"/>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3" w:type="dxa"/>
            <w:vMerge w:val="restart"/>
            <w:tcBorders>
              <w:bottom w:val="nil"/>
            </w:tcBorders>
            <w:textDirection w:val="tbRlV"/>
            <w:vAlign w:val="top"/>
          </w:tcPr>
          <w:p>
            <w:pPr>
              <w:pStyle w:val="10"/>
              <w:spacing w:before="184" w:line="211" w:lineRule="auto"/>
              <w:ind w:left="562"/>
              <w:rPr>
                <w:color w:val="auto"/>
                <w:highlight w:val="none"/>
              </w:rPr>
            </w:pPr>
            <w:r>
              <w:rPr>
                <w:color w:val="auto"/>
                <w:spacing w:val="31"/>
                <w:highlight w:val="none"/>
              </w:rPr>
              <w:t>序号</w:t>
            </w:r>
          </w:p>
        </w:tc>
        <w:tc>
          <w:tcPr>
            <w:tcW w:w="1331" w:type="dxa"/>
            <w:vMerge w:val="restart"/>
            <w:tcBorders>
              <w:bottom w:val="nil"/>
            </w:tcBorders>
            <w:vAlign w:val="top"/>
          </w:tcPr>
          <w:p>
            <w:pPr>
              <w:spacing w:line="313" w:lineRule="auto"/>
              <w:rPr>
                <w:rFonts w:ascii="Arial"/>
                <w:color w:val="auto"/>
                <w:sz w:val="21"/>
                <w:highlight w:val="none"/>
              </w:rPr>
            </w:pPr>
          </w:p>
          <w:p>
            <w:pPr>
              <w:spacing w:line="314" w:lineRule="auto"/>
              <w:rPr>
                <w:rFonts w:ascii="Arial"/>
                <w:color w:val="auto"/>
                <w:sz w:val="21"/>
                <w:highlight w:val="none"/>
              </w:rPr>
            </w:pPr>
          </w:p>
          <w:p>
            <w:pPr>
              <w:pStyle w:val="10"/>
              <w:spacing w:before="68" w:line="221" w:lineRule="auto"/>
              <w:ind w:left="145"/>
              <w:rPr>
                <w:color w:val="auto"/>
                <w:highlight w:val="none"/>
              </w:rPr>
            </w:pPr>
            <w:r>
              <w:rPr>
                <w:color w:val="auto"/>
                <w:spacing w:val="-2"/>
                <w:highlight w:val="none"/>
              </w:rPr>
              <w:t>投标人名称</w:t>
            </w:r>
          </w:p>
        </w:tc>
        <w:tc>
          <w:tcPr>
            <w:tcW w:w="6393" w:type="dxa"/>
            <w:gridSpan w:val="7"/>
            <w:vAlign w:val="top"/>
          </w:tcPr>
          <w:p>
            <w:pPr>
              <w:pStyle w:val="10"/>
              <w:spacing w:before="149" w:line="221" w:lineRule="auto"/>
              <w:ind w:left="2991"/>
              <w:rPr>
                <w:color w:val="auto"/>
                <w:highlight w:val="none"/>
              </w:rPr>
            </w:pPr>
            <w:r>
              <w:rPr>
                <w:color w:val="auto"/>
                <w:spacing w:val="-3"/>
                <w:highlight w:val="none"/>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583" w:type="dxa"/>
            <w:vMerge w:val="continue"/>
            <w:tcBorders>
              <w:top w:val="nil"/>
            </w:tcBorders>
            <w:textDirection w:val="tbRlV"/>
            <w:vAlign w:val="top"/>
          </w:tcPr>
          <w:p>
            <w:pPr>
              <w:rPr>
                <w:rFonts w:ascii="Arial"/>
                <w:color w:val="auto"/>
                <w:sz w:val="21"/>
                <w:highlight w:val="none"/>
              </w:rPr>
            </w:pPr>
          </w:p>
        </w:tc>
        <w:tc>
          <w:tcPr>
            <w:tcW w:w="1331" w:type="dxa"/>
            <w:vMerge w:val="continue"/>
            <w:tcBorders>
              <w:top w:val="nil"/>
            </w:tcBorders>
            <w:vAlign w:val="top"/>
          </w:tcPr>
          <w:p>
            <w:pPr>
              <w:rPr>
                <w:rFonts w:ascii="Arial"/>
                <w:color w:val="auto"/>
                <w:sz w:val="21"/>
                <w:highlight w:val="none"/>
              </w:rPr>
            </w:pPr>
          </w:p>
        </w:tc>
        <w:tc>
          <w:tcPr>
            <w:tcW w:w="701" w:type="dxa"/>
            <w:vAlign w:val="top"/>
          </w:tcPr>
          <w:p>
            <w:pPr>
              <w:pStyle w:val="10"/>
              <w:spacing w:before="303" w:line="241" w:lineRule="auto"/>
              <w:ind w:left="144"/>
              <w:rPr>
                <w:color w:val="auto"/>
                <w:highlight w:val="none"/>
              </w:rPr>
            </w:pPr>
            <w:r>
              <w:rPr>
                <w:color w:val="auto"/>
                <w:spacing w:val="-3"/>
                <w:highlight w:val="none"/>
              </w:rPr>
              <w:t>投标</w:t>
            </w:r>
          </w:p>
          <w:p>
            <w:pPr>
              <w:pStyle w:val="10"/>
              <w:spacing w:line="219" w:lineRule="auto"/>
              <w:ind w:left="140"/>
              <w:rPr>
                <w:color w:val="auto"/>
                <w:highlight w:val="none"/>
              </w:rPr>
            </w:pPr>
            <w:r>
              <w:rPr>
                <w:color w:val="auto"/>
                <w:spacing w:val="-2"/>
                <w:highlight w:val="none"/>
              </w:rPr>
              <w:t>报价</w:t>
            </w:r>
          </w:p>
        </w:tc>
        <w:tc>
          <w:tcPr>
            <w:tcW w:w="995" w:type="dxa"/>
            <w:vAlign w:val="top"/>
          </w:tcPr>
          <w:p>
            <w:pPr>
              <w:pStyle w:val="10"/>
              <w:spacing w:before="32" w:line="221" w:lineRule="auto"/>
              <w:ind w:left="184"/>
              <w:rPr>
                <w:color w:val="auto"/>
                <w:highlight w:val="none"/>
              </w:rPr>
            </w:pPr>
            <w:r>
              <w:rPr>
                <w:color w:val="auto"/>
                <w:spacing w:val="-2"/>
                <w:highlight w:val="none"/>
              </w:rPr>
              <w:t>修正后</w:t>
            </w:r>
          </w:p>
          <w:p>
            <w:pPr>
              <w:pStyle w:val="10"/>
              <w:spacing w:before="21" w:line="229" w:lineRule="auto"/>
              <w:ind w:left="185" w:right="179" w:firstLine="1"/>
              <w:jc w:val="both"/>
              <w:rPr>
                <w:color w:val="auto"/>
                <w:highlight w:val="none"/>
              </w:rPr>
            </w:pPr>
            <w:r>
              <w:rPr>
                <w:color w:val="auto"/>
                <w:spacing w:val="-3"/>
                <w:highlight w:val="none"/>
              </w:rPr>
              <w:t>投标报</w:t>
            </w:r>
            <w:r>
              <w:rPr>
                <w:color w:val="auto"/>
                <w:highlight w:val="none"/>
              </w:rPr>
              <w:t xml:space="preserve"> </w:t>
            </w:r>
            <w:r>
              <w:rPr>
                <w:color w:val="auto"/>
                <w:spacing w:val="-2"/>
                <w:highlight w:val="none"/>
              </w:rPr>
              <w:t>价（如</w:t>
            </w:r>
            <w:r>
              <w:rPr>
                <w:color w:val="auto"/>
                <w:highlight w:val="none"/>
              </w:rPr>
              <w:t xml:space="preserve"> </w:t>
            </w:r>
            <w:r>
              <w:rPr>
                <w:color w:val="auto"/>
                <w:spacing w:val="42"/>
                <w:highlight w:val="none"/>
              </w:rPr>
              <w:t>有）</w:t>
            </w:r>
          </w:p>
        </w:tc>
        <w:tc>
          <w:tcPr>
            <w:tcW w:w="736" w:type="dxa"/>
            <w:vAlign w:val="top"/>
          </w:tcPr>
          <w:p>
            <w:pPr>
              <w:pStyle w:val="10"/>
              <w:spacing w:before="304" w:line="221" w:lineRule="auto"/>
              <w:ind w:left="160"/>
              <w:rPr>
                <w:color w:val="auto"/>
                <w:highlight w:val="none"/>
              </w:rPr>
            </w:pPr>
            <w:r>
              <w:rPr>
                <w:color w:val="auto"/>
                <w:spacing w:val="-2"/>
                <w:highlight w:val="none"/>
              </w:rPr>
              <w:t>评标</w:t>
            </w:r>
          </w:p>
          <w:p>
            <w:pPr>
              <w:pStyle w:val="10"/>
              <w:spacing w:before="22" w:line="219" w:lineRule="auto"/>
              <w:ind w:left="268"/>
              <w:rPr>
                <w:color w:val="auto"/>
                <w:highlight w:val="none"/>
              </w:rPr>
            </w:pPr>
            <w:r>
              <w:rPr>
                <w:color w:val="auto"/>
                <w:highlight w:val="none"/>
              </w:rPr>
              <w:t>价</w:t>
            </w:r>
          </w:p>
        </w:tc>
        <w:tc>
          <w:tcPr>
            <w:tcW w:w="945" w:type="dxa"/>
            <w:vAlign w:val="top"/>
          </w:tcPr>
          <w:p>
            <w:pPr>
              <w:pStyle w:val="10"/>
              <w:spacing w:before="304" w:line="221" w:lineRule="auto"/>
              <w:ind w:left="162"/>
              <w:rPr>
                <w:color w:val="auto"/>
                <w:highlight w:val="none"/>
              </w:rPr>
            </w:pPr>
            <w:r>
              <w:rPr>
                <w:color w:val="auto"/>
                <w:spacing w:val="-1"/>
                <w:highlight w:val="none"/>
              </w:rPr>
              <w:t>评标基</w:t>
            </w:r>
          </w:p>
          <w:p>
            <w:pPr>
              <w:pStyle w:val="10"/>
              <w:spacing w:before="22" w:line="219" w:lineRule="auto"/>
              <w:ind w:left="270"/>
              <w:rPr>
                <w:color w:val="auto"/>
                <w:highlight w:val="none"/>
              </w:rPr>
            </w:pPr>
            <w:r>
              <w:rPr>
                <w:color w:val="auto"/>
                <w:spacing w:val="-2"/>
                <w:highlight w:val="none"/>
              </w:rPr>
              <w:t>准价</w:t>
            </w:r>
          </w:p>
        </w:tc>
        <w:tc>
          <w:tcPr>
            <w:tcW w:w="842" w:type="dxa"/>
            <w:vAlign w:val="top"/>
          </w:tcPr>
          <w:p>
            <w:pPr>
              <w:pStyle w:val="10"/>
              <w:spacing w:before="303" w:line="221" w:lineRule="auto"/>
              <w:ind w:left="216"/>
              <w:rPr>
                <w:color w:val="auto"/>
                <w:highlight w:val="none"/>
              </w:rPr>
            </w:pPr>
            <w:r>
              <w:rPr>
                <w:color w:val="auto"/>
                <w:spacing w:val="-2"/>
                <w:highlight w:val="none"/>
              </w:rPr>
              <w:t>偏差</w:t>
            </w:r>
          </w:p>
          <w:p>
            <w:pPr>
              <w:pStyle w:val="10"/>
              <w:spacing w:before="22" w:line="221" w:lineRule="auto"/>
              <w:ind w:left="323"/>
              <w:rPr>
                <w:color w:val="auto"/>
                <w:highlight w:val="none"/>
              </w:rPr>
            </w:pPr>
            <w:r>
              <w:rPr>
                <w:color w:val="auto"/>
                <w:highlight w:val="none"/>
              </w:rPr>
              <w:t>率</w:t>
            </w:r>
          </w:p>
        </w:tc>
        <w:tc>
          <w:tcPr>
            <w:tcW w:w="840" w:type="dxa"/>
            <w:vAlign w:val="top"/>
          </w:tcPr>
          <w:p>
            <w:pPr>
              <w:pStyle w:val="10"/>
              <w:spacing w:before="33" w:line="238" w:lineRule="auto"/>
              <w:ind w:left="214"/>
              <w:rPr>
                <w:color w:val="auto"/>
                <w:highlight w:val="none"/>
              </w:rPr>
            </w:pPr>
            <w:r>
              <w:rPr>
                <w:color w:val="auto"/>
                <w:spacing w:val="-2"/>
                <w:highlight w:val="none"/>
              </w:rPr>
              <w:t>计算</w:t>
            </w:r>
          </w:p>
          <w:p>
            <w:pPr>
              <w:pStyle w:val="10"/>
              <w:spacing w:line="221" w:lineRule="auto"/>
              <w:ind w:left="216"/>
              <w:rPr>
                <w:color w:val="auto"/>
                <w:highlight w:val="none"/>
              </w:rPr>
            </w:pPr>
            <w:r>
              <w:rPr>
                <w:color w:val="auto"/>
                <w:spacing w:val="-3"/>
                <w:highlight w:val="none"/>
              </w:rPr>
              <w:t>投标</w:t>
            </w:r>
          </w:p>
          <w:p>
            <w:pPr>
              <w:pStyle w:val="10"/>
              <w:spacing w:before="22" w:line="219" w:lineRule="auto"/>
              <w:ind w:left="212"/>
              <w:rPr>
                <w:color w:val="auto"/>
                <w:highlight w:val="none"/>
              </w:rPr>
            </w:pPr>
            <w:r>
              <w:rPr>
                <w:color w:val="auto"/>
                <w:spacing w:val="-2"/>
                <w:highlight w:val="none"/>
              </w:rPr>
              <w:t>报价</w:t>
            </w:r>
          </w:p>
          <w:p>
            <w:pPr>
              <w:pStyle w:val="10"/>
              <w:spacing w:before="22" w:line="208" w:lineRule="auto"/>
              <w:ind w:left="215"/>
              <w:rPr>
                <w:color w:val="auto"/>
                <w:highlight w:val="none"/>
              </w:rPr>
            </w:pPr>
            <w:r>
              <w:rPr>
                <w:color w:val="auto"/>
                <w:spacing w:val="-2"/>
                <w:highlight w:val="none"/>
              </w:rPr>
              <w:t>得分</w:t>
            </w:r>
          </w:p>
        </w:tc>
        <w:tc>
          <w:tcPr>
            <w:tcW w:w="1334" w:type="dxa"/>
            <w:vAlign w:val="top"/>
          </w:tcPr>
          <w:p>
            <w:pPr>
              <w:pStyle w:val="10"/>
              <w:spacing w:before="33" w:line="229" w:lineRule="auto"/>
              <w:ind w:left="282" w:right="135" w:hanging="132"/>
              <w:rPr>
                <w:color w:val="auto"/>
                <w:highlight w:val="none"/>
              </w:rPr>
            </w:pPr>
            <w:r>
              <w:rPr>
                <w:color w:val="auto"/>
                <w:spacing w:val="-2"/>
                <w:highlight w:val="none"/>
              </w:rPr>
              <w:t>投标报价最</w:t>
            </w:r>
            <w:r>
              <w:rPr>
                <w:color w:val="auto"/>
                <w:spacing w:val="1"/>
                <w:highlight w:val="none"/>
              </w:rPr>
              <w:t xml:space="preserve"> </w:t>
            </w:r>
            <w:r>
              <w:rPr>
                <w:color w:val="auto"/>
                <w:spacing w:val="-3"/>
                <w:highlight w:val="none"/>
              </w:rPr>
              <w:t>终得分</w:t>
            </w:r>
            <w:r>
              <w:rPr>
                <w:color w:val="auto"/>
                <w:spacing w:val="-48"/>
                <w:highlight w:val="none"/>
              </w:rPr>
              <w:t xml:space="preserve"> </w:t>
            </w:r>
            <w:r>
              <w:rPr>
                <w:color w:val="auto"/>
                <w:spacing w:val="-3"/>
                <w:highlight w:val="none"/>
              </w:rPr>
              <w:t>D</w:t>
            </w:r>
          </w:p>
          <w:p>
            <w:pPr>
              <w:pStyle w:val="10"/>
              <w:spacing w:before="22" w:line="239" w:lineRule="auto"/>
              <w:ind w:left="362"/>
              <w:rPr>
                <w:color w:val="auto"/>
                <w:highlight w:val="none"/>
              </w:rPr>
            </w:pPr>
            <w:r>
              <w:rPr>
                <w:color w:val="auto"/>
                <w:spacing w:val="-5"/>
                <w:highlight w:val="none"/>
              </w:rPr>
              <w:t>（满分</w:t>
            </w:r>
          </w:p>
          <w:p>
            <w:pPr>
              <w:pStyle w:val="10"/>
              <w:spacing w:line="208" w:lineRule="auto"/>
              <w:ind w:left="464"/>
              <w:rPr>
                <w:color w:val="auto"/>
                <w:highlight w:val="none"/>
              </w:rPr>
            </w:pPr>
            <w:r>
              <w:rPr>
                <w:color w:val="auto"/>
                <w:spacing w:val="-5"/>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83" w:type="dxa"/>
            <w:vAlign w:val="top"/>
          </w:tcPr>
          <w:p>
            <w:pPr>
              <w:spacing w:before="159" w:line="189" w:lineRule="auto"/>
              <w:ind w:left="25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restart"/>
            <w:tcBorders>
              <w:bottom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83" w:type="dxa"/>
            <w:vAlign w:val="top"/>
          </w:tcPr>
          <w:p>
            <w:pPr>
              <w:pStyle w:val="10"/>
              <w:spacing w:before="95" w:line="182" w:lineRule="auto"/>
              <w:ind w:left="245"/>
              <w:rPr>
                <w:color w:val="auto"/>
                <w:highlight w:val="none"/>
              </w:rPr>
            </w:pPr>
            <w:r>
              <w:rPr>
                <w:color w:val="auto"/>
                <w:highlight w:val="none"/>
              </w:rPr>
              <w:t>2</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continue"/>
            <w:tcBorders>
              <w:top w:val="nil"/>
              <w:bottom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3" w:type="dxa"/>
            <w:vAlign w:val="top"/>
          </w:tcPr>
          <w:p>
            <w:pPr>
              <w:spacing w:before="164" w:line="189" w:lineRule="auto"/>
              <w:ind w:left="2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continue"/>
            <w:tcBorders>
              <w:top w:val="nil"/>
              <w:bottom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vAlign w:val="top"/>
          </w:tcPr>
          <w:p>
            <w:pPr>
              <w:pStyle w:val="10"/>
              <w:spacing w:before="165" w:line="182" w:lineRule="auto"/>
              <w:ind w:left="242"/>
              <w:rPr>
                <w:color w:val="auto"/>
                <w:highlight w:val="none"/>
              </w:rPr>
            </w:pPr>
            <w:r>
              <w:rPr>
                <w:color w:val="auto"/>
                <w:highlight w:val="none"/>
              </w:rPr>
              <w:t>4</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continue"/>
            <w:tcBorders>
              <w:top w:val="nil"/>
              <w:bottom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3" w:type="dxa"/>
            <w:vAlign w:val="top"/>
          </w:tcPr>
          <w:p>
            <w:pPr>
              <w:spacing w:before="165" w:line="186" w:lineRule="auto"/>
              <w:ind w:left="24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continue"/>
            <w:tcBorders>
              <w:top w:val="nil"/>
              <w:bottom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vAlign w:val="top"/>
          </w:tcPr>
          <w:p>
            <w:pPr>
              <w:spacing w:before="168" w:line="189" w:lineRule="auto"/>
              <w:ind w:left="2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continue"/>
            <w:tcBorders>
              <w:top w:val="nil"/>
              <w:bottom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3" w:type="dxa"/>
            <w:vAlign w:val="top"/>
          </w:tcPr>
          <w:p>
            <w:pPr>
              <w:pStyle w:val="10"/>
              <w:spacing w:before="132" w:line="330" w:lineRule="exact"/>
              <w:ind w:left="203"/>
              <w:rPr>
                <w:color w:val="auto"/>
                <w:highlight w:val="none"/>
              </w:rPr>
            </w:pPr>
            <w:r>
              <w:rPr>
                <w:color w:val="auto"/>
                <w:position w:val="2"/>
                <w:highlight w:val="none"/>
              </w:rPr>
              <w:t>…</w:t>
            </w:r>
          </w:p>
        </w:tc>
        <w:tc>
          <w:tcPr>
            <w:tcW w:w="1331" w:type="dxa"/>
            <w:vAlign w:val="top"/>
          </w:tcPr>
          <w:p>
            <w:pPr>
              <w:rPr>
                <w:rFonts w:ascii="Arial"/>
                <w:color w:val="auto"/>
                <w:sz w:val="21"/>
                <w:highlight w:val="none"/>
              </w:rPr>
            </w:pPr>
          </w:p>
        </w:tc>
        <w:tc>
          <w:tcPr>
            <w:tcW w:w="701" w:type="dxa"/>
            <w:vAlign w:val="top"/>
          </w:tcPr>
          <w:p>
            <w:pPr>
              <w:rPr>
                <w:rFonts w:ascii="Arial"/>
                <w:color w:val="auto"/>
                <w:sz w:val="21"/>
                <w:highlight w:val="none"/>
              </w:rPr>
            </w:pPr>
          </w:p>
        </w:tc>
        <w:tc>
          <w:tcPr>
            <w:tcW w:w="995" w:type="dxa"/>
            <w:vAlign w:val="top"/>
          </w:tcPr>
          <w:p>
            <w:pPr>
              <w:rPr>
                <w:rFonts w:ascii="Arial"/>
                <w:color w:val="auto"/>
                <w:sz w:val="21"/>
                <w:highlight w:val="none"/>
              </w:rPr>
            </w:pPr>
          </w:p>
        </w:tc>
        <w:tc>
          <w:tcPr>
            <w:tcW w:w="736" w:type="dxa"/>
            <w:vAlign w:val="top"/>
          </w:tcPr>
          <w:p>
            <w:pPr>
              <w:rPr>
                <w:rFonts w:ascii="Arial"/>
                <w:color w:val="auto"/>
                <w:sz w:val="21"/>
                <w:highlight w:val="none"/>
              </w:rPr>
            </w:pPr>
          </w:p>
        </w:tc>
        <w:tc>
          <w:tcPr>
            <w:tcW w:w="945" w:type="dxa"/>
            <w:vMerge w:val="continue"/>
            <w:tcBorders>
              <w:top w:val="nil"/>
            </w:tcBorders>
            <w:vAlign w:val="top"/>
          </w:tcPr>
          <w:p>
            <w:pPr>
              <w:rPr>
                <w:rFonts w:ascii="Arial"/>
                <w:color w:val="auto"/>
                <w:sz w:val="21"/>
                <w:highlight w:val="none"/>
              </w:rPr>
            </w:pPr>
          </w:p>
        </w:tc>
        <w:tc>
          <w:tcPr>
            <w:tcW w:w="842" w:type="dxa"/>
            <w:vAlign w:val="top"/>
          </w:tcPr>
          <w:p>
            <w:pPr>
              <w:rPr>
                <w:rFonts w:ascii="Arial"/>
                <w:color w:val="auto"/>
                <w:sz w:val="21"/>
                <w:highlight w:val="none"/>
              </w:rPr>
            </w:pPr>
          </w:p>
        </w:tc>
        <w:tc>
          <w:tcPr>
            <w:tcW w:w="840" w:type="dxa"/>
            <w:vAlign w:val="top"/>
          </w:tcPr>
          <w:p>
            <w:pPr>
              <w:rPr>
                <w:rFonts w:ascii="Arial"/>
                <w:color w:val="auto"/>
                <w:sz w:val="21"/>
                <w:highlight w:val="none"/>
              </w:rPr>
            </w:pPr>
          </w:p>
        </w:tc>
        <w:tc>
          <w:tcPr>
            <w:tcW w:w="1334"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8307" w:type="dxa"/>
            <w:gridSpan w:val="9"/>
            <w:vAlign w:val="top"/>
          </w:tcPr>
          <w:p>
            <w:pPr>
              <w:pStyle w:val="10"/>
              <w:spacing w:before="276" w:line="221" w:lineRule="auto"/>
              <w:ind w:left="117"/>
              <w:rPr>
                <w:color w:val="auto"/>
                <w:highlight w:val="none"/>
              </w:rPr>
            </w:pPr>
            <w:r>
              <w:rPr>
                <w:color w:val="auto"/>
                <w:spacing w:val="-1"/>
                <w:highlight w:val="none"/>
              </w:rPr>
              <w:t>经济标评委签名：</w:t>
            </w:r>
          </w:p>
        </w:tc>
      </w:tr>
    </w:tbl>
    <w:p>
      <w:pPr>
        <w:spacing w:before="29" w:line="186" w:lineRule="auto"/>
        <w:ind w:left="5308"/>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24"/>
          <w:sz w:val="21"/>
          <w:szCs w:val="21"/>
          <w:highlight w:val="none"/>
        </w:rPr>
        <w:t>日</w:t>
      </w:r>
    </w:p>
    <w:p>
      <w:pPr>
        <w:spacing w:line="186" w:lineRule="auto"/>
        <w:rPr>
          <w:rFonts w:ascii="宋体" w:hAnsi="宋体" w:eastAsia="宋体" w:cs="宋体"/>
          <w:color w:val="auto"/>
          <w:sz w:val="21"/>
          <w:szCs w:val="21"/>
          <w:highlight w:val="none"/>
        </w:rPr>
        <w:sectPr>
          <w:type w:val="continuous"/>
          <w:pgSz w:w="11907" w:h="16839"/>
          <w:pgMar w:top="1431" w:right="1785" w:bottom="1135" w:left="1785" w:header="0" w:footer="930" w:gutter="0"/>
          <w:pgNumType w:fmt="numberInDash"/>
          <w:cols w:equalWidth="0" w:num="1">
            <w:col w:w="8335"/>
          </w:cols>
        </w:sectPr>
      </w:pPr>
    </w:p>
    <w:p>
      <w:pPr>
        <w:pStyle w:val="2"/>
        <w:spacing w:line="264" w:lineRule="auto"/>
        <w:rPr>
          <w:color w:val="auto"/>
          <w:highlight w:val="none"/>
        </w:rPr>
      </w:pPr>
    </w:p>
    <w:p>
      <w:pPr>
        <w:pStyle w:val="2"/>
        <w:spacing w:line="264" w:lineRule="auto"/>
        <w:rPr>
          <w:color w:val="auto"/>
          <w:highlight w:val="none"/>
        </w:rPr>
      </w:pPr>
    </w:p>
    <w:p>
      <w:pPr>
        <w:pStyle w:val="2"/>
        <w:spacing w:line="264" w:lineRule="auto"/>
        <w:rPr>
          <w:color w:val="auto"/>
          <w:highlight w:val="none"/>
        </w:rPr>
      </w:pPr>
    </w:p>
    <w:p>
      <w:pPr>
        <w:pStyle w:val="2"/>
        <w:spacing w:line="264" w:lineRule="auto"/>
        <w:rPr>
          <w:color w:val="auto"/>
          <w:highlight w:val="none"/>
        </w:rPr>
      </w:pPr>
    </w:p>
    <w:p>
      <w:pPr>
        <w:spacing w:before="78" w:line="219" w:lineRule="auto"/>
        <w:ind w:left="1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5"/>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2"/>
          <w:sz w:val="24"/>
          <w:szCs w:val="24"/>
          <w:highlight w:val="none"/>
        </w:rPr>
        <w:t xml:space="preserve"> </w:t>
      </w:r>
      <w:r>
        <w:rPr>
          <w:rFonts w:ascii="Times New Roman" w:hAnsi="Times New Roman" w:eastAsia="Times New Roman" w:cs="Times New Roman"/>
          <w:color w:val="auto"/>
          <w:spacing w:val="-5"/>
          <w:sz w:val="24"/>
          <w:szCs w:val="24"/>
          <w:highlight w:val="none"/>
        </w:rPr>
        <w:t>11</w:t>
      </w:r>
      <w:r>
        <w:rPr>
          <w:rFonts w:ascii="黑体" w:hAnsi="黑体" w:eastAsia="黑体" w:cs="黑体"/>
          <w:color w:val="auto"/>
          <w:spacing w:val="-5"/>
          <w:sz w:val="24"/>
          <w:szCs w:val="24"/>
          <w:highlight w:val="none"/>
        </w:rPr>
        <w:t>：技术标评审记录表</w:t>
      </w:r>
    </w:p>
    <w:p>
      <w:pPr>
        <w:spacing w:before="56" w:line="219" w:lineRule="auto"/>
        <w:ind w:left="5545"/>
        <w:rPr>
          <w:rFonts w:ascii="黑体" w:hAnsi="黑体" w:eastAsia="黑体" w:cs="黑体"/>
          <w:color w:val="auto"/>
          <w:sz w:val="36"/>
          <w:szCs w:val="36"/>
          <w:highlight w:val="none"/>
        </w:rPr>
      </w:pPr>
      <w:bookmarkStart w:id="108" w:name="bookmark148"/>
      <w:bookmarkEnd w:id="108"/>
      <w:bookmarkStart w:id="109" w:name="bookmark147"/>
      <w:bookmarkEnd w:id="109"/>
      <w:bookmarkStart w:id="110" w:name="bookmark149"/>
      <w:bookmarkEnd w:id="110"/>
      <w:r>
        <w:rPr>
          <w:rFonts w:ascii="黑体" w:hAnsi="黑体" w:eastAsia="黑体" w:cs="黑体"/>
          <w:color w:val="auto"/>
          <w:spacing w:val="-2"/>
          <w:sz w:val="36"/>
          <w:szCs w:val="36"/>
          <w:highlight w:val="none"/>
        </w:rPr>
        <w:t>技术标评审记录表</w:t>
      </w:r>
    </w:p>
    <w:p>
      <w:pPr>
        <w:spacing w:before="255" w:line="221" w:lineRule="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13756"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1790"/>
        <w:gridCol w:w="1342"/>
        <w:gridCol w:w="1341"/>
        <w:gridCol w:w="1341"/>
        <w:gridCol w:w="1341"/>
        <w:gridCol w:w="1341"/>
        <w:gridCol w:w="1342"/>
        <w:gridCol w:w="1351"/>
        <w:gridCol w:w="17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89" w:type="dxa"/>
            <w:vMerge w:val="restart"/>
            <w:tcBorders>
              <w:bottom w:val="nil"/>
            </w:tcBorders>
            <w:vAlign w:val="top"/>
          </w:tcPr>
          <w:p>
            <w:pPr>
              <w:spacing w:line="243" w:lineRule="auto"/>
              <w:rPr>
                <w:rFonts w:ascii="Arial"/>
                <w:color w:val="auto"/>
                <w:sz w:val="21"/>
                <w:highlight w:val="none"/>
              </w:rPr>
            </w:pPr>
          </w:p>
          <w:p>
            <w:pPr>
              <w:pStyle w:val="10"/>
              <w:spacing w:before="68" w:line="222" w:lineRule="auto"/>
              <w:ind w:left="189"/>
              <w:rPr>
                <w:color w:val="auto"/>
                <w:highlight w:val="none"/>
              </w:rPr>
            </w:pPr>
            <w:r>
              <w:rPr>
                <w:color w:val="auto"/>
                <w:spacing w:val="-2"/>
                <w:highlight w:val="none"/>
              </w:rPr>
              <w:t>序号</w:t>
            </w:r>
          </w:p>
        </w:tc>
        <w:tc>
          <w:tcPr>
            <w:tcW w:w="1790" w:type="dxa"/>
            <w:vMerge w:val="restart"/>
            <w:tcBorders>
              <w:bottom w:val="nil"/>
            </w:tcBorders>
            <w:vAlign w:val="top"/>
          </w:tcPr>
          <w:p>
            <w:pPr>
              <w:spacing w:line="243" w:lineRule="auto"/>
              <w:rPr>
                <w:rFonts w:ascii="Arial"/>
                <w:color w:val="auto"/>
                <w:sz w:val="21"/>
                <w:highlight w:val="none"/>
              </w:rPr>
            </w:pPr>
          </w:p>
          <w:p>
            <w:pPr>
              <w:pStyle w:val="10"/>
              <w:spacing w:before="69" w:line="221" w:lineRule="auto"/>
              <w:ind w:left="375"/>
              <w:rPr>
                <w:color w:val="auto"/>
                <w:highlight w:val="none"/>
              </w:rPr>
            </w:pPr>
            <w:r>
              <w:rPr>
                <w:color w:val="auto"/>
                <w:spacing w:val="-2"/>
                <w:highlight w:val="none"/>
              </w:rPr>
              <w:t>投标人名称</w:t>
            </w:r>
          </w:p>
        </w:tc>
        <w:tc>
          <w:tcPr>
            <w:tcW w:w="9399" w:type="dxa"/>
            <w:gridSpan w:val="7"/>
            <w:vAlign w:val="top"/>
          </w:tcPr>
          <w:p>
            <w:pPr>
              <w:pStyle w:val="10"/>
              <w:spacing w:before="104" w:line="221" w:lineRule="auto"/>
              <w:ind w:left="3969"/>
              <w:rPr>
                <w:color w:val="auto"/>
                <w:highlight w:val="none"/>
              </w:rPr>
            </w:pPr>
            <w:r>
              <w:rPr>
                <w:color w:val="auto"/>
                <w:spacing w:val="-1"/>
                <w:highlight w:val="none"/>
              </w:rPr>
              <w:t>评委姓名及得分</w:t>
            </w:r>
          </w:p>
        </w:tc>
        <w:tc>
          <w:tcPr>
            <w:tcW w:w="1778" w:type="dxa"/>
            <w:vMerge w:val="restart"/>
            <w:tcBorders>
              <w:bottom w:val="nil"/>
            </w:tcBorders>
            <w:vAlign w:val="top"/>
          </w:tcPr>
          <w:p>
            <w:pPr>
              <w:pStyle w:val="10"/>
              <w:spacing w:before="180" w:line="229" w:lineRule="auto"/>
              <w:ind w:left="217" w:right="148" w:hanging="58"/>
              <w:rPr>
                <w:color w:val="auto"/>
                <w:highlight w:val="none"/>
              </w:rPr>
            </w:pPr>
            <w:r>
              <w:rPr>
                <w:color w:val="auto"/>
                <w:spacing w:val="-1"/>
                <w:highlight w:val="none"/>
              </w:rPr>
              <w:t>技术标最终得分</w:t>
            </w:r>
            <w:r>
              <w:rPr>
                <w:color w:val="auto"/>
                <w:highlight w:val="none"/>
              </w:rPr>
              <w:t xml:space="preserve"> </w:t>
            </w:r>
            <w:r>
              <w:rPr>
                <w:color w:val="auto"/>
                <w:spacing w:val="-7"/>
                <w:highlight w:val="none"/>
              </w:rPr>
              <w:t>（满分</w:t>
            </w:r>
            <w:r>
              <w:rPr>
                <w:color w:val="auto"/>
                <w:spacing w:val="6"/>
                <w:highlight w:val="none"/>
              </w:rPr>
              <w:t xml:space="preserve">   </w:t>
            </w:r>
            <w:r>
              <w:rPr>
                <w:color w:val="auto"/>
                <w:spacing w:val="-7"/>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89" w:type="dxa"/>
            <w:vMerge w:val="continue"/>
            <w:tcBorders>
              <w:top w:val="nil"/>
            </w:tcBorders>
            <w:vAlign w:val="top"/>
          </w:tcPr>
          <w:p>
            <w:pPr>
              <w:rPr>
                <w:rFonts w:ascii="Arial"/>
                <w:color w:val="auto"/>
                <w:sz w:val="21"/>
                <w:highlight w:val="none"/>
              </w:rPr>
            </w:pPr>
          </w:p>
        </w:tc>
        <w:tc>
          <w:tcPr>
            <w:tcW w:w="1790" w:type="dxa"/>
            <w:vMerge w:val="continue"/>
            <w:tcBorders>
              <w:top w:val="nil"/>
            </w:tcBorders>
            <w:vAlign w:val="top"/>
          </w:tcPr>
          <w:p>
            <w:pPr>
              <w:rPr>
                <w:rFonts w:ascii="Arial"/>
                <w:color w:val="auto"/>
                <w:sz w:val="21"/>
                <w:highlight w:val="none"/>
              </w:rPr>
            </w:pPr>
          </w:p>
        </w:tc>
        <w:tc>
          <w:tcPr>
            <w:tcW w:w="1342" w:type="dxa"/>
            <w:vAlign w:val="top"/>
          </w:tcPr>
          <w:p>
            <w:pPr>
              <w:pStyle w:val="10"/>
              <w:spacing w:before="99" w:line="221" w:lineRule="auto"/>
              <w:ind w:left="384"/>
              <w:rPr>
                <w:color w:val="auto"/>
                <w:highlight w:val="none"/>
              </w:rPr>
            </w:pPr>
            <w:r>
              <w:rPr>
                <w:color w:val="auto"/>
                <w:spacing w:val="-2"/>
                <w:highlight w:val="none"/>
              </w:rPr>
              <w:t>评委</w:t>
            </w:r>
            <w:r>
              <w:rPr>
                <w:color w:val="auto"/>
                <w:spacing w:val="-28"/>
                <w:highlight w:val="none"/>
              </w:rPr>
              <w:t xml:space="preserve"> </w:t>
            </w:r>
            <w:r>
              <w:rPr>
                <w:color w:val="auto"/>
                <w:spacing w:val="-2"/>
                <w:highlight w:val="none"/>
              </w:rPr>
              <w:t>1</w:t>
            </w:r>
          </w:p>
        </w:tc>
        <w:tc>
          <w:tcPr>
            <w:tcW w:w="1341" w:type="dxa"/>
            <w:vAlign w:val="top"/>
          </w:tcPr>
          <w:p>
            <w:pPr>
              <w:pStyle w:val="10"/>
              <w:spacing w:before="99" w:line="221" w:lineRule="auto"/>
              <w:ind w:left="385"/>
              <w:rPr>
                <w:color w:val="auto"/>
                <w:highlight w:val="none"/>
              </w:rPr>
            </w:pPr>
            <w:r>
              <w:rPr>
                <w:color w:val="auto"/>
                <w:spacing w:val="-2"/>
                <w:highlight w:val="none"/>
              </w:rPr>
              <w:t>评委</w:t>
            </w:r>
            <w:r>
              <w:rPr>
                <w:color w:val="auto"/>
                <w:spacing w:val="-42"/>
                <w:highlight w:val="none"/>
              </w:rPr>
              <w:t xml:space="preserve"> </w:t>
            </w:r>
            <w:r>
              <w:rPr>
                <w:color w:val="auto"/>
                <w:spacing w:val="-2"/>
                <w:highlight w:val="none"/>
              </w:rPr>
              <w:t>2</w:t>
            </w:r>
          </w:p>
        </w:tc>
        <w:tc>
          <w:tcPr>
            <w:tcW w:w="1341" w:type="dxa"/>
            <w:vAlign w:val="top"/>
          </w:tcPr>
          <w:p>
            <w:pPr>
              <w:pStyle w:val="10"/>
              <w:spacing w:before="99" w:line="305" w:lineRule="exact"/>
              <w:ind w:left="479"/>
              <w:rPr>
                <w:color w:val="auto"/>
                <w:highlight w:val="none"/>
              </w:rPr>
            </w:pPr>
            <w:r>
              <w:rPr>
                <w:color w:val="auto"/>
                <w:spacing w:val="-5"/>
                <w:position w:val="2"/>
                <w:highlight w:val="none"/>
              </w:rPr>
              <w:t>……</w:t>
            </w: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vAlign w:val="top"/>
          </w:tcPr>
          <w:p>
            <w:pPr>
              <w:pStyle w:val="10"/>
              <w:spacing w:before="209" w:line="183" w:lineRule="auto"/>
              <w:ind w:left="362"/>
              <w:rPr>
                <w:color w:val="auto"/>
                <w:highlight w:val="none"/>
              </w:rPr>
            </w:pPr>
            <w:r>
              <w:rPr>
                <w:color w:val="auto"/>
                <w:highlight w:val="none"/>
              </w:rPr>
              <w:t>1</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vAlign w:val="top"/>
          </w:tcPr>
          <w:p>
            <w:pPr>
              <w:pStyle w:val="10"/>
              <w:spacing w:before="208" w:line="182" w:lineRule="auto"/>
              <w:ind w:left="348"/>
              <w:rPr>
                <w:color w:val="auto"/>
                <w:highlight w:val="none"/>
              </w:rPr>
            </w:pPr>
            <w:r>
              <w:rPr>
                <w:color w:val="auto"/>
                <w:highlight w:val="none"/>
              </w:rPr>
              <w:t>2</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vAlign w:val="top"/>
          </w:tcPr>
          <w:p>
            <w:pPr>
              <w:pStyle w:val="10"/>
              <w:spacing w:before="208" w:line="182" w:lineRule="auto"/>
              <w:ind w:left="350"/>
              <w:rPr>
                <w:color w:val="auto"/>
                <w:highlight w:val="none"/>
              </w:rPr>
            </w:pPr>
            <w:r>
              <w:rPr>
                <w:color w:val="auto"/>
                <w:highlight w:val="none"/>
              </w:rPr>
              <w:t>3</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vAlign w:val="top"/>
          </w:tcPr>
          <w:p>
            <w:pPr>
              <w:pStyle w:val="10"/>
              <w:spacing w:before="209" w:line="182" w:lineRule="auto"/>
              <w:ind w:left="345"/>
              <w:rPr>
                <w:color w:val="auto"/>
                <w:highlight w:val="none"/>
              </w:rPr>
            </w:pPr>
            <w:r>
              <w:rPr>
                <w:color w:val="auto"/>
                <w:highlight w:val="none"/>
              </w:rPr>
              <w:t>4</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vAlign w:val="top"/>
          </w:tcPr>
          <w:p>
            <w:pPr>
              <w:pStyle w:val="10"/>
              <w:spacing w:before="211" w:line="181" w:lineRule="auto"/>
              <w:ind w:left="350"/>
              <w:rPr>
                <w:color w:val="auto"/>
                <w:highlight w:val="none"/>
              </w:rPr>
            </w:pPr>
            <w:r>
              <w:rPr>
                <w:color w:val="auto"/>
                <w:highlight w:val="none"/>
              </w:rPr>
              <w:t>5</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89" w:type="dxa"/>
            <w:vAlign w:val="top"/>
          </w:tcPr>
          <w:p>
            <w:pPr>
              <w:pStyle w:val="10"/>
              <w:spacing w:before="210" w:line="182" w:lineRule="auto"/>
              <w:ind w:left="348"/>
              <w:rPr>
                <w:color w:val="auto"/>
                <w:highlight w:val="none"/>
              </w:rPr>
            </w:pPr>
            <w:r>
              <w:rPr>
                <w:color w:val="auto"/>
                <w:highlight w:val="none"/>
              </w:rPr>
              <w:t>6</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vAlign w:val="top"/>
          </w:tcPr>
          <w:p>
            <w:pPr>
              <w:pStyle w:val="10"/>
              <w:spacing w:before="178" w:line="332" w:lineRule="exact"/>
              <w:ind w:left="203"/>
              <w:rPr>
                <w:color w:val="auto"/>
                <w:highlight w:val="none"/>
              </w:rPr>
            </w:pPr>
            <w:r>
              <w:rPr>
                <w:color w:val="auto"/>
                <w:spacing w:val="-10"/>
                <w:position w:val="2"/>
                <w:highlight w:val="none"/>
              </w:rPr>
              <w:t>……</w:t>
            </w:r>
          </w:p>
        </w:tc>
        <w:tc>
          <w:tcPr>
            <w:tcW w:w="1790"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1" w:type="dxa"/>
            <w:vAlign w:val="top"/>
          </w:tcPr>
          <w:p>
            <w:pPr>
              <w:rPr>
                <w:rFonts w:ascii="Arial"/>
                <w:color w:val="auto"/>
                <w:sz w:val="21"/>
                <w:highlight w:val="none"/>
              </w:rPr>
            </w:pPr>
          </w:p>
        </w:tc>
        <w:tc>
          <w:tcPr>
            <w:tcW w:w="1342" w:type="dxa"/>
            <w:vAlign w:val="top"/>
          </w:tcPr>
          <w:p>
            <w:pPr>
              <w:rPr>
                <w:rFonts w:ascii="Arial"/>
                <w:color w:val="auto"/>
                <w:sz w:val="21"/>
                <w:highlight w:val="none"/>
              </w:rPr>
            </w:pPr>
          </w:p>
        </w:tc>
        <w:tc>
          <w:tcPr>
            <w:tcW w:w="1351" w:type="dxa"/>
            <w:vAlign w:val="top"/>
          </w:tcPr>
          <w:p>
            <w:pPr>
              <w:rPr>
                <w:rFonts w:ascii="Arial"/>
                <w:color w:val="auto"/>
                <w:sz w:val="21"/>
                <w:highlight w:val="none"/>
              </w:rPr>
            </w:pPr>
          </w:p>
        </w:tc>
        <w:tc>
          <w:tcPr>
            <w:tcW w:w="177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3756" w:type="dxa"/>
            <w:gridSpan w:val="10"/>
            <w:vAlign w:val="top"/>
          </w:tcPr>
          <w:p>
            <w:pPr>
              <w:pStyle w:val="10"/>
              <w:spacing w:before="34" w:line="221" w:lineRule="auto"/>
              <w:ind w:left="116"/>
              <w:rPr>
                <w:color w:val="auto"/>
                <w:highlight w:val="none"/>
              </w:rPr>
            </w:pPr>
            <w:r>
              <w:rPr>
                <w:color w:val="auto"/>
                <w:spacing w:val="-1"/>
                <w:highlight w:val="none"/>
              </w:rPr>
              <w:t>技术标评委签名：</w:t>
            </w:r>
          </w:p>
        </w:tc>
      </w:tr>
    </w:tbl>
    <w:p>
      <w:pPr>
        <w:spacing w:before="29" w:line="221" w:lineRule="auto"/>
        <w:jc w:val="right"/>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日期：</w:t>
      </w:r>
      <w:r>
        <w:rPr>
          <w:rFonts w:ascii="宋体" w:hAnsi="宋体" w:eastAsia="宋体" w:cs="宋体"/>
          <w:color w:val="auto"/>
          <w:spacing w:val="25"/>
          <w:sz w:val="21"/>
          <w:szCs w:val="21"/>
          <w:highlight w:val="none"/>
        </w:rPr>
        <w:t xml:space="preserve">    </w:t>
      </w:r>
      <w:r>
        <w:rPr>
          <w:rFonts w:ascii="宋体" w:hAnsi="宋体" w:eastAsia="宋体" w:cs="宋体"/>
          <w:color w:val="auto"/>
          <w:spacing w:val="-21"/>
          <w:sz w:val="21"/>
          <w:szCs w:val="21"/>
          <w:highlight w:val="none"/>
        </w:rPr>
        <w:t>年      月     日</w:t>
      </w:r>
    </w:p>
    <w:p>
      <w:pPr>
        <w:spacing w:line="221" w:lineRule="auto"/>
        <w:rPr>
          <w:rFonts w:ascii="宋体" w:hAnsi="宋体" w:eastAsia="宋体" w:cs="宋体"/>
          <w:color w:val="auto"/>
          <w:sz w:val="21"/>
          <w:szCs w:val="21"/>
          <w:highlight w:val="none"/>
        </w:rPr>
        <w:sectPr>
          <w:footerReference r:id="rId43" w:type="default"/>
          <w:pgSz w:w="16839" w:h="11907"/>
          <w:pgMar w:top="1012" w:right="1437" w:bottom="1135" w:left="1449" w:header="0" w:footer="930" w:gutter="0"/>
          <w:pgNumType w:fmt="numberInDash"/>
          <w:cols w:space="720" w:num="1"/>
        </w:sectPr>
      </w:pPr>
    </w:p>
    <w:p>
      <w:pPr>
        <w:pStyle w:val="2"/>
        <w:spacing w:line="271" w:lineRule="auto"/>
        <w:rPr>
          <w:color w:val="auto"/>
          <w:highlight w:val="none"/>
        </w:rPr>
      </w:pPr>
    </w:p>
    <w:p>
      <w:pPr>
        <w:pStyle w:val="2"/>
        <w:spacing w:line="272" w:lineRule="auto"/>
        <w:rPr>
          <w:color w:val="auto"/>
          <w:highlight w:val="none"/>
        </w:rPr>
      </w:pPr>
    </w:p>
    <w:p>
      <w:pPr>
        <w:pStyle w:val="2"/>
        <w:spacing w:line="272" w:lineRule="auto"/>
        <w:rPr>
          <w:color w:val="auto"/>
          <w:highlight w:val="none"/>
        </w:rPr>
      </w:pPr>
    </w:p>
    <w:p>
      <w:pPr>
        <w:spacing w:before="78" w:line="219" w:lineRule="auto"/>
        <w:ind w:left="14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57"/>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4"/>
          <w:sz w:val="24"/>
          <w:szCs w:val="24"/>
          <w:highlight w:val="none"/>
        </w:rPr>
        <w:t>12</w:t>
      </w:r>
      <w:r>
        <w:rPr>
          <w:rFonts w:ascii="黑体" w:hAnsi="黑体" w:eastAsia="黑体" w:cs="黑体"/>
          <w:color w:val="auto"/>
          <w:spacing w:val="-4"/>
          <w:sz w:val="24"/>
          <w:szCs w:val="24"/>
          <w:highlight w:val="none"/>
        </w:rPr>
        <w:t>：技术标评审记录表（个人）</w:t>
      </w:r>
    </w:p>
    <w:p>
      <w:pPr>
        <w:spacing w:before="56" w:line="219" w:lineRule="auto"/>
        <w:ind w:left="4836"/>
        <w:rPr>
          <w:rFonts w:ascii="黑体" w:hAnsi="黑体" w:eastAsia="黑体" w:cs="黑体"/>
          <w:color w:val="auto"/>
          <w:sz w:val="36"/>
          <w:szCs w:val="36"/>
          <w:highlight w:val="none"/>
        </w:rPr>
      </w:pPr>
      <w:bookmarkStart w:id="111" w:name="bookmark150"/>
      <w:bookmarkEnd w:id="111"/>
      <w:bookmarkStart w:id="112" w:name="bookmark151"/>
      <w:bookmarkEnd w:id="112"/>
      <w:r>
        <w:rPr>
          <w:rFonts w:ascii="黑体" w:hAnsi="黑体" w:eastAsia="黑体" w:cs="黑体"/>
          <w:color w:val="auto"/>
          <w:spacing w:val="-4"/>
          <w:sz w:val="36"/>
          <w:szCs w:val="36"/>
          <w:highlight w:val="none"/>
        </w:rPr>
        <w:t>技术标评审记录表（个人）</w:t>
      </w:r>
    </w:p>
    <w:p>
      <w:pPr>
        <w:spacing w:before="255" w:line="221" w:lineRule="auto"/>
        <w:ind w:left="1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ind w:left="11"/>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139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2186"/>
        <w:gridCol w:w="555"/>
        <w:gridCol w:w="554"/>
        <w:gridCol w:w="557"/>
        <w:gridCol w:w="554"/>
        <w:gridCol w:w="557"/>
        <w:gridCol w:w="554"/>
        <w:gridCol w:w="557"/>
        <w:gridCol w:w="554"/>
        <w:gridCol w:w="557"/>
        <w:gridCol w:w="554"/>
        <w:gridCol w:w="554"/>
        <w:gridCol w:w="556"/>
        <w:gridCol w:w="555"/>
        <w:gridCol w:w="554"/>
        <w:gridCol w:w="557"/>
        <w:gridCol w:w="554"/>
        <w:gridCol w:w="557"/>
        <w:gridCol w:w="504"/>
        <w:gridCol w:w="1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36" w:type="dxa"/>
            <w:vMerge w:val="restart"/>
            <w:tcBorders>
              <w:bottom w:val="nil"/>
            </w:tcBorders>
            <w:textDirection w:val="tbRlV"/>
            <w:vAlign w:val="top"/>
          </w:tcPr>
          <w:p>
            <w:pPr>
              <w:pStyle w:val="10"/>
              <w:spacing w:before="210" w:line="211" w:lineRule="auto"/>
              <w:ind w:left="800"/>
              <w:rPr>
                <w:color w:val="auto"/>
                <w:highlight w:val="none"/>
              </w:rPr>
            </w:pPr>
            <w:r>
              <w:rPr>
                <w:color w:val="auto"/>
                <w:spacing w:val="31"/>
                <w:highlight w:val="none"/>
              </w:rPr>
              <w:t>序号</w:t>
            </w:r>
          </w:p>
        </w:tc>
        <w:tc>
          <w:tcPr>
            <w:tcW w:w="2186" w:type="dxa"/>
            <w:vMerge w:val="restart"/>
            <w:tcBorders>
              <w:bottom w:val="nil"/>
            </w:tcBorders>
            <w:vAlign w:val="top"/>
          </w:tcPr>
          <w:p>
            <w:pPr>
              <w:spacing w:line="287" w:lineRule="auto"/>
              <w:rPr>
                <w:rFonts w:ascii="Arial"/>
                <w:color w:val="auto"/>
                <w:sz w:val="21"/>
                <w:highlight w:val="none"/>
              </w:rPr>
            </w:pPr>
          </w:p>
          <w:p>
            <w:pPr>
              <w:spacing w:line="287" w:lineRule="auto"/>
              <w:rPr>
                <w:rFonts w:ascii="Arial"/>
                <w:color w:val="auto"/>
                <w:sz w:val="21"/>
                <w:highlight w:val="none"/>
              </w:rPr>
            </w:pPr>
          </w:p>
          <w:p>
            <w:pPr>
              <w:spacing w:line="287" w:lineRule="auto"/>
              <w:rPr>
                <w:rFonts w:ascii="Arial"/>
                <w:color w:val="auto"/>
                <w:sz w:val="21"/>
                <w:highlight w:val="none"/>
              </w:rPr>
            </w:pPr>
          </w:p>
          <w:p>
            <w:pPr>
              <w:pStyle w:val="10"/>
              <w:spacing w:before="69" w:line="221" w:lineRule="auto"/>
              <w:ind w:left="572"/>
              <w:rPr>
                <w:color w:val="auto"/>
                <w:highlight w:val="none"/>
              </w:rPr>
            </w:pPr>
            <w:r>
              <w:rPr>
                <w:color w:val="auto"/>
                <w:spacing w:val="-2"/>
                <w:highlight w:val="none"/>
              </w:rPr>
              <w:t>投标人名称</w:t>
            </w:r>
          </w:p>
        </w:tc>
        <w:tc>
          <w:tcPr>
            <w:tcW w:w="9944" w:type="dxa"/>
            <w:gridSpan w:val="18"/>
            <w:vAlign w:val="top"/>
          </w:tcPr>
          <w:p>
            <w:pPr>
              <w:pStyle w:val="10"/>
              <w:spacing w:before="33" w:line="221" w:lineRule="auto"/>
              <w:ind w:left="4028"/>
              <w:rPr>
                <w:color w:val="auto"/>
                <w:highlight w:val="none"/>
              </w:rPr>
            </w:pPr>
            <w:r>
              <w:rPr>
                <w:color w:val="auto"/>
                <w:spacing w:val="-1"/>
                <w:highlight w:val="none"/>
              </w:rPr>
              <w:t>评审因素及评审得分</w:t>
            </w:r>
          </w:p>
        </w:tc>
        <w:tc>
          <w:tcPr>
            <w:tcW w:w="1197" w:type="dxa"/>
            <w:vMerge w:val="restart"/>
            <w:tcBorders>
              <w:bottom w:val="nil"/>
            </w:tcBorders>
            <w:vAlign w:val="top"/>
          </w:tcPr>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pStyle w:val="10"/>
              <w:spacing w:before="68" w:line="230" w:lineRule="auto"/>
              <w:ind w:left="132" w:right="136" w:firstLine="51"/>
              <w:rPr>
                <w:color w:val="auto"/>
                <w:highlight w:val="none"/>
              </w:rPr>
            </w:pPr>
            <w:r>
              <w:rPr>
                <w:color w:val="auto"/>
                <w:spacing w:val="-2"/>
                <w:highlight w:val="none"/>
              </w:rPr>
              <w:t>得分（满</w:t>
            </w:r>
            <w:r>
              <w:rPr>
                <w:color w:val="auto"/>
                <w:highlight w:val="none"/>
              </w:rPr>
              <w:t xml:space="preserve"> </w:t>
            </w:r>
            <w:r>
              <w:rPr>
                <w:color w:val="auto"/>
                <w:spacing w:val="-11"/>
                <w:highlight w:val="none"/>
              </w:rPr>
              <w:t>分</w:t>
            </w:r>
            <w:r>
              <w:rPr>
                <w:color w:val="auto"/>
                <w:spacing w:val="3"/>
                <w:highlight w:val="none"/>
              </w:rPr>
              <w:t xml:space="preserve">   </w:t>
            </w:r>
            <w:r>
              <w:rPr>
                <w:color w:val="auto"/>
                <w:spacing w:val="-11"/>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6" w:type="dxa"/>
            <w:vMerge w:val="continue"/>
            <w:tcBorders>
              <w:top w:val="nil"/>
              <w:bottom w:val="nil"/>
            </w:tcBorders>
            <w:textDirection w:val="tbRlV"/>
            <w:vAlign w:val="top"/>
          </w:tcPr>
          <w:p>
            <w:pPr>
              <w:rPr>
                <w:rFonts w:ascii="Arial"/>
                <w:color w:val="auto"/>
                <w:sz w:val="21"/>
                <w:highlight w:val="none"/>
              </w:rPr>
            </w:pPr>
          </w:p>
        </w:tc>
        <w:tc>
          <w:tcPr>
            <w:tcW w:w="2186" w:type="dxa"/>
            <w:vMerge w:val="continue"/>
            <w:tcBorders>
              <w:top w:val="nil"/>
              <w:bottom w:val="nil"/>
            </w:tcBorders>
            <w:vAlign w:val="top"/>
          </w:tcPr>
          <w:p>
            <w:pPr>
              <w:rPr>
                <w:rFonts w:ascii="Arial"/>
                <w:color w:val="auto"/>
                <w:sz w:val="21"/>
                <w:highlight w:val="none"/>
              </w:rPr>
            </w:pPr>
          </w:p>
        </w:tc>
        <w:tc>
          <w:tcPr>
            <w:tcW w:w="1109" w:type="dxa"/>
            <w:gridSpan w:val="2"/>
            <w:vAlign w:val="top"/>
          </w:tcPr>
          <w:p>
            <w:pPr>
              <w:pStyle w:val="10"/>
              <w:spacing w:before="303" w:line="207" w:lineRule="auto"/>
              <w:ind w:left="142"/>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11" w:type="dxa"/>
            <w:gridSpan w:val="2"/>
            <w:vAlign w:val="top"/>
          </w:tcPr>
          <w:p>
            <w:pPr>
              <w:pStyle w:val="10"/>
              <w:spacing w:before="303" w:line="207" w:lineRule="auto"/>
              <w:ind w:left="145"/>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11" w:type="dxa"/>
            <w:gridSpan w:val="2"/>
            <w:vAlign w:val="top"/>
          </w:tcPr>
          <w:p>
            <w:pPr>
              <w:pStyle w:val="10"/>
              <w:spacing w:before="303" w:line="207" w:lineRule="auto"/>
              <w:ind w:left="145"/>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11" w:type="dxa"/>
            <w:gridSpan w:val="2"/>
            <w:vAlign w:val="top"/>
          </w:tcPr>
          <w:p>
            <w:pPr>
              <w:pStyle w:val="10"/>
              <w:spacing w:before="303" w:line="207" w:lineRule="auto"/>
              <w:ind w:left="145"/>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11" w:type="dxa"/>
            <w:gridSpan w:val="2"/>
            <w:vAlign w:val="top"/>
          </w:tcPr>
          <w:p>
            <w:pPr>
              <w:pStyle w:val="10"/>
              <w:spacing w:before="303" w:line="207" w:lineRule="auto"/>
              <w:ind w:left="146"/>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10" w:type="dxa"/>
            <w:gridSpan w:val="2"/>
            <w:vAlign w:val="top"/>
          </w:tcPr>
          <w:p>
            <w:pPr>
              <w:pStyle w:val="10"/>
              <w:spacing w:before="303" w:line="207" w:lineRule="auto"/>
              <w:ind w:left="146"/>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09" w:type="dxa"/>
            <w:gridSpan w:val="2"/>
            <w:vAlign w:val="top"/>
          </w:tcPr>
          <w:p>
            <w:pPr>
              <w:pStyle w:val="10"/>
              <w:spacing w:before="303" w:line="207" w:lineRule="auto"/>
              <w:ind w:left="145"/>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11" w:type="dxa"/>
            <w:gridSpan w:val="2"/>
            <w:vAlign w:val="top"/>
          </w:tcPr>
          <w:p>
            <w:pPr>
              <w:pStyle w:val="10"/>
              <w:spacing w:before="303" w:line="207" w:lineRule="auto"/>
              <w:ind w:left="147"/>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061" w:type="dxa"/>
            <w:gridSpan w:val="2"/>
            <w:vAlign w:val="top"/>
          </w:tcPr>
          <w:p>
            <w:pPr>
              <w:pStyle w:val="10"/>
              <w:spacing w:before="303" w:line="207" w:lineRule="auto"/>
              <w:ind w:left="124"/>
              <w:rPr>
                <w:color w:val="auto"/>
                <w:highlight w:val="none"/>
              </w:rPr>
            </w:pPr>
            <w:r>
              <w:rPr>
                <w:color w:val="auto"/>
                <w:spacing w:val="-9"/>
                <w:highlight w:val="none"/>
              </w:rPr>
              <w:t>（</w:t>
            </w:r>
            <w:r>
              <w:rPr>
                <w:color w:val="auto"/>
                <w:spacing w:val="6"/>
                <w:highlight w:val="none"/>
              </w:rPr>
              <w:t xml:space="preserve">  </w:t>
            </w:r>
            <w:r>
              <w:rPr>
                <w:color w:val="auto"/>
                <w:spacing w:val="-9"/>
                <w:highlight w:val="none"/>
              </w:rPr>
              <w:t>分）</w:t>
            </w:r>
          </w:p>
        </w:tc>
        <w:tc>
          <w:tcPr>
            <w:tcW w:w="1197" w:type="dxa"/>
            <w:vMerge w:val="continue"/>
            <w:tcBorders>
              <w:top w:val="nil"/>
              <w:bottom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6" w:type="dxa"/>
            <w:vMerge w:val="continue"/>
            <w:tcBorders>
              <w:top w:val="nil"/>
            </w:tcBorders>
            <w:textDirection w:val="tbRlV"/>
            <w:vAlign w:val="top"/>
          </w:tcPr>
          <w:p>
            <w:pPr>
              <w:rPr>
                <w:rFonts w:ascii="Arial"/>
                <w:color w:val="auto"/>
                <w:sz w:val="21"/>
                <w:highlight w:val="none"/>
              </w:rPr>
            </w:pPr>
          </w:p>
        </w:tc>
        <w:tc>
          <w:tcPr>
            <w:tcW w:w="2186" w:type="dxa"/>
            <w:vMerge w:val="continue"/>
            <w:tcBorders>
              <w:top w:val="nil"/>
            </w:tcBorders>
            <w:vAlign w:val="top"/>
          </w:tcPr>
          <w:p>
            <w:pPr>
              <w:rPr>
                <w:rFonts w:ascii="Arial"/>
                <w:color w:val="auto"/>
                <w:sz w:val="21"/>
                <w:highlight w:val="none"/>
              </w:rPr>
            </w:pPr>
          </w:p>
        </w:tc>
        <w:tc>
          <w:tcPr>
            <w:tcW w:w="555" w:type="dxa"/>
            <w:textDirection w:val="tbRlV"/>
            <w:vAlign w:val="top"/>
          </w:tcPr>
          <w:p>
            <w:pPr>
              <w:pStyle w:val="10"/>
              <w:spacing w:before="175"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71" w:line="208" w:lineRule="auto"/>
              <w:ind w:left="303"/>
              <w:rPr>
                <w:color w:val="auto"/>
                <w:highlight w:val="none"/>
              </w:rPr>
            </w:pPr>
            <w:r>
              <w:rPr>
                <w:color w:val="auto"/>
                <w:spacing w:val="31"/>
                <w:highlight w:val="none"/>
              </w:rPr>
              <w:t>得分</w:t>
            </w:r>
          </w:p>
        </w:tc>
        <w:tc>
          <w:tcPr>
            <w:tcW w:w="557" w:type="dxa"/>
            <w:textDirection w:val="tbRlV"/>
            <w:vAlign w:val="top"/>
          </w:tcPr>
          <w:p>
            <w:pPr>
              <w:pStyle w:val="10"/>
              <w:spacing w:before="171"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71" w:line="208" w:lineRule="auto"/>
              <w:ind w:left="303"/>
              <w:rPr>
                <w:color w:val="auto"/>
                <w:highlight w:val="none"/>
              </w:rPr>
            </w:pPr>
            <w:r>
              <w:rPr>
                <w:color w:val="auto"/>
                <w:spacing w:val="31"/>
                <w:highlight w:val="none"/>
              </w:rPr>
              <w:t>得分</w:t>
            </w:r>
          </w:p>
        </w:tc>
        <w:tc>
          <w:tcPr>
            <w:tcW w:w="557" w:type="dxa"/>
            <w:textDirection w:val="tbRlV"/>
            <w:vAlign w:val="top"/>
          </w:tcPr>
          <w:p>
            <w:pPr>
              <w:pStyle w:val="10"/>
              <w:spacing w:before="171"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73" w:line="208" w:lineRule="auto"/>
              <w:ind w:left="303"/>
              <w:rPr>
                <w:color w:val="auto"/>
                <w:highlight w:val="none"/>
              </w:rPr>
            </w:pPr>
            <w:r>
              <w:rPr>
                <w:color w:val="auto"/>
                <w:spacing w:val="31"/>
                <w:highlight w:val="none"/>
              </w:rPr>
              <w:t>得分</w:t>
            </w:r>
          </w:p>
        </w:tc>
        <w:tc>
          <w:tcPr>
            <w:tcW w:w="557" w:type="dxa"/>
            <w:textDirection w:val="tbRlV"/>
            <w:vAlign w:val="top"/>
          </w:tcPr>
          <w:p>
            <w:pPr>
              <w:pStyle w:val="10"/>
              <w:spacing w:before="171"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73" w:line="208" w:lineRule="auto"/>
              <w:ind w:left="303"/>
              <w:rPr>
                <w:color w:val="auto"/>
                <w:highlight w:val="none"/>
              </w:rPr>
            </w:pPr>
            <w:r>
              <w:rPr>
                <w:color w:val="auto"/>
                <w:spacing w:val="31"/>
                <w:highlight w:val="none"/>
              </w:rPr>
              <w:t>得分</w:t>
            </w:r>
          </w:p>
        </w:tc>
        <w:tc>
          <w:tcPr>
            <w:tcW w:w="557" w:type="dxa"/>
            <w:textDirection w:val="tbRlV"/>
            <w:vAlign w:val="top"/>
          </w:tcPr>
          <w:p>
            <w:pPr>
              <w:pStyle w:val="10"/>
              <w:spacing w:before="170"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72" w:line="208" w:lineRule="auto"/>
              <w:ind w:left="303"/>
              <w:rPr>
                <w:color w:val="auto"/>
                <w:highlight w:val="none"/>
              </w:rPr>
            </w:pPr>
            <w:r>
              <w:rPr>
                <w:color w:val="auto"/>
                <w:spacing w:val="31"/>
                <w:highlight w:val="none"/>
              </w:rPr>
              <w:t>得分</w:t>
            </w:r>
          </w:p>
        </w:tc>
        <w:tc>
          <w:tcPr>
            <w:tcW w:w="554" w:type="dxa"/>
            <w:textDirection w:val="tbRlV"/>
            <w:vAlign w:val="top"/>
          </w:tcPr>
          <w:p>
            <w:pPr>
              <w:pStyle w:val="10"/>
              <w:spacing w:before="170"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6" w:type="dxa"/>
            <w:textDirection w:val="tbRlV"/>
            <w:vAlign w:val="top"/>
          </w:tcPr>
          <w:p>
            <w:pPr>
              <w:pStyle w:val="10"/>
              <w:spacing w:before="171" w:line="208" w:lineRule="auto"/>
              <w:ind w:left="303"/>
              <w:rPr>
                <w:color w:val="auto"/>
                <w:highlight w:val="none"/>
              </w:rPr>
            </w:pPr>
            <w:r>
              <w:rPr>
                <w:color w:val="auto"/>
                <w:spacing w:val="31"/>
                <w:highlight w:val="none"/>
              </w:rPr>
              <w:t>得分</w:t>
            </w:r>
          </w:p>
        </w:tc>
        <w:tc>
          <w:tcPr>
            <w:tcW w:w="555" w:type="dxa"/>
            <w:textDirection w:val="tbRlV"/>
            <w:vAlign w:val="top"/>
          </w:tcPr>
          <w:p>
            <w:pPr>
              <w:pStyle w:val="10"/>
              <w:spacing w:before="169"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68" w:line="208" w:lineRule="auto"/>
              <w:ind w:left="303"/>
              <w:rPr>
                <w:color w:val="auto"/>
                <w:highlight w:val="none"/>
              </w:rPr>
            </w:pPr>
            <w:r>
              <w:rPr>
                <w:color w:val="auto"/>
                <w:spacing w:val="31"/>
                <w:highlight w:val="none"/>
              </w:rPr>
              <w:t>得分</w:t>
            </w:r>
          </w:p>
        </w:tc>
        <w:tc>
          <w:tcPr>
            <w:tcW w:w="557" w:type="dxa"/>
            <w:textDirection w:val="tbRlV"/>
            <w:vAlign w:val="top"/>
          </w:tcPr>
          <w:p>
            <w:pPr>
              <w:pStyle w:val="10"/>
              <w:spacing w:before="169"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54" w:type="dxa"/>
            <w:textDirection w:val="tbRlV"/>
            <w:vAlign w:val="top"/>
          </w:tcPr>
          <w:p>
            <w:pPr>
              <w:pStyle w:val="10"/>
              <w:spacing w:before="168" w:line="208" w:lineRule="auto"/>
              <w:ind w:left="303"/>
              <w:rPr>
                <w:color w:val="auto"/>
                <w:highlight w:val="none"/>
              </w:rPr>
            </w:pPr>
            <w:r>
              <w:rPr>
                <w:color w:val="auto"/>
                <w:spacing w:val="31"/>
                <w:highlight w:val="none"/>
              </w:rPr>
              <w:t>得分</w:t>
            </w:r>
          </w:p>
        </w:tc>
        <w:tc>
          <w:tcPr>
            <w:tcW w:w="557" w:type="dxa"/>
            <w:textDirection w:val="tbRlV"/>
            <w:vAlign w:val="top"/>
          </w:tcPr>
          <w:p>
            <w:pPr>
              <w:pStyle w:val="10"/>
              <w:spacing w:before="168" w:line="208" w:lineRule="auto"/>
              <w:ind w:left="29"/>
              <w:rPr>
                <w:color w:val="auto"/>
                <w:highlight w:val="none"/>
              </w:rPr>
            </w:pPr>
            <w:r>
              <w:rPr>
                <w:color w:val="auto"/>
                <w:spacing w:val="1"/>
                <w:highlight w:val="none"/>
              </w:rPr>
              <w:t>暗</w:t>
            </w:r>
            <w:r>
              <w:rPr>
                <w:color w:val="auto"/>
                <w:spacing w:val="-43"/>
                <w:highlight w:val="none"/>
              </w:rPr>
              <w:t xml:space="preserve"> </w:t>
            </w:r>
            <w:r>
              <w:rPr>
                <w:color w:val="auto"/>
                <w:spacing w:val="1"/>
                <w:highlight w:val="none"/>
              </w:rPr>
              <w:t>标</w:t>
            </w:r>
            <w:r>
              <w:rPr>
                <w:color w:val="auto"/>
                <w:spacing w:val="-45"/>
                <w:highlight w:val="none"/>
              </w:rPr>
              <w:t xml:space="preserve"> </w:t>
            </w:r>
            <w:r>
              <w:rPr>
                <w:color w:val="auto"/>
                <w:spacing w:val="1"/>
                <w:highlight w:val="none"/>
              </w:rPr>
              <w:t>编</w:t>
            </w:r>
            <w:r>
              <w:rPr>
                <w:color w:val="auto"/>
                <w:spacing w:val="-43"/>
                <w:highlight w:val="none"/>
              </w:rPr>
              <w:t xml:space="preserve"> </w:t>
            </w:r>
            <w:r>
              <w:rPr>
                <w:color w:val="auto"/>
                <w:spacing w:val="1"/>
                <w:highlight w:val="none"/>
              </w:rPr>
              <w:t>号</w:t>
            </w:r>
          </w:p>
        </w:tc>
        <w:tc>
          <w:tcPr>
            <w:tcW w:w="504" w:type="dxa"/>
            <w:textDirection w:val="tbRlV"/>
            <w:vAlign w:val="top"/>
          </w:tcPr>
          <w:p>
            <w:pPr>
              <w:pStyle w:val="10"/>
              <w:spacing w:before="142" w:line="208" w:lineRule="auto"/>
              <w:ind w:left="303"/>
              <w:rPr>
                <w:color w:val="auto"/>
                <w:highlight w:val="none"/>
              </w:rPr>
            </w:pPr>
            <w:r>
              <w:rPr>
                <w:color w:val="auto"/>
                <w:spacing w:val="31"/>
                <w:highlight w:val="none"/>
              </w:rPr>
              <w:t>得分</w:t>
            </w:r>
          </w:p>
        </w:tc>
        <w:tc>
          <w:tcPr>
            <w:tcW w:w="1197"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36" w:type="dxa"/>
            <w:vAlign w:val="top"/>
          </w:tcPr>
          <w:p>
            <w:pPr>
              <w:pStyle w:val="10"/>
              <w:spacing w:before="214" w:line="183" w:lineRule="auto"/>
              <w:ind w:left="285"/>
              <w:rPr>
                <w:color w:val="auto"/>
                <w:highlight w:val="none"/>
              </w:rPr>
            </w:pPr>
            <w:r>
              <w:rPr>
                <w:color w:val="auto"/>
                <w:highlight w:val="none"/>
              </w:rPr>
              <w:t>1</w:t>
            </w:r>
          </w:p>
        </w:tc>
        <w:tc>
          <w:tcPr>
            <w:tcW w:w="218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04" w:type="dxa"/>
            <w:vAlign w:val="top"/>
          </w:tcPr>
          <w:p>
            <w:pPr>
              <w:rPr>
                <w:rFonts w:ascii="Arial"/>
                <w:color w:val="auto"/>
                <w:sz w:val="21"/>
                <w:highlight w:val="none"/>
              </w:rPr>
            </w:pPr>
          </w:p>
        </w:tc>
        <w:tc>
          <w:tcPr>
            <w:tcW w:w="11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6" w:type="dxa"/>
            <w:vAlign w:val="top"/>
          </w:tcPr>
          <w:p>
            <w:pPr>
              <w:pStyle w:val="10"/>
              <w:spacing w:before="213" w:line="182" w:lineRule="auto"/>
              <w:ind w:left="272"/>
              <w:rPr>
                <w:color w:val="auto"/>
                <w:highlight w:val="none"/>
              </w:rPr>
            </w:pPr>
            <w:r>
              <w:rPr>
                <w:color w:val="auto"/>
                <w:highlight w:val="none"/>
              </w:rPr>
              <w:t>2</w:t>
            </w:r>
          </w:p>
        </w:tc>
        <w:tc>
          <w:tcPr>
            <w:tcW w:w="218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04" w:type="dxa"/>
            <w:vAlign w:val="top"/>
          </w:tcPr>
          <w:p>
            <w:pPr>
              <w:rPr>
                <w:rFonts w:ascii="Arial"/>
                <w:color w:val="auto"/>
                <w:sz w:val="21"/>
                <w:highlight w:val="none"/>
              </w:rPr>
            </w:pPr>
          </w:p>
        </w:tc>
        <w:tc>
          <w:tcPr>
            <w:tcW w:w="11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36" w:type="dxa"/>
            <w:vAlign w:val="top"/>
          </w:tcPr>
          <w:p>
            <w:pPr>
              <w:pStyle w:val="10"/>
              <w:spacing w:before="216" w:line="182" w:lineRule="auto"/>
              <w:ind w:left="274"/>
              <w:rPr>
                <w:color w:val="auto"/>
                <w:highlight w:val="none"/>
              </w:rPr>
            </w:pPr>
            <w:r>
              <w:rPr>
                <w:color w:val="auto"/>
                <w:highlight w:val="none"/>
              </w:rPr>
              <w:t>3</w:t>
            </w:r>
          </w:p>
        </w:tc>
        <w:tc>
          <w:tcPr>
            <w:tcW w:w="218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04" w:type="dxa"/>
            <w:vAlign w:val="top"/>
          </w:tcPr>
          <w:p>
            <w:pPr>
              <w:rPr>
                <w:rFonts w:ascii="Arial"/>
                <w:color w:val="auto"/>
                <w:sz w:val="21"/>
                <w:highlight w:val="none"/>
              </w:rPr>
            </w:pPr>
          </w:p>
        </w:tc>
        <w:tc>
          <w:tcPr>
            <w:tcW w:w="11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6" w:type="dxa"/>
            <w:vAlign w:val="top"/>
          </w:tcPr>
          <w:p>
            <w:pPr>
              <w:pStyle w:val="10"/>
              <w:spacing w:before="214" w:line="182" w:lineRule="auto"/>
              <w:ind w:left="269"/>
              <w:rPr>
                <w:color w:val="auto"/>
                <w:highlight w:val="none"/>
              </w:rPr>
            </w:pPr>
            <w:r>
              <w:rPr>
                <w:color w:val="auto"/>
                <w:highlight w:val="none"/>
              </w:rPr>
              <w:t>4</w:t>
            </w:r>
          </w:p>
        </w:tc>
        <w:tc>
          <w:tcPr>
            <w:tcW w:w="218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04" w:type="dxa"/>
            <w:vAlign w:val="top"/>
          </w:tcPr>
          <w:p>
            <w:pPr>
              <w:rPr>
                <w:rFonts w:ascii="Arial"/>
                <w:color w:val="auto"/>
                <w:sz w:val="21"/>
                <w:highlight w:val="none"/>
              </w:rPr>
            </w:pPr>
          </w:p>
        </w:tc>
        <w:tc>
          <w:tcPr>
            <w:tcW w:w="11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6" w:type="dxa"/>
            <w:vAlign w:val="top"/>
          </w:tcPr>
          <w:p>
            <w:pPr>
              <w:pStyle w:val="10"/>
              <w:spacing w:before="216" w:line="181" w:lineRule="auto"/>
              <w:ind w:left="274"/>
              <w:rPr>
                <w:color w:val="auto"/>
                <w:highlight w:val="none"/>
              </w:rPr>
            </w:pPr>
            <w:r>
              <w:rPr>
                <w:color w:val="auto"/>
                <w:highlight w:val="none"/>
              </w:rPr>
              <w:t>5</w:t>
            </w:r>
          </w:p>
        </w:tc>
        <w:tc>
          <w:tcPr>
            <w:tcW w:w="218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04" w:type="dxa"/>
            <w:vAlign w:val="top"/>
          </w:tcPr>
          <w:p>
            <w:pPr>
              <w:rPr>
                <w:rFonts w:ascii="Arial"/>
                <w:color w:val="auto"/>
                <w:sz w:val="21"/>
                <w:highlight w:val="none"/>
              </w:rPr>
            </w:pPr>
          </w:p>
        </w:tc>
        <w:tc>
          <w:tcPr>
            <w:tcW w:w="11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36" w:type="dxa"/>
            <w:vAlign w:val="top"/>
          </w:tcPr>
          <w:p>
            <w:pPr>
              <w:spacing w:before="183" w:line="332" w:lineRule="exact"/>
              <w:ind w:left="228"/>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218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6" w:type="dxa"/>
            <w:vAlign w:val="top"/>
          </w:tcPr>
          <w:p>
            <w:pPr>
              <w:rPr>
                <w:rFonts w:ascii="Arial"/>
                <w:color w:val="auto"/>
                <w:sz w:val="21"/>
                <w:highlight w:val="none"/>
              </w:rPr>
            </w:pPr>
          </w:p>
        </w:tc>
        <w:tc>
          <w:tcPr>
            <w:tcW w:w="555"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54" w:type="dxa"/>
            <w:vAlign w:val="top"/>
          </w:tcPr>
          <w:p>
            <w:pPr>
              <w:rPr>
                <w:rFonts w:ascii="Arial"/>
                <w:color w:val="auto"/>
                <w:sz w:val="21"/>
                <w:highlight w:val="none"/>
              </w:rPr>
            </w:pPr>
          </w:p>
        </w:tc>
        <w:tc>
          <w:tcPr>
            <w:tcW w:w="557" w:type="dxa"/>
            <w:vAlign w:val="top"/>
          </w:tcPr>
          <w:p>
            <w:pPr>
              <w:rPr>
                <w:rFonts w:ascii="Arial"/>
                <w:color w:val="auto"/>
                <w:sz w:val="21"/>
                <w:highlight w:val="none"/>
              </w:rPr>
            </w:pPr>
          </w:p>
        </w:tc>
        <w:tc>
          <w:tcPr>
            <w:tcW w:w="504" w:type="dxa"/>
            <w:vAlign w:val="top"/>
          </w:tcPr>
          <w:p>
            <w:pPr>
              <w:rPr>
                <w:rFonts w:ascii="Arial"/>
                <w:color w:val="auto"/>
                <w:sz w:val="21"/>
                <w:highlight w:val="none"/>
              </w:rPr>
            </w:pPr>
          </w:p>
        </w:tc>
        <w:tc>
          <w:tcPr>
            <w:tcW w:w="1197" w:type="dxa"/>
            <w:vAlign w:val="top"/>
          </w:tcPr>
          <w:p>
            <w:pPr>
              <w:rPr>
                <w:rFonts w:ascii="Arial"/>
                <w:color w:val="auto"/>
                <w:sz w:val="21"/>
                <w:highlight w:val="none"/>
              </w:rPr>
            </w:pPr>
          </w:p>
        </w:tc>
      </w:tr>
    </w:tbl>
    <w:p>
      <w:pPr>
        <w:spacing w:before="272" w:line="221" w:lineRule="auto"/>
        <w:ind w:left="1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技术标评委签名：                                                      </w:t>
      </w:r>
      <w:r>
        <w:rPr>
          <w:rFonts w:ascii="宋体" w:hAnsi="宋体" w:eastAsia="宋体" w:cs="宋体"/>
          <w:color w:val="auto"/>
          <w:spacing w:val="-3"/>
          <w:sz w:val="21"/>
          <w:szCs w:val="21"/>
          <w:highlight w:val="none"/>
        </w:rPr>
        <w:t xml:space="preserve">                             日期：        年    月     日</w:t>
      </w:r>
    </w:p>
    <w:p>
      <w:pPr>
        <w:spacing w:line="221" w:lineRule="auto"/>
        <w:rPr>
          <w:rFonts w:ascii="宋体" w:hAnsi="宋体" w:eastAsia="宋体" w:cs="宋体"/>
          <w:color w:val="auto"/>
          <w:sz w:val="21"/>
          <w:szCs w:val="21"/>
          <w:highlight w:val="none"/>
        </w:rPr>
        <w:sectPr>
          <w:footerReference r:id="rId44" w:type="default"/>
          <w:pgSz w:w="16839" w:h="11907"/>
          <w:pgMar w:top="1012" w:right="1432" w:bottom="1135" w:left="1437" w:header="0" w:footer="930" w:gutter="0"/>
          <w:pgNumType w:fmt="numberInDash"/>
          <w:cols w:space="720" w:num="1"/>
        </w:sectPr>
      </w:pPr>
    </w:p>
    <w:p>
      <w:pPr>
        <w:pStyle w:val="2"/>
        <w:spacing w:line="271" w:lineRule="auto"/>
        <w:rPr>
          <w:color w:val="auto"/>
          <w:highlight w:val="none"/>
        </w:rPr>
      </w:pPr>
    </w:p>
    <w:p>
      <w:pPr>
        <w:pStyle w:val="2"/>
        <w:spacing w:line="272" w:lineRule="auto"/>
        <w:rPr>
          <w:color w:val="auto"/>
          <w:highlight w:val="none"/>
        </w:rPr>
      </w:pPr>
    </w:p>
    <w:p>
      <w:pPr>
        <w:pStyle w:val="2"/>
        <w:spacing w:line="272" w:lineRule="auto"/>
        <w:rPr>
          <w:color w:val="auto"/>
          <w:highlight w:val="none"/>
        </w:rPr>
      </w:pPr>
    </w:p>
    <w:p>
      <w:pPr>
        <w:spacing w:before="78" w:line="219" w:lineRule="auto"/>
        <w:ind w:left="1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45"/>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5"/>
          <w:sz w:val="24"/>
          <w:szCs w:val="24"/>
          <w:highlight w:val="none"/>
        </w:rPr>
        <w:t>13</w:t>
      </w:r>
      <w:r>
        <w:rPr>
          <w:rFonts w:ascii="黑体" w:hAnsi="黑体" w:eastAsia="黑体" w:cs="黑体"/>
          <w:color w:val="auto"/>
          <w:spacing w:val="-5"/>
          <w:sz w:val="24"/>
          <w:szCs w:val="24"/>
          <w:highlight w:val="none"/>
        </w:rPr>
        <w:t>：综合标评审记录表</w:t>
      </w:r>
    </w:p>
    <w:p>
      <w:pPr>
        <w:spacing w:before="56" w:line="219" w:lineRule="auto"/>
        <w:ind w:left="5542"/>
        <w:rPr>
          <w:rFonts w:ascii="黑体" w:hAnsi="黑体" w:eastAsia="黑体" w:cs="黑体"/>
          <w:color w:val="auto"/>
          <w:sz w:val="36"/>
          <w:szCs w:val="36"/>
          <w:highlight w:val="none"/>
        </w:rPr>
      </w:pPr>
      <w:bookmarkStart w:id="113" w:name="bookmark152"/>
      <w:bookmarkEnd w:id="113"/>
      <w:bookmarkStart w:id="114" w:name="bookmark153"/>
      <w:bookmarkEnd w:id="114"/>
      <w:bookmarkStart w:id="115" w:name="bookmark155"/>
      <w:bookmarkEnd w:id="115"/>
      <w:bookmarkStart w:id="116" w:name="bookmark154"/>
      <w:bookmarkEnd w:id="116"/>
      <w:r>
        <w:rPr>
          <w:rFonts w:ascii="黑体" w:hAnsi="黑体" w:eastAsia="黑体" w:cs="黑体"/>
          <w:color w:val="auto"/>
          <w:spacing w:val="-2"/>
          <w:sz w:val="36"/>
          <w:szCs w:val="36"/>
          <w:highlight w:val="none"/>
        </w:rPr>
        <w:t>综合标评审记录表</w:t>
      </w:r>
    </w:p>
    <w:p>
      <w:pPr>
        <w:spacing w:before="255" w:line="221" w:lineRule="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14" w:lineRule="auto"/>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13907"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811"/>
        <w:gridCol w:w="1356"/>
        <w:gridCol w:w="1355"/>
        <w:gridCol w:w="1358"/>
        <w:gridCol w:w="1356"/>
        <w:gridCol w:w="1356"/>
        <w:gridCol w:w="1356"/>
        <w:gridCol w:w="1365"/>
        <w:gridCol w:w="1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97" w:type="dxa"/>
            <w:vMerge w:val="restart"/>
            <w:tcBorders>
              <w:bottom w:val="nil"/>
            </w:tcBorders>
            <w:vAlign w:val="top"/>
          </w:tcPr>
          <w:p>
            <w:pPr>
              <w:spacing w:line="262" w:lineRule="auto"/>
              <w:rPr>
                <w:rFonts w:ascii="Arial"/>
                <w:color w:val="auto"/>
                <w:sz w:val="21"/>
                <w:highlight w:val="none"/>
              </w:rPr>
            </w:pPr>
          </w:p>
          <w:p>
            <w:pPr>
              <w:pStyle w:val="10"/>
              <w:spacing w:before="68" w:line="222" w:lineRule="auto"/>
              <w:ind w:left="192"/>
              <w:rPr>
                <w:color w:val="auto"/>
                <w:highlight w:val="none"/>
              </w:rPr>
            </w:pPr>
            <w:r>
              <w:rPr>
                <w:color w:val="auto"/>
                <w:spacing w:val="-2"/>
                <w:highlight w:val="none"/>
              </w:rPr>
              <w:t>序号</w:t>
            </w:r>
          </w:p>
        </w:tc>
        <w:tc>
          <w:tcPr>
            <w:tcW w:w="1811" w:type="dxa"/>
            <w:vMerge w:val="restart"/>
            <w:tcBorders>
              <w:bottom w:val="nil"/>
            </w:tcBorders>
            <w:vAlign w:val="top"/>
          </w:tcPr>
          <w:p>
            <w:pPr>
              <w:spacing w:line="263" w:lineRule="auto"/>
              <w:rPr>
                <w:rFonts w:ascii="Arial"/>
                <w:color w:val="auto"/>
                <w:sz w:val="21"/>
                <w:highlight w:val="none"/>
              </w:rPr>
            </w:pPr>
          </w:p>
          <w:p>
            <w:pPr>
              <w:pStyle w:val="10"/>
              <w:spacing w:before="68" w:line="221" w:lineRule="auto"/>
              <w:ind w:left="385"/>
              <w:rPr>
                <w:color w:val="auto"/>
                <w:highlight w:val="none"/>
              </w:rPr>
            </w:pPr>
            <w:r>
              <w:rPr>
                <w:color w:val="auto"/>
                <w:spacing w:val="-2"/>
                <w:highlight w:val="none"/>
              </w:rPr>
              <w:t>投标人名称</w:t>
            </w:r>
          </w:p>
        </w:tc>
        <w:tc>
          <w:tcPr>
            <w:tcW w:w="9502" w:type="dxa"/>
            <w:gridSpan w:val="7"/>
            <w:vAlign w:val="top"/>
          </w:tcPr>
          <w:p>
            <w:pPr>
              <w:pStyle w:val="10"/>
              <w:spacing w:before="111" w:line="221" w:lineRule="auto"/>
              <w:ind w:left="4019"/>
              <w:rPr>
                <w:color w:val="auto"/>
                <w:highlight w:val="none"/>
              </w:rPr>
            </w:pPr>
            <w:r>
              <w:rPr>
                <w:color w:val="auto"/>
                <w:spacing w:val="-1"/>
                <w:highlight w:val="none"/>
              </w:rPr>
              <w:t>评委姓名及得分</w:t>
            </w:r>
          </w:p>
        </w:tc>
        <w:tc>
          <w:tcPr>
            <w:tcW w:w="1797" w:type="dxa"/>
            <w:vMerge w:val="restart"/>
            <w:tcBorders>
              <w:bottom w:val="nil"/>
            </w:tcBorders>
            <w:vAlign w:val="top"/>
          </w:tcPr>
          <w:p>
            <w:pPr>
              <w:pStyle w:val="10"/>
              <w:spacing w:before="196" w:line="229" w:lineRule="auto"/>
              <w:ind w:left="227" w:right="157" w:hanging="56"/>
              <w:rPr>
                <w:color w:val="auto"/>
                <w:highlight w:val="none"/>
              </w:rPr>
            </w:pPr>
            <w:r>
              <w:rPr>
                <w:color w:val="auto"/>
                <w:spacing w:val="-2"/>
                <w:highlight w:val="none"/>
              </w:rPr>
              <w:t>综合标最终得分</w:t>
            </w:r>
            <w:r>
              <w:rPr>
                <w:color w:val="auto"/>
                <w:spacing w:val="5"/>
                <w:highlight w:val="none"/>
              </w:rPr>
              <w:t xml:space="preserve"> </w:t>
            </w:r>
            <w:r>
              <w:rPr>
                <w:color w:val="auto"/>
                <w:spacing w:val="-7"/>
                <w:highlight w:val="none"/>
              </w:rPr>
              <w:t>（满分</w:t>
            </w:r>
            <w:r>
              <w:rPr>
                <w:color w:val="auto"/>
                <w:spacing w:val="6"/>
                <w:highlight w:val="none"/>
              </w:rPr>
              <w:t xml:space="preserve">   </w:t>
            </w:r>
            <w:r>
              <w:rPr>
                <w:color w:val="auto"/>
                <w:spacing w:val="-7"/>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97" w:type="dxa"/>
            <w:vMerge w:val="continue"/>
            <w:tcBorders>
              <w:top w:val="nil"/>
            </w:tcBorders>
            <w:vAlign w:val="top"/>
          </w:tcPr>
          <w:p>
            <w:pPr>
              <w:rPr>
                <w:rFonts w:ascii="Arial"/>
                <w:color w:val="auto"/>
                <w:sz w:val="21"/>
                <w:highlight w:val="none"/>
              </w:rPr>
            </w:pPr>
          </w:p>
        </w:tc>
        <w:tc>
          <w:tcPr>
            <w:tcW w:w="1811" w:type="dxa"/>
            <w:vMerge w:val="continue"/>
            <w:tcBorders>
              <w:top w:val="nil"/>
            </w:tcBorders>
            <w:vAlign w:val="top"/>
          </w:tcPr>
          <w:p>
            <w:pPr>
              <w:rPr>
                <w:rFonts w:ascii="Arial"/>
                <w:color w:val="auto"/>
                <w:sz w:val="21"/>
                <w:highlight w:val="none"/>
              </w:rPr>
            </w:pPr>
          </w:p>
        </w:tc>
        <w:tc>
          <w:tcPr>
            <w:tcW w:w="1356" w:type="dxa"/>
            <w:vAlign w:val="top"/>
          </w:tcPr>
          <w:p>
            <w:pPr>
              <w:pStyle w:val="10"/>
              <w:spacing w:before="109" w:line="221" w:lineRule="auto"/>
              <w:ind w:left="392"/>
              <w:rPr>
                <w:color w:val="auto"/>
                <w:highlight w:val="none"/>
              </w:rPr>
            </w:pPr>
            <w:r>
              <w:rPr>
                <w:color w:val="auto"/>
                <w:spacing w:val="-2"/>
                <w:highlight w:val="none"/>
              </w:rPr>
              <w:t>评委</w:t>
            </w:r>
            <w:r>
              <w:rPr>
                <w:color w:val="auto"/>
                <w:spacing w:val="-28"/>
                <w:highlight w:val="none"/>
              </w:rPr>
              <w:t xml:space="preserve"> </w:t>
            </w:r>
            <w:r>
              <w:rPr>
                <w:color w:val="auto"/>
                <w:spacing w:val="-2"/>
                <w:highlight w:val="none"/>
              </w:rPr>
              <w:t>1</w:t>
            </w:r>
          </w:p>
        </w:tc>
        <w:tc>
          <w:tcPr>
            <w:tcW w:w="1355" w:type="dxa"/>
            <w:vAlign w:val="top"/>
          </w:tcPr>
          <w:p>
            <w:pPr>
              <w:pStyle w:val="10"/>
              <w:spacing w:before="109" w:line="221" w:lineRule="auto"/>
              <w:ind w:left="392"/>
              <w:rPr>
                <w:color w:val="auto"/>
                <w:highlight w:val="none"/>
              </w:rPr>
            </w:pPr>
            <w:r>
              <w:rPr>
                <w:color w:val="auto"/>
                <w:spacing w:val="-2"/>
                <w:highlight w:val="none"/>
              </w:rPr>
              <w:t>评委</w:t>
            </w:r>
            <w:r>
              <w:rPr>
                <w:color w:val="auto"/>
                <w:spacing w:val="-42"/>
                <w:highlight w:val="none"/>
              </w:rPr>
              <w:t xml:space="preserve"> </w:t>
            </w:r>
            <w:r>
              <w:rPr>
                <w:color w:val="auto"/>
                <w:spacing w:val="-2"/>
                <w:highlight w:val="none"/>
              </w:rPr>
              <w:t>2</w:t>
            </w:r>
          </w:p>
        </w:tc>
        <w:tc>
          <w:tcPr>
            <w:tcW w:w="1358" w:type="dxa"/>
            <w:vAlign w:val="top"/>
          </w:tcPr>
          <w:p>
            <w:pPr>
              <w:pStyle w:val="10"/>
              <w:spacing w:before="108" w:line="316" w:lineRule="exact"/>
              <w:ind w:left="487"/>
              <w:rPr>
                <w:color w:val="auto"/>
                <w:highlight w:val="none"/>
              </w:rPr>
            </w:pPr>
            <w:r>
              <w:rPr>
                <w:color w:val="auto"/>
                <w:spacing w:val="-5"/>
                <w:position w:val="2"/>
                <w:highlight w:val="none"/>
              </w:rPr>
              <w:t>……</w:t>
            </w: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vAlign w:val="top"/>
          </w:tcPr>
          <w:p>
            <w:pPr>
              <w:pStyle w:val="10"/>
              <w:spacing w:before="217" w:line="183" w:lineRule="auto"/>
              <w:ind w:left="367"/>
              <w:rPr>
                <w:color w:val="auto"/>
                <w:highlight w:val="none"/>
              </w:rPr>
            </w:pPr>
            <w:r>
              <w:rPr>
                <w:color w:val="auto"/>
                <w:highlight w:val="none"/>
              </w:rPr>
              <w:t>1</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7" w:type="dxa"/>
            <w:vAlign w:val="top"/>
          </w:tcPr>
          <w:p>
            <w:pPr>
              <w:pStyle w:val="10"/>
              <w:spacing w:before="219" w:line="182" w:lineRule="auto"/>
              <w:ind w:left="354"/>
              <w:rPr>
                <w:color w:val="auto"/>
                <w:highlight w:val="none"/>
              </w:rPr>
            </w:pPr>
            <w:r>
              <w:rPr>
                <w:color w:val="auto"/>
                <w:highlight w:val="none"/>
              </w:rPr>
              <w:t>2</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vAlign w:val="top"/>
          </w:tcPr>
          <w:p>
            <w:pPr>
              <w:pStyle w:val="10"/>
              <w:spacing w:before="220" w:line="182" w:lineRule="auto"/>
              <w:ind w:left="355"/>
              <w:rPr>
                <w:color w:val="auto"/>
                <w:highlight w:val="none"/>
              </w:rPr>
            </w:pPr>
            <w:r>
              <w:rPr>
                <w:color w:val="auto"/>
                <w:highlight w:val="none"/>
              </w:rPr>
              <w:t>3</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7" w:type="dxa"/>
            <w:vAlign w:val="top"/>
          </w:tcPr>
          <w:p>
            <w:pPr>
              <w:pStyle w:val="10"/>
              <w:spacing w:before="221" w:line="182" w:lineRule="auto"/>
              <w:ind w:left="350"/>
              <w:rPr>
                <w:color w:val="auto"/>
                <w:highlight w:val="none"/>
              </w:rPr>
            </w:pPr>
            <w:r>
              <w:rPr>
                <w:color w:val="auto"/>
                <w:highlight w:val="none"/>
              </w:rPr>
              <w:t>4</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vAlign w:val="top"/>
          </w:tcPr>
          <w:p>
            <w:pPr>
              <w:pStyle w:val="10"/>
              <w:spacing w:before="223" w:line="181" w:lineRule="auto"/>
              <w:ind w:left="355"/>
              <w:rPr>
                <w:color w:val="auto"/>
                <w:highlight w:val="none"/>
              </w:rPr>
            </w:pPr>
            <w:r>
              <w:rPr>
                <w:color w:val="auto"/>
                <w:highlight w:val="none"/>
              </w:rPr>
              <w:t>5</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97" w:type="dxa"/>
            <w:vAlign w:val="top"/>
          </w:tcPr>
          <w:p>
            <w:pPr>
              <w:pStyle w:val="10"/>
              <w:spacing w:before="223" w:line="182" w:lineRule="auto"/>
              <w:ind w:left="353"/>
              <w:rPr>
                <w:color w:val="auto"/>
                <w:highlight w:val="none"/>
              </w:rPr>
            </w:pPr>
            <w:r>
              <w:rPr>
                <w:color w:val="auto"/>
                <w:highlight w:val="none"/>
              </w:rPr>
              <w:t>6</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7" w:type="dxa"/>
            <w:vAlign w:val="top"/>
          </w:tcPr>
          <w:p>
            <w:pPr>
              <w:pStyle w:val="10"/>
              <w:spacing w:before="187" w:line="332" w:lineRule="exact"/>
              <w:ind w:left="206"/>
              <w:rPr>
                <w:color w:val="auto"/>
                <w:highlight w:val="none"/>
              </w:rPr>
            </w:pPr>
            <w:r>
              <w:rPr>
                <w:color w:val="auto"/>
                <w:spacing w:val="-10"/>
                <w:position w:val="2"/>
                <w:highlight w:val="none"/>
              </w:rPr>
              <w:t>……</w:t>
            </w:r>
          </w:p>
        </w:tc>
        <w:tc>
          <w:tcPr>
            <w:tcW w:w="1811"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5" w:type="dxa"/>
            <w:vAlign w:val="top"/>
          </w:tcPr>
          <w:p>
            <w:pPr>
              <w:rPr>
                <w:rFonts w:ascii="Arial"/>
                <w:color w:val="auto"/>
                <w:sz w:val="21"/>
                <w:highlight w:val="none"/>
              </w:rPr>
            </w:pPr>
          </w:p>
        </w:tc>
        <w:tc>
          <w:tcPr>
            <w:tcW w:w="1358"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79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13907" w:type="dxa"/>
            <w:gridSpan w:val="10"/>
            <w:vAlign w:val="top"/>
          </w:tcPr>
          <w:p>
            <w:pPr>
              <w:pStyle w:val="10"/>
              <w:spacing w:before="34" w:line="221" w:lineRule="auto"/>
              <w:ind w:left="119"/>
              <w:rPr>
                <w:color w:val="auto"/>
                <w:highlight w:val="none"/>
              </w:rPr>
            </w:pPr>
            <w:r>
              <w:rPr>
                <w:color w:val="auto"/>
                <w:spacing w:val="-1"/>
                <w:highlight w:val="none"/>
              </w:rPr>
              <w:t>综合标评委签名：</w:t>
            </w:r>
          </w:p>
        </w:tc>
      </w:tr>
    </w:tbl>
    <w:p>
      <w:pPr>
        <w:spacing w:before="303" w:line="221" w:lineRule="auto"/>
        <w:jc w:val="right"/>
        <w:rPr>
          <w:rFonts w:ascii="宋体" w:hAnsi="宋体" w:eastAsia="宋体" w:cs="宋体"/>
          <w:color w:val="auto"/>
          <w:sz w:val="21"/>
          <w:szCs w:val="21"/>
          <w:highlight w:val="none"/>
        </w:rPr>
      </w:pPr>
      <w:r>
        <w:rPr>
          <w:rFonts w:ascii="宋体" w:hAnsi="宋体" w:eastAsia="宋体" w:cs="宋体"/>
          <w:color w:val="auto"/>
          <w:spacing w:val="-33"/>
          <w:sz w:val="21"/>
          <w:szCs w:val="21"/>
          <w:highlight w:val="none"/>
        </w:rPr>
        <w:t>日期：</w:t>
      </w:r>
      <w:r>
        <w:rPr>
          <w:rFonts w:ascii="宋体" w:hAnsi="宋体" w:eastAsia="宋体" w:cs="宋体"/>
          <w:color w:val="auto"/>
          <w:spacing w:val="12"/>
          <w:sz w:val="21"/>
          <w:szCs w:val="21"/>
          <w:highlight w:val="none"/>
        </w:rPr>
        <w:t xml:space="preserve">        </w:t>
      </w:r>
      <w:r>
        <w:rPr>
          <w:rFonts w:ascii="宋体" w:hAnsi="宋体" w:eastAsia="宋体" w:cs="宋体"/>
          <w:color w:val="auto"/>
          <w:spacing w:val="-33"/>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33"/>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33"/>
          <w:sz w:val="21"/>
          <w:szCs w:val="21"/>
          <w:highlight w:val="none"/>
        </w:rPr>
        <w:t>日</w:t>
      </w:r>
    </w:p>
    <w:p>
      <w:pPr>
        <w:spacing w:line="221" w:lineRule="auto"/>
        <w:rPr>
          <w:rFonts w:ascii="宋体" w:hAnsi="宋体" w:eastAsia="宋体" w:cs="宋体"/>
          <w:color w:val="auto"/>
          <w:sz w:val="21"/>
          <w:szCs w:val="21"/>
          <w:highlight w:val="none"/>
        </w:rPr>
        <w:sectPr>
          <w:footerReference r:id="rId45" w:type="default"/>
          <w:pgSz w:w="16839" w:h="11907"/>
          <w:pgMar w:top="1012" w:right="1435" w:bottom="1135" w:left="1449" w:header="0" w:footer="930" w:gutter="0"/>
          <w:pgNumType w:fmt="numberInDash"/>
          <w:cols w:space="720" w:num="1"/>
        </w:sectPr>
      </w:pPr>
    </w:p>
    <w:p>
      <w:pPr>
        <w:pStyle w:val="2"/>
        <w:spacing w:line="264" w:lineRule="auto"/>
        <w:rPr>
          <w:color w:val="auto"/>
          <w:highlight w:val="none"/>
        </w:rPr>
      </w:pPr>
    </w:p>
    <w:p>
      <w:pPr>
        <w:pStyle w:val="2"/>
        <w:spacing w:line="264" w:lineRule="auto"/>
        <w:rPr>
          <w:color w:val="auto"/>
          <w:highlight w:val="none"/>
        </w:rPr>
      </w:pPr>
    </w:p>
    <w:p>
      <w:pPr>
        <w:pStyle w:val="2"/>
        <w:spacing w:line="264" w:lineRule="auto"/>
        <w:rPr>
          <w:color w:val="auto"/>
          <w:highlight w:val="none"/>
        </w:rPr>
      </w:pPr>
    </w:p>
    <w:p>
      <w:pPr>
        <w:pStyle w:val="2"/>
        <w:spacing w:line="264" w:lineRule="auto"/>
        <w:rPr>
          <w:color w:val="auto"/>
          <w:highlight w:val="none"/>
        </w:rPr>
      </w:pPr>
    </w:p>
    <w:p>
      <w:pPr>
        <w:spacing w:before="78" w:line="219" w:lineRule="auto"/>
        <w:ind w:left="1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56"/>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4"/>
          <w:sz w:val="24"/>
          <w:szCs w:val="24"/>
          <w:highlight w:val="none"/>
        </w:rPr>
        <w:t>14</w:t>
      </w:r>
      <w:r>
        <w:rPr>
          <w:rFonts w:ascii="黑体" w:hAnsi="黑体" w:eastAsia="黑体" w:cs="黑体"/>
          <w:color w:val="auto"/>
          <w:spacing w:val="-4"/>
          <w:sz w:val="24"/>
          <w:szCs w:val="24"/>
          <w:highlight w:val="none"/>
        </w:rPr>
        <w:t>：其他因素评审记录表</w:t>
      </w:r>
    </w:p>
    <w:p>
      <w:pPr>
        <w:spacing w:before="284" w:line="219" w:lineRule="auto"/>
        <w:ind w:left="5369"/>
        <w:rPr>
          <w:rFonts w:ascii="黑体" w:hAnsi="黑体" w:eastAsia="黑体" w:cs="黑体"/>
          <w:color w:val="auto"/>
          <w:sz w:val="36"/>
          <w:szCs w:val="36"/>
          <w:highlight w:val="none"/>
        </w:rPr>
      </w:pPr>
      <w:bookmarkStart w:id="117" w:name="bookmark156"/>
      <w:bookmarkEnd w:id="117"/>
      <w:r>
        <w:rPr>
          <w:rFonts w:ascii="黑体" w:hAnsi="黑体" w:eastAsia="黑体" w:cs="黑体"/>
          <w:color w:val="auto"/>
          <w:spacing w:val="-2"/>
          <w:sz w:val="36"/>
          <w:szCs w:val="36"/>
          <w:highlight w:val="none"/>
        </w:rPr>
        <w:t>其他因素评审记录表</w:t>
      </w:r>
    </w:p>
    <w:p>
      <w:pPr>
        <w:spacing w:before="239" w:line="221" w:lineRule="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22" w:line="212" w:lineRule="auto"/>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tbl>
      <w:tblPr>
        <w:tblStyle w:val="9"/>
        <w:tblW w:w="13472"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751"/>
        <w:gridCol w:w="1313"/>
        <w:gridCol w:w="1314"/>
        <w:gridCol w:w="1313"/>
        <w:gridCol w:w="1312"/>
        <w:gridCol w:w="1315"/>
        <w:gridCol w:w="1313"/>
        <w:gridCol w:w="1324"/>
        <w:gridCol w:w="17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5" w:type="dxa"/>
            <w:vMerge w:val="restart"/>
            <w:tcBorders>
              <w:bottom w:val="nil"/>
            </w:tcBorders>
            <w:vAlign w:val="top"/>
          </w:tcPr>
          <w:p>
            <w:pPr>
              <w:spacing w:line="266" w:lineRule="auto"/>
              <w:rPr>
                <w:rFonts w:ascii="Arial"/>
                <w:color w:val="auto"/>
                <w:sz w:val="21"/>
                <w:highlight w:val="none"/>
              </w:rPr>
            </w:pPr>
          </w:p>
          <w:p>
            <w:pPr>
              <w:pStyle w:val="10"/>
              <w:spacing w:before="69" w:line="222" w:lineRule="auto"/>
              <w:ind w:left="179"/>
              <w:rPr>
                <w:color w:val="auto"/>
                <w:highlight w:val="none"/>
              </w:rPr>
            </w:pPr>
            <w:r>
              <w:rPr>
                <w:color w:val="auto"/>
                <w:spacing w:val="-2"/>
                <w:highlight w:val="none"/>
              </w:rPr>
              <w:t>序号</w:t>
            </w:r>
          </w:p>
        </w:tc>
        <w:tc>
          <w:tcPr>
            <w:tcW w:w="1751" w:type="dxa"/>
            <w:vMerge w:val="restart"/>
            <w:tcBorders>
              <w:bottom w:val="nil"/>
            </w:tcBorders>
            <w:vAlign w:val="top"/>
          </w:tcPr>
          <w:p>
            <w:pPr>
              <w:spacing w:line="267" w:lineRule="auto"/>
              <w:rPr>
                <w:rFonts w:ascii="Arial"/>
                <w:color w:val="auto"/>
                <w:sz w:val="21"/>
                <w:highlight w:val="none"/>
              </w:rPr>
            </w:pPr>
          </w:p>
          <w:p>
            <w:pPr>
              <w:pStyle w:val="10"/>
              <w:spacing w:before="68" w:line="221" w:lineRule="auto"/>
              <w:ind w:left="356"/>
              <w:rPr>
                <w:color w:val="auto"/>
                <w:highlight w:val="none"/>
              </w:rPr>
            </w:pPr>
            <w:r>
              <w:rPr>
                <w:color w:val="auto"/>
                <w:spacing w:val="-2"/>
                <w:highlight w:val="none"/>
              </w:rPr>
              <w:t>投标人名称</w:t>
            </w:r>
          </w:p>
        </w:tc>
        <w:tc>
          <w:tcPr>
            <w:tcW w:w="9204" w:type="dxa"/>
            <w:gridSpan w:val="7"/>
            <w:vAlign w:val="top"/>
          </w:tcPr>
          <w:p>
            <w:pPr>
              <w:pStyle w:val="10"/>
              <w:spacing w:before="115" w:line="221" w:lineRule="auto"/>
              <w:ind w:left="3870"/>
              <w:rPr>
                <w:color w:val="auto"/>
                <w:highlight w:val="none"/>
              </w:rPr>
            </w:pPr>
            <w:r>
              <w:rPr>
                <w:color w:val="auto"/>
                <w:spacing w:val="-1"/>
                <w:highlight w:val="none"/>
              </w:rPr>
              <w:t>评委姓名及得分</w:t>
            </w:r>
          </w:p>
        </w:tc>
        <w:tc>
          <w:tcPr>
            <w:tcW w:w="1742" w:type="dxa"/>
            <w:vMerge w:val="restart"/>
            <w:tcBorders>
              <w:bottom w:val="nil"/>
            </w:tcBorders>
            <w:vAlign w:val="top"/>
          </w:tcPr>
          <w:p>
            <w:pPr>
              <w:pStyle w:val="10"/>
              <w:spacing w:before="65" w:line="221" w:lineRule="auto"/>
              <w:ind w:left="141"/>
              <w:rPr>
                <w:color w:val="auto"/>
                <w:highlight w:val="none"/>
              </w:rPr>
            </w:pPr>
            <w:r>
              <w:rPr>
                <w:color w:val="auto"/>
                <w:spacing w:val="-1"/>
                <w:highlight w:val="none"/>
              </w:rPr>
              <w:t>其他因素最终得</w:t>
            </w:r>
          </w:p>
          <w:p>
            <w:pPr>
              <w:pStyle w:val="10"/>
              <w:spacing w:before="19" w:line="241" w:lineRule="auto"/>
              <w:ind w:left="457"/>
              <w:rPr>
                <w:color w:val="auto"/>
                <w:highlight w:val="none"/>
              </w:rPr>
            </w:pPr>
            <w:r>
              <w:rPr>
                <w:color w:val="auto"/>
                <w:spacing w:val="-2"/>
                <w:highlight w:val="none"/>
              </w:rPr>
              <w:t>分（满分</w:t>
            </w:r>
          </w:p>
          <w:p>
            <w:pPr>
              <w:pStyle w:val="10"/>
              <w:spacing w:line="221" w:lineRule="auto"/>
              <w:ind w:left="668"/>
              <w:rPr>
                <w:color w:val="auto"/>
                <w:highlight w:val="none"/>
              </w:rPr>
            </w:pPr>
            <w:r>
              <w:rPr>
                <w:color w:val="auto"/>
                <w:spacing w:val="-6"/>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75" w:type="dxa"/>
            <w:vMerge w:val="continue"/>
            <w:tcBorders>
              <w:top w:val="nil"/>
            </w:tcBorders>
            <w:vAlign w:val="top"/>
          </w:tcPr>
          <w:p>
            <w:pPr>
              <w:rPr>
                <w:rFonts w:ascii="Arial"/>
                <w:color w:val="auto"/>
                <w:sz w:val="21"/>
                <w:highlight w:val="none"/>
              </w:rPr>
            </w:pPr>
          </w:p>
        </w:tc>
        <w:tc>
          <w:tcPr>
            <w:tcW w:w="1751" w:type="dxa"/>
            <w:vMerge w:val="continue"/>
            <w:tcBorders>
              <w:top w:val="nil"/>
            </w:tcBorders>
            <w:vAlign w:val="top"/>
          </w:tcPr>
          <w:p>
            <w:pPr>
              <w:rPr>
                <w:rFonts w:ascii="Arial"/>
                <w:color w:val="auto"/>
                <w:sz w:val="21"/>
                <w:highlight w:val="none"/>
              </w:rPr>
            </w:pPr>
          </w:p>
        </w:tc>
        <w:tc>
          <w:tcPr>
            <w:tcW w:w="1313" w:type="dxa"/>
            <w:vAlign w:val="top"/>
          </w:tcPr>
          <w:p>
            <w:pPr>
              <w:pStyle w:val="10"/>
              <w:spacing w:before="112" w:line="221" w:lineRule="auto"/>
              <w:ind w:left="370"/>
              <w:rPr>
                <w:color w:val="auto"/>
                <w:highlight w:val="none"/>
              </w:rPr>
            </w:pPr>
            <w:r>
              <w:rPr>
                <w:color w:val="auto"/>
                <w:spacing w:val="-2"/>
                <w:highlight w:val="none"/>
              </w:rPr>
              <w:t>评委</w:t>
            </w:r>
            <w:r>
              <w:rPr>
                <w:color w:val="auto"/>
                <w:spacing w:val="-28"/>
                <w:highlight w:val="none"/>
              </w:rPr>
              <w:t xml:space="preserve"> </w:t>
            </w:r>
            <w:r>
              <w:rPr>
                <w:color w:val="auto"/>
                <w:spacing w:val="-2"/>
                <w:highlight w:val="none"/>
              </w:rPr>
              <w:t>1</w:t>
            </w:r>
          </w:p>
        </w:tc>
        <w:tc>
          <w:tcPr>
            <w:tcW w:w="1314" w:type="dxa"/>
            <w:vAlign w:val="top"/>
          </w:tcPr>
          <w:p>
            <w:pPr>
              <w:pStyle w:val="10"/>
              <w:spacing w:before="112" w:line="221" w:lineRule="auto"/>
              <w:ind w:left="371"/>
              <w:rPr>
                <w:color w:val="auto"/>
                <w:highlight w:val="none"/>
              </w:rPr>
            </w:pPr>
            <w:r>
              <w:rPr>
                <w:color w:val="auto"/>
                <w:spacing w:val="-2"/>
                <w:highlight w:val="none"/>
              </w:rPr>
              <w:t>评委</w:t>
            </w:r>
            <w:r>
              <w:rPr>
                <w:color w:val="auto"/>
                <w:spacing w:val="-42"/>
                <w:highlight w:val="none"/>
              </w:rPr>
              <w:t xml:space="preserve"> </w:t>
            </w:r>
            <w:r>
              <w:rPr>
                <w:color w:val="auto"/>
                <w:spacing w:val="-2"/>
                <w:highlight w:val="none"/>
              </w:rPr>
              <w:t>2</w:t>
            </w:r>
          </w:p>
        </w:tc>
        <w:tc>
          <w:tcPr>
            <w:tcW w:w="1313" w:type="dxa"/>
            <w:vAlign w:val="top"/>
          </w:tcPr>
          <w:p>
            <w:pPr>
              <w:pStyle w:val="10"/>
              <w:spacing w:before="111" w:line="314" w:lineRule="exact"/>
              <w:ind w:left="465"/>
              <w:rPr>
                <w:color w:val="auto"/>
                <w:highlight w:val="none"/>
              </w:rPr>
            </w:pPr>
            <w:r>
              <w:rPr>
                <w:color w:val="auto"/>
                <w:spacing w:val="-5"/>
                <w:position w:val="2"/>
                <w:highlight w:val="none"/>
              </w:rPr>
              <w:t>……</w:t>
            </w: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vAlign w:val="top"/>
          </w:tcPr>
          <w:p>
            <w:pPr>
              <w:pStyle w:val="10"/>
              <w:spacing w:before="223" w:line="183" w:lineRule="auto"/>
              <w:ind w:left="354"/>
              <w:rPr>
                <w:color w:val="auto"/>
                <w:highlight w:val="none"/>
              </w:rPr>
            </w:pPr>
            <w:r>
              <w:rPr>
                <w:color w:val="auto"/>
                <w:highlight w:val="none"/>
              </w:rPr>
              <w:t>1</w:t>
            </w:r>
          </w:p>
        </w:tc>
        <w:tc>
          <w:tcPr>
            <w:tcW w:w="1751"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4"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vAlign w:val="top"/>
          </w:tcPr>
          <w:p>
            <w:pPr>
              <w:pStyle w:val="10"/>
              <w:spacing w:before="222" w:line="182" w:lineRule="auto"/>
              <w:ind w:left="341"/>
              <w:rPr>
                <w:color w:val="auto"/>
                <w:highlight w:val="none"/>
              </w:rPr>
            </w:pPr>
            <w:r>
              <w:rPr>
                <w:color w:val="auto"/>
                <w:highlight w:val="none"/>
              </w:rPr>
              <w:t>2</w:t>
            </w:r>
          </w:p>
        </w:tc>
        <w:tc>
          <w:tcPr>
            <w:tcW w:w="1751"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4"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vAlign w:val="top"/>
          </w:tcPr>
          <w:p>
            <w:pPr>
              <w:pStyle w:val="10"/>
              <w:spacing w:before="226" w:line="182" w:lineRule="auto"/>
              <w:ind w:left="343"/>
              <w:rPr>
                <w:color w:val="auto"/>
                <w:highlight w:val="none"/>
              </w:rPr>
            </w:pPr>
            <w:r>
              <w:rPr>
                <w:color w:val="auto"/>
                <w:highlight w:val="none"/>
              </w:rPr>
              <w:t>3</w:t>
            </w:r>
          </w:p>
        </w:tc>
        <w:tc>
          <w:tcPr>
            <w:tcW w:w="1751"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4"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vAlign w:val="top"/>
          </w:tcPr>
          <w:p>
            <w:pPr>
              <w:pStyle w:val="10"/>
              <w:spacing w:before="223" w:line="182" w:lineRule="auto"/>
              <w:ind w:left="338"/>
              <w:rPr>
                <w:color w:val="auto"/>
                <w:highlight w:val="none"/>
              </w:rPr>
            </w:pPr>
            <w:r>
              <w:rPr>
                <w:color w:val="auto"/>
                <w:highlight w:val="none"/>
              </w:rPr>
              <w:t>4</w:t>
            </w:r>
          </w:p>
        </w:tc>
        <w:tc>
          <w:tcPr>
            <w:tcW w:w="1751"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4"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vAlign w:val="top"/>
          </w:tcPr>
          <w:p>
            <w:pPr>
              <w:pStyle w:val="10"/>
              <w:spacing w:before="228" w:line="181" w:lineRule="auto"/>
              <w:ind w:left="343"/>
              <w:rPr>
                <w:color w:val="auto"/>
                <w:highlight w:val="none"/>
              </w:rPr>
            </w:pPr>
            <w:r>
              <w:rPr>
                <w:color w:val="auto"/>
                <w:highlight w:val="none"/>
              </w:rPr>
              <w:t>5</w:t>
            </w:r>
          </w:p>
        </w:tc>
        <w:tc>
          <w:tcPr>
            <w:tcW w:w="1751"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4"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vAlign w:val="top"/>
          </w:tcPr>
          <w:p>
            <w:pPr>
              <w:pStyle w:val="10"/>
              <w:spacing w:before="189" w:line="332" w:lineRule="exact"/>
              <w:ind w:left="194"/>
              <w:rPr>
                <w:color w:val="auto"/>
                <w:highlight w:val="none"/>
              </w:rPr>
            </w:pPr>
            <w:r>
              <w:rPr>
                <w:color w:val="auto"/>
                <w:spacing w:val="-10"/>
                <w:position w:val="2"/>
                <w:highlight w:val="none"/>
              </w:rPr>
              <w:t>……</w:t>
            </w:r>
          </w:p>
        </w:tc>
        <w:tc>
          <w:tcPr>
            <w:tcW w:w="1751"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4"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315"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24" w:type="dxa"/>
            <w:vAlign w:val="top"/>
          </w:tcPr>
          <w:p>
            <w:pPr>
              <w:rPr>
                <w:rFonts w:ascii="Arial"/>
                <w:color w:val="auto"/>
                <w:sz w:val="21"/>
                <w:highlight w:val="none"/>
              </w:rPr>
            </w:pPr>
          </w:p>
        </w:tc>
        <w:tc>
          <w:tcPr>
            <w:tcW w:w="1742"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3472" w:type="dxa"/>
            <w:gridSpan w:val="10"/>
            <w:vAlign w:val="top"/>
          </w:tcPr>
          <w:p>
            <w:pPr>
              <w:pStyle w:val="10"/>
              <w:spacing w:before="36" w:line="220" w:lineRule="auto"/>
              <w:ind w:left="115"/>
              <w:rPr>
                <w:color w:val="auto"/>
                <w:highlight w:val="none"/>
              </w:rPr>
            </w:pPr>
            <w:r>
              <w:rPr>
                <w:color w:val="auto"/>
                <w:spacing w:val="-1"/>
                <w:highlight w:val="none"/>
              </w:rPr>
              <w:t>评标委员会全体成员签名：</w:t>
            </w:r>
          </w:p>
        </w:tc>
      </w:tr>
    </w:tbl>
    <w:p>
      <w:pPr>
        <w:spacing w:before="29" w:line="221" w:lineRule="auto"/>
        <w:ind w:left="10643"/>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日期：</w:t>
      </w:r>
      <w:r>
        <w:rPr>
          <w:rFonts w:ascii="宋体" w:hAnsi="宋体" w:eastAsia="宋体" w:cs="宋体"/>
          <w:color w:val="auto"/>
          <w:spacing w:val="1"/>
          <w:sz w:val="21"/>
          <w:szCs w:val="21"/>
          <w:highlight w:val="none"/>
        </w:rPr>
        <w:t xml:space="preserve">        </w:t>
      </w:r>
      <w:r>
        <w:rPr>
          <w:rFonts w:ascii="宋体" w:hAnsi="宋体" w:eastAsia="宋体" w:cs="宋体"/>
          <w:color w:val="auto"/>
          <w:spacing w:val="-11"/>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1"/>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日</w:t>
      </w:r>
    </w:p>
    <w:p>
      <w:pPr>
        <w:spacing w:line="221" w:lineRule="auto"/>
        <w:rPr>
          <w:rFonts w:ascii="宋体" w:hAnsi="宋体" w:eastAsia="宋体" w:cs="宋体"/>
          <w:color w:val="auto"/>
          <w:sz w:val="21"/>
          <w:szCs w:val="21"/>
          <w:highlight w:val="none"/>
        </w:rPr>
        <w:sectPr>
          <w:footerReference r:id="rId46" w:type="default"/>
          <w:pgSz w:w="16839" w:h="11907"/>
          <w:pgMar w:top="1012" w:right="1680" w:bottom="1135" w:left="1449" w:header="0" w:footer="930" w:gutter="0"/>
          <w:pgNumType w:fmt="numberInDash"/>
          <w:cols w:space="720" w:num="1"/>
        </w:sectPr>
      </w:pPr>
    </w:p>
    <w:p>
      <w:pPr>
        <w:pStyle w:val="2"/>
        <w:spacing w:line="271" w:lineRule="auto"/>
        <w:rPr>
          <w:color w:val="auto"/>
          <w:highlight w:val="none"/>
        </w:rPr>
      </w:pPr>
    </w:p>
    <w:p>
      <w:pPr>
        <w:pStyle w:val="2"/>
        <w:spacing w:line="272" w:lineRule="auto"/>
        <w:rPr>
          <w:color w:val="auto"/>
          <w:highlight w:val="none"/>
        </w:rPr>
      </w:pPr>
    </w:p>
    <w:p>
      <w:pPr>
        <w:pStyle w:val="2"/>
        <w:spacing w:line="272" w:lineRule="auto"/>
        <w:rPr>
          <w:color w:val="auto"/>
          <w:highlight w:val="none"/>
        </w:rPr>
      </w:pPr>
    </w:p>
    <w:p>
      <w:pPr>
        <w:spacing w:before="78" w:line="219" w:lineRule="auto"/>
        <w:ind w:left="19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56"/>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4"/>
          <w:sz w:val="24"/>
          <w:szCs w:val="24"/>
          <w:highlight w:val="none"/>
        </w:rPr>
        <w:t>15</w:t>
      </w:r>
      <w:r>
        <w:rPr>
          <w:rFonts w:ascii="黑体" w:hAnsi="黑体" w:eastAsia="黑体" w:cs="黑体"/>
          <w:color w:val="auto"/>
          <w:spacing w:val="-4"/>
          <w:sz w:val="24"/>
          <w:szCs w:val="24"/>
          <w:highlight w:val="none"/>
        </w:rPr>
        <w:t>：详细评审评分汇总表</w:t>
      </w:r>
    </w:p>
    <w:p>
      <w:pPr>
        <w:spacing w:before="56" w:line="219" w:lineRule="auto"/>
        <w:ind w:left="5423"/>
        <w:rPr>
          <w:rFonts w:ascii="黑体" w:hAnsi="黑体" w:eastAsia="黑体" w:cs="黑体"/>
          <w:color w:val="auto"/>
          <w:sz w:val="36"/>
          <w:szCs w:val="36"/>
          <w:highlight w:val="none"/>
        </w:rPr>
      </w:pPr>
      <w:bookmarkStart w:id="118" w:name="bookmark160"/>
      <w:bookmarkEnd w:id="118"/>
      <w:bookmarkStart w:id="119" w:name="bookmark158"/>
      <w:bookmarkEnd w:id="119"/>
      <w:bookmarkStart w:id="120" w:name="bookmark159"/>
      <w:bookmarkEnd w:id="120"/>
      <w:bookmarkStart w:id="121" w:name="bookmark157"/>
      <w:bookmarkEnd w:id="121"/>
      <w:bookmarkStart w:id="122" w:name="bookmark161"/>
      <w:bookmarkEnd w:id="122"/>
      <w:r>
        <w:rPr>
          <w:rFonts w:ascii="黑体" w:hAnsi="黑体" w:eastAsia="黑体" w:cs="黑体"/>
          <w:color w:val="auto"/>
          <w:spacing w:val="-2"/>
          <w:sz w:val="36"/>
          <w:szCs w:val="36"/>
          <w:highlight w:val="none"/>
        </w:rPr>
        <w:t>详细评审评分汇总表</w:t>
      </w:r>
    </w:p>
    <w:p>
      <w:pPr>
        <w:spacing w:before="255" w:line="221" w:lineRule="auto"/>
        <w:ind w:left="5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19" w:line="221" w:lineRule="auto"/>
        <w:ind w:left="59"/>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p>
      <w:pPr>
        <w:spacing w:line="235" w:lineRule="exact"/>
        <w:rPr>
          <w:color w:val="auto"/>
          <w:highlight w:val="none"/>
        </w:rPr>
      </w:pPr>
    </w:p>
    <w:tbl>
      <w:tblPr>
        <w:tblStyle w:val="9"/>
        <w:tblW w:w="140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2964"/>
        <w:gridCol w:w="1890"/>
        <w:gridCol w:w="1891"/>
        <w:gridCol w:w="1893"/>
        <w:gridCol w:w="1891"/>
        <w:gridCol w:w="1221"/>
        <w:gridCol w:w="1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006" w:type="dxa"/>
            <w:vMerge w:val="restart"/>
            <w:tcBorders>
              <w:bottom w:val="nil"/>
            </w:tcBorders>
            <w:vAlign w:val="top"/>
          </w:tcPr>
          <w:p>
            <w:pPr>
              <w:pStyle w:val="10"/>
              <w:spacing w:before="188" w:line="222" w:lineRule="auto"/>
              <w:ind w:left="298"/>
              <w:rPr>
                <w:color w:val="auto"/>
                <w:highlight w:val="none"/>
              </w:rPr>
            </w:pPr>
            <w:r>
              <w:rPr>
                <w:color w:val="auto"/>
                <w:spacing w:val="-2"/>
                <w:highlight w:val="none"/>
              </w:rPr>
              <w:t>序号</w:t>
            </w:r>
          </w:p>
        </w:tc>
        <w:tc>
          <w:tcPr>
            <w:tcW w:w="2964" w:type="dxa"/>
            <w:vMerge w:val="restart"/>
            <w:tcBorders>
              <w:bottom w:val="nil"/>
            </w:tcBorders>
            <w:vAlign w:val="top"/>
          </w:tcPr>
          <w:p>
            <w:pPr>
              <w:pStyle w:val="10"/>
              <w:spacing w:before="188" w:line="221" w:lineRule="auto"/>
              <w:ind w:left="960"/>
              <w:rPr>
                <w:color w:val="auto"/>
                <w:highlight w:val="none"/>
              </w:rPr>
            </w:pPr>
            <w:r>
              <w:rPr>
                <w:color w:val="auto"/>
                <w:spacing w:val="-2"/>
                <w:highlight w:val="none"/>
              </w:rPr>
              <w:t>投标人名称</w:t>
            </w:r>
          </w:p>
        </w:tc>
        <w:tc>
          <w:tcPr>
            <w:tcW w:w="7565" w:type="dxa"/>
            <w:gridSpan w:val="4"/>
            <w:vAlign w:val="top"/>
          </w:tcPr>
          <w:p>
            <w:pPr>
              <w:pStyle w:val="10"/>
              <w:spacing w:before="42" w:line="213" w:lineRule="auto"/>
              <w:ind w:left="2943"/>
              <w:rPr>
                <w:color w:val="auto"/>
                <w:highlight w:val="none"/>
              </w:rPr>
            </w:pPr>
            <w:r>
              <w:rPr>
                <w:color w:val="auto"/>
                <w:spacing w:val="-1"/>
                <w:highlight w:val="none"/>
              </w:rPr>
              <w:t>评审类别评审得分</w:t>
            </w:r>
          </w:p>
        </w:tc>
        <w:tc>
          <w:tcPr>
            <w:tcW w:w="1221" w:type="dxa"/>
            <w:vMerge w:val="restart"/>
            <w:tcBorders>
              <w:bottom w:val="nil"/>
            </w:tcBorders>
            <w:vAlign w:val="top"/>
          </w:tcPr>
          <w:p>
            <w:pPr>
              <w:pStyle w:val="10"/>
              <w:spacing w:before="52" w:line="232" w:lineRule="auto"/>
              <w:ind w:left="407" w:right="185" w:hanging="212"/>
              <w:rPr>
                <w:color w:val="auto"/>
                <w:highlight w:val="none"/>
              </w:rPr>
            </w:pPr>
            <w:r>
              <w:rPr>
                <w:color w:val="auto"/>
                <w:spacing w:val="-2"/>
                <w:highlight w:val="none"/>
              </w:rPr>
              <w:t>评审得分</w:t>
            </w:r>
            <w:r>
              <w:rPr>
                <w:color w:val="auto"/>
                <w:spacing w:val="2"/>
                <w:highlight w:val="none"/>
              </w:rPr>
              <w:t xml:space="preserve"> </w:t>
            </w:r>
            <w:r>
              <w:rPr>
                <w:color w:val="auto"/>
                <w:spacing w:val="-2"/>
                <w:highlight w:val="none"/>
              </w:rPr>
              <w:t>汇总</w:t>
            </w:r>
          </w:p>
        </w:tc>
        <w:tc>
          <w:tcPr>
            <w:tcW w:w="1303" w:type="dxa"/>
            <w:vMerge w:val="restart"/>
            <w:tcBorders>
              <w:bottom w:val="nil"/>
            </w:tcBorders>
            <w:vAlign w:val="top"/>
          </w:tcPr>
          <w:p>
            <w:pPr>
              <w:pStyle w:val="10"/>
              <w:spacing w:before="188" w:line="221" w:lineRule="auto"/>
              <w:ind w:left="130"/>
              <w:rPr>
                <w:color w:val="auto"/>
                <w:highlight w:val="none"/>
              </w:rPr>
            </w:pPr>
            <w:r>
              <w:rPr>
                <w:color w:val="auto"/>
                <w:spacing w:val="-2"/>
                <w:highlight w:val="none"/>
              </w:rPr>
              <w:t>投标人排名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006" w:type="dxa"/>
            <w:vMerge w:val="continue"/>
            <w:tcBorders>
              <w:top w:val="nil"/>
            </w:tcBorders>
            <w:vAlign w:val="top"/>
          </w:tcPr>
          <w:p>
            <w:pPr>
              <w:rPr>
                <w:rFonts w:ascii="Arial"/>
                <w:color w:val="auto"/>
                <w:sz w:val="21"/>
                <w:highlight w:val="none"/>
              </w:rPr>
            </w:pPr>
          </w:p>
        </w:tc>
        <w:tc>
          <w:tcPr>
            <w:tcW w:w="2964" w:type="dxa"/>
            <w:vMerge w:val="continue"/>
            <w:tcBorders>
              <w:top w:val="nil"/>
            </w:tcBorders>
            <w:vAlign w:val="top"/>
          </w:tcPr>
          <w:p>
            <w:pPr>
              <w:rPr>
                <w:rFonts w:ascii="Arial"/>
                <w:color w:val="auto"/>
                <w:sz w:val="21"/>
                <w:highlight w:val="none"/>
              </w:rPr>
            </w:pPr>
          </w:p>
        </w:tc>
        <w:tc>
          <w:tcPr>
            <w:tcW w:w="1890" w:type="dxa"/>
            <w:vAlign w:val="top"/>
          </w:tcPr>
          <w:p>
            <w:pPr>
              <w:pStyle w:val="10"/>
              <w:spacing w:before="37" w:line="213" w:lineRule="auto"/>
              <w:ind w:left="529"/>
              <w:rPr>
                <w:color w:val="auto"/>
                <w:highlight w:val="none"/>
              </w:rPr>
            </w:pPr>
            <w:r>
              <w:rPr>
                <w:color w:val="auto"/>
                <w:spacing w:val="-2"/>
                <w:highlight w:val="none"/>
              </w:rPr>
              <w:t>投标报价</w:t>
            </w:r>
          </w:p>
        </w:tc>
        <w:tc>
          <w:tcPr>
            <w:tcW w:w="1891" w:type="dxa"/>
            <w:vAlign w:val="top"/>
          </w:tcPr>
          <w:p>
            <w:pPr>
              <w:pStyle w:val="10"/>
              <w:spacing w:before="37" w:line="213" w:lineRule="auto"/>
              <w:ind w:left="634"/>
              <w:rPr>
                <w:color w:val="auto"/>
                <w:highlight w:val="none"/>
              </w:rPr>
            </w:pPr>
            <w:r>
              <w:rPr>
                <w:color w:val="auto"/>
                <w:spacing w:val="-2"/>
                <w:highlight w:val="none"/>
              </w:rPr>
              <w:t>技术标</w:t>
            </w:r>
          </w:p>
        </w:tc>
        <w:tc>
          <w:tcPr>
            <w:tcW w:w="1893" w:type="dxa"/>
            <w:vAlign w:val="top"/>
          </w:tcPr>
          <w:p>
            <w:pPr>
              <w:pStyle w:val="10"/>
              <w:spacing w:before="37" w:line="213" w:lineRule="auto"/>
              <w:ind w:left="636"/>
              <w:rPr>
                <w:color w:val="auto"/>
                <w:highlight w:val="none"/>
              </w:rPr>
            </w:pPr>
            <w:r>
              <w:rPr>
                <w:color w:val="auto"/>
                <w:spacing w:val="-2"/>
                <w:highlight w:val="none"/>
              </w:rPr>
              <w:t>综合标</w:t>
            </w:r>
          </w:p>
        </w:tc>
        <w:tc>
          <w:tcPr>
            <w:tcW w:w="1891" w:type="dxa"/>
            <w:vAlign w:val="top"/>
          </w:tcPr>
          <w:p>
            <w:pPr>
              <w:pStyle w:val="10"/>
              <w:spacing w:before="37" w:line="213" w:lineRule="auto"/>
              <w:ind w:left="530"/>
              <w:rPr>
                <w:color w:val="auto"/>
                <w:highlight w:val="none"/>
              </w:rPr>
            </w:pPr>
            <w:r>
              <w:rPr>
                <w:color w:val="auto"/>
                <w:spacing w:val="-2"/>
                <w:highlight w:val="none"/>
              </w:rPr>
              <w:t>其他因素</w:t>
            </w:r>
          </w:p>
        </w:tc>
        <w:tc>
          <w:tcPr>
            <w:tcW w:w="1221" w:type="dxa"/>
            <w:vMerge w:val="continue"/>
            <w:tcBorders>
              <w:top w:val="nil"/>
            </w:tcBorders>
            <w:vAlign w:val="top"/>
          </w:tcPr>
          <w:p>
            <w:pPr>
              <w:rPr>
                <w:rFonts w:ascii="Arial"/>
                <w:color w:val="auto"/>
                <w:sz w:val="21"/>
                <w:highlight w:val="none"/>
              </w:rPr>
            </w:pPr>
          </w:p>
        </w:tc>
        <w:tc>
          <w:tcPr>
            <w:tcW w:w="1303"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vAlign w:val="top"/>
          </w:tcPr>
          <w:p>
            <w:pPr>
              <w:pStyle w:val="10"/>
              <w:spacing w:before="122" w:line="183" w:lineRule="auto"/>
              <w:ind w:left="470"/>
              <w:rPr>
                <w:color w:val="auto"/>
                <w:highlight w:val="none"/>
              </w:rPr>
            </w:pPr>
            <w:r>
              <w:rPr>
                <w:color w:val="auto"/>
                <w:highlight w:val="none"/>
              </w:rPr>
              <w:t>1</w:t>
            </w:r>
          </w:p>
        </w:tc>
        <w:tc>
          <w:tcPr>
            <w:tcW w:w="2964" w:type="dxa"/>
            <w:vAlign w:val="top"/>
          </w:tcPr>
          <w:p>
            <w:pPr>
              <w:rPr>
                <w:rFonts w:ascii="Arial"/>
                <w:color w:val="auto"/>
                <w:sz w:val="21"/>
                <w:highlight w:val="none"/>
              </w:rPr>
            </w:pPr>
          </w:p>
        </w:tc>
        <w:tc>
          <w:tcPr>
            <w:tcW w:w="1890"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893"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221" w:type="dxa"/>
            <w:vAlign w:val="top"/>
          </w:tcPr>
          <w:p>
            <w:pPr>
              <w:rPr>
                <w:rFonts w:ascii="Arial"/>
                <w:color w:val="auto"/>
                <w:sz w:val="21"/>
                <w:highlight w:val="none"/>
              </w:rPr>
            </w:pPr>
          </w:p>
        </w:tc>
        <w:tc>
          <w:tcPr>
            <w:tcW w:w="1303"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vAlign w:val="top"/>
          </w:tcPr>
          <w:p>
            <w:pPr>
              <w:pStyle w:val="10"/>
              <w:spacing w:before="123" w:line="182" w:lineRule="auto"/>
              <w:ind w:left="457"/>
              <w:rPr>
                <w:color w:val="auto"/>
                <w:highlight w:val="none"/>
              </w:rPr>
            </w:pPr>
            <w:r>
              <w:rPr>
                <w:color w:val="auto"/>
                <w:highlight w:val="none"/>
              </w:rPr>
              <w:t>2</w:t>
            </w:r>
          </w:p>
        </w:tc>
        <w:tc>
          <w:tcPr>
            <w:tcW w:w="2964" w:type="dxa"/>
            <w:vAlign w:val="top"/>
          </w:tcPr>
          <w:p>
            <w:pPr>
              <w:rPr>
                <w:rFonts w:ascii="Arial"/>
                <w:color w:val="auto"/>
                <w:sz w:val="21"/>
                <w:highlight w:val="none"/>
              </w:rPr>
            </w:pPr>
          </w:p>
        </w:tc>
        <w:tc>
          <w:tcPr>
            <w:tcW w:w="1890"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893"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221" w:type="dxa"/>
            <w:vAlign w:val="top"/>
          </w:tcPr>
          <w:p>
            <w:pPr>
              <w:rPr>
                <w:rFonts w:ascii="Arial"/>
                <w:color w:val="auto"/>
                <w:sz w:val="21"/>
                <w:highlight w:val="none"/>
              </w:rPr>
            </w:pPr>
          </w:p>
        </w:tc>
        <w:tc>
          <w:tcPr>
            <w:tcW w:w="1303"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06" w:type="dxa"/>
            <w:vAlign w:val="top"/>
          </w:tcPr>
          <w:p>
            <w:pPr>
              <w:pStyle w:val="10"/>
              <w:spacing w:before="123" w:line="182" w:lineRule="auto"/>
              <w:ind w:left="459"/>
              <w:rPr>
                <w:color w:val="auto"/>
                <w:highlight w:val="none"/>
              </w:rPr>
            </w:pPr>
            <w:r>
              <w:rPr>
                <w:color w:val="auto"/>
                <w:highlight w:val="none"/>
              </w:rPr>
              <w:t>3</w:t>
            </w:r>
          </w:p>
        </w:tc>
        <w:tc>
          <w:tcPr>
            <w:tcW w:w="2964" w:type="dxa"/>
            <w:vAlign w:val="top"/>
          </w:tcPr>
          <w:p>
            <w:pPr>
              <w:rPr>
                <w:rFonts w:ascii="Arial"/>
                <w:color w:val="auto"/>
                <w:sz w:val="21"/>
                <w:highlight w:val="none"/>
              </w:rPr>
            </w:pPr>
          </w:p>
        </w:tc>
        <w:tc>
          <w:tcPr>
            <w:tcW w:w="1890"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893"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221" w:type="dxa"/>
            <w:vAlign w:val="top"/>
          </w:tcPr>
          <w:p>
            <w:pPr>
              <w:rPr>
                <w:rFonts w:ascii="Arial"/>
                <w:color w:val="auto"/>
                <w:sz w:val="21"/>
                <w:highlight w:val="none"/>
              </w:rPr>
            </w:pPr>
          </w:p>
        </w:tc>
        <w:tc>
          <w:tcPr>
            <w:tcW w:w="1303"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vAlign w:val="top"/>
          </w:tcPr>
          <w:p>
            <w:pPr>
              <w:pStyle w:val="10"/>
              <w:spacing w:before="124" w:line="182" w:lineRule="auto"/>
              <w:ind w:left="454"/>
              <w:rPr>
                <w:color w:val="auto"/>
                <w:highlight w:val="none"/>
              </w:rPr>
            </w:pPr>
            <w:r>
              <w:rPr>
                <w:color w:val="auto"/>
                <w:highlight w:val="none"/>
              </w:rPr>
              <w:t>4</w:t>
            </w:r>
          </w:p>
        </w:tc>
        <w:tc>
          <w:tcPr>
            <w:tcW w:w="2964" w:type="dxa"/>
            <w:vAlign w:val="top"/>
          </w:tcPr>
          <w:p>
            <w:pPr>
              <w:rPr>
                <w:rFonts w:ascii="Arial"/>
                <w:color w:val="auto"/>
                <w:sz w:val="21"/>
                <w:highlight w:val="none"/>
              </w:rPr>
            </w:pPr>
          </w:p>
        </w:tc>
        <w:tc>
          <w:tcPr>
            <w:tcW w:w="1890"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893"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221" w:type="dxa"/>
            <w:vAlign w:val="top"/>
          </w:tcPr>
          <w:p>
            <w:pPr>
              <w:rPr>
                <w:rFonts w:ascii="Arial"/>
                <w:color w:val="auto"/>
                <w:sz w:val="21"/>
                <w:highlight w:val="none"/>
              </w:rPr>
            </w:pPr>
          </w:p>
        </w:tc>
        <w:tc>
          <w:tcPr>
            <w:tcW w:w="1303"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vAlign w:val="top"/>
          </w:tcPr>
          <w:p>
            <w:pPr>
              <w:pStyle w:val="10"/>
              <w:spacing w:before="126" w:line="181" w:lineRule="auto"/>
              <w:ind w:left="459"/>
              <w:rPr>
                <w:color w:val="auto"/>
                <w:highlight w:val="none"/>
              </w:rPr>
            </w:pPr>
            <w:r>
              <w:rPr>
                <w:color w:val="auto"/>
                <w:highlight w:val="none"/>
              </w:rPr>
              <w:t>5</w:t>
            </w:r>
          </w:p>
        </w:tc>
        <w:tc>
          <w:tcPr>
            <w:tcW w:w="2964" w:type="dxa"/>
            <w:vAlign w:val="top"/>
          </w:tcPr>
          <w:p>
            <w:pPr>
              <w:rPr>
                <w:rFonts w:ascii="Arial"/>
                <w:color w:val="auto"/>
                <w:sz w:val="21"/>
                <w:highlight w:val="none"/>
              </w:rPr>
            </w:pPr>
          </w:p>
        </w:tc>
        <w:tc>
          <w:tcPr>
            <w:tcW w:w="1890"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893"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221" w:type="dxa"/>
            <w:vAlign w:val="top"/>
          </w:tcPr>
          <w:p>
            <w:pPr>
              <w:rPr>
                <w:rFonts w:ascii="Arial"/>
                <w:color w:val="auto"/>
                <w:sz w:val="21"/>
                <w:highlight w:val="none"/>
              </w:rPr>
            </w:pPr>
          </w:p>
        </w:tc>
        <w:tc>
          <w:tcPr>
            <w:tcW w:w="1303"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vAlign w:val="top"/>
          </w:tcPr>
          <w:p>
            <w:pPr>
              <w:pStyle w:val="10"/>
              <w:spacing w:before="90" w:line="292" w:lineRule="exact"/>
              <w:ind w:left="415"/>
              <w:rPr>
                <w:color w:val="auto"/>
                <w:highlight w:val="none"/>
              </w:rPr>
            </w:pPr>
            <w:r>
              <w:rPr>
                <w:color w:val="auto"/>
                <w:position w:val="1"/>
                <w:highlight w:val="none"/>
              </w:rPr>
              <w:t>…</w:t>
            </w:r>
          </w:p>
        </w:tc>
        <w:tc>
          <w:tcPr>
            <w:tcW w:w="2964" w:type="dxa"/>
            <w:vAlign w:val="top"/>
          </w:tcPr>
          <w:p>
            <w:pPr>
              <w:rPr>
                <w:rFonts w:ascii="Arial"/>
                <w:color w:val="auto"/>
                <w:sz w:val="21"/>
                <w:highlight w:val="none"/>
              </w:rPr>
            </w:pPr>
          </w:p>
        </w:tc>
        <w:tc>
          <w:tcPr>
            <w:tcW w:w="1890"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893" w:type="dxa"/>
            <w:vAlign w:val="top"/>
          </w:tcPr>
          <w:p>
            <w:pPr>
              <w:rPr>
                <w:rFonts w:ascii="Arial"/>
                <w:color w:val="auto"/>
                <w:sz w:val="21"/>
                <w:highlight w:val="none"/>
              </w:rPr>
            </w:pPr>
          </w:p>
        </w:tc>
        <w:tc>
          <w:tcPr>
            <w:tcW w:w="1891" w:type="dxa"/>
            <w:vAlign w:val="top"/>
          </w:tcPr>
          <w:p>
            <w:pPr>
              <w:rPr>
                <w:rFonts w:ascii="Arial"/>
                <w:color w:val="auto"/>
                <w:sz w:val="21"/>
                <w:highlight w:val="none"/>
              </w:rPr>
            </w:pPr>
          </w:p>
        </w:tc>
        <w:tc>
          <w:tcPr>
            <w:tcW w:w="1221" w:type="dxa"/>
            <w:vAlign w:val="top"/>
          </w:tcPr>
          <w:p>
            <w:pPr>
              <w:rPr>
                <w:rFonts w:ascii="Arial"/>
                <w:color w:val="auto"/>
                <w:sz w:val="21"/>
                <w:highlight w:val="none"/>
              </w:rPr>
            </w:pPr>
          </w:p>
        </w:tc>
        <w:tc>
          <w:tcPr>
            <w:tcW w:w="1303"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6" w:hRule="atLeast"/>
        </w:trPr>
        <w:tc>
          <w:tcPr>
            <w:tcW w:w="14059" w:type="dxa"/>
            <w:gridSpan w:val="8"/>
            <w:vAlign w:val="top"/>
          </w:tcPr>
          <w:p>
            <w:pPr>
              <w:pStyle w:val="10"/>
              <w:spacing w:before="32" w:line="220" w:lineRule="auto"/>
              <w:ind w:left="115"/>
              <w:rPr>
                <w:color w:val="auto"/>
                <w:highlight w:val="none"/>
              </w:rPr>
            </w:pPr>
            <w:r>
              <w:rPr>
                <w:color w:val="auto"/>
                <w:spacing w:val="-1"/>
                <w:highlight w:val="none"/>
              </w:rPr>
              <w:t>评标委员会全体成员签名：</w:t>
            </w:r>
          </w:p>
        </w:tc>
      </w:tr>
    </w:tbl>
    <w:p>
      <w:pPr>
        <w:spacing w:before="271" w:line="221" w:lineRule="auto"/>
        <w:ind w:left="11439"/>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日</w:t>
      </w:r>
    </w:p>
    <w:p>
      <w:pPr>
        <w:spacing w:line="221" w:lineRule="auto"/>
        <w:rPr>
          <w:rFonts w:ascii="宋体" w:hAnsi="宋体" w:eastAsia="宋体" w:cs="宋体"/>
          <w:color w:val="auto"/>
          <w:sz w:val="21"/>
          <w:szCs w:val="21"/>
          <w:highlight w:val="none"/>
        </w:rPr>
        <w:sectPr>
          <w:footerReference r:id="rId47" w:type="default"/>
          <w:pgSz w:w="16839" w:h="11907"/>
          <w:pgMar w:top="1012" w:right="1384" w:bottom="1135" w:left="1389" w:header="0" w:footer="930" w:gutter="0"/>
          <w:pgNumType w:fmt="numberInDash"/>
          <w:cols w:space="720" w:num="1"/>
        </w:sectPr>
      </w:pPr>
    </w:p>
    <w:p>
      <w:pPr>
        <w:spacing w:before="100" w:line="219" w:lineRule="auto"/>
        <w:ind w:left="149"/>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0"/>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5"/>
          <w:sz w:val="24"/>
          <w:szCs w:val="24"/>
          <w:highlight w:val="none"/>
        </w:rPr>
        <w:t>16</w:t>
      </w:r>
      <w:r>
        <w:rPr>
          <w:rFonts w:ascii="黑体" w:hAnsi="黑体" w:eastAsia="黑体" w:cs="黑体"/>
          <w:color w:val="auto"/>
          <w:spacing w:val="-5"/>
          <w:sz w:val="24"/>
          <w:szCs w:val="24"/>
          <w:highlight w:val="none"/>
        </w:rPr>
        <w:t>：评标结果汇总表</w:t>
      </w:r>
    </w:p>
    <w:p>
      <w:pPr>
        <w:pStyle w:val="2"/>
        <w:spacing w:line="285" w:lineRule="auto"/>
        <w:rPr>
          <w:color w:val="auto"/>
          <w:highlight w:val="none"/>
        </w:rPr>
      </w:pPr>
    </w:p>
    <w:p>
      <w:pPr>
        <w:pStyle w:val="2"/>
        <w:spacing w:line="286" w:lineRule="auto"/>
        <w:rPr>
          <w:color w:val="auto"/>
          <w:highlight w:val="none"/>
        </w:rPr>
      </w:pPr>
    </w:p>
    <w:p>
      <w:pPr>
        <w:pStyle w:val="2"/>
        <w:spacing w:line="286" w:lineRule="auto"/>
        <w:rPr>
          <w:color w:val="auto"/>
          <w:highlight w:val="none"/>
        </w:rPr>
      </w:pPr>
    </w:p>
    <w:p>
      <w:pPr>
        <w:spacing w:before="117" w:line="219" w:lineRule="auto"/>
        <w:ind w:left="3289"/>
        <w:rPr>
          <w:rFonts w:ascii="黑体" w:hAnsi="黑体" w:eastAsia="黑体" w:cs="黑体"/>
          <w:color w:val="auto"/>
          <w:sz w:val="36"/>
          <w:szCs w:val="36"/>
          <w:highlight w:val="none"/>
        </w:rPr>
      </w:pPr>
      <w:bookmarkStart w:id="123" w:name="bookmark165"/>
      <w:bookmarkEnd w:id="123"/>
      <w:bookmarkStart w:id="124" w:name="bookmark163"/>
      <w:bookmarkEnd w:id="124"/>
      <w:bookmarkStart w:id="125" w:name="bookmark164"/>
      <w:bookmarkEnd w:id="125"/>
      <w:bookmarkStart w:id="126" w:name="bookmark162"/>
      <w:bookmarkEnd w:id="126"/>
      <w:bookmarkStart w:id="127" w:name="bookmark166"/>
      <w:bookmarkEnd w:id="127"/>
      <w:r>
        <w:rPr>
          <w:rFonts w:ascii="黑体" w:hAnsi="黑体" w:eastAsia="黑体" w:cs="黑体"/>
          <w:color w:val="auto"/>
          <w:spacing w:val="-2"/>
          <w:sz w:val="36"/>
          <w:szCs w:val="36"/>
          <w:highlight w:val="none"/>
        </w:rPr>
        <w:t>评标结果汇总表</w:t>
      </w:r>
    </w:p>
    <w:p>
      <w:pPr>
        <w:spacing w:before="292" w:line="219" w:lineRule="auto"/>
        <w:ind w:left="1873"/>
        <w:rPr>
          <w:rFonts w:ascii="黑体" w:hAnsi="黑体" w:eastAsia="黑体" w:cs="黑体"/>
          <w:color w:val="auto"/>
          <w:sz w:val="36"/>
          <w:szCs w:val="36"/>
          <w:highlight w:val="none"/>
        </w:rPr>
      </w:pPr>
      <w:r>
        <w:rPr>
          <w:rFonts w:ascii="黑体" w:hAnsi="黑体" w:eastAsia="黑体" w:cs="黑体"/>
          <w:color w:val="auto"/>
          <w:spacing w:val="-5"/>
          <w:sz w:val="36"/>
          <w:szCs w:val="36"/>
          <w:highlight w:val="none"/>
        </w:rPr>
        <w:t>（适用于经评审的最低投标价法）</w:t>
      </w:r>
    </w:p>
    <w:p>
      <w:pPr>
        <w:spacing w:before="13" w:line="221" w:lineRule="auto"/>
        <w:ind w:left="136"/>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60" w:line="220" w:lineRule="auto"/>
        <w:ind w:left="136"/>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项目编号</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 单位：人民币元</w:t>
      </w:r>
    </w:p>
    <w:p>
      <w:pPr>
        <w:spacing w:line="117" w:lineRule="auto"/>
        <w:rPr>
          <w:rFonts w:ascii="Arial"/>
          <w:color w:val="auto"/>
          <w:sz w:val="2"/>
          <w:highlight w:val="none"/>
        </w:rPr>
      </w:pPr>
    </w:p>
    <w:tbl>
      <w:tblPr>
        <w:tblStyle w:val="9"/>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979"/>
        <w:gridCol w:w="1559"/>
        <w:gridCol w:w="1274"/>
        <w:gridCol w:w="993"/>
        <w:gridCol w:w="1195"/>
        <w:gridCol w:w="14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672" w:type="dxa"/>
            <w:vMerge w:val="restart"/>
            <w:tcBorders>
              <w:bottom w:val="nil"/>
            </w:tcBorders>
            <w:vAlign w:val="top"/>
          </w:tcPr>
          <w:p>
            <w:pPr>
              <w:spacing w:line="399" w:lineRule="auto"/>
              <w:rPr>
                <w:rFonts w:ascii="Arial"/>
                <w:color w:val="auto"/>
                <w:sz w:val="21"/>
                <w:highlight w:val="none"/>
              </w:rPr>
            </w:pPr>
          </w:p>
          <w:p>
            <w:pPr>
              <w:pStyle w:val="10"/>
              <w:spacing w:before="68" w:line="221" w:lineRule="auto"/>
              <w:ind w:left="317"/>
              <w:rPr>
                <w:color w:val="auto"/>
                <w:highlight w:val="none"/>
              </w:rPr>
            </w:pPr>
            <w:r>
              <w:rPr>
                <w:color w:val="auto"/>
                <w:spacing w:val="-2"/>
                <w:highlight w:val="none"/>
              </w:rPr>
              <w:t>投标人名称</w:t>
            </w:r>
          </w:p>
        </w:tc>
        <w:tc>
          <w:tcPr>
            <w:tcW w:w="7401" w:type="dxa"/>
            <w:gridSpan w:val="6"/>
            <w:vAlign w:val="top"/>
          </w:tcPr>
          <w:p>
            <w:pPr>
              <w:pStyle w:val="10"/>
              <w:spacing w:before="152" w:line="221" w:lineRule="auto"/>
              <w:ind w:left="3282"/>
              <w:rPr>
                <w:color w:val="auto"/>
                <w:highlight w:val="none"/>
              </w:rPr>
            </w:pPr>
            <w:r>
              <w:rPr>
                <w:color w:val="auto"/>
                <w:spacing w:val="-1"/>
                <w:highlight w:val="none"/>
              </w:rPr>
              <w:t>评审项目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672" w:type="dxa"/>
            <w:vMerge w:val="continue"/>
            <w:tcBorders>
              <w:top w:val="nil"/>
            </w:tcBorders>
            <w:vAlign w:val="top"/>
          </w:tcPr>
          <w:p>
            <w:pPr>
              <w:rPr>
                <w:rFonts w:ascii="Arial"/>
                <w:color w:val="auto"/>
                <w:sz w:val="21"/>
                <w:highlight w:val="none"/>
              </w:rPr>
            </w:pPr>
          </w:p>
        </w:tc>
        <w:tc>
          <w:tcPr>
            <w:tcW w:w="979" w:type="dxa"/>
            <w:vAlign w:val="top"/>
          </w:tcPr>
          <w:p>
            <w:pPr>
              <w:pStyle w:val="10"/>
              <w:spacing w:before="51" w:line="247" w:lineRule="auto"/>
              <w:ind w:left="388" w:right="171" w:hanging="209"/>
              <w:rPr>
                <w:color w:val="auto"/>
                <w:highlight w:val="none"/>
              </w:rPr>
            </w:pPr>
            <w:r>
              <w:rPr>
                <w:color w:val="auto"/>
                <w:spacing w:val="-3"/>
                <w:highlight w:val="none"/>
              </w:rPr>
              <w:t>投标报</w:t>
            </w:r>
            <w:r>
              <w:rPr>
                <w:color w:val="auto"/>
                <w:highlight w:val="none"/>
              </w:rPr>
              <w:t xml:space="preserve"> 价</w:t>
            </w:r>
          </w:p>
        </w:tc>
        <w:tc>
          <w:tcPr>
            <w:tcW w:w="1559" w:type="dxa"/>
            <w:vAlign w:val="top"/>
          </w:tcPr>
          <w:p>
            <w:pPr>
              <w:pStyle w:val="10"/>
              <w:spacing w:before="51" w:line="221" w:lineRule="auto"/>
              <w:ind w:left="151"/>
              <w:rPr>
                <w:color w:val="auto"/>
                <w:highlight w:val="none"/>
              </w:rPr>
            </w:pPr>
            <w:r>
              <w:rPr>
                <w:color w:val="auto"/>
                <w:spacing w:val="-1"/>
                <w:highlight w:val="none"/>
              </w:rPr>
              <w:t>修正后投标报</w:t>
            </w:r>
          </w:p>
          <w:p>
            <w:pPr>
              <w:pStyle w:val="10"/>
              <w:spacing w:before="61" w:line="219" w:lineRule="auto"/>
              <w:ind w:left="257"/>
              <w:rPr>
                <w:color w:val="auto"/>
                <w:highlight w:val="none"/>
              </w:rPr>
            </w:pPr>
            <w:r>
              <w:rPr>
                <w:color w:val="auto"/>
                <w:spacing w:val="-3"/>
                <w:highlight w:val="none"/>
              </w:rPr>
              <w:t>价（如有）</w:t>
            </w:r>
          </w:p>
        </w:tc>
        <w:tc>
          <w:tcPr>
            <w:tcW w:w="1274" w:type="dxa"/>
            <w:vAlign w:val="top"/>
          </w:tcPr>
          <w:p>
            <w:pPr>
              <w:pStyle w:val="10"/>
              <w:spacing w:before="207" w:line="219" w:lineRule="auto"/>
              <w:ind w:left="324"/>
              <w:rPr>
                <w:color w:val="auto"/>
                <w:highlight w:val="none"/>
              </w:rPr>
            </w:pPr>
            <w:r>
              <w:rPr>
                <w:color w:val="auto"/>
                <w:spacing w:val="-1"/>
                <w:highlight w:val="none"/>
              </w:rPr>
              <w:t>评标价</w:t>
            </w:r>
          </w:p>
        </w:tc>
        <w:tc>
          <w:tcPr>
            <w:tcW w:w="993" w:type="dxa"/>
            <w:vAlign w:val="top"/>
          </w:tcPr>
          <w:p>
            <w:pPr>
              <w:pStyle w:val="10"/>
              <w:spacing w:before="51" w:line="247" w:lineRule="auto"/>
              <w:ind w:left="290" w:right="178" w:hanging="105"/>
              <w:rPr>
                <w:color w:val="auto"/>
                <w:highlight w:val="none"/>
              </w:rPr>
            </w:pPr>
            <w:r>
              <w:rPr>
                <w:color w:val="auto"/>
                <w:spacing w:val="-2"/>
                <w:highlight w:val="none"/>
              </w:rPr>
              <w:t>招标控</w:t>
            </w:r>
            <w:r>
              <w:rPr>
                <w:color w:val="auto"/>
                <w:highlight w:val="none"/>
              </w:rPr>
              <w:t xml:space="preserve"> </w:t>
            </w:r>
            <w:r>
              <w:rPr>
                <w:color w:val="auto"/>
                <w:spacing w:val="-2"/>
                <w:highlight w:val="none"/>
              </w:rPr>
              <w:t>制价</w:t>
            </w:r>
          </w:p>
        </w:tc>
        <w:tc>
          <w:tcPr>
            <w:tcW w:w="1195" w:type="dxa"/>
            <w:vAlign w:val="top"/>
          </w:tcPr>
          <w:p>
            <w:pPr>
              <w:pStyle w:val="10"/>
              <w:spacing w:before="51" w:line="247" w:lineRule="auto"/>
              <w:ind w:left="284" w:right="173" w:hanging="102"/>
              <w:rPr>
                <w:color w:val="auto"/>
                <w:highlight w:val="none"/>
              </w:rPr>
            </w:pPr>
            <w:r>
              <w:rPr>
                <w:color w:val="auto"/>
                <w:spacing w:val="-2"/>
                <w:highlight w:val="none"/>
              </w:rPr>
              <w:t>确定有效</w:t>
            </w:r>
            <w:r>
              <w:rPr>
                <w:color w:val="auto"/>
                <w:spacing w:val="1"/>
                <w:highlight w:val="none"/>
              </w:rPr>
              <w:t xml:space="preserve"> </w:t>
            </w:r>
            <w:r>
              <w:rPr>
                <w:color w:val="auto"/>
                <w:spacing w:val="-1"/>
                <w:highlight w:val="none"/>
              </w:rPr>
              <w:t>评标价</w:t>
            </w:r>
          </w:p>
        </w:tc>
        <w:tc>
          <w:tcPr>
            <w:tcW w:w="1401" w:type="dxa"/>
            <w:vAlign w:val="top"/>
          </w:tcPr>
          <w:p>
            <w:pPr>
              <w:pStyle w:val="10"/>
              <w:spacing w:before="52" w:line="248" w:lineRule="auto"/>
              <w:ind w:left="494" w:right="169" w:hanging="313"/>
              <w:rPr>
                <w:color w:val="auto"/>
                <w:highlight w:val="none"/>
              </w:rPr>
            </w:pPr>
            <w:r>
              <w:rPr>
                <w:color w:val="auto"/>
                <w:spacing w:val="-2"/>
                <w:highlight w:val="none"/>
              </w:rPr>
              <w:t>有效评标价</w:t>
            </w:r>
            <w:r>
              <w:rPr>
                <w:color w:val="auto"/>
                <w:spacing w:val="3"/>
                <w:highlight w:val="none"/>
              </w:rPr>
              <w:t xml:space="preserve"> </w:t>
            </w:r>
            <w:r>
              <w:rPr>
                <w:color w:val="auto"/>
                <w:spacing w:val="-2"/>
                <w:highlight w:val="none"/>
              </w:rPr>
              <w:t>排序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672" w:type="dxa"/>
            <w:vAlign w:val="top"/>
          </w:tcPr>
          <w:p>
            <w:pPr>
              <w:rPr>
                <w:rFonts w:ascii="Arial"/>
                <w:color w:val="auto"/>
                <w:sz w:val="21"/>
                <w:highlight w:val="none"/>
              </w:rPr>
            </w:pPr>
          </w:p>
        </w:tc>
        <w:tc>
          <w:tcPr>
            <w:tcW w:w="979" w:type="dxa"/>
            <w:vAlign w:val="top"/>
          </w:tcPr>
          <w:p>
            <w:pPr>
              <w:rPr>
                <w:rFonts w:ascii="Arial"/>
                <w:color w:val="auto"/>
                <w:sz w:val="21"/>
                <w:highlight w:val="none"/>
              </w:rPr>
            </w:pPr>
          </w:p>
        </w:tc>
        <w:tc>
          <w:tcPr>
            <w:tcW w:w="1559" w:type="dxa"/>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993" w:type="dxa"/>
            <w:vMerge w:val="restart"/>
            <w:tcBorders>
              <w:bottom w:val="nil"/>
            </w:tcBorders>
            <w:vAlign w:val="top"/>
          </w:tcPr>
          <w:p>
            <w:pPr>
              <w:rPr>
                <w:rFonts w:ascii="Arial"/>
                <w:color w:val="auto"/>
                <w:sz w:val="21"/>
                <w:highlight w:val="none"/>
              </w:rPr>
            </w:pPr>
          </w:p>
        </w:tc>
        <w:tc>
          <w:tcPr>
            <w:tcW w:w="1195" w:type="dxa"/>
            <w:vMerge w:val="restart"/>
            <w:tcBorders>
              <w:bottom w:val="nil"/>
            </w:tcBorders>
            <w:vAlign w:val="top"/>
          </w:tcPr>
          <w:p>
            <w:pPr>
              <w:rPr>
                <w:rFonts w:ascii="Arial"/>
                <w:color w:val="auto"/>
                <w:sz w:val="21"/>
                <w:highlight w:val="none"/>
              </w:rPr>
            </w:pPr>
          </w:p>
        </w:tc>
        <w:tc>
          <w:tcPr>
            <w:tcW w:w="140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2" w:type="dxa"/>
            <w:vAlign w:val="top"/>
          </w:tcPr>
          <w:p>
            <w:pPr>
              <w:rPr>
                <w:rFonts w:ascii="Arial"/>
                <w:color w:val="auto"/>
                <w:sz w:val="21"/>
                <w:highlight w:val="none"/>
              </w:rPr>
            </w:pPr>
          </w:p>
        </w:tc>
        <w:tc>
          <w:tcPr>
            <w:tcW w:w="979" w:type="dxa"/>
            <w:vAlign w:val="top"/>
          </w:tcPr>
          <w:p>
            <w:pPr>
              <w:rPr>
                <w:rFonts w:ascii="Arial"/>
                <w:color w:val="auto"/>
                <w:sz w:val="21"/>
                <w:highlight w:val="none"/>
              </w:rPr>
            </w:pPr>
          </w:p>
        </w:tc>
        <w:tc>
          <w:tcPr>
            <w:tcW w:w="1559" w:type="dxa"/>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993" w:type="dxa"/>
            <w:vMerge w:val="continue"/>
            <w:tcBorders>
              <w:top w:val="nil"/>
              <w:bottom w:val="nil"/>
            </w:tcBorders>
            <w:vAlign w:val="top"/>
          </w:tcPr>
          <w:p>
            <w:pPr>
              <w:rPr>
                <w:rFonts w:ascii="Arial"/>
                <w:color w:val="auto"/>
                <w:sz w:val="21"/>
                <w:highlight w:val="none"/>
              </w:rPr>
            </w:pPr>
          </w:p>
        </w:tc>
        <w:tc>
          <w:tcPr>
            <w:tcW w:w="1195" w:type="dxa"/>
            <w:vMerge w:val="continue"/>
            <w:tcBorders>
              <w:top w:val="nil"/>
              <w:bottom w:val="nil"/>
            </w:tcBorders>
            <w:vAlign w:val="top"/>
          </w:tcPr>
          <w:p>
            <w:pPr>
              <w:rPr>
                <w:rFonts w:ascii="Arial"/>
                <w:color w:val="auto"/>
                <w:sz w:val="21"/>
                <w:highlight w:val="none"/>
              </w:rPr>
            </w:pPr>
          </w:p>
        </w:tc>
        <w:tc>
          <w:tcPr>
            <w:tcW w:w="140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2" w:type="dxa"/>
            <w:vAlign w:val="top"/>
          </w:tcPr>
          <w:p>
            <w:pPr>
              <w:rPr>
                <w:rFonts w:ascii="Arial"/>
                <w:color w:val="auto"/>
                <w:sz w:val="21"/>
                <w:highlight w:val="none"/>
              </w:rPr>
            </w:pPr>
          </w:p>
        </w:tc>
        <w:tc>
          <w:tcPr>
            <w:tcW w:w="979" w:type="dxa"/>
            <w:vAlign w:val="top"/>
          </w:tcPr>
          <w:p>
            <w:pPr>
              <w:rPr>
                <w:rFonts w:ascii="Arial"/>
                <w:color w:val="auto"/>
                <w:sz w:val="21"/>
                <w:highlight w:val="none"/>
              </w:rPr>
            </w:pPr>
          </w:p>
        </w:tc>
        <w:tc>
          <w:tcPr>
            <w:tcW w:w="1559" w:type="dxa"/>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993" w:type="dxa"/>
            <w:vMerge w:val="continue"/>
            <w:tcBorders>
              <w:top w:val="nil"/>
              <w:bottom w:val="nil"/>
            </w:tcBorders>
            <w:vAlign w:val="top"/>
          </w:tcPr>
          <w:p>
            <w:pPr>
              <w:rPr>
                <w:rFonts w:ascii="Arial"/>
                <w:color w:val="auto"/>
                <w:sz w:val="21"/>
                <w:highlight w:val="none"/>
              </w:rPr>
            </w:pPr>
          </w:p>
        </w:tc>
        <w:tc>
          <w:tcPr>
            <w:tcW w:w="1195" w:type="dxa"/>
            <w:vMerge w:val="continue"/>
            <w:tcBorders>
              <w:top w:val="nil"/>
              <w:bottom w:val="nil"/>
            </w:tcBorders>
            <w:vAlign w:val="top"/>
          </w:tcPr>
          <w:p>
            <w:pPr>
              <w:rPr>
                <w:rFonts w:ascii="Arial"/>
                <w:color w:val="auto"/>
                <w:sz w:val="21"/>
                <w:highlight w:val="none"/>
              </w:rPr>
            </w:pPr>
          </w:p>
        </w:tc>
        <w:tc>
          <w:tcPr>
            <w:tcW w:w="140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672" w:type="dxa"/>
            <w:vAlign w:val="top"/>
          </w:tcPr>
          <w:p>
            <w:pPr>
              <w:rPr>
                <w:rFonts w:ascii="Arial"/>
                <w:color w:val="auto"/>
                <w:sz w:val="21"/>
                <w:highlight w:val="none"/>
              </w:rPr>
            </w:pPr>
          </w:p>
        </w:tc>
        <w:tc>
          <w:tcPr>
            <w:tcW w:w="979" w:type="dxa"/>
            <w:vAlign w:val="top"/>
          </w:tcPr>
          <w:p>
            <w:pPr>
              <w:rPr>
                <w:rFonts w:ascii="Arial"/>
                <w:color w:val="auto"/>
                <w:sz w:val="21"/>
                <w:highlight w:val="none"/>
              </w:rPr>
            </w:pPr>
          </w:p>
        </w:tc>
        <w:tc>
          <w:tcPr>
            <w:tcW w:w="1559" w:type="dxa"/>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993" w:type="dxa"/>
            <w:vMerge w:val="continue"/>
            <w:tcBorders>
              <w:top w:val="nil"/>
              <w:bottom w:val="nil"/>
            </w:tcBorders>
            <w:vAlign w:val="top"/>
          </w:tcPr>
          <w:p>
            <w:pPr>
              <w:rPr>
                <w:rFonts w:ascii="Arial"/>
                <w:color w:val="auto"/>
                <w:sz w:val="21"/>
                <w:highlight w:val="none"/>
              </w:rPr>
            </w:pPr>
          </w:p>
        </w:tc>
        <w:tc>
          <w:tcPr>
            <w:tcW w:w="1195" w:type="dxa"/>
            <w:vMerge w:val="continue"/>
            <w:tcBorders>
              <w:top w:val="nil"/>
              <w:bottom w:val="nil"/>
            </w:tcBorders>
            <w:vAlign w:val="top"/>
          </w:tcPr>
          <w:p>
            <w:pPr>
              <w:rPr>
                <w:rFonts w:ascii="Arial"/>
                <w:color w:val="auto"/>
                <w:sz w:val="21"/>
                <w:highlight w:val="none"/>
              </w:rPr>
            </w:pPr>
          </w:p>
        </w:tc>
        <w:tc>
          <w:tcPr>
            <w:tcW w:w="140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72" w:type="dxa"/>
            <w:vAlign w:val="top"/>
          </w:tcPr>
          <w:p>
            <w:pPr>
              <w:rPr>
                <w:rFonts w:ascii="Arial"/>
                <w:color w:val="auto"/>
                <w:sz w:val="21"/>
                <w:highlight w:val="none"/>
              </w:rPr>
            </w:pPr>
          </w:p>
        </w:tc>
        <w:tc>
          <w:tcPr>
            <w:tcW w:w="979" w:type="dxa"/>
            <w:vAlign w:val="top"/>
          </w:tcPr>
          <w:p>
            <w:pPr>
              <w:rPr>
                <w:rFonts w:ascii="Arial"/>
                <w:color w:val="auto"/>
                <w:sz w:val="21"/>
                <w:highlight w:val="none"/>
              </w:rPr>
            </w:pPr>
          </w:p>
        </w:tc>
        <w:tc>
          <w:tcPr>
            <w:tcW w:w="1559" w:type="dxa"/>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993" w:type="dxa"/>
            <w:vMerge w:val="continue"/>
            <w:tcBorders>
              <w:top w:val="nil"/>
            </w:tcBorders>
            <w:vAlign w:val="top"/>
          </w:tcPr>
          <w:p>
            <w:pPr>
              <w:rPr>
                <w:rFonts w:ascii="Arial"/>
                <w:color w:val="auto"/>
                <w:sz w:val="21"/>
                <w:highlight w:val="none"/>
              </w:rPr>
            </w:pPr>
          </w:p>
        </w:tc>
        <w:tc>
          <w:tcPr>
            <w:tcW w:w="1195" w:type="dxa"/>
            <w:vMerge w:val="continue"/>
            <w:tcBorders>
              <w:top w:val="nil"/>
            </w:tcBorders>
            <w:vAlign w:val="top"/>
          </w:tcPr>
          <w:p>
            <w:pPr>
              <w:rPr>
                <w:rFonts w:ascii="Arial"/>
                <w:color w:val="auto"/>
                <w:sz w:val="21"/>
                <w:highlight w:val="none"/>
              </w:rPr>
            </w:pPr>
          </w:p>
        </w:tc>
        <w:tc>
          <w:tcPr>
            <w:tcW w:w="1401"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6" w:hRule="atLeast"/>
        </w:trPr>
        <w:tc>
          <w:tcPr>
            <w:tcW w:w="9073" w:type="dxa"/>
            <w:gridSpan w:val="7"/>
            <w:vAlign w:val="top"/>
          </w:tcPr>
          <w:p>
            <w:pPr>
              <w:pStyle w:val="10"/>
              <w:spacing w:before="57" w:line="220" w:lineRule="auto"/>
              <w:ind w:left="115"/>
              <w:rPr>
                <w:color w:val="auto"/>
                <w:highlight w:val="none"/>
              </w:rPr>
            </w:pPr>
            <w:r>
              <w:rPr>
                <w:color w:val="auto"/>
                <w:spacing w:val="-1"/>
                <w:highlight w:val="none"/>
              </w:rPr>
              <w:t>评标委员会成员签名：</w:t>
            </w:r>
          </w:p>
        </w:tc>
      </w:tr>
    </w:tbl>
    <w:p>
      <w:pPr>
        <w:spacing w:before="50" w:line="221" w:lineRule="auto"/>
        <w:ind w:left="552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日期：          年        月</w:t>
      </w:r>
      <w:r>
        <w:rPr>
          <w:rFonts w:ascii="宋体" w:hAnsi="宋体" w:eastAsia="宋体" w:cs="宋体"/>
          <w:color w:val="auto"/>
          <w:spacing w:val="7"/>
          <w:sz w:val="21"/>
          <w:szCs w:val="21"/>
          <w:highlight w:val="none"/>
        </w:rPr>
        <w:t xml:space="preserve">      </w:t>
      </w:r>
      <w:r>
        <w:rPr>
          <w:rFonts w:ascii="宋体" w:hAnsi="宋体" w:eastAsia="宋体" w:cs="宋体"/>
          <w:color w:val="auto"/>
          <w:spacing w:val="-15"/>
          <w:sz w:val="21"/>
          <w:szCs w:val="21"/>
          <w:highlight w:val="none"/>
        </w:rPr>
        <w:t>日</w:t>
      </w:r>
    </w:p>
    <w:p>
      <w:pPr>
        <w:spacing w:line="221" w:lineRule="auto"/>
        <w:rPr>
          <w:rFonts w:ascii="宋体" w:hAnsi="宋体" w:eastAsia="宋体" w:cs="宋体"/>
          <w:color w:val="auto"/>
          <w:sz w:val="21"/>
          <w:szCs w:val="21"/>
          <w:highlight w:val="none"/>
        </w:rPr>
        <w:sectPr>
          <w:footerReference r:id="rId48" w:type="default"/>
          <w:pgSz w:w="11907" w:h="16839"/>
          <w:pgMar w:top="1431" w:right="1423" w:bottom="1004" w:left="1404" w:header="0" w:footer="829" w:gutter="0"/>
          <w:pgNumType w:fmt="numberInDash"/>
          <w:cols w:space="720" w:num="1"/>
        </w:sectPr>
      </w:pPr>
    </w:p>
    <w:p>
      <w:pPr>
        <w:spacing w:before="99" w:line="220" w:lineRule="auto"/>
        <w:ind w:left="14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9"/>
          <w:sz w:val="24"/>
          <w:szCs w:val="24"/>
          <w:highlight w:val="none"/>
        </w:rPr>
        <w:t xml:space="preserve"> </w:t>
      </w:r>
      <w:r>
        <w:rPr>
          <w:rFonts w:ascii="Times New Roman" w:hAnsi="Times New Roman" w:eastAsia="Times New Roman" w:cs="Times New Roman"/>
          <w:color w:val="auto"/>
          <w:spacing w:val="-3"/>
          <w:sz w:val="24"/>
          <w:szCs w:val="24"/>
          <w:highlight w:val="none"/>
        </w:rPr>
        <w:t>A-</w:t>
      </w:r>
      <w:r>
        <w:rPr>
          <w:rFonts w:ascii="Times New Roman" w:hAnsi="Times New Roman" w:eastAsia="Times New Roman" w:cs="Times New Roman"/>
          <w:color w:val="auto"/>
          <w:spacing w:val="-33"/>
          <w:sz w:val="24"/>
          <w:szCs w:val="24"/>
          <w:highlight w:val="none"/>
        </w:rPr>
        <w:t xml:space="preserve"> </w:t>
      </w:r>
      <w:r>
        <w:rPr>
          <w:rFonts w:ascii="Times New Roman" w:hAnsi="Times New Roman" w:eastAsia="Times New Roman" w:cs="Times New Roman"/>
          <w:color w:val="auto"/>
          <w:spacing w:val="-3"/>
          <w:sz w:val="24"/>
          <w:szCs w:val="24"/>
          <w:highlight w:val="none"/>
        </w:rPr>
        <w:t>17</w:t>
      </w:r>
      <w:r>
        <w:rPr>
          <w:rFonts w:ascii="黑体" w:hAnsi="黑体" w:eastAsia="黑体" w:cs="黑体"/>
          <w:color w:val="auto"/>
          <w:spacing w:val="-3"/>
          <w:sz w:val="24"/>
          <w:szCs w:val="24"/>
          <w:highlight w:val="none"/>
        </w:rPr>
        <w:t>：推荐中标候选人一览表</w:t>
      </w:r>
    </w:p>
    <w:p>
      <w:pPr>
        <w:pStyle w:val="2"/>
        <w:spacing w:line="314" w:lineRule="auto"/>
        <w:rPr>
          <w:color w:val="auto"/>
          <w:highlight w:val="none"/>
        </w:rPr>
      </w:pPr>
    </w:p>
    <w:p>
      <w:pPr>
        <w:pStyle w:val="2"/>
        <w:spacing w:line="315" w:lineRule="auto"/>
        <w:rPr>
          <w:color w:val="auto"/>
          <w:highlight w:val="none"/>
        </w:rPr>
      </w:pPr>
    </w:p>
    <w:p>
      <w:pPr>
        <w:pStyle w:val="2"/>
        <w:spacing w:line="315" w:lineRule="auto"/>
        <w:rPr>
          <w:color w:val="auto"/>
          <w:highlight w:val="none"/>
        </w:rPr>
      </w:pPr>
    </w:p>
    <w:p>
      <w:pPr>
        <w:spacing w:before="117" w:line="220" w:lineRule="auto"/>
        <w:ind w:left="2620"/>
        <w:rPr>
          <w:rFonts w:ascii="黑体" w:hAnsi="黑体" w:eastAsia="黑体" w:cs="黑体"/>
          <w:color w:val="auto"/>
          <w:sz w:val="36"/>
          <w:szCs w:val="36"/>
          <w:highlight w:val="none"/>
        </w:rPr>
      </w:pPr>
      <w:bookmarkStart w:id="128" w:name="bookmark168"/>
      <w:bookmarkEnd w:id="128"/>
      <w:bookmarkStart w:id="129" w:name="bookmark170"/>
      <w:bookmarkEnd w:id="129"/>
      <w:bookmarkStart w:id="130" w:name="bookmark167"/>
      <w:bookmarkEnd w:id="130"/>
      <w:bookmarkStart w:id="131" w:name="bookmark169"/>
      <w:bookmarkEnd w:id="131"/>
      <w:r>
        <w:rPr>
          <w:rFonts w:ascii="黑体" w:hAnsi="黑体" w:eastAsia="黑体" w:cs="黑体"/>
          <w:color w:val="auto"/>
          <w:spacing w:val="-2"/>
          <w:sz w:val="36"/>
          <w:szCs w:val="36"/>
          <w:highlight w:val="none"/>
        </w:rPr>
        <w:t>推荐中标候选人一览表</w:t>
      </w:r>
    </w:p>
    <w:p>
      <w:pPr>
        <w:pStyle w:val="2"/>
        <w:spacing w:line="356" w:lineRule="auto"/>
        <w:rPr>
          <w:color w:val="auto"/>
          <w:highlight w:val="none"/>
        </w:rPr>
      </w:pPr>
    </w:p>
    <w:p>
      <w:pPr>
        <w:spacing w:before="69" w:line="221" w:lineRule="auto"/>
        <w:ind w:left="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标段名称：</w:t>
      </w:r>
    </w:p>
    <w:p>
      <w:pPr>
        <w:spacing w:before="60" w:line="221" w:lineRule="auto"/>
        <w:ind w:left="9"/>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25400</wp:posOffset>
                </wp:positionV>
                <wp:extent cx="953770" cy="1847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53770" cy="184785"/>
                        </a:xfrm>
                        <a:prstGeom prst="rect">
                          <a:avLst/>
                        </a:prstGeom>
                        <a:noFill/>
                        <a:ln>
                          <a:noFill/>
                        </a:ln>
                      </wps:spPr>
                      <wps:txbx>
                        <w:txbxContent>
                          <w:p>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wps:txbx>
                      <wps:bodyPr lIns="0" tIns="0" rIns="0" bIns="0" upright="1"/>
                    </wps:wsp>
                  </a:graphicData>
                </a:graphic>
              </wp:anchor>
            </w:drawing>
          </mc:Choice>
          <mc:Fallback>
            <w:pict>
              <v:shape id="_x0000_s1026" o:spid="_x0000_s1026" o:spt="202" type="#_x0000_t202" style="position:absolute;left:0pt;margin-left:346.1pt;margin-top:2pt;height:14.55pt;width:75.1pt;z-index:251667456;mso-width-relative:page;mso-height-relative:page;" filled="f" stroked="f" coordsize="21600,21600" o:gfxdata="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r4WM2AAAAAgBAAAPAAAAAAAAAAEAIAAAACIAAABkcnMvZG93bnJldi54bWxQSwEC&#10;FAAUAAAACACHTuJAKDgNtrsBAABzAwAADgAAAAAAAAABACAAAAAnAQAAZHJzL2Uyb0RvYy54bWxQ&#10;SwUGAAAAAAYABgBZAQAAVAUAAAAA&#10;">
                <v:fill on="f" focussize="0,0"/>
                <v:stroke on="f"/>
                <v:imagedata o:title=""/>
                <o:lock v:ext="edit" aspectratio="f"/>
                <v:textbox inset="0mm,0mm,0mm,0mm">
                  <w:txbxContent>
                    <w:p>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mc:Fallback>
        </mc:AlternateContent>
      </w:r>
      <w:r>
        <w:rPr>
          <w:rFonts w:hint="eastAsia" w:ascii="宋体" w:hAnsi="宋体" w:eastAsia="宋体" w:cs="宋体"/>
          <w:color w:val="auto"/>
          <w:spacing w:val="-1"/>
          <w:sz w:val="21"/>
          <w:szCs w:val="21"/>
          <w:highlight w:val="none"/>
          <w:lang w:eastAsia="zh-CN"/>
        </w:rPr>
        <w:t>项目编号</w:t>
      </w:r>
      <w:r>
        <w:rPr>
          <w:rFonts w:ascii="宋体" w:hAnsi="宋体" w:eastAsia="宋体" w:cs="宋体"/>
          <w:color w:val="auto"/>
          <w:spacing w:val="-1"/>
          <w:sz w:val="21"/>
          <w:szCs w:val="21"/>
          <w:highlight w:val="none"/>
        </w:rPr>
        <w:t>：</w:t>
      </w:r>
    </w:p>
    <w:p>
      <w:pPr>
        <w:spacing w:line="95" w:lineRule="auto"/>
        <w:rPr>
          <w:rFonts w:ascii="Arial"/>
          <w:color w:val="auto"/>
          <w:sz w:val="2"/>
          <w:highlight w:val="none"/>
        </w:rPr>
      </w:pPr>
    </w:p>
    <w:tbl>
      <w:tblPr>
        <w:tblStyle w:val="9"/>
        <w:tblW w:w="88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1639"/>
        <w:gridCol w:w="1478"/>
        <w:gridCol w:w="1509"/>
        <w:gridCol w:w="1979"/>
        <w:gridCol w:w="1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92" w:type="dxa"/>
            <w:vAlign w:val="top"/>
          </w:tcPr>
          <w:p>
            <w:pPr>
              <w:pStyle w:val="10"/>
              <w:spacing w:before="238" w:line="223" w:lineRule="auto"/>
              <w:ind w:left="240"/>
              <w:rPr>
                <w:color w:val="auto"/>
                <w:highlight w:val="none"/>
              </w:rPr>
            </w:pPr>
            <w:r>
              <w:rPr>
                <w:color w:val="auto"/>
                <w:spacing w:val="-2"/>
                <w:highlight w:val="none"/>
              </w:rPr>
              <w:t>排名</w:t>
            </w:r>
          </w:p>
        </w:tc>
        <w:tc>
          <w:tcPr>
            <w:tcW w:w="1639" w:type="dxa"/>
            <w:vAlign w:val="top"/>
          </w:tcPr>
          <w:p>
            <w:pPr>
              <w:pStyle w:val="10"/>
              <w:spacing w:before="238" w:line="221" w:lineRule="auto"/>
              <w:ind w:left="299"/>
              <w:rPr>
                <w:color w:val="auto"/>
                <w:highlight w:val="none"/>
              </w:rPr>
            </w:pPr>
            <w:r>
              <w:rPr>
                <w:color w:val="auto"/>
                <w:spacing w:val="-2"/>
                <w:highlight w:val="none"/>
              </w:rPr>
              <w:t>投标人名称</w:t>
            </w:r>
          </w:p>
        </w:tc>
        <w:tc>
          <w:tcPr>
            <w:tcW w:w="1478" w:type="dxa"/>
            <w:vAlign w:val="top"/>
          </w:tcPr>
          <w:p>
            <w:pPr>
              <w:pStyle w:val="10"/>
              <w:spacing w:before="238" w:line="219" w:lineRule="auto"/>
              <w:ind w:left="326"/>
              <w:rPr>
                <w:color w:val="auto"/>
                <w:highlight w:val="none"/>
              </w:rPr>
            </w:pPr>
            <w:r>
              <w:rPr>
                <w:color w:val="auto"/>
                <w:spacing w:val="-2"/>
                <w:highlight w:val="none"/>
              </w:rPr>
              <w:t>投标报价</w:t>
            </w:r>
          </w:p>
        </w:tc>
        <w:tc>
          <w:tcPr>
            <w:tcW w:w="1509" w:type="dxa"/>
            <w:vAlign w:val="top"/>
          </w:tcPr>
          <w:p>
            <w:pPr>
              <w:pStyle w:val="10"/>
              <w:spacing w:before="82" w:line="247" w:lineRule="auto"/>
              <w:ind w:left="239" w:right="239" w:firstLine="98"/>
              <w:rPr>
                <w:color w:val="auto"/>
                <w:highlight w:val="none"/>
              </w:rPr>
            </w:pPr>
            <w:r>
              <w:rPr>
                <w:color w:val="auto"/>
                <w:spacing w:val="-2"/>
                <w:highlight w:val="none"/>
              </w:rPr>
              <w:t>评审得分</w:t>
            </w:r>
            <w:r>
              <w:rPr>
                <w:color w:val="auto"/>
                <w:spacing w:val="1"/>
                <w:highlight w:val="none"/>
              </w:rPr>
              <w:t xml:space="preserve">  </w:t>
            </w:r>
            <w:r>
              <w:rPr>
                <w:color w:val="auto"/>
                <w:spacing w:val="-6"/>
                <w:highlight w:val="none"/>
              </w:rPr>
              <w:t>（评标价）</w:t>
            </w:r>
          </w:p>
        </w:tc>
        <w:tc>
          <w:tcPr>
            <w:tcW w:w="1979" w:type="dxa"/>
            <w:vAlign w:val="top"/>
          </w:tcPr>
          <w:p>
            <w:pPr>
              <w:pStyle w:val="10"/>
              <w:spacing w:before="81" w:line="248" w:lineRule="auto"/>
              <w:ind w:left="678" w:right="147" w:hanging="523"/>
              <w:rPr>
                <w:color w:val="auto"/>
                <w:highlight w:val="none"/>
              </w:rPr>
            </w:pPr>
            <w:r>
              <w:rPr>
                <w:color w:val="auto"/>
                <w:spacing w:val="-2"/>
                <w:highlight w:val="none"/>
              </w:rPr>
              <w:t>是否被推荐为中标</w:t>
            </w:r>
            <w:r>
              <w:rPr>
                <w:color w:val="auto"/>
                <w:spacing w:val="6"/>
                <w:highlight w:val="none"/>
              </w:rPr>
              <w:t xml:space="preserve"> </w:t>
            </w:r>
            <w:r>
              <w:rPr>
                <w:color w:val="auto"/>
                <w:spacing w:val="-2"/>
                <w:highlight w:val="none"/>
              </w:rPr>
              <w:t>候选人</w:t>
            </w:r>
          </w:p>
        </w:tc>
        <w:tc>
          <w:tcPr>
            <w:tcW w:w="1319" w:type="dxa"/>
            <w:vAlign w:val="top"/>
          </w:tcPr>
          <w:p>
            <w:pPr>
              <w:pStyle w:val="10"/>
              <w:spacing w:before="238" w:line="220" w:lineRule="auto"/>
              <w:ind w:left="242"/>
              <w:rPr>
                <w:color w:val="auto"/>
                <w:highlight w:val="none"/>
              </w:rPr>
            </w:pPr>
            <w:r>
              <w:rPr>
                <w:color w:val="auto"/>
                <w:spacing w:val="-2"/>
                <w:highlight w:val="none"/>
              </w:rPr>
              <w:t>推荐理由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92" w:type="dxa"/>
            <w:vAlign w:val="top"/>
          </w:tcPr>
          <w:p>
            <w:pPr>
              <w:spacing w:before="268" w:line="189" w:lineRule="auto"/>
              <w:ind w:left="4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639" w:type="dxa"/>
            <w:vAlign w:val="top"/>
          </w:tcPr>
          <w:p>
            <w:pPr>
              <w:rPr>
                <w:rFonts w:ascii="Arial"/>
                <w:color w:val="auto"/>
                <w:sz w:val="21"/>
                <w:highlight w:val="none"/>
              </w:rPr>
            </w:pPr>
          </w:p>
        </w:tc>
        <w:tc>
          <w:tcPr>
            <w:tcW w:w="1478" w:type="dxa"/>
            <w:vAlign w:val="top"/>
          </w:tcPr>
          <w:p>
            <w:pPr>
              <w:rPr>
                <w:rFonts w:ascii="Arial"/>
                <w:color w:val="auto"/>
                <w:sz w:val="21"/>
                <w:highlight w:val="none"/>
              </w:rPr>
            </w:pPr>
          </w:p>
        </w:tc>
        <w:tc>
          <w:tcPr>
            <w:tcW w:w="1509" w:type="dxa"/>
            <w:vAlign w:val="top"/>
          </w:tcPr>
          <w:p>
            <w:pPr>
              <w:rPr>
                <w:rFonts w:ascii="Arial"/>
                <w:color w:val="auto"/>
                <w:sz w:val="21"/>
                <w:highlight w:val="none"/>
              </w:rPr>
            </w:pPr>
          </w:p>
        </w:tc>
        <w:tc>
          <w:tcPr>
            <w:tcW w:w="1979" w:type="dxa"/>
            <w:vAlign w:val="top"/>
          </w:tcPr>
          <w:p>
            <w:pPr>
              <w:rPr>
                <w:rFonts w:ascii="Arial"/>
                <w:color w:val="auto"/>
                <w:sz w:val="21"/>
                <w:highlight w:val="none"/>
              </w:rPr>
            </w:pPr>
          </w:p>
        </w:tc>
        <w:tc>
          <w:tcPr>
            <w:tcW w:w="131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92" w:type="dxa"/>
            <w:vAlign w:val="top"/>
          </w:tcPr>
          <w:p>
            <w:pPr>
              <w:spacing w:before="269" w:line="189" w:lineRule="auto"/>
              <w:ind w:left="39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639" w:type="dxa"/>
            <w:vAlign w:val="top"/>
          </w:tcPr>
          <w:p>
            <w:pPr>
              <w:rPr>
                <w:rFonts w:ascii="Arial"/>
                <w:color w:val="auto"/>
                <w:sz w:val="21"/>
                <w:highlight w:val="none"/>
              </w:rPr>
            </w:pPr>
          </w:p>
        </w:tc>
        <w:tc>
          <w:tcPr>
            <w:tcW w:w="1478" w:type="dxa"/>
            <w:vAlign w:val="top"/>
          </w:tcPr>
          <w:p>
            <w:pPr>
              <w:rPr>
                <w:rFonts w:ascii="Arial"/>
                <w:color w:val="auto"/>
                <w:sz w:val="21"/>
                <w:highlight w:val="none"/>
              </w:rPr>
            </w:pPr>
          </w:p>
        </w:tc>
        <w:tc>
          <w:tcPr>
            <w:tcW w:w="1509" w:type="dxa"/>
            <w:vAlign w:val="top"/>
          </w:tcPr>
          <w:p>
            <w:pPr>
              <w:rPr>
                <w:rFonts w:ascii="Arial"/>
                <w:color w:val="auto"/>
                <w:sz w:val="21"/>
                <w:highlight w:val="none"/>
              </w:rPr>
            </w:pPr>
          </w:p>
        </w:tc>
        <w:tc>
          <w:tcPr>
            <w:tcW w:w="1979" w:type="dxa"/>
            <w:vAlign w:val="top"/>
          </w:tcPr>
          <w:p>
            <w:pPr>
              <w:rPr>
                <w:rFonts w:ascii="Arial"/>
                <w:color w:val="auto"/>
                <w:sz w:val="21"/>
                <w:highlight w:val="none"/>
              </w:rPr>
            </w:pPr>
          </w:p>
        </w:tc>
        <w:tc>
          <w:tcPr>
            <w:tcW w:w="131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92" w:type="dxa"/>
            <w:vAlign w:val="top"/>
          </w:tcPr>
          <w:p>
            <w:pPr>
              <w:spacing w:before="272" w:line="189" w:lineRule="auto"/>
              <w:ind w:left="39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639" w:type="dxa"/>
            <w:vAlign w:val="top"/>
          </w:tcPr>
          <w:p>
            <w:pPr>
              <w:rPr>
                <w:rFonts w:ascii="Arial"/>
                <w:color w:val="auto"/>
                <w:sz w:val="21"/>
                <w:highlight w:val="none"/>
              </w:rPr>
            </w:pPr>
          </w:p>
        </w:tc>
        <w:tc>
          <w:tcPr>
            <w:tcW w:w="1478" w:type="dxa"/>
            <w:vAlign w:val="top"/>
          </w:tcPr>
          <w:p>
            <w:pPr>
              <w:rPr>
                <w:rFonts w:ascii="Arial"/>
                <w:color w:val="auto"/>
                <w:sz w:val="21"/>
                <w:highlight w:val="none"/>
              </w:rPr>
            </w:pPr>
          </w:p>
        </w:tc>
        <w:tc>
          <w:tcPr>
            <w:tcW w:w="1509" w:type="dxa"/>
            <w:vAlign w:val="top"/>
          </w:tcPr>
          <w:p>
            <w:pPr>
              <w:rPr>
                <w:rFonts w:ascii="Arial"/>
                <w:color w:val="auto"/>
                <w:sz w:val="21"/>
                <w:highlight w:val="none"/>
              </w:rPr>
            </w:pPr>
          </w:p>
        </w:tc>
        <w:tc>
          <w:tcPr>
            <w:tcW w:w="1979" w:type="dxa"/>
            <w:vAlign w:val="top"/>
          </w:tcPr>
          <w:p>
            <w:pPr>
              <w:rPr>
                <w:rFonts w:ascii="Arial"/>
                <w:color w:val="auto"/>
                <w:sz w:val="21"/>
                <w:highlight w:val="none"/>
              </w:rPr>
            </w:pPr>
          </w:p>
        </w:tc>
        <w:tc>
          <w:tcPr>
            <w:tcW w:w="131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92" w:type="dxa"/>
            <w:vAlign w:val="top"/>
          </w:tcPr>
          <w:p>
            <w:pPr>
              <w:spacing w:before="269" w:line="189" w:lineRule="auto"/>
              <w:ind w:left="39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639" w:type="dxa"/>
            <w:vAlign w:val="top"/>
          </w:tcPr>
          <w:p>
            <w:pPr>
              <w:rPr>
                <w:rFonts w:ascii="Arial"/>
                <w:color w:val="auto"/>
                <w:sz w:val="21"/>
                <w:highlight w:val="none"/>
              </w:rPr>
            </w:pPr>
          </w:p>
        </w:tc>
        <w:tc>
          <w:tcPr>
            <w:tcW w:w="1478" w:type="dxa"/>
            <w:vAlign w:val="top"/>
          </w:tcPr>
          <w:p>
            <w:pPr>
              <w:rPr>
                <w:rFonts w:ascii="Arial"/>
                <w:color w:val="auto"/>
                <w:sz w:val="21"/>
                <w:highlight w:val="none"/>
              </w:rPr>
            </w:pPr>
          </w:p>
        </w:tc>
        <w:tc>
          <w:tcPr>
            <w:tcW w:w="1509" w:type="dxa"/>
            <w:vAlign w:val="top"/>
          </w:tcPr>
          <w:p>
            <w:pPr>
              <w:rPr>
                <w:rFonts w:ascii="Arial"/>
                <w:color w:val="auto"/>
                <w:sz w:val="21"/>
                <w:highlight w:val="none"/>
              </w:rPr>
            </w:pPr>
          </w:p>
        </w:tc>
        <w:tc>
          <w:tcPr>
            <w:tcW w:w="1979" w:type="dxa"/>
            <w:vAlign w:val="top"/>
          </w:tcPr>
          <w:p>
            <w:pPr>
              <w:rPr>
                <w:rFonts w:ascii="Arial"/>
                <w:color w:val="auto"/>
                <w:sz w:val="21"/>
                <w:highlight w:val="none"/>
              </w:rPr>
            </w:pPr>
          </w:p>
        </w:tc>
        <w:tc>
          <w:tcPr>
            <w:tcW w:w="131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92" w:type="dxa"/>
            <w:vAlign w:val="top"/>
          </w:tcPr>
          <w:p>
            <w:pPr>
              <w:spacing w:before="276" w:line="186" w:lineRule="auto"/>
              <w:ind w:left="40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639" w:type="dxa"/>
            <w:vAlign w:val="top"/>
          </w:tcPr>
          <w:p>
            <w:pPr>
              <w:rPr>
                <w:rFonts w:ascii="Arial"/>
                <w:color w:val="auto"/>
                <w:sz w:val="21"/>
                <w:highlight w:val="none"/>
              </w:rPr>
            </w:pPr>
          </w:p>
        </w:tc>
        <w:tc>
          <w:tcPr>
            <w:tcW w:w="1478" w:type="dxa"/>
            <w:vAlign w:val="top"/>
          </w:tcPr>
          <w:p>
            <w:pPr>
              <w:rPr>
                <w:rFonts w:ascii="Arial"/>
                <w:color w:val="auto"/>
                <w:sz w:val="21"/>
                <w:highlight w:val="none"/>
              </w:rPr>
            </w:pPr>
          </w:p>
        </w:tc>
        <w:tc>
          <w:tcPr>
            <w:tcW w:w="1509" w:type="dxa"/>
            <w:vAlign w:val="top"/>
          </w:tcPr>
          <w:p>
            <w:pPr>
              <w:rPr>
                <w:rFonts w:ascii="Arial"/>
                <w:color w:val="auto"/>
                <w:sz w:val="21"/>
                <w:highlight w:val="none"/>
              </w:rPr>
            </w:pPr>
          </w:p>
        </w:tc>
        <w:tc>
          <w:tcPr>
            <w:tcW w:w="1979" w:type="dxa"/>
            <w:vAlign w:val="top"/>
          </w:tcPr>
          <w:p>
            <w:pPr>
              <w:rPr>
                <w:rFonts w:ascii="Arial"/>
                <w:color w:val="auto"/>
                <w:sz w:val="21"/>
                <w:highlight w:val="none"/>
              </w:rPr>
            </w:pPr>
          </w:p>
        </w:tc>
        <w:tc>
          <w:tcPr>
            <w:tcW w:w="131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92" w:type="dxa"/>
            <w:vAlign w:val="top"/>
          </w:tcPr>
          <w:p>
            <w:pPr>
              <w:pStyle w:val="10"/>
              <w:spacing w:before="234" w:line="332" w:lineRule="exact"/>
              <w:ind w:left="359"/>
              <w:rPr>
                <w:color w:val="auto"/>
                <w:highlight w:val="none"/>
              </w:rPr>
            </w:pPr>
            <w:r>
              <w:rPr>
                <w:color w:val="auto"/>
                <w:position w:val="2"/>
                <w:highlight w:val="none"/>
              </w:rPr>
              <w:t>…</w:t>
            </w:r>
          </w:p>
        </w:tc>
        <w:tc>
          <w:tcPr>
            <w:tcW w:w="1639" w:type="dxa"/>
            <w:vAlign w:val="top"/>
          </w:tcPr>
          <w:p>
            <w:pPr>
              <w:rPr>
                <w:rFonts w:ascii="Arial"/>
                <w:color w:val="auto"/>
                <w:sz w:val="21"/>
                <w:highlight w:val="none"/>
              </w:rPr>
            </w:pPr>
          </w:p>
        </w:tc>
        <w:tc>
          <w:tcPr>
            <w:tcW w:w="1478" w:type="dxa"/>
            <w:vAlign w:val="top"/>
          </w:tcPr>
          <w:p>
            <w:pPr>
              <w:rPr>
                <w:rFonts w:ascii="Arial"/>
                <w:color w:val="auto"/>
                <w:sz w:val="21"/>
                <w:highlight w:val="none"/>
              </w:rPr>
            </w:pPr>
          </w:p>
        </w:tc>
        <w:tc>
          <w:tcPr>
            <w:tcW w:w="1509" w:type="dxa"/>
            <w:vAlign w:val="top"/>
          </w:tcPr>
          <w:p>
            <w:pPr>
              <w:rPr>
                <w:rFonts w:ascii="Arial"/>
                <w:color w:val="auto"/>
                <w:sz w:val="21"/>
                <w:highlight w:val="none"/>
              </w:rPr>
            </w:pPr>
          </w:p>
        </w:tc>
        <w:tc>
          <w:tcPr>
            <w:tcW w:w="1979" w:type="dxa"/>
            <w:vAlign w:val="top"/>
          </w:tcPr>
          <w:p>
            <w:pPr>
              <w:rPr>
                <w:rFonts w:ascii="Arial"/>
                <w:color w:val="auto"/>
                <w:sz w:val="21"/>
                <w:highlight w:val="none"/>
              </w:rPr>
            </w:pPr>
          </w:p>
        </w:tc>
        <w:tc>
          <w:tcPr>
            <w:tcW w:w="1319"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8816" w:type="dxa"/>
            <w:gridSpan w:val="6"/>
            <w:vAlign w:val="top"/>
          </w:tcPr>
          <w:p>
            <w:pPr>
              <w:pStyle w:val="10"/>
              <w:spacing w:before="54" w:line="220" w:lineRule="auto"/>
              <w:ind w:left="115"/>
              <w:rPr>
                <w:color w:val="auto"/>
                <w:highlight w:val="none"/>
              </w:rPr>
            </w:pPr>
            <w:r>
              <w:rPr>
                <w:color w:val="auto"/>
                <w:spacing w:val="-1"/>
                <w:highlight w:val="none"/>
              </w:rPr>
              <w:t>评标委员会全体成员签名：</w:t>
            </w:r>
          </w:p>
        </w:tc>
      </w:tr>
    </w:tbl>
    <w:p>
      <w:pPr>
        <w:pStyle w:val="2"/>
        <w:spacing w:line="301" w:lineRule="auto"/>
        <w:rPr>
          <w:color w:val="auto"/>
          <w:highlight w:val="none"/>
        </w:rPr>
      </w:pPr>
    </w:p>
    <w:p>
      <w:pPr>
        <w:pStyle w:val="2"/>
        <w:spacing w:line="301" w:lineRule="auto"/>
        <w:rPr>
          <w:color w:val="auto"/>
          <w:highlight w:val="none"/>
        </w:rPr>
      </w:pPr>
    </w:p>
    <w:p>
      <w:pPr>
        <w:spacing w:before="69" w:line="221" w:lineRule="auto"/>
        <w:jc w:val="right"/>
        <w:rPr>
          <w:rFonts w:ascii="宋体" w:hAnsi="宋体" w:eastAsia="宋体" w:cs="宋体"/>
          <w:color w:val="auto"/>
          <w:sz w:val="21"/>
          <w:szCs w:val="21"/>
          <w:highlight w:val="none"/>
        </w:rPr>
      </w:pPr>
      <w:r>
        <w:rPr>
          <w:rFonts w:ascii="宋体" w:hAnsi="宋体" w:eastAsia="宋体" w:cs="宋体"/>
          <w:color w:val="auto"/>
          <w:spacing w:val="-33"/>
          <w:sz w:val="21"/>
          <w:szCs w:val="21"/>
          <w:highlight w:val="none"/>
        </w:rPr>
        <w:t>日期：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33"/>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33"/>
          <w:sz w:val="21"/>
          <w:szCs w:val="21"/>
          <w:highlight w:val="none"/>
        </w:rPr>
        <w:t>月</w:t>
      </w:r>
      <w:r>
        <w:rPr>
          <w:rFonts w:ascii="宋体" w:hAnsi="宋体" w:eastAsia="宋体" w:cs="宋体"/>
          <w:color w:val="auto"/>
          <w:spacing w:val="22"/>
          <w:sz w:val="21"/>
          <w:szCs w:val="21"/>
          <w:highlight w:val="none"/>
        </w:rPr>
        <w:t xml:space="preserve">  </w:t>
      </w:r>
      <w:r>
        <w:rPr>
          <w:rFonts w:ascii="宋体" w:hAnsi="宋体" w:eastAsia="宋体" w:cs="宋体"/>
          <w:color w:val="auto"/>
          <w:spacing w:val="-33"/>
          <w:sz w:val="21"/>
          <w:szCs w:val="21"/>
          <w:highlight w:val="none"/>
        </w:rPr>
        <w:t>日</w:t>
      </w:r>
    </w:p>
    <w:p>
      <w:pPr>
        <w:spacing w:line="221" w:lineRule="auto"/>
        <w:rPr>
          <w:rFonts w:ascii="宋体" w:hAnsi="宋体" w:eastAsia="宋体" w:cs="宋体"/>
          <w:color w:val="auto"/>
          <w:sz w:val="21"/>
          <w:szCs w:val="21"/>
          <w:highlight w:val="none"/>
        </w:rPr>
        <w:sectPr>
          <w:footerReference r:id="rId49" w:type="default"/>
          <w:pgSz w:w="11907" w:h="16839"/>
          <w:pgMar w:top="1431" w:right="1550" w:bottom="1001" w:left="1531" w:header="0" w:footer="829" w:gutter="0"/>
          <w:pgNumType w:fmt="numberInDash"/>
          <w:cols w:space="720" w:num="1"/>
        </w:sect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5" w:lineRule="auto"/>
        <w:rPr>
          <w:color w:val="auto"/>
          <w:highlight w:val="none"/>
        </w:rPr>
      </w:pPr>
    </w:p>
    <w:p>
      <w:pPr>
        <w:spacing w:before="101" w:line="224" w:lineRule="auto"/>
        <w:ind w:left="2408"/>
        <w:rPr>
          <w:rFonts w:ascii="黑体" w:hAnsi="黑体" w:eastAsia="黑体" w:cs="黑体"/>
          <w:color w:val="auto"/>
          <w:sz w:val="31"/>
          <w:szCs w:val="31"/>
          <w:highlight w:val="none"/>
        </w:rPr>
      </w:pPr>
      <w:bookmarkStart w:id="132" w:name="bookmark171"/>
      <w:bookmarkEnd w:id="132"/>
      <w:r>
        <w:rPr>
          <w:rFonts w:ascii="黑体" w:hAnsi="黑体" w:eastAsia="黑体" w:cs="黑体"/>
          <w:color w:val="auto"/>
          <w:spacing w:val="7"/>
          <w:sz w:val="31"/>
          <w:szCs w:val="31"/>
          <w:highlight w:val="none"/>
        </w:rPr>
        <w:t>第四章  合同条款及格式</w:t>
      </w:r>
    </w:p>
    <w:p>
      <w:pPr>
        <w:spacing w:line="224" w:lineRule="auto"/>
        <w:rPr>
          <w:rFonts w:ascii="黑体" w:hAnsi="黑体" w:eastAsia="黑体" w:cs="黑体"/>
          <w:color w:val="auto"/>
          <w:sz w:val="31"/>
          <w:szCs w:val="31"/>
          <w:highlight w:val="none"/>
        </w:rPr>
        <w:sectPr>
          <w:footerReference r:id="rId50" w:type="default"/>
          <w:pgSz w:w="11905" w:h="16843"/>
          <w:pgMar w:top="1769" w:right="1548" w:bottom="1003" w:left="1542" w:header="0" w:footer="828" w:gutter="0"/>
          <w:pgNumType w:fmt="numberInDash"/>
          <w:cols w:space="0" w:num="1"/>
          <w:rtlGutter w:val="0"/>
          <w:docGrid w:linePitch="0" w:charSpace="0"/>
        </w:sect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spacing w:before="91" w:line="219" w:lineRule="auto"/>
        <w:ind w:left="2836"/>
        <w:rPr>
          <w:rFonts w:ascii="黑体" w:hAnsi="黑体" w:eastAsia="黑体" w:cs="黑体"/>
          <w:color w:val="auto"/>
          <w:sz w:val="28"/>
          <w:szCs w:val="28"/>
          <w:highlight w:val="none"/>
        </w:rPr>
      </w:pPr>
      <w:bookmarkStart w:id="133" w:name="bookmark174"/>
      <w:bookmarkEnd w:id="133"/>
      <w:bookmarkStart w:id="134" w:name="bookmark172"/>
      <w:bookmarkEnd w:id="134"/>
      <w:bookmarkStart w:id="135" w:name="bookmark173"/>
      <w:bookmarkEnd w:id="135"/>
      <w:r>
        <w:rPr>
          <w:rFonts w:ascii="黑体" w:hAnsi="黑体" w:eastAsia="黑体" w:cs="黑体"/>
          <w:color w:val="auto"/>
          <w:spacing w:val="-1"/>
          <w:sz w:val="28"/>
          <w:szCs w:val="28"/>
          <w:highlight w:val="none"/>
        </w:rPr>
        <w:t>第一部分 合同协议书</w:t>
      </w:r>
    </w:p>
    <w:p>
      <w:pPr>
        <w:spacing w:line="219" w:lineRule="auto"/>
        <w:rPr>
          <w:rFonts w:ascii="黑体" w:hAnsi="黑体" w:eastAsia="黑体" w:cs="黑体"/>
          <w:color w:val="auto"/>
          <w:sz w:val="28"/>
          <w:szCs w:val="28"/>
          <w:highlight w:val="none"/>
        </w:rPr>
        <w:sectPr>
          <w:footerReference r:id="rId51" w:type="default"/>
          <w:pgSz w:w="11905" w:h="16843"/>
          <w:pgMar w:top="1769" w:right="1548" w:bottom="1003" w:left="1542" w:header="0" w:footer="828" w:gutter="0"/>
          <w:pgNumType w:fmt="numberInDash"/>
          <w:cols w:space="0" w:num="1"/>
          <w:rtlGutter w:val="0"/>
          <w:docGrid w:linePitch="0" w:charSpace="0"/>
        </w:sectPr>
      </w:pPr>
    </w:p>
    <w:p>
      <w:pPr>
        <w:spacing w:before="66" w:line="219" w:lineRule="auto"/>
        <w:ind w:left="3993"/>
        <w:rPr>
          <w:rFonts w:ascii="黑体" w:hAnsi="黑体" w:eastAsia="黑体" w:cs="黑体"/>
          <w:color w:val="auto"/>
          <w:sz w:val="28"/>
          <w:szCs w:val="28"/>
          <w:highlight w:val="none"/>
        </w:rPr>
      </w:pPr>
      <w:bookmarkStart w:id="136" w:name="bookmark177"/>
      <w:bookmarkEnd w:id="136"/>
      <w:bookmarkStart w:id="137" w:name="bookmark179"/>
      <w:bookmarkEnd w:id="137"/>
      <w:bookmarkStart w:id="138" w:name="bookmark176"/>
      <w:bookmarkEnd w:id="138"/>
      <w:bookmarkStart w:id="139" w:name="bookmark175"/>
      <w:bookmarkEnd w:id="139"/>
      <w:bookmarkStart w:id="140" w:name="bookmark180"/>
      <w:bookmarkEnd w:id="140"/>
      <w:bookmarkStart w:id="141" w:name="bookmark178"/>
      <w:bookmarkEnd w:id="141"/>
      <w:r>
        <w:rPr>
          <w:rFonts w:ascii="黑体" w:hAnsi="黑体" w:eastAsia="黑体" w:cs="黑体"/>
          <w:color w:val="auto"/>
          <w:spacing w:val="-2"/>
          <w:sz w:val="28"/>
          <w:szCs w:val="28"/>
          <w:highlight w:val="none"/>
        </w:rPr>
        <w:t>合同协议书</w:t>
      </w:r>
    </w:p>
    <w:p>
      <w:pPr>
        <w:pStyle w:val="2"/>
        <w:spacing w:line="422" w:lineRule="auto"/>
        <w:rPr>
          <w:color w:val="auto"/>
          <w:highlight w:val="none"/>
        </w:rPr>
      </w:pPr>
    </w:p>
    <w:p>
      <w:pPr>
        <w:spacing w:before="68" w:line="333" w:lineRule="auto"/>
        <w:ind w:left="3"/>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发包人（全称</w:t>
      </w:r>
      <w:r>
        <w:rPr>
          <w:rFonts w:ascii="宋体" w:hAnsi="宋体" w:eastAsia="宋体" w:cs="宋体"/>
          <w:color w:val="auto"/>
          <w:spacing w:val="-19"/>
          <w:sz w:val="21"/>
          <w:szCs w:val="21"/>
          <w:highlight w:val="none"/>
        </w:rPr>
        <w:t>）：</w:t>
      </w:r>
      <w:r>
        <w:rPr>
          <w:rFonts w:ascii="宋体" w:hAnsi="宋体" w:eastAsia="宋体" w:cs="宋体"/>
          <w:color w:val="auto"/>
          <w:sz w:val="21"/>
          <w:szCs w:val="21"/>
          <w:highlight w:val="none"/>
          <w:u w:val="single" w:color="auto"/>
        </w:rPr>
        <w:t xml:space="preserve">                                    </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承包人（全称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pPr>
        <w:spacing w:before="129" w:line="334" w:lineRule="auto"/>
        <w:ind w:left="6" w:hanging="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根据《中华人民共和国民法典》、《中华人民共和国建筑法》及有关法律规定，遵循平等、自愿、</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公平和诚实信用的原则，</w:t>
      </w:r>
      <w:r>
        <w:rPr>
          <w:rFonts w:ascii="宋体" w:hAnsi="宋体" w:eastAsia="宋体" w:cs="宋体"/>
          <w:color w:val="auto"/>
          <w:spacing w:val="64"/>
          <w:sz w:val="21"/>
          <w:szCs w:val="21"/>
          <w:highlight w:val="none"/>
        </w:rPr>
        <w:t xml:space="preserve"> </w:t>
      </w:r>
      <w:r>
        <w:rPr>
          <w:rFonts w:ascii="宋体" w:hAnsi="宋体" w:eastAsia="宋体" w:cs="宋体"/>
          <w:color w:val="auto"/>
          <w:spacing w:val="-3"/>
          <w:sz w:val="21"/>
          <w:szCs w:val="21"/>
          <w:highlight w:val="none"/>
        </w:rPr>
        <w:t>双方就</w:t>
      </w:r>
      <w:r>
        <w:rPr>
          <w:rFonts w:ascii="宋体" w:hAnsi="宋体" w:eastAsia="宋体" w:cs="宋体"/>
          <w:color w:val="auto"/>
          <w:spacing w:val="-10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3"/>
          <w:sz w:val="21"/>
          <w:szCs w:val="21"/>
          <w:highlight w:val="none"/>
        </w:rPr>
        <w:t>工程施工及有关事项协商一致，共同达</w:t>
      </w:r>
    </w:p>
    <w:p>
      <w:pPr>
        <w:spacing w:line="221" w:lineRule="auto"/>
        <w:ind w:left="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成如下协议：</w:t>
      </w:r>
    </w:p>
    <w:p>
      <w:pPr>
        <w:spacing w:before="211" w:line="219" w:lineRule="auto"/>
        <w:ind w:left="3"/>
        <w:outlineLvl w:val="0"/>
        <w:rPr>
          <w:rFonts w:ascii="黑体" w:hAnsi="黑体" w:eastAsia="黑体" w:cs="黑体"/>
          <w:color w:val="auto"/>
          <w:sz w:val="21"/>
          <w:szCs w:val="21"/>
          <w:highlight w:val="none"/>
        </w:rPr>
      </w:pPr>
      <w:r>
        <w:rPr>
          <w:rFonts w:ascii="黑体" w:hAnsi="黑体" w:eastAsia="黑体" w:cs="黑体"/>
          <w:color w:val="auto"/>
          <w:spacing w:val="-3"/>
          <w:sz w:val="21"/>
          <w:szCs w:val="21"/>
          <w:highlight w:val="none"/>
          <w14:textOutline w14:w="3831" w14:cap="flat" w14:cmpd="sng">
            <w14:solidFill>
              <w14:srgbClr w14:val="000000"/>
            </w14:solidFill>
            <w14:prstDash w14:val="solid"/>
            <w14:miter w14:val="0"/>
          </w14:textOutline>
        </w:rPr>
        <w:t>一、工程概况</w:t>
      </w:r>
    </w:p>
    <w:p>
      <w:pPr>
        <w:spacing w:before="292" w:line="335"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工程名称：</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w:t>
      </w:r>
    </w:p>
    <w:p>
      <w:pPr>
        <w:spacing w:line="221" w:lineRule="auto"/>
        <w:ind w:left="41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工程地点：</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28"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工程立项批准文号：</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27" w:line="221" w:lineRule="auto"/>
        <w:ind w:left="41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资金来源：</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30" w:line="221"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工程内容：</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rPr>
        <w:t xml:space="preserve"> 。</w:t>
      </w:r>
    </w:p>
    <w:p>
      <w:pPr>
        <w:spacing w:before="128" w:line="380" w:lineRule="exact"/>
        <w:ind w:left="420"/>
        <w:rPr>
          <w:rFonts w:ascii="宋体" w:hAnsi="宋体" w:eastAsia="宋体" w:cs="宋体"/>
          <w:color w:val="auto"/>
          <w:sz w:val="21"/>
          <w:szCs w:val="21"/>
          <w:highlight w:val="none"/>
        </w:rPr>
      </w:pPr>
      <w:r>
        <w:rPr>
          <w:rFonts w:ascii="宋体" w:hAnsi="宋体" w:eastAsia="宋体" w:cs="宋体"/>
          <w:color w:val="auto"/>
          <w:spacing w:val="-8"/>
          <w:position w:val="12"/>
          <w:sz w:val="21"/>
          <w:szCs w:val="21"/>
          <w:highlight w:val="none"/>
        </w:rPr>
        <w:t>群体工程应附《承包人承揽工程项目一览表》（附件</w:t>
      </w:r>
      <w:r>
        <w:rPr>
          <w:rFonts w:ascii="宋体" w:hAnsi="宋体" w:eastAsia="宋体" w:cs="宋体"/>
          <w:color w:val="auto"/>
          <w:spacing w:val="-23"/>
          <w:position w:val="12"/>
          <w:sz w:val="21"/>
          <w:szCs w:val="21"/>
          <w:highlight w:val="none"/>
        </w:rPr>
        <w:t xml:space="preserve"> </w:t>
      </w:r>
      <w:r>
        <w:rPr>
          <w:rFonts w:ascii="Times New Roman" w:hAnsi="Times New Roman" w:eastAsia="Times New Roman" w:cs="Times New Roman"/>
          <w:color w:val="auto"/>
          <w:spacing w:val="-8"/>
          <w:position w:val="12"/>
          <w:sz w:val="21"/>
          <w:szCs w:val="21"/>
          <w:highlight w:val="none"/>
        </w:rPr>
        <w:t>1</w:t>
      </w:r>
      <w:r>
        <w:rPr>
          <w:rFonts w:ascii="宋体" w:hAnsi="宋体" w:eastAsia="宋体" w:cs="宋体"/>
          <w:color w:val="auto"/>
          <w:spacing w:val="-8"/>
          <w:position w:val="12"/>
          <w:sz w:val="21"/>
          <w:szCs w:val="21"/>
          <w:highlight w:val="none"/>
        </w:rPr>
        <w:t>）。</w:t>
      </w:r>
    </w:p>
    <w:p>
      <w:pPr>
        <w:spacing w:line="22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工程承包范围：</w:t>
      </w:r>
    </w:p>
    <w:p>
      <w:pPr>
        <w:pStyle w:val="2"/>
        <w:tabs>
          <w:tab w:val="left" w:pos="4157"/>
        </w:tabs>
        <w:spacing w:before="144" w:line="242" w:lineRule="exact"/>
        <w:ind w:left="411"/>
        <w:rPr>
          <w:color w:val="auto"/>
          <w:highlight w:val="none"/>
        </w:rPr>
      </w:pPr>
      <w:r>
        <w:rPr>
          <w:color w:val="auto"/>
          <w:highlight w:val="none"/>
          <w:u w:val="single" w:color="auto"/>
        </w:rPr>
        <w:tab/>
      </w:r>
    </w:p>
    <w:p>
      <w:pPr>
        <w:tabs>
          <w:tab w:val="left" w:pos="7524"/>
        </w:tabs>
        <w:spacing w:before="261"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61" w:line="221" w:lineRule="auto"/>
        <w:ind w:left="3"/>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二、合同工期</w:t>
      </w:r>
    </w:p>
    <w:p>
      <w:pPr>
        <w:spacing w:before="289" w:line="335" w:lineRule="auto"/>
        <w:ind w:left="4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计划开工日期：</w:t>
      </w:r>
      <w:r>
        <w:rPr>
          <w:rFonts w:ascii="宋体" w:hAnsi="宋体" w:eastAsia="宋体" w:cs="宋体"/>
          <w:color w:val="auto"/>
          <w:spacing w:val="-26"/>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3"/>
          <w:sz w:val="21"/>
          <w:szCs w:val="21"/>
          <w:highlight w:val="none"/>
        </w:rPr>
        <w:t>日。</w:t>
      </w:r>
    </w:p>
    <w:p>
      <w:pPr>
        <w:spacing w:before="1" w:line="220" w:lineRule="auto"/>
        <w:ind w:left="4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计划竣工日期：</w:t>
      </w:r>
      <w:r>
        <w:rPr>
          <w:rFonts w:ascii="宋体" w:hAnsi="宋体" w:eastAsia="宋体" w:cs="宋体"/>
          <w:color w:val="auto"/>
          <w:spacing w:val="-26"/>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3"/>
          <w:sz w:val="21"/>
          <w:szCs w:val="21"/>
          <w:highlight w:val="none"/>
        </w:rPr>
        <w:t>日。</w:t>
      </w:r>
    </w:p>
    <w:p>
      <w:pPr>
        <w:spacing w:before="128" w:line="333"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工期总日历天数：</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天。工期总日历天数与根据前述计划开竣工日期计算的工期天数</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不一致的， 以工期总日历天数为准。</w:t>
      </w:r>
    </w:p>
    <w:p>
      <w:pPr>
        <w:spacing w:before="214" w:line="221" w:lineRule="auto"/>
        <w:ind w:left="109"/>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三、质量标准</w:t>
      </w:r>
    </w:p>
    <w:p>
      <w:pPr>
        <w:spacing w:before="289" w:line="221" w:lineRule="auto"/>
        <w:ind w:left="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工程质量符合</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4"/>
          <w:sz w:val="21"/>
          <w:szCs w:val="21"/>
          <w:highlight w:val="none"/>
        </w:rPr>
        <w:t>标准。</w:t>
      </w:r>
    </w:p>
    <w:p>
      <w:pPr>
        <w:spacing w:before="213" w:line="220" w:lineRule="auto"/>
        <w:ind w:left="118"/>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四、签约合同价与合同价格形式</w:t>
      </w:r>
    </w:p>
    <w:p>
      <w:pPr>
        <w:spacing w:before="290" w:line="219"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签约合同价为：</w:t>
      </w:r>
    </w:p>
    <w:p>
      <w:pPr>
        <w:spacing w:before="129" w:line="220" w:lineRule="auto"/>
        <w:ind w:left="63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人民币（大写）</w:t>
      </w:r>
      <w:r>
        <w:rPr>
          <w:rFonts w:ascii="宋体" w:hAnsi="宋体" w:eastAsia="宋体" w:cs="宋体"/>
          <w:color w:val="auto"/>
          <w:spacing w:val="-4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 xml:space="preserve">¥  </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7"/>
          <w:sz w:val="21"/>
          <w:szCs w:val="21"/>
          <w:highlight w:val="none"/>
        </w:rPr>
        <w:t>）；</w:t>
      </w:r>
    </w:p>
    <w:p>
      <w:pPr>
        <w:spacing w:before="132" w:line="221" w:lineRule="auto"/>
        <w:ind w:left="63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其中：</w:t>
      </w:r>
    </w:p>
    <w:p>
      <w:pPr>
        <w:spacing w:before="127" w:line="221" w:lineRule="auto"/>
        <w:ind w:left="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）安全文明施工费：</w:t>
      </w:r>
    </w:p>
    <w:p>
      <w:pPr>
        <w:spacing w:before="128" w:line="220" w:lineRule="auto"/>
        <w:ind w:left="9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人民币（大写）</w:t>
      </w:r>
      <w:r>
        <w:rPr>
          <w:rFonts w:ascii="宋体" w:hAnsi="宋体" w:eastAsia="宋体" w:cs="宋体"/>
          <w:color w:val="auto"/>
          <w:spacing w:val="-3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 xml:space="preserve">¥  </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6"/>
          <w:sz w:val="21"/>
          <w:szCs w:val="21"/>
          <w:highlight w:val="none"/>
        </w:rPr>
        <w:t>）；</w:t>
      </w:r>
    </w:p>
    <w:p>
      <w:pPr>
        <w:spacing w:before="132" w:line="219"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）材料和工程设备暂估价金额：</w:t>
      </w:r>
    </w:p>
    <w:p>
      <w:pPr>
        <w:spacing w:before="130" w:line="220" w:lineRule="auto"/>
        <w:ind w:left="9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人民币（大写）</w:t>
      </w:r>
      <w:r>
        <w:rPr>
          <w:rFonts w:ascii="宋体" w:hAnsi="宋体" w:eastAsia="宋体" w:cs="宋体"/>
          <w:color w:val="auto"/>
          <w:spacing w:val="-3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6"/>
          <w:sz w:val="21"/>
          <w:szCs w:val="21"/>
          <w:highlight w:val="none"/>
        </w:rPr>
        <w:t>）；</w:t>
      </w:r>
    </w:p>
    <w:p>
      <w:pPr>
        <w:spacing w:before="129" w:line="219"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）专业工程暂估价金额：</w:t>
      </w:r>
    </w:p>
    <w:p>
      <w:pPr>
        <w:spacing w:before="133" w:line="220" w:lineRule="auto"/>
        <w:ind w:left="9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人民币（大写）</w:t>
      </w:r>
      <w:r>
        <w:rPr>
          <w:rFonts w:ascii="宋体" w:hAnsi="宋体" w:eastAsia="宋体" w:cs="宋体"/>
          <w:color w:val="auto"/>
          <w:spacing w:val="-3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6"/>
          <w:sz w:val="21"/>
          <w:szCs w:val="21"/>
          <w:highlight w:val="none"/>
        </w:rPr>
        <w:t>）；</w:t>
      </w:r>
    </w:p>
    <w:p>
      <w:pPr>
        <w:spacing w:line="220" w:lineRule="auto"/>
        <w:rPr>
          <w:rFonts w:ascii="宋体" w:hAnsi="宋体" w:eastAsia="宋体" w:cs="宋体"/>
          <w:color w:val="auto"/>
          <w:sz w:val="21"/>
          <w:szCs w:val="21"/>
          <w:highlight w:val="none"/>
        </w:rPr>
        <w:sectPr>
          <w:footerReference r:id="rId52" w:type="default"/>
          <w:pgSz w:w="11907" w:h="16839"/>
          <w:pgMar w:top="1431" w:right="1548" w:bottom="1004" w:left="1539" w:header="0" w:footer="829" w:gutter="0"/>
          <w:pgNumType w:fmt="numberInDash"/>
          <w:cols w:space="720" w:num="1"/>
        </w:sectPr>
      </w:pPr>
    </w:p>
    <w:p>
      <w:pPr>
        <w:spacing w:before="110" w:line="221" w:lineRule="auto"/>
        <w:ind w:left="427"/>
        <w:rPr>
          <w:rFonts w:ascii="宋体" w:hAnsi="宋体" w:eastAsia="宋体" w:cs="宋体"/>
          <w:color w:val="auto"/>
          <w:sz w:val="21"/>
          <w:szCs w:val="21"/>
          <w:highlight w:val="none"/>
        </w:rPr>
      </w:pPr>
      <w:bookmarkStart w:id="142" w:name="bookmark182"/>
      <w:bookmarkEnd w:id="142"/>
      <w:bookmarkStart w:id="143" w:name="bookmark184"/>
      <w:bookmarkEnd w:id="143"/>
      <w:bookmarkStart w:id="144" w:name="bookmark181"/>
      <w:bookmarkEnd w:id="144"/>
      <w:bookmarkStart w:id="145" w:name="bookmark183"/>
      <w:bookmarkEnd w:id="145"/>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）暂列金额：</w:t>
      </w:r>
    </w:p>
    <w:p>
      <w:pPr>
        <w:spacing w:before="128" w:line="333" w:lineRule="auto"/>
        <w:ind w:left="948"/>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人民币（大写）</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
          <w:sz w:val="21"/>
          <w:szCs w:val="21"/>
          <w:highlight w:val="none"/>
        </w:rPr>
        <w:t xml:space="preserve">  </w:t>
      </w:r>
      <w:r>
        <w:rPr>
          <w:rFonts w:ascii="宋体" w:hAnsi="宋体" w:eastAsia="宋体" w:cs="宋体"/>
          <w:color w:val="auto"/>
          <w:spacing w:val="-13"/>
          <w:sz w:val="21"/>
          <w:szCs w:val="21"/>
          <w:highlight w:val="none"/>
        </w:rPr>
        <w:t>(</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Times New Roman" w:cs="Times New Roman"/>
          <w:color w:val="auto"/>
          <w:spacing w:val="2"/>
          <w:sz w:val="21"/>
          <w:szCs w:val="21"/>
          <w:highlight w:val="none"/>
          <w:u w:val="single" w:color="auto"/>
        </w:rPr>
        <w:t xml:space="preserve">                     </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3"/>
          <w:sz w:val="21"/>
          <w:szCs w:val="21"/>
          <w:highlight w:val="none"/>
        </w:rPr>
        <w:t>元）。</w:t>
      </w:r>
    </w:p>
    <w:p>
      <w:pPr>
        <w:spacing w:line="219" w:lineRule="auto"/>
        <w:ind w:left="4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合同价格形式：</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固定总价</w:t>
      </w:r>
      <w:r>
        <w:rPr>
          <w:rFonts w:hint="eastAsia" w:ascii="宋体" w:hAnsi="宋体" w:eastAsia="宋体" w:cs="宋体"/>
          <w:color w:val="auto"/>
          <w:spacing w:val="3"/>
          <w:sz w:val="21"/>
          <w:szCs w:val="21"/>
          <w:highlight w:val="none"/>
          <w:u w:val="single" w:color="auto"/>
          <w:lang w:eastAsia="zh-CN"/>
        </w:rPr>
        <w:t>合同</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216" w:line="220" w:lineRule="auto"/>
        <w:ind w:left="6"/>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五、项目经理</w:t>
      </w:r>
    </w:p>
    <w:p>
      <w:pPr>
        <w:spacing w:before="289"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承包人项目经理：</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212" w:line="220" w:lineRule="auto"/>
        <w:ind w:left="7"/>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六、合同文件构成</w:t>
      </w:r>
    </w:p>
    <w:p>
      <w:pPr>
        <w:spacing w:before="289" w:line="380" w:lineRule="exact"/>
        <w:ind w:left="421"/>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本协议书与下列文件一起构成合同文件：</w:t>
      </w:r>
    </w:p>
    <w:p>
      <w:pPr>
        <w:spacing w:before="1" w:line="219"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）中标通知书（如果有</w:t>
      </w:r>
      <w:r>
        <w:rPr>
          <w:rFonts w:ascii="宋体" w:hAnsi="宋体" w:eastAsia="宋体" w:cs="宋体"/>
          <w:color w:val="auto"/>
          <w:spacing w:val="-56"/>
          <w:sz w:val="21"/>
          <w:szCs w:val="21"/>
          <w:highlight w:val="none"/>
        </w:rPr>
        <w:t>）；</w:t>
      </w:r>
    </w:p>
    <w:p>
      <w:pPr>
        <w:spacing w:before="132" w:line="379" w:lineRule="exact"/>
        <w:ind w:left="427"/>
        <w:rPr>
          <w:rFonts w:ascii="宋体" w:hAnsi="宋体" w:eastAsia="宋体" w:cs="宋体"/>
          <w:color w:val="auto"/>
          <w:sz w:val="21"/>
          <w:szCs w:val="21"/>
          <w:highlight w:val="none"/>
        </w:rPr>
      </w:pPr>
      <w:r>
        <w:rPr>
          <w:rFonts w:ascii="宋体" w:hAnsi="宋体" w:eastAsia="宋体" w:cs="宋体"/>
          <w:color w:val="auto"/>
          <w:spacing w:val="-7"/>
          <w:position w:val="12"/>
          <w:sz w:val="21"/>
          <w:szCs w:val="21"/>
          <w:highlight w:val="none"/>
        </w:rPr>
        <w:t>（</w:t>
      </w:r>
      <w:r>
        <w:rPr>
          <w:rFonts w:ascii="Times New Roman" w:hAnsi="Times New Roman" w:eastAsia="Times New Roman" w:cs="Times New Roman"/>
          <w:color w:val="auto"/>
          <w:spacing w:val="-7"/>
          <w:position w:val="12"/>
          <w:sz w:val="21"/>
          <w:szCs w:val="21"/>
          <w:highlight w:val="none"/>
        </w:rPr>
        <w:t>2</w:t>
      </w:r>
      <w:r>
        <w:rPr>
          <w:rFonts w:ascii="宋体" w:hAnsi="宋体" w:eastAsia="宋体" w:cs="宋体"/>
          <w:color w:val="auto"/>
          <w:spacing w:val="-7"/>
          <w:position w:val="12"/>
          <w:sz w:val="21"/>
          <w:szCs w:val="21"/>
          <w:highlight w:val="none"/>
        </w:rPr>
        <w:t>）投标函及其附录（如果有</w:t>
      </w:r>
      <w:r>
        <w:rPr>
          <w:rFonts w:ascii="宋体" w:hAnsi="宋体" w:eastAsia="宋体" w:cs="宋体"/>
          <w:color w:val="auto"/>
          <w:spacing w:val="-17"/>
          <w:position w:val="12"/>
          <w:sz w:val="21"/>
          <w:szCs w:val="21"/>
          <w:highlight w:val="none"/>
        </w:rPr>
        <w:t>）；</w:t>
      </w:r>
    </w:p>
    <w:p>
      <w:pPr>
        <w:spacing w:before="1" w:line="219"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）专用合同条款及其附件；</w:t>
      </w:r>
    </w:p>
    <w:p>
      <w:pPr>
        <w:spacing w:before="129"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）通用合同条款；</w:t>
      </w:r>
    </w:p>
    <w:p>
      <w:pPr>
        <w:spacing w:before="130" w:line="379" w:lineRule="exact"/>
        <w:ind w:left="427"/>
        <w:rPr>
          <w:rFonts w:ascii="宋体" w:hAnsi="宋体" w:eastAsia="宋体" w:cs="宋体"/>
          <w:color w:val="auto"/>
          <w:sz w:val="21"/>
          <w:szCs w:val="21"/>
          <w:highlight w:val="none"/>
        </w:rPr>
      </w:pPr>
      <w:r>
        <w:rPr>
          <w:rFonts w:ascii="宋体" w:hAnsi="宋体" w:eastAsia="宋体" w:cs="宋体"/>
          <w:color w:val="auto"/>
          <w:spacing w:val="-4"/>
          <w:position w:val="12"/>
          <w:sz w:val="21"/>
          <w:szCs w:val="21"/>
          <w:highlight w:val="none"/>
        </w:rPr>
        <w:t>（</w:t>
      </w:r>
      <w:r>
        <w:rPr>
          <w:rFonts w:ascii="Times New Roman" w:hAnsi="Times New Roman" w:eastAsia="Times New Roman" w:cs="Times New Roman"/>
          <w:color w:val="auto"/>
          <w:spacing w:val="-4"/>
          <w:position w:val="12"/>
          <w:sz w:val="21"/>
          <w:szCs w:val="21"/>
          <w:highlight w:val="none"/>
        </w:rPr>
        <w:t>5</w:t>
      </w:r>
      <w:r>
        <w:rPr>
          <w:rFonts w:ascii="宋体" w:hAnsi="宋体" w:eastAsia="宋体" w:cs="宋体"/>
          <w:color w:val="auto"/>
          <w:spacing w:val="-4"/>
          <w:position w:val="12"/>
          <w:sz w:val="21"/>
          <w:szCs w:val="21"/>
          <w:highlight w:val="none"/>
        </w:rPr>
        <w:t>）技术标准和要求；</w:t>
      </w:r>
    </w:p>
    <w:p>
      <w:pPr>
        <w:spacing w:line="222"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）图纸；</w:t>
      </w:r>
    </w:p>
    <w:p>
      <w:pPr>
        <w:spacing w:before="127" w:line="382" w:lineRule="exact"/>
        <w:ind w:left="427"/>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w:t>
      </w:r>
      <w:r>
        <w:rPr>
          <w:rFonts w:ascii="Times New Roman" w:hAnsi="Times New Roman" w:eastAsia="Times New Roman" w:cs="Times New Roman"/>
          <w:color w:val="auto"/>
          <w:spacing w:val="-1"/>
          <w:position w:val="12"/>
          <w:sz w:val="21"/>
          <w:szCs w:val="21"/>
          <w:highlight w:val="none"/>
        </w:rPr>
        <w:t>7</w:t>
      </w:r>
      <w:r>
        <w:rPr>
          <w:rFonts w:ascii="宋体" w:hAnsi="宋体" w:eastAsia="宋体" w:cs="宋体"/>
          <w:color w:val="auto"/>
          <w:spacing w:val="-1"/>
          <w:position w:val="12"/>
          <w:sz w:val="21"/>
          <w:szCs w:val="21"/>
          <w:highlight w:val="none"/>
        </w:rPr>
        <w:t>）已标价工程量清单或预算书；</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8</w:t>
      </w:r>
      <w:r>
        <w:rPr>
          <w:rFonts w:ascii="宋体" w:hAnsi="宋体" w:eastAsia="宋体" w:cs="宋体"/>
          <w:color w:val="auto"/>
          <w:spacing w:val="-2"/>
          <w:sz w:val="21"/>
          <w:szCs w:val="21"/>
          <w:highlight w:val="none"/>
        </w:rPr>
        <w:t>）其他合同文件。</w:t>
      </w:r>
    </w:p>
    <w:p>
      <w:pPr>
        <w:spacing w:before="128" w:line="221" w:lineRule="auto"/>
        <w:ind w:left="420"/>
        <w:rPr>
          <w:rFonts w:ascii="宋体" w:hAnsi="宋体" w:eastAsia="宋体" w:cs="宋体"/>
          <w:color w:val="auto"/>
          <w:sz w:val="21"/>
          <w:szCs w:val="21"/>
          <w:highlight w:val="none"/>
        </w:rPr>
      </w:pPr>
      <w:r>
        <w:rPr>
          <w:rFonts w:ascii="宋体" w:hAnsi="宋体" w:eastAsia="宋体" w:cs="宋体"/>
          <w:color w:val="auto"/>
          <w:sz w:val="21"/>
          <w:szCs w:val="21"/>
          <w:highlight w:val="none"/>
        </w:rPr>
        <w:t>在合同订立及履行过程中形成的与合同有关的文件均构成合同文件组成部</w:t>
      </w:r>
      <w:r>
        <w:rPr>
          <w:rFonts w:ascii="宋体" w:hAnsi="宋体" w:eastAsia="宋体" w:cs="宋体"/>
          <w:color w:val="auto"/>
          <w:spacing w:val="-1"/>
          <w:sz w:val="21"/>
          <w:szCs w:val="21"/>
          <w:highlight w:val="none"/>
        </w:rPr>
        <w:t>分。</w:t>
      </w:r>
    </w:p>
    <w:p>
      <w:pPr>
        <w:spacing w:before="129" w:line="381" w:lineRule="exact"/>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上述各项合同文件包括合同当事人就该项合同文件所作出的补充和修改，属于同</w:t>
      </w:r>
      <w:r>
        <w:rPr>
          <w:rFonts w:ascii="宋体" w:hAnsi="宋体" w:eastAsia="宋体" w:cs="宋体"/>
          <w:color w:val="auto"/>
          <w:spacing w:val="-1"/>
          <w:position w:val="12"/>
          <w:sz w:val="21"/>
          <w:szCs w:val="21"/>
          <w:highlight w:val="none"/>
        </w:rPr>
        <w:t>一类内容的</w:t>
      </w:r>
    </w:p>
    <w:p>
      <w:pPr>
        <w:spacing w:before="1" w:line="219" w:lineRule="auto"/>
        <w:ind w:left="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文件， 应以最新签署的为准。</w:t>
      </w:r>
      <w:r>
        <w:rPr>
          <w:rFonts w:ascii="宋体" w:hAnsi="宋体" w:eastAsia="宋体" w:cs="宋体"/>
          <w:color w:val="auto"/>
          <w:spacing w:val="-12"/>
          <w:sz w:val="21"/>
          <w:szCs w:val="21"/>
          <w:highlight w:val="none"/>
        </w:rPr>
        <w:t xml:space="preserve"> </w:t>
      </w:r>
      <w:r>
        <w:rPr>
          <w:rFonts w:ascii="宋体" w:hAnsi="宋体" w:eastAsia="宋体" w:cs="宋体"/>
          <w:color w:val="auto"/>
          <w:spacing w:val="-6"/>
          <w:sz w:val="21"/>
          <w:szCs w:val="21"/>
          <w:highlight w:val="none"/>
        </w:rPr>
        <w:t>专用合同条款及其附件须经合同当事人签字或盖章。</w:t>
      </w:r>
    </w:p>
    <w:p>
      <w:pPr>
        <w:spacing w:before="213" w:line="221" w:lineRule="auto"/>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七、承诺</w:t>
      </w:r>
    </w:p>
    <w:p>
      <w:pPr>
        <w:spacing w:before="289" w:line="379"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1.</w:t>
      </w:r>
      <w:r>
        <w:rPr>
          <w:rFonts w:ascii="宋体" w:hAnsi="宋体" w:eastAsia="宋体" w:cs="宋体"/>
          <w:color w:val="auto"/>
          <w:spacing w:val="1"/>
          <w:position w:val="12"/>
          <w:sz w:val="21"/>
          <w:szCs w:val="21"/>
          <w:highlight w:val="none"/>
        </w:rPr>
        <w:t>发包人承诺按照法律规定履行项目审批手续、筹集工程建设资金</w:t>
      </w:r>
      <w:r>
        <w:rPr>
          <w:rFonts w:ascii="宋体" w:hAnsi="宋体" w:eastAsia="宋体" w:cs="宋体"/>
          <w:color w:val="auto"/>
          <w:position w:val="12"/>
          <w:sz w:val="21"/>
          <w:szCs w:val="21"/>
          <w:highlight w:val="none"/>
        </w:rPr>
        <w:t>并按照合同约定的期限和</w:t>
      </w:r>
    </w:p>
    <w:p>
      <w:pPr>
        <w:spacing w:before="1" w:line="219"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方式支付合同价款。</w:t>
      </w:r>
    </w:p>
    <w:p>
      <w:pPr>
        <w:spacing w:before="132" w:line="379"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2.</w:t>
      </w:r>
      <w:r>
        <w:rPr>
          <w:rFonts w:ascii="宋体" w:hAnsi="宋体" w:eastAsia="宋体" w:cs="宋体"/>
          <w:color w:val="auto"/>
          <w:spacing w:val="1"/>
          <w:position w:val="12"/>
          <w:sz w:val="21"/>
          <w:szCs w:val="21"/>
          <w:highlight w:val="none"/>
        </w:rPr>
        <w:t>承包人承诺按照法律规定及合同约定组织完成工程施工，确保工程质量和安全，不进行转</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包及违法分包， 并在缺陷责任期及保修期内承担相应的工程维修责任。</w:t>
      </w:r>
    </w:p>
    <w:p>
      <w:pPr>
        <w:spacing w:before="128" w:line="382"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w:t>
      </w:r>
      <w:r>
        <w:rPr>
          <w:rFonts w:ascii="宋体" w:hAnsi="宋体" w:eastAsia="宋体" w:cs="宋体"/>
          <w:color w:val="auto"/>
          <w:spacing w:val="1"/>
          <w:position w:val="12"/>
          <w:sz w:val="21"/>
          <w:szCs w:val="21"/>
          <w:highlight w:val="none"/>
        </w:rPr>
        <w:t>发包人和承包人通过招投标形式签订合同的，双方理解并承诺不再就同一工程另行签订与</w:t>
      </w:r>
    </w:p>
    <w:p>
      <w:pPr>
        <w:spacing w:before="1" w:line="220" w:lineRule="auto"/>
        <w:ind w:left="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合同实质性内容相背离的协议。</w:t>
      </w:r>
    </w:p>
    <w:p>
      <w:pPr>
        <w:spacing w:before="212" w:line="221" w:lineRule="auto"/>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八、词语含义</w:t>
      </w:r>
    </w:p>
    <w:p>
      <w:pPr>
        <w:spacing w:before="289" w:line="220" w:lineRule="auto"/>
        <w:ind w:left="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本协议书中词语含义与第二部分通用合同条款中赋予的含义相同。</w:t>
      </w:r>
    </w:p>
    <w:p>
      <w:pPr>
        <w:spacing w:before="213" w:line="221" w:lineRule="auto"/>
        <w:ind w:left="5"/>
        <w:outlineLvl w:val="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九、签订时间</w:t>
      </w:r>
    </w:p>
    <w:p>
      <w:pPr>
        <w:spacing w:before="288" w:line="220" w:lineRule="auto"/>
        <w:ind w:left="42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本合同于</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6"/>
          <w:sz w:val="21"/>
          <w:szCs w:val="21"/>
          <w:highlight w:val="none"/>
        </w:rPr>
        <w:t>月</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57"/>
          <w:sz w:val="21"/>
          <w:szCs w:val="21"/>
          <w:highlight w:val="none"/>
        </w:rPr>
        <w:t xml:space="preserve"> </w:t>
      </w:r>
      <w:r>
        <w:rPr>
          <w:rFonts w:ascii="宋体" w:hAnsi="宋体" w:eastAsia="宋体" w:cs="宋体"/>
          <w:color w:val="auto"/>
          <w:spacing w:val="-6"/>
          <w:sz w:val="21"/>
          <w:szCs w:val="21"/>
          <w:highlight w:val="none"/>
        </w:rPr>
        <w:t>日签订。</w:t>
      </w:r>
    </w:p>
    <w:p>
      <w:pPr>
        <w:spacing w:before="216" w:line="221" w:lineRule="auto"/>
        <w:ind w:left="3"/>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十、签订地点</w:t>
      </w:r>
    </w:p>
    <w:p>
      <w:pPr>
        <w:spacing w:before="288" w:line="220" w:lineRule="auto"/>
        <w:ind w:left="4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本合同在</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5"/>
          <w:sz w:val="21"/>
          <w:szCs w:val="21"/>
          <w:highlight w:val="none"/>
        </w:rPr>
        <w:t>签订。</w:t>
      </w:r>
    </w:p>
    <w:p>
      <w:pPr>
        <w:spacing w:before="213" w:line="220" w:lineRule="auto"/>
        <w:ind w:left="3"/>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14:textOutline w14:w="3831" w14:cap="flat" w14:cmpd="sng">
            <w14:solidFill>
              <w14:srgbClr w14:val="000000"/>
            </w14:solidFill>
            <w14:prstDash w14:val="solid"/>
            <w14:miter w14:val="0"/>
          </w14:textOutline>
        </w:rPr>
        <w:t>十一、补充协议</w:t>
      </w:r>
    </w:p>
    <w:p>
      <w:pPr>
        <w:spacing w:line="220" w:lineRule="auto"/>
        <w:rPr>
          <w:rFonts w:ascii="黑体" w:hAnsi="黑体" w:eastAsia="黑体" w:cs="黑体"/>
          <w:color w:val="auto"/>
          <w:sz w:val="21"/>
          <w:szCs w:val="21"/>
          <w:highlight w:val="none"/>
        </w:rPr>
        <w:sectPr>
          <w:footerReference r:id="rId53" w:type="default"/>
          <w:pgSz w:w="11907" w:h="16839"/>
          <w:pgMar w:top="1431" w:right="1548" w:bottom="1004" w:left="1539" w:header="0" w:footer="829" w:gutter="0"/>
          <w:pgNumType w:fmt="numberInDash"/>
          <w:cols w:space="720" w:num="1"/>
        </w:sectPr>
      </w:pPr>
    </w:p>
    <w:p>
      <w:pPr>
        <w:spacing w:before="110" w:line="221" w:lineRule="auto"/>
        <w:ind w:left="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合同未尽事宜，</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合同当事人另行签订补充协议，补充协议是合同的组成部分。</w:t>
      </w:r>
    </w:p>
    <w:p>
      <w:pPr>
        <w:spacing w:before="212" w:line="219" w:lineRule="auto"/>
        <w:ind w:left="10"/>
        <w:rPr>
          <w:rFonts w:ascii="黑体" w:hAnsi="黑体" w:eastAsia="黑体" w:cs="黑体"/>
          <w:color w:val="auto"/>
          <w:sz w:val="21"/>
          <w:szCs w:val="21"/>
          <w:highlight w:val="none"/>
        </w:rPr>
      </w:pPr>
      <w:bookmarkStart w:id="146" w:name="bookmark185"/>
      <w:bookmarkEnd w:id="146"/>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十二、合同生效</w:t>
      </w:r>
    </w:p>
    <w:p>
      <w:pPr>
        <w:spacing w:before="290" w:line="220" w:lineRule="auto"/>
        <w:ind w:left="42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本合同自</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5"/>
          <w:sz w:val="21"/>
          <w:szCs w:val="21"/>
          <w:highlight w:val="none"/>
        </w:rPr>
        <w:t>生效。</w:t>
      </w:r>
    </w:p>
    <w:p>
      <w:pPr>
        <w:spacing w:before="212" w:line="221" w:lineRule="auto"/>
        <w:ind w:left="1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14:textOutline w14:w="3831" w14:cap="flat" w14:cmpd="sng">
            <w14:solidFill>
              <w14:srgbClr w14:val="000000"/>
            </w14:solidFill>
            <w14:prstDash w14:val="solid"/>
            <w14:miter w14:val="0"/>
          </w14:textOutline>
        </w:rPr>
        <w:t>十三、合同份数</w:t>
      </w:r>
    </w:p>
    <w:p>
      <w:pPr>
        <w:spacing w:before="289" w:line="220" w:lineRule="auto"/>
        <w:ind w:left="42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本合同一式</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5"/>
          <w:sz w:val="21"/>
          <w:szCs w:val="21"/>
          <w:highlight w:val="none"/>
        </w:rPr>
        <w:t>份，</w:t>
      </w:r>
      <w:r>
        <w:rPr>
          <w:rFonts w:ascii="宋体" w:hAnsi="宋体" w:eastAsia="宋体" w:cs="宋体"/>
          <w:color w:val="auto"/>
          <w:spacing w:val="-25"/>
          <w:sz w:val="21"/>
          <w:szCs w:val="21"/>
          <w:highlight w:val="none"/>
        </w:rPr>
        <w:t xml:space="preserve"> </w:t>
      </w:r>
      <w:r>
        <w:rPr>
          <w:rFonts w:ascii="宋体" w:hAnsi="宋体" w:eastAsia="宋体" w:cs="宋体"/>
          <w:color w:val="auto"/>
          <w:spacing w:val="-5"/>
          <w:sz w:val="21"/>
          <w:szCs w:val="21"/>
          <w:highlight w:val="none"/>
        </w:rPr>
        <w:t>均具有同等法律效力，</w:t>
      </w:r>
      <w:r>
        <w:rPr>
          <w:rFonts w:ascii="宋体" w:hAnsi="宋体" w:eastAsia="宋体" w:cs="宋体"/>
          <w:color w:val="auto"/>
          <w:spacing w:val="-6"/>
          <w:sz w:val="21"/>
          <w:szCs w:val="21"/>
          <w:highlight w:val="none"/>
        </w:rPr>
        <w:t>发包人执</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6"/>
          <w:sz w:val="21"/>
          <w:szCs w:val="21"/>
          <w:highlight w:val="none"/>
        </w:rPr>
        <w:t>份，</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承包人执</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6"/>
          <w:sz w:val="21"/>
          <w:szCs w:val="21"/>
          <w:highlight w:val="none"/>
        </w:rPr>
        <w:t>份。</w:t>
      </w:r>
    </w:p>
    <w:p>
      <w:pPr>
        <w:pStyle w:val="2"/>
        <w:spacing w:line="256"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pStyle w:val="2"/>
        <w:spacing w:line="257" w:lineRule="auto"/>
        <w:rPr>
          <w:color w:val="auto"/>
          <w:highlight w:val="none"/>
        </w:rPr>
      </w:pPr>
    </w:p>
    <w:p>
      <w:pPr>
        <w:spacing w:before="68" w:line="220" w:lineRule="auto"/>
        <w:ind w:left="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w:t>
      </w:r>
      <w:r>
        <w:rPr>
          <w:rFonts w:ascii="宋体" w:hAnsi="宋体" w:eastAsia="宋体" w:cs="宋体"/>
          <w:color w:val="auto"/>
          <w:spacing w:val="-15"/>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3"/>
          <w:sz w:val="21"/>
          <w:szCs w:val="21"/>
          <w:highlight w:val="none"/>
        </w:rPr>
        <w:t>公章）                                      承包人</w:t>
      </w:r>
      <w:r>
        <w:rPr>
          <w:rFonts w:ascii="宋体" w:hAnsi="宋体" w:eastAsia="宋体" w:cs="宋体"/>
          <w:color w:val="auto"/>
          <w:spacing w:val="-15"/>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3"/>
          <w:sz w:val="21"/>
          <w:szCs w:val="21"/>
          <w:highlight w:val="none"/>
        </w:rPr>
        <w:t>公章）</w:t>
      </w:r>
    </w:p>
    <w:p>
      <w:pPr>
        <w:spacing w:before="227"/>
        <w:rPr>
          <w:color w:val="auto"/>
          <w:highlight w:val="none"/>
        </w:rPr>
      </w:pPr>
    </w:p>
    <w:p>
      <w:pPr>
        <w:rPr>
          <w:color w:val="auto"/>
          <w:highlight w:val="none"/>
        </w:rPr>
        <w:sectPr>
          <w:footerReference r:id="rId54" w:type="default"/>
          <w:pgSz w:w="11907" w:h="16839"/>
          <w:pgMar w:top="1431" w:right="1600" w:bottom="1004" w:left="1531" w:header="0" w:footer="829" w:gutter="0"/>
          <w:pgNumType w:fmt="numberInDash"/>
          <w:cols w:equalWidth="0" w:num="1">
            <w:col w:w="8774"/>
          </w:cols>
        </w:sectPr>
      </w:pPr>
    </w:p>
    <w:p>
      <w:pPr>
        <w:spacing w:before="42" w:line="380" w:lineRule="exact"/>
        <w:ind w:left="429"/>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法定代表人或其委托代理人：</w:t>
      </w:r>
    </w:p>
    <w:p>
      <w:pPr>
        <w:spacing w:line="185" w:lineRule="auto"/>
        <w:ind w:left="43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（签字）</w:t>
      </w:r>
    </w:p>
    <w:p>
      <w:pPr>
        <w:pStyle w:val="2"/>
        <w:spacing w:line="14" w:lineRule="auto"/>
        <w:rPr>
          <w:color w:val="auto"/>
          <w:sz w:val="2"/>
          <w:highlight w:val="none"/>
        </w:rPr>
      </w:pPr>
      <w:r>
        <w:rPr>
          <w:color w:val="auto"/>
          <w:sz w:val="2"/>
          <w:szCs w:val="2"/>
          <w:highlight w:val="none"/>
        </w:rPr>
        <w:br w:type="column"/>
      </w:r>
    </w:p>
    <w:p>
      <w:pPr>
        <w:spacing w:before="40" w:line="221"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法定代表人或其委托代理人：</w:t>
      </w:r>
    </w:p>
    <w:p>
      <w:pPr>
        <w:spacing w:before="129" w:line="186" w:lineRule="auto"/>
        <w:ind w:left="210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（签字）</w:t>
      </w:r>
    </w:p>
    <w:p>
      <w:pPr>
        <w:spacing w:line="186" w:lineRule="auto"/>
        <w:rPr>
          <w:rFonts w:ascii="宋体" w:hAnsi="宋体" w:eastAsia="宋体" w:cs="宋体"/>
          <w:color w:val="auto"/>
          <w:sz w:val="21"/>
          <w:szCs w:val="21"/>
          <w:highlight w:val="none"/>
        </w:rPr>
        <w:sectPr>
          <w:type w:val="continuous"/>
          <w:pgSz w:w="11907" w:h="16839"/>
          <w:pgMar w:top="1431" w:right="1600" w:bottom="1004" w:left="1531" w:header="0" w:footer="829" w:gutter="0"/>
          <w:pgNumType w:fmt="numberInDash"/>
          <w:cols w:equalWidth="0" w:num="2">
            <w:col w:w="4533" w:space="100"/>
            <w:col w:w="4142"/>
          </w:cols>
        </w:sectPr>
      </w:pPr>
    </w:p>
    <w:p>
      <w:pPr>
        <w:spacing w:before="12"/>
        <w:rPr>
          <w:color w:val="auto"/>
          <w:highlight w:val="none"/>
        </w:rPr>
      </w:pPr>
    </w:p>
    <w:p>
      <w:pPr>
        <w:spacing w:before="12"/>
        <w:rPr>
          <w:color w:val="auto"/>
          <w:highlight w:val="none"/>
        </w:rPr>
      </w:pPr>
    </w:p>
    <w:p>
      <w:pPr>
        <w:rPr>
          <w:color w:val="auto"/>
          <w:highlight w:val="none"/>
        </w:rPr>
        <w:sectPr>
          <w:type w:val="continuous"/>
          <w:pgSz w:w="11907" w:h="16839"/>
          <w:pgMar w:top="1431" w:right="1600" w:bottom="1004" w:left="1531" w:header="0" w:footer="829" w:gutter="0"/>
          <w:pgNumType w:fmt="numberInDash"/>
          <w:cols w:equalWidth="0" w:num="1">
            <w:col w:w="8774"/>
          </w:cols>
        </w:sectPr>
      </w:pPr>
    </w:p>
    <w:p>
      <w:pPr>
        <w:spacing w:before="43" w:line="333" w:lineRule="auto"/>
        <w:ind w:left="43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组织机构代码：</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 w:line="229" w:lineRule="auto"/>
        <w:ind w:left="428"/>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6"/>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20" w:line="333" w:lineRule="auto"/>
        <w:ind w:left="443"/>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邮政编码：</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 w:line="220" w:lineRule="auto"/>
        <w:ind w:left="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法定代表人：</w:t>
      </w:r>
      <w:r>
        <w:rPr>
          <w:rFonts w:ascii="宋体" w:hAnsi="宋体" w:eastAsia="宋体" w:cs="宋体"/>
          <w:color w:val="auto"/>
          <w:sz w:val="21"/>
          <w:szCs w:val="21"/>
          <w:highlight w:val="none"/>
          <w:u w:val="single" w:color="auto"/>
        </w:rPr>
        <w:t xml:space="preserve">                 </w:t>
      </w:r>
    </w:p>
    <w:p>
      <w:pPr>
        <w:spacing w:before="128"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w:t>
      </w:r>
      <w:r>
        <w:rPr>
          <w:rFonts w:ascii="宋体" w:hAnsi="宋体" w:eastAsia="宋体" w:cs="宋体"/>
          <w:color w:val="auto"/>
          <w:sz w:val="21"/>
          <w:szCs w:val="21"/>
          <w:highlight w:val="none"/>
          <w:u w:val="single" w:color="auto"/>
        </w:rPr>
        <w:t xml:space="preserve">                 </w:t>
      </w:r>
    </w:p>
    <w:p>
      <w:pPr>
        <w:spacing w:before="130" w:line="223" w:lineRule="auto"/>
        <w:ind w:left="452"/>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6"/>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26" w:line="220" w:lineRule="auto"/>
        <w:ind w:left="426"/>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8"/>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29" w:line="221" w:lineRule="auto"/>
        <w:ind w:left="452"/>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电子信箱：</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25" w:line="333" w:lineRule="auto"/>
        <w:ind w:left="42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开户银行：</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 w:line="185" w:lineRule="auto"/>
        <w:ind w:left="431"/>
        <w:rPr>
          <w:rFonts w:ascii="宋体" w:hAnsi="宋体" w:eastAsia="宋体" w:cs="宋体"/>
          <w:color w:val="auto"/>
          <w:sz w:val="21"/>
          <w:szCs w:val="21"/>
          <w:highlight w:val="none"/>
        </w:rPr>
      </w:pPr>
      <w:r>
        <w:rPr>
          <w:rFonts w:ascii="宋体" w:hAnsi="宋体" w:eastAsia="宋体" w:cs="宋体"/>
          <w:color w:val="auto"/>
          <w:spacing w:val="-32"/>
          <w:sz w:val="21"/>
          <w:szCs w:val="21"/>
          <w:highlight w:val="none"/>
        </w:rPr>
        <w:t>账</w:t>
      </w:r>
      <w:r>
        <w:rPr>
          <w:rFonts w:ascii="宋体" w:hAnsi="宋体" w:eastAsia="宋体" w:cs="宋体"/>
          <w:color w:val="auto"/>
          <w:spacing w:val="7"/>
          <w:sz w:val="21"/>
          <w:szCs w:val="21"/>
          <w:highlight w:val="none"/>
        </w:rPr>
        <w:t xml:space="preserve">  </w:t>
      </w:r>
      <w:r>
        <w:rPr>
          <w:rFonts w:ascii="宋体" w:hAnsi="宋体" w:eastAsia="宋体" w:cs="宋体"/>
          <w:color w:val="auto"/>
          <w:spacing w:val="-32"/>
          <w:sz w:val="21"/>
          <w:szCs w:val="21"/>
          <w:highlight w:val="none"/>
        </w:rPr>
        <w:t>号：</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pPr>
        <w:pStyle w:val="2"/>
        <w:spacing w:line="14" w:lineRule="auto"/>
        <w:rPr>
          <w:color w:val="auto"/>
          <w:sz w:val="2"/>
          <w:highlight w:val="none"/>
        </w:rPr>
      </w:pPr>
      <w:r>
        <w:rPr>
          <w:color w:val="auto"/>
          <w:sz w:val="2"/>
          <w:szCs w:val="2"/>
          <w:highlight w:val="none"/>
        </w:rPr>
        <w:br w:type="column"/>
      </w:r>
    </w:p>
    <w:p>
      <w:pPr>
        <w:spacing w:before="41" w:line="220"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组织机构代码：</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29" w:line="335" w:lineRule="auto"/>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邮政编码：</w:t>
      </w:r>
      <w:r>
        <w:rPr>
          <w:rFonts w:ascii="宋体" w:hAnsi="宋体" w:eastAsia="宋体" w:cs="宋体"/>
          <w:color w:val="auto"/>
          <w:sz w:val="21"/>
          <w:szCs w:val="21"/>
          <w:highlight w:val="none"/>
          <w:u w:val="single" w:color="auto"/>
        </w:rPr>
        <w:t xml:space="preserve">             </w:t>
      </w:r>
    </w:p>
    <w:p>
      <w:pPr>
        <w:spacing w:before="129" w:line="333"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法定代表人：</w:t>
      </w:r>
      <w:r>
        <w:rPr>
          <w:rFonts w:ascii="宋体" w:hAnsi="宋体" w:eastAsia="宋体" w:cs="宋体"/>
          <w:color w:val="auto"/>
          <w:sz w:val="21"/>
          <w:szCs w:val="21"/>
          <w:highlight w:val="none"/>
          <w:u w:val="single" w:color="auto"/>
        </w:rPr>
        <w:t xml:space="preserve">          </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委托代理人：</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31" w:line="223" w:lineRule="auto"/>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5"/>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25" w:line="220" w:lineRule="auto"/>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7"/>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pPr>
        <w:pStyle w:val="2"/>
        <w:tabs>
          <w:tab w:val="left" w:pos="1305"/>
        </w:tabs>
        <w:spacing w:before="144" w:line="241" w:lineRule="exact"/>
        <w:rPr>
          <w:rFonts w:hint="default" w:eastAsia="宋体"/>
          <w:color w:val="auto"/>
          <w:highlight w:val="none"/>
          <w:lang w:val="en-US" w:eastAsia="zh-CN"/>
        </w:rPr>
      </w:pPr>
      <w:r>
        <w:rPr>
          <w:rFonts w:ascii="宋体" w:hAnsi="宋体" w:eastAsia="宋体" w:cs="宋体"/>
          <w:color w:val="auto"/>
          <w:sz w:val="21"/>
          <w:szCs w:val="21"/>
          <w:highlight w:val="none"/>
        </w:rPr>
        <w:t>电子信箱：</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68" w:line="221" w:lineRule="auto"/>
        <w:rPr>
          <w:rFonts w:ascii="宋体" w:hAnsi="宋体" w:eastAsia="宋体" w:cs="宋体"/>
          <w:color w:val="auto"/>
          <w:sz w:val="21"/>
          <w:szCs w:val="21"/>
          <w:highlight w:val="none"/>
          <w:u w:val="single" w:color="auto"/>
        </w:rPr>
      </w:pPr>
      <w:r>
        <w:rPr>
          <w:rFonts w:ascii="宋体" w:hAnsi="宋体" w:eastAsia="宋体" w:cs="宋体"/>
          <w:color w:val="auto"/>
          <w:spacing w:val="-2"/>
          <w:sz w:val="21"/>
          <w:szCs w:val="21"/>
          <w:highlight w:val="none"/>
        </w:rPr>
        <w:t>开户银行：</w:t>
      </w:r>
      <w:r>
        <w:rPr>
          <w:rFonts w:ascii="宋体" w:hAnsi="宋体" w:eastAsia="宋体" w:cs="宋体"/>
          <w:color w:val="auto"/>
          <w:sz w:val="21"/>
          <w:szCs w:val="21"/>
          <w:highlight w:val="none"/>
          <w:u w:val="single" w:color="auto"/>
        </w:rPr>
        <w:t xml:space="preserve">             </w:t>
      </w:r>
    </w:p>
    <w:p>
      <w:pPr>
        <w:spacing w:before="68" w:line="221" w:lineRule="auto"/>
        <w:rPr>
          <w:rFonts w:ascii="宋体" w:hAnsi="宋体" w:eastAsia="宋体" w:cs="宋体"/>
          <w:color w:val="auto"/>
          <w:sz w:val="21"/>
          <w:szCs w:val="21"/>
          <w:highlight w:val="none"/>
        </w:rPr>
      </w:pPr>
      <w:r>
        <w:rPr>
          <w:rFonts w:ascii="宋体" w:hAnsi="宋体" w:eastAsia="宋体" w:cs="宋体"/>
          <w:color w:val="auto"/>
          <w:spacing w:val="-32"/>
          <w:sz w:val="21"/>
          <w:szCs w:val="21"/>
          <w:highlight w:val="none"/>
        </w:rPr>
        <w:t>账</w:t>
      </w:r>
      <w:r>
        <w:rPr>
          <w:rFonts w:ascii="宋体" w:hAnsi="宋体" w:eastAsia="宋体" w:cs="宋体"/>
          <w:color w:val="auto"/>
          <w:spacing w:val="6"/>
          <w:sz w:val="21"/>
          <w:szCs w:val="21"/>
          <w:highlight w:val="none"/>
        </w:rPr>
        <w:t xml:space="preserve">  </w:t>
      </w:r>
      <w:r>
        <w:rPr>
          <w:rFonts w:ascii="宋体" w:hAnsi="宋体" w:eastAsia="宋体" w:cs="宋体"/>
          <w:color w:val="auto"/>
          <w:spacing w:val="-32"/>
          <w:sz w:val="21"/>
          <w:szCs w:val="21"/>
          <w:highlight w:val="none"/>
        </w:rPr>
        <w:t>号：</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line="186" w:lineRule="auto"/>
        <w:rPr>
          <w:rFonts w:ascii="宋体" w:hAnsi="宋体" w:eastAsia="宋体" w:cs="宋体"/>
          <w:color w:val="auto"/>
          <w:sz w:val="21"/>
          <w:szCs w:val="21"/>
          <w:highlight w:val="none"/>
        </w:rPr>
        <w:sectPr>
          <w:type w:val="continuous"/>
          <w:pgSz w:w="11907" w:h="16839"/>
          <w:pgMar w:top="1431" w:right="1600" w:bottom="1004" w:left="1531" w:header="0" w:footer="829" w:gutter="0"/>
          <w:pgNumType w:fmt="numberInDash"/>
          <w:cols w:equalWidth="0" w:num="2">
            <w:col w:w="5456" w:space="100"/>
            <w:col w:w="3219"/>
          </w:cols>
        </w:sect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spacing w:before="91" w:line="219" w:lineRule="auto"/>
        <w:ind w:left="2697"/>
        <w:rPr>
          <w:rFonts w:ascii="黑体" w:hAnsi="黑体" w:eastAsia="黑体" w:cs="黑体"/>
          <w:color w:val="auto"/>
          <w:sz w:val="28"/>
          <w:szCs w:val="28"/>
          <w:highlight w:val="none"/>
        </w:rPr>
      </w:pPr>
      <w:bookmarkStart w:id="147" w:name="bookmark187"/>
      <w:bookmarkEnd w:id="147"/>
      <w:bookmarkStart w:id="148" w:name="bookmark189"/>
      <w:bookmarkEnd w:id="148"/>
      <w:bookmarkStart w:id="149" w:name="bookmark188"/>
      <w:bookmarkEnd w:id="149"/>
      <w:bookmarkStart w:id="150" w:name="bookmark186"/>
      <w:bookmarkEnd w:id="150"/>
      <w:r>
        <w:rPr>
          <w:rFonts w:ascii="黑体" w:hAnsi="黑体" w:eastAsia="黑体" w:cs="黑体"/>
          <w:color w:val="auto"/>
          <w:spacing w:val="-1"/>
          <w:sz w:val="28"/>
          <w:szCs w:val="28"/>
          <w:highlight w:val="none"/>
        </w:rPr>
        <w:t>第二部分 通用合同条款</w:t>
      </w:r>
    </w:p>
    <w:p>
      <w:pPr>
        <w:spacing w:line="219" w:lineRule="auto"/>
        <w:rPr>
          <w:rFonts w:ascii="黑体" w:hAnsi="黑体" w:eastAsia="黑体" w:cs="黑体"/>
          <w:color w:val="auto"/>
          <w:sz w:val="28"/>
          <w:szCs w:val="28"/>
          <w:highlight w:val="none"/>
        </w:rPr>
        <w:sectPr>
          <w:footerReference r:id="rId55" w:type="default"/>
          <w:pgSz w:w="11905" w:h="16843"/>
          <w:pgMar w:top="1769" w:right="1548" w:bottom="1003" w:left="1542" w:header="0" w:footer="828" w:gutter="0"/>
          <w:pgNumType w:fmt="numberInDash"/>
          <w:cols w:space="0" w:num="1"/>
          <w:rtlGutter w:val="0"/>
          <w:docGrid w:linePitch="0" w:charSpace="0"/>
        </w:sectPr>
      </w:pPr>
    </w:p>
    <w:p>
      <w:pPr>
        <w:spacing w:before="65" w:line="220" w:lineRule="auto"/>
        <w:ind w:left="3570"/>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通用合同条款</w:t>
      </w:r>
    </w:p>
    <w:p>
      <w:pPr>
        <w:pStyle w:val="2"/>
        <w:spacing w:line="452" w:lineRule="auto"/>
        <w:rPr>
          <w:color w:val="auto"/>
          <w:highlight w:val="none"/>
        </w:rPr>
      </w:pPr>
    </w:p>
    <w:p>
      <w:pPr>
        <w:spacing w:before="91" w:line="219" w:lineRule="auto"/>
        <w:ind w:left="11"/>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5"/>
          <w:sz w:val="28"/>
          <w:szCs w:val="28"/>
          <w:highlight w:val="none"/>
        </w:rPr>
        <w:t>1.</w:t>
      </w:r>
      <w:r>
        <w:rPr>
          <w:rFonts w:ascii="Times New Roman" w:hAnsi="Times New Roman" w:eastAsia="Times New Roman" w:cs="Times New Roman"/>
          <w:b/>
          <w:bCs/>
          <w:color w:val="auto"/>
          <w:spacing w:val="8"/>
          <w:sz w:val="28"/>
          <w:szCs w:val="28"/>
          <w:highlight w:val="none"/>
        </w:rPr>
        <w:t xml:space="preserve">  </w:t>
      </w:r>
      <w:r>
        <w:rPr>
          <w:rFonts w:ascii="黑体" w:hAnsi="黑体" w:eastAsia="黑体" w:cs="黑体"/>
          <w:color w:val="auto"/>
          <w:spacing w:val="-5"/>
          <w:sz w:val="28"/>
          <w:szCs w:val="28"/>
          <w:highlight w:val="none"/>
          <w14:textOutline w14:w="5094" w14:cap="flat" w14:cmpd="sng">
            <w14:solidFill>
              <w14:srgbClr w14:val="000000"/>
            </w14:solidFill>
            <w14:prstDash w14:val="solid"/>
            <w14:miter w14:val="0"/>
          </w14:textOutline>
        </w:rPr>
        <w:t>一般约定</w:t>
      </w:r>
    </w:p>
    <w:p>
      <w:pPr>
        <w:spacing w:before="103" w:line="220"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词语定义与解释</w:t>
      </w:r>
    </w:p>
    <w:p>
      <w:pPr>
        <w:spacing w:before="137" w:line="220" w:lineRule="auto"/>
        <w:ind w:left="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合同协议书、通用合同条款、专用合同条款中的下列词语具有本款所赋予的含义：</w:t>
      </w:r>
    </w:p>
    <w:p>
      <w:pPr>
        <w:spacing w:before="150" w:line="223"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1.1.1</w:t>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合同</w:t>
      </w:r>
    </w:p>
    <w:p>
      <w:pPr>
        <w:spacing w:before="147" w:line="352" w:lineRule="auto"/>
        <w:ind w:right="169" w:firstLine="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1.1.1.1</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合同：是指根据法律规定和合同当事人约定具有约束力的文</w:t>
      </w:r>
      <w:r>
        <w:rPr>
          <w:rFonts w:ascii="宋体" w:hAnsi="宋体" w:eastAsia="宋体" w:cs="宋体"/>
          <w:color w:val="auto"/>
          <w:spacing w:val="2"/>
          <w:sz w:val="21"/>
          <w:szCs w:val="21"/>
          <w:highlight w:val="none"/>
        </w:rPr>
        <w:t>件，构成合同的文件包</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括合同协议书、中标通知书（如果有）、投标函及其附录（如果有）、专用合同条款及其附件、通</w:t>
      </w:r>
      <w:r>
        <w:rPr>
          <w:rFonts w:ascii="宋体" w:hAnsi="宋体" w:eastAsia="宋体" w:cs="宋体"/>
          <w:color w:val="auto"/>
          <w:sz w:val="21"/>
          <w:szCs w:val="21"/>
          <w:highlight w:val="none"/>
        </w:rPr>
        <w:t>用合同条款、技术标准和要求、图纸、已标</w:t>
      </w:r>
      <w:r>
        <w:rPr>
          <w:rFonts w:ascii="宋体" w:hAnsi="宋体" w:eastAsia="宋体" w:cs="宋体"/>
          <w:color w:val="auto"/>
          <w:spacing w:val="-1"/>
          <w:sz w:val="21"/>
          <w:szCs w:val="21"/>
          <w:highlight w:val="none"/>
        </w:rPr>
        <w:t>价工程量清单或预算书以及其他合同文件。</w:t>
      </w:r>
    </w:p>
    <w:p>
      <w:pPr>
        <w:spacing w:before="152" w:line="398" w:lineRule="exact"/>
        <w:ind w:left="43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fldChar w:fldCharType="begin"/>
      </w:r>
      <w:r>
        <w:rPr>
          <w:rFonts w:ascii="宋体" w:hAnsi="宋体" w:eastAsia="宋体" w:cs="宋体"/>
          <w:color w:val="auto"/>
          <w:spacing w:val="3"/>
          <w:position w:val="14"/>
          <w:sz w:val="21"/>
          <w:szCs w:val="21"/>
          <w:highlight w:val="none"/>
        </w:rPr>
        <w:instrText xml:space="preserve"> HYPERLINK "1.1.1.2" </w:instrText>
      </w:r>
      <w:r>
        <w:rPr>
          <w:rFonts w:ascii="宋体" w:hAnsi="宋体" w:eastAsia="宋体" w:cs="宋体"/>
          <w:color w:val="auto"/>
          <w:spacing w:val="3"/>
          <w:position w:val="14"/>
          <w:sz w:val="21"/>
          <w:szCs w:val="21"/>
          <w:highlight w:val="none"/>
        </w:rPr>
        <w:fldChar w:fldCharType="separate"/>
      </w:r>
      <w:r>
        <w:rPr>
          <w:rFonts w:ascii="宋体" w:hAnsi="宋体" w:eastAsia="宋体" w:cs="宋体"/>
          <w:color w:val="auto"/>
          <w:spacing w:val="3"/>
          <w:position w:val="14"/>
          <w:sz w:val="21"/>
          <w:szCs w:val="21"/>
          <w:highlight w:val="none"/>
        </w:rPr>
        <w:t>1.1.1.2</w:t>
      </w:r>
      <w:r>
        <w:rPr>
          <w:rFonts w:ascii="宋体" w:hAnsi="宋体" w:eastAsia="宋体" w:cs="宋体"/>
          <w:color w:val="auto"/>
          <w:spacing w:val="3"/>
          <w:position w:val="14"/>
          <w:sz w:val="21"/>
          <w:szCs w:val="21"/>
          <w:highlight w:val="none"/>
        </w:rPr>
        <w:fldChar w:fldCharType="end"/>
      </w:r>
      <w:r>
        <w:rPr>
          <w:rFonts w:ascii="宋体" w:hAnsi="宋体" w:eastAsia="宋体" w:cs="宋体"/>
          <w:color w:val="auto"/>
          <w:spacing w:val="3"/>
          <w:position w:val="14"/>
          <w:sz w:val="21"/>
          <w:szCs w:val="21"/>
          <w:highlight w:val="none"/>
        </w:rPr>
        <w:t xml:space="preserve">  合同协议书：是指构成合同的由发包人和承包人共同签署的称为“合同协议书” 的书面文件。</w:t>
      </w:r>
    </w:p>
    <w:p>
      <w:pPr>
        <w:spacing w:before="149" w:line="220" w:lineRule="auto"/>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"1.1.1.3"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1.1.1.3</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18"/>
          <w:w w:val="101"/>
          <w:sz w:val="21"/>
          <w:szCs w:val="21"/>
          <w:highlight w:val="none"/>
        </w:rPr>
        <w:t xml:space="preserve">  </w:t>
      </w:r>
      <w:r>
        <w:rPr>
          <w:rFonts w:ascii="宋体" w:hAnsi="宋体" w:eastAsia="宋体" w:cs="宋体"/>
          <w:color w:val="auto"/>
          <w:spacing w:val="-2"/>
          <w:sz w:val="21"/>
          <w:szCs w:val="21"/>
          <w:highlight w:val="none"/>
        </w:rPr>
        <w:t>中标通知书：是指构成合同的由发包人通知承包人中标的书面文件。</w:t>
      </w:r>
    </w:p>
    <w:p>
      <w:pPr>
        <w:spacing w:before="151" w:line="221" w:lineRule="auto"/>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"1.1.1.4"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1.1.1.4</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投标函：是指构成合同的由承包人填写并签署的用于投标的称为</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投标函</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27"/>
          <w:sz w:val="21"/>
          <w:szCs w:val="21"/>
          <w:highlight w:val="none"/>
        </w:rPr>
        <w:t xml:space="preserve"> </w:t>
      </w:r>
      <w:r>
        <w:rPr>
          <w:rFonts w:ascii="宋体" w:hAnsi="宋体" w:eastAsia="宋体" w:cs="宋体"/>
          <w:color w:val="auto"/>
          <w:spacing w:val="-1"/>
          <w:sz w:val="21"/>
          <w:szCs w:val="21"/>
          <w:highlight w:val="none"/>
        </w:rPr>
        <w:t>的文</w:t>
      </w:r>
      <w:r>
        <w:rPr>
          <w:rFonts w:ascii="宋体" w:hAnsi="宋体" w:eastAsia="宋体" w:cs="宋体"/>
          <w:color w:val="auto"/>
          <w:spacing w:val="-2"/>
          <w:sz w:val="21"/>
          <w:szCs w:val="21"/>
          <w:highlight w:val="none"/>
        </w:rPr>
        <w:t>件。</w:t>
      </w:r>
    </w:p>
    <w:p>
      <w:pPr>
        <w:spacing w:before="147" w:line="220" w:lineRule="auto"/>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"1.1.1.5"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1.1.1.5</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投标函附录：是指构成合同的附在</w:t>
      </w:r>
      <w:r>
        <w:rPr>
          <w:rFonts w:ascii="宋体" w:hAnsi="宋体" w:eastAsia="宋体" w:cs="宋体"/>
          <w:color w:val="auto"/>
          <w:spacing w:val="-2"/>
          <w:sz w:val="21"/>
          <w:szCs w:val="21"/>
          <w:highlight w:val="none"/>
        </w:rPr>
        <w:t>投标函后的称为</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投标函附录</w:t>
      </w:r>
      <w:r>
        <w:rPr>
          <w:rFonts w:ascii="Times New Roman" w:hAnsi="Times New Roman" w:eastAsia="Times New Roman" w:cs="Times New Roman"/>
          <w:color w:val="auto"/>
          <w:spacing w:val="-2"/>
          <w:sz w:val="21"/>
          <w:szCs w:val="21"/>
          <w:highlight w:val="none"/>
        </w:rPr>
        <w:t>”</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2"/>
          <w:sz w:val="21"/>
          <w:szCs w:val="21"/>
          <w:highlight w:val="none"/>
        </w:rPr>
        <w:t>的文件。</w:t>
      </w:r>
    </w:p>
    <w:p>
      <w:pPr>
        <w:spacing w:before="151" w:line="400"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1.1.1.6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技术标准和要求：是指构成合同的施工应当遵守的或指导施</w:t>
      </w:r>
      <w:r>
        <w:rPr>
          <w:rFonts w:ascii="宋体" w:hAnsi="宋体" w:eastAsia="宋体" w:cs="宋体"/>
          <w:color w:val="auto"/>
          <w:spacing w:val="2"/>
          <w:position w:val="14"/>
          <w:sz w:val="21"/>
          <w:szCs w:val="21"/>
          <w:highlight w:val="none"/>
        </w:rPr>
        <w:t>工的国家、行业或地方</w:t>
      </w:r>
    </w:p>
    <w:p>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的技术标准和要求， 以及合同约定的技术标准和要求。</w:t>
      </w:r>
    </w:p>
    <w:p>
      <w:pPr>
        <w:spacing w:before="149" w:line="352" w:lineRule="auto"/>
        <w:ind w:right="166" w:firstLine="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"1.1.1.7"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1.1.1.7</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图纸：是指构成合同的图纸，包括由发包人按照合同约定提</w:t>
      </w:r>
      <w:r>
        <w:rPr>
          <w:rFonts w:ascii="宋体" w:hAnsi="宋体" w:eastAsia="宋体" w:cs="宋体"/>
          <w:color w:val="auto"/>
          <w:spacing w:val="2"/>
          <w:sz w:val="21"/>
          <w:szCs w:val="21"/>
          <w:highlight w:val="none"/>
        </w:rPr>
        <w:t>供或经发包人批准的设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计文件、施工图、鸟瞰图及模型等， 以及在合</w:t>
      </w:r>
      <w:r>
        <w:rPr>
          <w:rFonts w:ascii="宋体" w:hAnsi="宋体" w:eastAsia="宋体" w:cs="宋体"/>
          <w:color w:val="auto"/>
          <w:spacing w:val="-3"/>
          <w:sz w:val="21"/>
          <w:szCs w:val="21"/>
          <w:highlight w:val="none"/>
        </w:rPr>
        <w:t>同履行过程中形成的图纸文件。图纸应当按照法律规定审查合格。</w:t>
      </w:r>
    </w:p>
    <w:p>
      <w:pPr>
        <w:spacing w:before="148" w:line="401"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"1.1.1.8"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1.1.1.8</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19"/>
          <w:w w:val="101"/>
          <w:position w:val="14"/>
          <w:sz w:val="21"/>
          <w:szCs w:val="21"/>
          <w:highlight w:val="none"/>
        </w:rPr>
        <w:t xml:space="preserve">  </w:t>
      </w:r>
      <w:r>
        <w:rPr>
          <w:rFonts w:ascii="宋体" w:hAnsi="宋体" w:eastAsia="宋体" w:cs="宋体"/>
          <w:color w:val="auto"/>
          <w:spacing w:val="2"/>
          <w:position w:val="14"/>
          <w:sz w:val="21"/>
          <w:szCs w:val="21"/>
          <w:highlight w:val="none"/>
        </w:rPr>
        <w:t>已标价工程量清单：是指构成合同的由承包人按照规定的格式和要求填写并标明价</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格的工程量清单，包括说明和表格。</w:t>
      </w:r>
    </w:p>
    <w:p>
      <w:pPr>
        <w:spacing w:before="150" w:line="399"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"1.1.1.9"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1.1.1.9</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预算书：是指构成合同的由承包人按照发包人规定的格式和</w:t>
      </w:r>
      <w:r>
        <w:rPr>
          <w:rFonts w:ascii="宋体" w:hAnsi="宋体" w:eastAsia="宋体" w:cs="宋体"/>
          <w:color w:val="auto"/>
          <w:spacing w:val="2"/>
          <w:position w:val="14"/>
          <w:sz w:val="21"/>
          <w:szCs w:val="21"/>
          <w:highlight w:val="none"/>
        </w:rPr>
        <w:t>要求编制的工程预算文</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件。</w:t>
      </w:r>
    </w:p>
    <w:p>
      <w:pPr>
        <w:spacing w:before="150" w:line="402"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"1.1.1.10"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1.1.1.10</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1"/>
          <w:position w:val="14"/>
          <w:sz w:val="21"/>
          <w:szCs w:val="21"/>
          <w:highlight w:val="none"/>
        </w:rPr>
        <w:t xml:space="preserve">  </w:t>
      </w:r>
      <w:r>
        <w:rPr>
          <w:rFonts w:ascii="宋体" w:hAnsi="宋体" w:eastAsia="宋体" w:cs="宋体"/>
          <w:color w:val="auto"/>
          <w:spacing w:val="1"/>
          <w:position w:val="14"/>
          <w:sz w:val="21"/>
          <w:szCs w:val="21"/>
          <w:highlight w:val="none"/>
        </w:rPr>
        <w:t>其他合同文件：是指经合同当事人约定的与</w:t>
      </w:r>
      <w:r>
        <w:rPr>
          <w:rFonts w:ascii="宋体" w:hAnsi="宋体" w:eastAsia="宋体" w:cs="宋体"/>
          <w:color w:val="auto"/>
          <w:position w:val="14"/>
          <w:sz w:val="21"/>
          <w:szCs w:val="21"/>
          <w:highlight w:val="none"/>
        </w:rPr>
        <w:t>工程施工有关的具有合同约束力的文件</w:t>
      </w:r>
    </w:p>
    <w:p>
      <w:pPr>
        <w:spacing w:before="1" w:line="219" w:lineRule="auto"/>
        <w:ind w:left="3"/>
        <w:rPr>
          <w:rFonts w:ascii="宋体" w:hAnsi="宋体" w:eastAsia="宋体" w:cs="宋体"/>
          <w:color w:val="auto"/>
          <w:sz w:val="21"/>
          <w:szCs w:val="21"/>
          <w:highlight w:val="none"/>
        </w:rPr>
      </w:pPr>
      <w:r>
        <w:rPr>
          <w:rFonts w:ascii="宋体" w:hAnsi="宋体" w:eastAsia="宋体" w:cs="宋体"/>
          <w:color w:val="auto"/>
          <w:sz w:val="21"/>
          <w:szCs w:val="21"/>
          <w:highlight w:val="none"/>
        </w:rPr>
        <w:t>或书面协议。合同当事人可以在专用合同条款</w:t>
      </w:r>
      <w:r>
        <w:rPr>
          <w:rFonts w:ascii="宋体" w:hAnsi="宋体" w:eastAsia="宋体" w:cs="宋体"/>
          <w:color w:val="auto"/>
          <w:spacing w:val="-1"/>
          <w:sz w:val="21"/>
          <w:szCs w:val="21"/>
          <w:highlight w:val="none"/>
        </w:rPr>
        <w:t>中进行约定。</w:t>
      </w:r>
    </w:p>
    <w:p>
      <w:pPr>
        <w:spacing w:before="14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合同当事人及其他相关方</w:t>
      </w:r>
    </w:p>
    <w:p>
      <w:pPr>
        <w:spacing w:before="149" w:line="221" w:lineRule="auto"/>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"1.1.2.1"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1.1.2.1</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合同当事人：是指发包人</w:t>
      </w:r>
      <w:r>
        <w:rPr>
          <w:rFonts w:ascii="宋体" w:hAnsi="宋体" w:eastAsia="宋体" w:cs="宋体"/>
          <w:color w:val="auto"/>
          <w:spacing w:val="-5"/>
          <w:sz w:val="21"/>
          <w:szCs w:val="21"/>
          <w:highlight w:val="none"/>
        </w:rPr>
        <w:t>和（或）</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承包人。</w:t>
      </w:r>
    </w:p>
    <w:p>
      <w:pPr>
        <w:spacing w:before="150" w:line="220" w:lineRule="auto"/>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"1.1.2.2"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1.1.2.2</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发包人：是指与承包人签订合同协议书的当事人及取得该当事人资格的合法继承人。</w:t>
      </w:r>
    </w:p>
    <w:p>
      <w:pPr>
        <w:spacing w:before="148" w:line="401"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"1.1.2.3"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1.1.2.3</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承包人：是指与发包人签订合同协议书的，具有相应工程施</w:t>
      </w:r>
      <w:r>
        <w:rPr>
          <w:rFonts w:ascii="宋体" w:hAnsi="宋体" w:eastAsia="宋体" w:cs="宋体"/>
          <w:color w:val="auto"/>
          <w:spacing w:val="2"/>
          <w:position w:val="14"/>
          <w:sz w:val="21"/>
          <w:szCs w:val="21"/>
          <w:highlight w:val="none"/>
        </w:rPr>
        <w:t>工承包资质的当事人及</w:t>
      </w:r>
    </w:p>
    <w:p>
      <w:pPr>
        <w:spacing w:line="220"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取得该当事人资格的合法继承人。</w:t>
      </w:r>
    </w:p>
    <w:p>
      <w:pPr>
        <w:spacing w:before="150" w:line="399"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1.1.2.4</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监理人：是指在专用合同条款中指明的，受发包人委托按照</w:t>
      </w:r>
      <w:r>
        <w:rPr>
          <w:rFonts w:ascii="宋体" w:hAnsi="宋体" w:eastAsia="宋体" w:cs="宋体"/>
          <w:color w:val="auto"/>
          <w:spacing w:val="2"/>
          <w:position w:val="14"/>
          <w:sz w:val="21"/>
          <w:szCs w:val="21"/>
          <w:highlight w:val="none"/>
        </w:rPr>
        <w:t>法律规定进行工程监督</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管理的法人或其他组织。</w:t>
      </w:r>
    </w:p>
    <w:p>
      <w:pPr>
        <w:spacing w:before="151" w:line="400"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1.1.2.5</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设计人：是指在专用合同条款中指明的，受发包人委托负责</w:t>
      </w:r>
      <w:r>
        <w:rPr>
          <w:rFonts w:ascii="宋体" w:hAnsi="宋体" w:eastAsia="宋体" w:cs="宋体"/>
          <w:color w:val="auto"/>
          <w:spacing w:val="2"/>
          <w:position w:val="14"/>
          <w:sz w:val="21"/>
          <w:szCs w:val="21"/>
          <w:highlight w:val="none"/>
        </w:rPr>
        <w:t>工程设计并具备相应工</w:t>
      </w:r>
    </w:p>
    <w:p>
      <w:pPr>
        <w:spacing w:before="1" w:line="221"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程设计资质的法人或其他组织。</w:t>
      </w:r>
    </w:p>
    <w:p>
      <w:pPr>
        <w:spacing w:before="125" w:line="401" w:lineRule="exact"/>
        <w:ind w:left="436"/>
        <w:rPr>
          <w:rFonts w:ascii="宋体" w:hAnsi="宋体" w:eastAsia="宋体" w:cs="宋体"/>
          <w:color w:val="auto"/>
          <w:sz w:val="21"/>
          <w:szCs w:val="21"/>
          <w:highlight w:val="none"/>
        </w:rPr>
      </w:pPr>
      <w:bookmarkStart w:id="151" w:name="bookmark190"/>
      <w:bookmarkEnd w:id="151"/>
      <w:r>
        <w:rPr>
          <w:color w:val="auto"/>
          <w:highlight w:val="none"/>
        </w:rPr>
        <w:fldChar w:fldCharType="begin"/>
      </w:r>
      <w:r>
        <w:rPr>
          <w:color w:val="auto"/>
          <w:highlight w:val="none"/>
        </w:rPr>
        <w:instrText xml:space="preserve"> HYPERLINK "1.1.2.6"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1.1.2.6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分包人：是指按照法律规定和合同约定，分包部分工程或工作，并与承包人签订分</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包合同的具有相应资质的法人。</w:t>
      </w:r>
    </w:p>
    <w:p>
      <w:pPr>
        <w:spacing w:before="149" w:line="398"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"1.1.2.7"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1.1.2.7</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发包人代表：是指由发包人任命并派驻施工现场在发包人授</w:t>
      </w:r>
      <w:r>
        <w:rPr>
          <w:rFonts w:ascii="宋体" w:hAnsi="宋体" w:eastAsia="宋体" w:cs="宋体"/>
          <w:color w:val="auto"/>
          <w:spacing w:val="2"/>
          <w:position w:val="14"/>
          <w:sz w:val="21"/>
          <w:szCs w:val="21"/>
          <w:highlight w:val="none"/>
        </w:rPr>
        <w:t>权范围内行使发包人权</w:t>
      </w:r>
    </w:p>
    <w:p>
      <w:pPr>
        <w:spacing w:line="222"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利的人。</w:t>
      </w:r>
    </w:p>
    <w:p>
      <w:pPr>
        <w:spacing w:before="147" w:line="401" w:lineRule="exact"/>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1.1.2.8</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2"/>
          <w:position w:val="14"/>
          <w:sz w:val="21"/>
          <w:szCs w:val="21"/>
          <w:highlight w:val="none"/>
        </w:rPr>
        <w:t xml:space="preserve">  </w:t>
      </w:r>
      <w:r>
        <w:rPr>
          <w:rFonts w:ascii="宋体" w:hAnsi="宋体" w:eastAsia="宋体" w:cs="宋体"/>
          <w:color w:val="auto"/>
          <w:spacing w:val="2"/>
          <w:position w:val="14"/>
          <w:sz w:val="21"/>
          <w:szCs w:val="21"/>
          <w:highlight w:val="none"/>
        </w:rPr>
        <w:t>项目经理：是指由承包人任命并派驻施工现场，在承</w:t>
      </w:r>
      <w:r>
        <w:rPr>
          <w:rFonts w:ascii="宋体" w:hAnsi="宋体" w:eastAsia="宋体" w:cs="宋体"/>
          <w:color w:val="auto"/>
          <w:spacing w:val="1"/>
          <w:position w:val="14"/>
          <w:sz w:val="21"/>
          <w:szCs w:val="21"/>
          <w:highlight w:val="none"/>
        </w:rPr>
        <w:t>包人授权范围内负责合同履行，</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且按照法律规定具有相应资格的项目负责人。</w:t>
      </w:r>
    </w:p>
    <w:p>
      <w:pPr>
        <w:spacing w:before="147" w:line="221" w:lineRule="auto"/>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"1.1.2.9"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1.1.2.9</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总监理工程师： 是指由监理人任命并派驻施工现场进行工程监理的总负责人。</w:t>
      </w:r>
    </w:p>
    <w:p>
      <w:pPr>
        <w:spacing w:before="150"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1.1.3  </w:t>
      </w:r>
      <w:r>
        <w:rPr>
          <w:rFonts w:ascii="宋体" w:hAnsi="宋体" w:eastAsia="宋体" w:cs="宋体"/>
          <w:color w:val="auto"/>
          <w:spacing w:val="-2"/>
          <w:sz w:val="21"/>
          <w:szCs w:val="21"/>
          <w:highlight w:val="none"/>
        </w:rPr>
        <w:t>工程和设备</w:t>
      </w:r>
    </w:p>
    <w:p>
      <w:pPr>
        <w:spacing w:before="150" w:line="220" w:lineRule="auto"/>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1.1.3.1</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工程： 是指与合同协议书中工程承包范围对应的永久工程和（或）临时工程。</w:t>
      </w:r>
    </w:p>
    <w:p>
      <w:pPr>
        <w:spacing w:before="148" w:line="221" w:lineRule="auto"/>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"1.1.3.2"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1.1.3.2</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永久工程： 是指按合同约定建造并移</w:t>
      </w:r>
      <w:r>
        <w:rPr>
          <w:rFonts w:ascii="宋体" w:hAnsi="宋体" w:eastAsia="宋体" w:cs="宋体"/>
          <w:color w:val="auto"/>
          <w:spacing w:val="-4"/>
          <w:sz w:val="21"/>
          <w:szCs w:val="21"/>
          <w:highlight w:val="none"/>
        </w:rPr>
        <w:t>交给发包人的工程，包括工程设备。</w:t>
      </w:r>
    </w:p>
    <w:p>
      <w:pPr>
        <w:spacing w:before="150" w:line="400"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"1.1.3.3"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1.1.3.3</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临时工程：是指为完成合同约定的永久工程所修建的各类临</w:t>
      </w:r>
      <w:r>
        <w:rPr>
          <w:rFonts w:ascii="宋体" w:hAnsi="宋体" w:eastAsia="宋体" w:cs="宋体"/>
          <w:color w:val="auto"/>
          <w:spacing w:val="2"/>
          <w:position w:val="14"/>
          <w:sz w:val="21"/>
          <w:szCs w:val="21"/>
          <w:highlight w:val="none"/>
        </w:rPr>
        <w:t>时性工程，不包括施工</w:t>
      </w:r>
    </w:p>
    <w:p>
      <w:pPr>
        <w:spacing w:line="222" w:lineRule="auto"/>
        <w:ind w:left="3"/>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设备。</w:t>
      </w:r>
    </w:p>
    <w:p>
      <w:pPr>
        <w:spacing w:before="146" w:line="401"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"1.1.3.4"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1.1.3.4</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单位工程：是指在合同协议书中指明的，具备独立施工条件并能形成</w:t>
      </w:r>
      <w:r>
        <w:rPr>
          <w:rFonts w:ascii="宋体" w:hAnsi="宋体" w:eastAsia="宋体" w:cs="宋体"/>
          <w:color w:val="auto"/>
          <w:spacing w:val="2"/>
          <w:position w:val="14"/>
          <w:sz w:val="21"/>
          <w:szCs w:val="21"/>
          <w:highlight w:val="none"/>
        </w:rPr>
        <w:t>独立使用功能</w:t>
      </w:r>
    </w:p>
    <w:p>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的永久工程。</w:t>
      </w:r>
    </w:p>
    <w:p>
      <w:pPr>
        <w:spacing w:before="150" w:line="398"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"1.1.3.5"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1.1.3.5</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工程设备：是指构成永久工程的机电设备、金属结构设备、</w:t>
      </w:r>
      <w:r>
        <w:rPr>
          <w:rFonts w:ascii="宋体" w:hAnsi="宋体" w:eastAsia="宋体" w:cs="宋体"/>
          <w:color w:val="auto"/>
          <w:spacing w:val="2"/>
          <w:position w:val="14"/>
          <w:sz w:val="21"/>
          <w:szCs w:val="21"/>
          <w:highlight w:val="none"/>
        </w:rPr>
        <w:t>仪器及其他类似的设备</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和装置。</w:t>
      </w:r>
    </w:p>
    <w:p>
      <w:pPr>
        <w:spacing w:before="150" w:line="401"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施工设备：是指为完成合同约定的各项工作所需的设备、器</w:t>
      </w:r>
      <w:r>
        <w:rPr>
          <w:rFonts w:ascii="宋体" w:hAnsi="宋体" w:eastAsia="宋体" w:cs="宋体"/>
          <w:color w:val="auto"/>
          <w:spacing w:val="2"/>
          <w:position w:val="14"/>
          <w:sz w:val="21"/>
          <w:szCs w:val="21"/>
          <w:highlight w:val="none"/>
        </w:rPr>
        <w:t>具和其他物品，但不包</w:t>
      </w:r>
    </w:p>
    <w:p>
      <w:pPr>
        <w:spacing w:before="1" w:line="219"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括工程设备、临时工程和材料。</w:t>
      </w:r>
    </w:p>
    <w:p>
      <w:pPr>
        <w:spacing w:before="148" w:line="401"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"1.1.3.7"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1.1.3.7</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施工现场：是指用于工程施工的场所，以及在专用合同条款中指明作为施工场</w:t>
      </w:r>
      <w:r>
        <w:rPr>
          <w:rFonts w:ascii="宋体" w:hAnsi="宋体" w:eastAsia="宋体" w:cs="宋体"/>
          <w:color w:val="auto"/>
          <w:spacing w:val="2"/>
          <w:position w:val="14"/>
          <w:sz w:val="21"/>
          <w:szCs w:val="21"/>
          <w:highlight w:val="none"/>
        </w:rPr>
        <w:t>所组</w:t>
      </w:r>
    </w:p>
    <w:p>
      <w:pPr>
        <w:spacing w:line="220" w:lineRule="auto"/>
        <w:ind w:left="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成部分的其他场所，</w:t>
      </w:r>
      <w:r>
        <w:rPr>
          <w:rFonts w:ascii="宋体" w:hAnsi="宋体" w:eastAsia="宋体" w:cs="宋体"/>
          <w:color w:val="auto"/>
          <w:spacing w:val="-6"/>
          <w:sz w:val="21"/>
          <w:szCs w:val="21"/>
          <w:highlight w:val="none"/>
        </w:rPr>
        <w:t xml:space="preserve"> </w:t>
      </w:r>
      <w:r>
        <w:rPr>
          <w:rFonts w:ascii="宋体" w:hAnsi="宋体" w:eastAsia="宋体" w:cs="宋体"/>
          <w:color w:val="auto"/>
          <w:spacing w:val="-5"/>
          <w:sz w:val="21"/>
          <w:szCs w:val="21"/>
          <w:highlight w:val="none"/>
        </w:rPr>
        <w:t>包括永久占地和临时占地。</w:t>
      </w:r>
    </w:p>
    <w:p>
      <w:pPr>
        <w:spacing w:before="150" w:line="221" w:lineRule="auto"/>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"1.1.3.8"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1.1.3.8</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1"/>
          <w:sz w:val="21"/>
          <w:szCs w:val="21"/>
          <w:highlight w:val="none"/>
        </w:rPr>
        <w:t>临时设施：是指为完成合同约定的各项工作所服务的临时性生产和生活设施。</w:t>
      </w:r>
    </w:p>
    <w:p>
      <w:pPr>
        <w:spacing w:before="147" w:line="221" w:lineRule="auto"/>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1.1.3.9</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永久占地： 是指专用合同条款中指明为实施工程需永久占用的土地。</w:t>
      </w:r>
    </w:p>
    <w:p>
      <w:pPr>
        <w:spacing w:before="149" w:line="221" w:lineRule="auto"/>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1.1.3.10</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临时占地： 是指专用合同条款中指明为</w:t>
      </w:r>
      <w:r>
        <w:rPr>
          <w:rFonts w:ascii="宋体" w:hAnsi="宋体" w:eastAsia="宋体" w:cs="宋体"/>
          <w:color w:val="auto"/>
          <w:spacing w:val="-4"/>
          <w:sz w:val="21"/>
          <w:szCs w:val="21"/>
          <w:highlight w:val="none"/>
        </w:rPr>
        <w:t>实施工程需要临时占用的土地。</w:t>
      </w:r>
    </w:p>
    <w:p>
      <w:pPr>
        <w:spacing w:before="150"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1.1.4</w:t>
      </w:r>
      <w:r>
        <w:rPr>
          <w:rFonts w:ascii="Times New Roman" w:hAnsi="Times New Roman" w:eastAsia="Times New Roman" w:cs="Times New Roman"/>
          <w:color w:val="auto"/>
          <w:spacing w:val="23"/>
          <w:w w:val="101"/>
          <w:sz w:val="21"/>
          <w:szCs w:val="21"/>
          <w:highlight w:val="none"/>
        </w:rPr>
        <w:t xml:space="preserve">  </w:t>
      </w:r>
      <w:r>
        <w:rPr>
          <w:rFonts w:ascii="宋体" w:hAnsi="宋体" w:eastAsia="宋体" w:cs="宋体"/>
          <w:color w:val="auto"/>
          <w:spacing w:val="-7"/>
          <w:sz w:val="21"/>
          <w:szCs w:val="21"/>
          <w:highlight w:val="none"/>
        </w:rPr>
        <w:t>日期和期限</w:t>
      </w:r>
    </w:p>
    <w:p>
      <w:pPr>
        <w:spacing w:before="148" w:line="352" w:lineRule="auto"/>
        <w:ind w:left="17" w:right="150" w:firstLine="419"/>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"1.1.4.1"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1.1.4.1</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开工日期：包括计划开工日期和实际开工日期。计划开工日</w:t>
      </w:r>
      <w:r>
        <w:rPr>
          <w:rFonts w:ascii="宋体" w:hAnsi="宋体" w:eastAsia="宋体" w:cs="宋体"/>
          <w:color w:val="auto"/>
          <w:spacing w:val="2"/>
          <w:sz w:val="21"/>
          <w:szCs w:val="21"/>
          <w:highlight w:val="none"/>
        </w:rPr>
        <w:t>期是指合同协议书约定</w:t>
      </w:r>
      <w:r>
        <w:rPr>
          <w:rFonts w:ascii="宋体" w:hAnsi="宋体" w:eastAsia="宋体" w:cs="宋体"/>
          <w:color w:val="auto"/>
          <w:sz w:val="21"/>
          <w:szCs w:val="21"/>
          <w:highlight w:val="none"/>
        </w:rPr>
        <w:t xml:space="preserve"> 的开工日期；实际开工日期是指监理人按照第 </w:t>
      </w:r>
      <w:r>
        <w:rPr>
          <w:rFonts w:ascii="Times New Roman" w:hAnsi="Times New Roman" w:eastAsia="Times New Roman" w:cs="Times New Roman"/>
          <w:color w:val="auto"/>
          <w:sz w:val="21"/>
          <w:szCs w:val="21"/>
          <w:highlight w:val="none"/>
        </w:rPr>
        <w:t>7.3.2</w:t>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项〔开工通知〕约定发出的符合法律规定的</w:t>
      </w:r>
      <w:r>
        <w:rPr>
          <w:rFonts w:ascii="宋体" w:hAnsi="宋体" w:eastAsia="宋体" w:cs="宋体"/>
          <w:color w:val="auto"/>
          <w:spacing w:val="-2"/>
          <w:sz w:val="21"/>
          <w:szCs w:val="21"/>
          <w:highlight w:val="none"/>
        </w:rPr>
        <w:t>开工通知中载明的开工日期。</w:t>
      </w:r>
    </w:p>
    <w:p>
      <w:pPr>
        <w:spacing w:before="148" w:line="400"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"1.1.4.2"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1.1.4.2</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竣工日期：包括计划竣工日期和实际竣工日期。计划竣工日</w:t>
      </w:r>
      <w:r>
        <w:rPr>
          <w:rFonts w:ascii="宋体" w:hAnsi="宋体" w:eastAsia="宋体" w:cs="宋体"/>
          <w:color w:val="auto"/>
          <w:spacing w:val="2"/>
          <w:position w:val="14"/>
          <w:sz w:val="21"/>
          <w:szCs w:val="21"/>
          <w:highlight w:val="none"/>
        </w:rPr>
        <w:t>期是指合同协议书约定</w:t>
      </w:r>
    </w:p>
    <w:p>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的竣工日期；实际竣工日期按照第</w:t>
      </w:r>
      <w:r>
        <w:rPr>
          <w:rFonts w:ascii="宋体" w:hAnsi="宋体" w:eastAsia="宋体" w:cs="宋体"/>
          <w:color w:val="auto"/>
          <w:spacing w:val="-1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13.2.3 </w:t>
      </w:r>
      <w:r>
        <w:rPr>
          <w:rFonts w:ascii="宋体" w:hAnsi="宋体" w:eastAsia="宋体" w:cs="宋体"/>
          <w:color w:val="auto"/>
          <w:spacing w:val="-2"/>
          <w:sz w:val="21"/>
          <w:szCs w:val="21"/>
          <w:highlight w:val="none"/>
        </w:rPr>
        <w:t>项〔竣工日期〕的约定确定。</w:t>
      </w:r>
    </w:p>
    <w:p>
      <w:pPr>
        <w:spacing w:before="150" w:line="398"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1.1.4.3</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工期：是指在合同协议书约定的承包人完成工程所需的期限</w:t>
      </w:r>
      <w:r>
        <w:rPr>
          <w:rFonts w:ascii="宋体" w:hAnsi="宋体" w:eastAsia="宋体" w:cs="宋体"/>
          <w:color w:val="auto"/>
          <w:spacing w:val="2"/>
          <w:position w:val="14"/>
          <w:sz w:val="21"/>
          <w:szCs w:val="21"/>
          <w:highlight w:val="none"/>
        </w:rPr>
        <w:t>，包括按照合同约定所</w:t>
      </w:r>
    </w:p>
    <w:p>
      <w:pPr>
        <w:spacing w:before="1" w:line="221" w:lineRule="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作的期限变更。</w:t>
      </w:r>
    </w:p>
    <w:p>
      <w:pPr>
        <w:spacing w:before="149" w:line="401"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1.1.4.4</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缺陷责任期：是指承包人按照合同约定承担缺陷修复义务，且发包人预留质量保证</w:t>
      </w:r>
    </w:p>
    <w:p>
      <w:pPr>
        <w:spacing w:line="220" w:lineRule="auto"/>
        <w:ind w:left="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金（已缴纳履约保证金的除外）的期限， 自工程实际竣工日期起计算。</w:t>
      </w:r>
    </w:p>
    <w:p>
      <w:pPr>
        <w:spacing w:before="148" w:line="401" w:lineRule="exact"/>
        <w:ind w:left="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1.1.4.5</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保修期：是指承包人按照合同约定对工程承担保修责任的期</w:t>
      </w:r>
      <w:r>
        <w:rPr>
          <w:rFonts w:ascii="宋体" w:hAnsi="宋体" w:eastAsia="宋体" w:cs="宋体"/>
          <w:color w:val="auto"/>
          <w:spacing w:val="2"/>
          <w:position w:val="14"/>
          <w:sz w:val="21"/>
          <w:szCs w:val="21"/>
          <w:highlight w:val="none"/>
        </w:rPr>
        <w:t>限，从工程竣工验收合</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格之日起计算。</w:t>
      </w:r>
    </w:p>
    <w:p>
      <w:pPr>
        <w:spacing w:before="125" w:line="401" w:lineRule="exact"/>
        <w:jc w:val="right"/>
        <w:rPr>
          <w:rFonts w:ascii="宋体" w:hAnsi="宋体" w:eastAsia="宋体" w:cs="宋体"/>
          <w:color w:val="auto"/>
          <w:sz w:val="21"/>
          <w:szCs w:val="21"/>
          <w:highlight w:val="none"/>
        </w:rPr>
      </w:pPr>
      <w:bookmarkStart w:id="152" w:name="bookmark192"/>
      <w:bookmarkEnd w:id="152"/>
      <w:bookmarkStart w:id="153" w:name="bookmark194"/>
      <w:bookmarkEnd w:id="153"/>
      <w:bookmarkStart w:id="154" w:name="bookmark191"/>
      <w:bookmarkEnd w:id="154"/>
      <w:bookmarkStart w:id="155" w:name="bookmark193"/>
      <w:bookmarkEnd w:id="155"/>
      <w:r>
        <w:rPr>
          <w:color w:val="auto"/>
          <w:highlight w:val="none"/>
        </w:rPr>
        <w:fldChar w:fldCharType="begin"/>
      </w:r>
      <w:r>
        <w:rPr>
          <w:color w:val="auto"/>
          <w:highlight w:val="none"/>
        </w:rPr>
        <w:instrText xml:space="preserve"> HYPERLINK "1.1.4.6"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1.1.4.6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基准日期：</w:t>
      </w:r>
      <w:r>
        <w:rPr>
          <w:rFonts w:ascii="宋体" w:hAnsi="宋体" w:eastAsia="宋体" w:cs="宋体"/>
          <w:color w:val="auto"/>
          <w:spacing w:val="-14"/>
          <w:position w:val="14"/>
          <w:sz w:val="21"/>
          <w:szCs w:val="21"/>
          <w:highlight w:val="none"/>
        </w:rPr>
        <w:t xml:space="preserve"> </w:t>
      </w:r>
      <w:r>
        <w:rPr>
          <w:rFonts w:ascii="宋体" w:hAnsi="宋体" w:eastAsia="宋体" w:cs="宋体"/>
          <w:color w:val="auto"/>
          <w:spacing w:val="-3"/>
          <w:position w:val="14"/>
          <w:sz w:val="21"/>
          <w:szCs w:val="21"/>
          <w:highlight w:val="none"/>
        </w:rPr>
        <w:t>招标发包的工程以投标截止日前</w:t>
      </w:r>
      <w:r>
        <w:rPr>
          <w:rFonts w:ascii="宋体" w:hAnsi="宋体" w:eastAsia="宋体" w:cs="宋体"/>
          <w:color w:val="auto"/>
          <w:spacing w:val="-23"/>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28</w:t>
      </w:r>
      <w:r>
        <w:rPr>
          <w:rFonts w:ascii="Times New Roman" w:hAnsi="Times New Roman" w:eastAsia="Times New Roman" w:cs="Times New Roman"/>
          <w:color w:val="auto"/>
          <w:spacing w:val="39"/>
          <w:position w:val="14"/>
          <w:sz w:val="21"/>
          <w:szCs w:val="21"/>
          <w:highlight w:val="none"/>
        </w:rPr>
        <w:t xml:space="preserve"> </w:t>
      </w:r>
      <w:r>
        <w:rPr>
          <w:rFonts w:ascii="宋体" w:hAnsi="宋体" w:eastAsia="宋体" w:cs="宋体"/>
          <w:color w:val="auto"/>
          <w:spacing w:val="-3"/>
          <w:position w:val="14"/>
          <w:sz w:val="21"/>
          <w:szCs w:val="21"/>
          <w:highlight w:val="none"/>
        </w:rPr>
        <w:t>天的日期为基准日期，直接发包的工</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程以合同签订日前</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天的日期为基准日期。</w:t>
      </w:r>
    </w:p>
    <w:p>
      <w:pPr>
        <w:spacing w:before="149" w:line="398"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"1.1.4.7"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1.1.4.7</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天：除特别指明外，均指日历天。合同中按天计算时间的，</w:t>
      </w:r>
      <w:r>
        <w:rPr>
          <w:rFonts w:ascii="宋体" w:hAnsi="宋体" w:eastAsia="宋体" w:cs="宋体"/>
          <w:color w:val="auto"/>
          <w:spacing w:val="2"/>
          <w:position w:val="14"/>
          <w:sz w:val="21"/>
          <w:szCs w:val="21"/>
          <w:highlight w:val="none"/>
        </w:rPr>
        <w:t>开始当天不计入，从次</w:t>
      </w:r>
    </w:p>
    <w:p>
      <w:pPr>
        <w:spacing w:line="220" w:lineRule="auto"/>
        <w:ind w:left="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日开始计算，期限最后一天的截止时间为当天</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3"/>
          <w:sz w:val="21"/>
          <w:szCs w:val="21"/>
          <w:highlight w:val="none"/>
        </w:rPr>
        <w:t>24:00</w:t>
      </w:r>
      <w:r>
        <w:rPr>
          <w:rFonts w:ascii="Times New Roman" w:hAnsi="Times New Roman" w:eastAsia="Times New Roman" w:cs="Times New Roman"/>
          <w:color w:val="auto"/>
          <w:spacing w:val="18"/>
          <w:w w:val="101"/>
          <w:sz w:val="21"/>
          <w:szCs w:val="21"/>
          <w:highlight w:val="none"/>
        </w:rPr>
        <w:t xml:space="preserve"> </w:t>
      </w:r>
      <w:r>
        <w:rPr>
          <w:rFonts w:ascii="宋体" w:hAnsi="宋体" w:eastAsia="宋体" w:cs="宋体"/>
          <w:color w:val="auto"/>
          <w:spacing w:val="-3"/>
          <w:sz w:val="21"/>
          <w:szCs w:val="21"/>
          <w:highlight w:val="none"/>
        </w:rPr>
        <w:t>时。</w:t>
      </w:r>
    </w:p>
    <w:p>
      <w:pPr>
        <w:spacing w:before="150"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合同价格和费用</w:t>
      </w:r>
    </w:p>
    <w:p>
      <w:pPr>
        <w:spacing w:before="151" w:line="398"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"1.1.5.1"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1.1.5.1</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签约合同价：是指发包人和承包人在合同协议书中确定的总</w:t>
      </w:r>
      <w:r>
        <w:rPr>
          <w:rFonts w:ascii="宋体" w:hAnsi="宋体" w:eastAsia="宋体" w:cs="宋体"/>
          <w:color w:val="auto"/>
          <w:spacing w:val="2"/>
          <w:position w:val="14"/>
          <w:sz w:val="21"/>
          <w:szCs w:val="21"/>
          <w:highlight w:val="none"/>
        </w:rPr>
        <w:t>金额，包括安全文明施</w:t>
      </w:r>
    </w:p>
    <w:p>
      <w:pPr>
        <w:spacing w:line="219" w:lineRule="auto"/>
        <w:ind w:left="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工费、暂估价及暂列金额等。</w:t>
      </w:r>
    </w:p>
    <w:p>
      <w:pPr>
        <w:spacing w:before="152" w:line="401"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"1.1.5.2"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1.1.5.2</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合同价格：是指发包人用于支付承包人按照合同约定完成承</w:t>
      </w:r>
      <w:r>
        <w:rPr>
          <w:rFonts w:ascii="宋体" w:hAnsi="宋体" w:eastAsia="宋体" w:cs="宋体"/>
          <w:color w:val="auto"/>
          <w:spacing w:val="2"/>
          <w:position w:val="14"/>
          <w:sz w:val="21"/>
          <w:szCs w:val="21"/>
          <w:highlight w:val="none"/>
        </w:rPr>
        <w:t>包范围内全部工作的金</w:t>
      </w:r>
    </w:p>
    <w:p>
      <w:pPr>
        <w:spacing w:line="219"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额，包括合同履行过程中按合同约定发生的价格变化。</w:t>
      </w:r>
    </w:p>
    <w:p>
      <w:pPr>
        <w:spacing w:before="149" w:line="401"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"1.1.5.3"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1.1.5.3</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费用：是指为履行合同所发生的或将要发生的所有必需的开</w:t>
      </w:r>
      <w:r>
        <w:rPr>
          <w:rFonts w:ascii="宋体" w:hAnsi="宋体" w:eastAsia="宋体" w:cs="宋体"/>
          <w:color w:val="auto"/>
          <w:spacing w:val="2"/>
          <w:position w:val="14"/>
          <w:sz w:val="21"/>
          <w:szCs w:val="21"/>
          <w:highlight w:val="none"/>
        </w:rPr>
        <w:t>支，包括管理费和应分</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摊的其他费用，</w:t>
      </w:r>
      <w:r>
        <w:rPr>
          <w:rFonts w:ascii="宋体" w:hAnsi="宋体" w:eastAsia="宋体" w:cs="宋体"/>
          <w:color w:val="auto"/>
          <w:spacing w:val="-18"/>
          <w:sz w:val="21"/>
          <w:szCs w:val="21"/>
          <w:highlight w:val="none"/>
        </w:rPr>
        <w:t xml:space="preserve"> </w:t>
      </w:r>
      <w:r>
        <w:rPr>
          <w:rFonts w:ascii="宋体" w:hAnsi="宋体" w:eastAsia="宋体" w:cs="宋体"/>
          <w:color w:val="auto"/>
          <w:spacing w:val="-8"/>
          <w:sz w:val="21"/>
          <w:szCs w:val="21"/>
          <w:highlight w:val="none"/>
        </w:rPr>
        <w:t>但不包括利润。</w:t>
      </w:r>
    </w:p>
    <w:p>
      <w:pPr>
        <w:spacing w:before="150" w:line="398"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"1.1.5.4"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1.1.5.4</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暂估价：是指发包人在工程量清单或预算书中提供的用于支</w:t>
      </w:r>
      <w:r>
        <w:rPr>
          <w:rFonts w:ascii="宋体" w:hAnsi="宋体" w:eastAsia="宋体" w:cs="宋体"/>
          <w:color w:val="auto"/>
          <w:spacing w:val="2"/>
          <w:position w:val="14"/>
          <w:sz w:val="21"/>
          <w:szCs w:val="21"/>
          <w:highlight w:val="none"/>
        </w:rPr>
        <w:t>付必然发生但暂时不能</w:t>
      </w:r>
    </w:p>
    <w:p>
      <w:pPr>
        <w:spacing w:line="219" w:lineRule="auto"/>
        <w:rPr>
          <w:rFonts w:ascii="宋体" w:hAnsi="宋体" w:eastAsia="宋体" w:cs="宋体"/>
          <w:color w:val="auto"/>
          <w:sz w:val="21"/>
          <w:szCs w:val="21"/>
          <w:highlight w:val="none"/>
        </w:rPr>
      </w:pPr>
      <w:r>
        <w:rPr>
          <w:rFonts w:ascii="宋体" w:hAnsi="宋体" w:eastAsia="宋体" w:cs="宋体"/>
          <w:color w:val="auto"/>
          <w:sz w:val="21"/>
          <w:szCs w:val="21"/>
          <w:highlight w:val="none"/>
        </w:rPr>
        <w:t>确定价格的材料、工程设备的单价、专业工程以及服务工作的</w:t>
      </w:r>
      <w:r>
        <w:rPr>
          <w:rFonts w:ascii="宋体" w:hAnsi="宋体" w:eastAsia="宋体" w:cs="宋体"/>
          <w:color w:val="auto"/>
          <w:spacing w:val="-1"/>
          <w:sz w:val="21"/>
          <w:szCs w:val="21"/>
          <w:highlight w:val="none"/>
        </w:rPr>
        <w:t>金额。</w:t>
      </w:r>
    </w:p>
    <w:p>
      <w:pPr>
        <w:spacing w:before="151" w:line="352" w:lineRule="auto"/>
        <w:ind w:left="4" w:firstLine="433"/>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"1.1.5.5"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1.1.5.5</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暂列金额：是指发包人在工程量清单或预算书中暂定并包括</w:t>
      </w:r>
      <w:r>
        <w:rPr>
          <w:rFonts w:ascii="宋体" w:hAnsi="宋体" w:eastAsia="宋体" w:cs="宋体"/>
          <w:color w:val="auto"/>
          <w:spacing w:val="2"/>
          <w:sz w:val="21"/>
          <w:szCs w:val="21"/>
          <w:highlight w:val="none"/>
        </w:rPr>
        <w:t>在合同价格中的一笔款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项，用于工程合同签订时尚未确定或者不可预见的所需材料、工程设备、服务的采购，</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施工中可</w:t>
      </w:r>
      <w:r>
        <w:rPr>
          <w:rFonts w:ascii="宋体" w:hAnsi="宋体" w:eastAsia="宋体" w:cs="宋体"/>
          <w:color w:val="auto"/>
          <w:sz w:val="21"/>
          <w:szCs w:val="21"/>
          <w:highlight w:val="none"/>
        </w:rPr>
        <w:t xml:space="preserve"> 能发生的工程变更、合同约定调整因素出现时的合同价格调整以及发生的索赔、</w:t>
      </w:r>
      <w:r>
        <w:rPr>
          <w:rFonts w:ascii="宋体" w:hAnsi="宋体" w:eastAsia="宋体" w:cs="宋体"/>
          <w:color w:val="auto"/>
          <w:spacing w:val="-1"/>
          <w:sz w:val="21"/>
          <w:szCs w:val="21"/>
          <w:highlight w:val="none"/>
        </w:rPr>
        <w:t>现场签证确认等</w:t>
      </w:r>
      <w:r>
        <w:rPr>
          <w:rFonts w:ascii="宋体" w:hAnsi="宋体" w:eastAsia="宋体" w:cs="宋体"/>
          <w:color w:val="auto"/>
          <w:spacing w:val="-6"/>
          <w:sz w:val="21"/>
          <w:szCs w:val="21"/>
          <w:highlight w:val="none"/>
        </w:rPr>
        <w:t>的费用。</w:t>
      </w:r>
    </w:p>
    <w:p>
      <w:pPr>
        <w:spacing w:before="149" w:line="399"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计日工：是指合同履行过程中，承包人完成发包人提出的零</w:t>
      </w:r>
      <w:r>
        <w:rPr>
          <w:rFonts w:ascii="宋体" w:hAnsi="宋体" w:eastAsia="宋体" w:cs="宋体"/>
          <w:color w:val="auto"/>
          <w:spacing w:val="2"/>
          <w:position w:val="14"/>
          <w:sz w:val="21"/>
          <w:szCs w:val="21"/>
          <w:highlight w:val="none"/>
        </w:rPr>
        <w:t>星工作或需要采用计日</w:t>
      </w:r>
    </w:p>
    <w:p>
      <w:pPr>
        <w:spacing w:line="219"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工计价的变更工作时，按合同中约定的单价计价的一种方式。</w:t>
      </w:r>
    </w:p>
    <w:p>
      <w:pPr>
        <w:spacing w:before="152" w:line="400" w:lineRule="exact"/>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"1.1.5.7"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1.1.5.7</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质量保证金： 是指按照第</w:t>
      </w:r>
      <w:r>
        <w:rPr>
          <w:rFonts w:ascii="宋体" w:hAnsi="宋体" w:eastAsia="宋体" w:cs="宋体"/>
          <w:color w:val="auto"/>
          <w:spacing w:val="25"/>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15.3  </w:t>
      </w:r>
      <w:r>
        <w:rPr>
          <w:rFonts w:ascii="宋体" w:hAnsi="宋体" w:eastAsia="宋体" w:cs="宋体"/>
          <w:color w:val="auto"/>
          <w:spacing w:val="-3"/>
          <w:position w:val="14"/>
          <w:sz w:val="21"/>
          <w:szCs w:val="21"/>
          <w:highlight w:val="none"/>
        </w:rPr>
        <w:t>款〔质量保证金〕约定承包人用于保证其在缺陷责任</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期内履行缺陷修补义务的担保。</w:t>
      </w:r>
    </w:p>
    <w:p>
      <w:pPr>
        <w:spacing w:before="148" w:line="400" w:lineRule="exact"/>
        <w:ind w:right="1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"1.1.5.8"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1.1.5.8</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
          <w:position w:val="14"/>
          <w:sz w:val="21"/>
          <w:szCs w:val="21"/>
          <w:highlight w:val="none"/>
        </w:rPr>
        <w:t xml:space="preserve">  </w:t>
      </w:r>
      <w:r>
        <w:rPr>
          <w:rFonts w:ascii="宋体" w:hAnsi="宋体" w:eastAsia="宋体" w:cs="宋体"/>
          <w:color w:val="auto"/>
          <w:spacing w:val="3"/>
          <w:position w:val="14"/>
          <w:sz w:val="21"/>
          <w:szCs w:val="21"/>
          <w:highlight w:val="none"/>
        </w:rPr>
        <w:t>总价项目：是指在现行国家、行业以及地方的计量规则中无</w:t>
      </w:r>
      <w:r>
        <w:rPr>
          <w:rFonts w:ascii="宋体" w:hAnsi="宋体" w:eastAsia="宋体" w:cs="宋体"/>
          <w:color w:val="auto"/>
          <w:spacing w:val="2"/>
          <w:position w:val="14"/>
          <w:sz w:val="21"/>
          <w:szCs w:val="21"/>
          <w:highlight w:val="none"/>
        </w:rPr>
        <w:t>工程量计算规则，在已</w:t>
      </w:r>
    </w:p>
    <w:p>
      <w:pPr>
        <w:spacing w:line="219"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标价工程量清单或预算书中以总价或以费率形式计算的项目。</w:t>
      </w:r>
    </w:p>
    <w:p>
      <w:pPr>
        <w:spacing w:before="15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1.1.6</w:t>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其他</w:t>
      </w:r>
    </w:p>
    <w:p>
      <w:pPr>
        <w:spacing w:before="147" w:line="220" w:lineRule="auto"/>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"1.1.6.1" </w:instrText>
      </w:r>
      <w:r>
        <w:rPr>
          <w:color w:val="auto"/>
          <w:highlight w:val="none"/>
        </w:rPr>
        <w:fldChar w:fldCharType="separate"/>
      </w:r>
      <w:r>
        <w:rPr>
          <w:rFonts w:ascii="Times New Roman" w:hAnsi="Times New Roman" w:eastAsia="Times New Roman" w:cs="Times New Roman"/>
          <w:color w:val="auto"/>
          <w:spacing w:val="-3"/>
          <w:sz w:val="21"/>
          <w:szCs w:val="21"/>
          <w:highlight w:val="none"/>
        </w:rPr>
        <w:t>1.1.6.1</w:t>
      </w:r>
      <w:r>
        <w:rPr>
          <w:rFonts w:ascii="Times New Roman" w:hAnsi="Times New Roman" w:eastAsia="Times New Roman" w:cs="Times New Roman"/>
          <w:color w:val="auto"/>
          <w:spacing w:val="-3"/>
          <w:sz w:val="21"/>
          <w:szCs w:val="21"/>
          <w:highlight w:val="none"/>
        </w:rPr>
        <w:fldChar w:fldCharType="end"/>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书面形式： 是指合同文件、信函、电报、传真等可以有形地表现所载内容的形式。</w:t>
      </w:r>
    </w:p>
    <w:p>
      <w:pPr>
        <w:spacing w:before="126" w:line="219"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语言文字</w:t>
      </w:r>
    </w:p>
    <w:p>
      <w:pPr>
        <w:spacing w:before="141" w:line="399"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合同以中国的汉语简体文字编写、解释和说明。合同当事人在专用合同条款中约定</w:t>
      </w:r>
      <w:r>
        <w:rPr>
          <w:rFonts w:ascii="宋体" w:hAnsi="宋体" w:eastAsia="宋体" w:cs="宋体"/>
          <w:color w:val="auto"/>
          <w:spacing w:val="-1"/>
          <w:position w:val="14"/>
          <w:sz w:val="21"/>
          <w:szCs w:val="21"/>
          <w:highlight w:val="none"/>
        </w:rPr>
        <w:t>使用两种</w:t>
      </w:r>
    </w:p>
    <w:p>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以上语言时，汉语为优先解释和说明合同的语言。</w:t>
      </w:r>
    </w:p>
    <w:p>
      <w:pPr>
        <w:spacing w:before="125" w:line="220"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5"/>
          <w:sz w:val="24"/>
          <w:szCs w:val="24"/>
          <w:highlight w:val="none"/>
        </w:rPr>
        <w:t>1.3</w:t>
      </w:r>
      <w:r>
        <w:rPr>
          <w:rFonts w:ascii="Times New Roman" w:hAnsi="Times New Roman" w:eastAsia="Times New Roman" w:cs="Times New Roman"/>
          <w:b/>
          <w:bCs/>
          <w:color w:val="auto"/>
          <w:spacing w:val="15"/>
          <w:sz w:val="24"/>
          <w:szCs w:val="24"/>
          <w:highlight w:val="none"/>
        </w:rPr>
        <w:t xml:space="preserve"> </w:t>
      </w:r>
      <w:r>
        <w:rPr>
          <w:rFonts w:ascii="黑体" w:hAnsi="黑体" w:eastAsia="黑体" w:cs="黑体"/>
          <w:color w:val="auto"/>
          <w:spacing w:val="-5"/>
          <w:sz w:val="24"/>
          <w:szCs w:val="24"/>
          <w:highlight w:val="none"/>
          <w14:textOutline w14:w="4354" w14:cap="flat" w14:cmpd="sng">
            <w14:solidFill>
              <w14:srgbClr w14:val="000000"/>
            </w14:solidFill>
            <w14:prstDash w14:val="solid"/>
            <w14:miter w14:val="0"/>
          </w14:textOutline>
        </w:rPr>
        <w:t>法律</w:t>
      </w:r>
    </w:p>
    <w:p>
      <w:pPr>
        <w:spacing w:before="140"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合同所称法律是指中华人民共和国法律、行政法规、部门规章，以及工程所在地的</w:t>
      </w:r>
      <w:r>
        <w:rPr>
          <w:rFonts w:ascii="宋体" w:hAnsi="宋体" w:eastAsia="宋体" w:cs="宋体"/>
          <w:color w:val="auto"/>
          <w:spacing w:val="-1"/>
          <w:position w:val="14"/>
          <w:sz w:val="21"/>
          <w:szCs w:val="21"/>
          <w:highlight w:val="none"/>
        </w:rPr>
        <w:t>地方性法</w:t>
      </w:r>
    </w:p>
    <w:p>
      <w:pPr>
        <w:spacing w:before="1" w:line="219"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规、自治条例、单行条例和地方政府规章等。</w:t>
      </w:r>
    </w:p>
    <w:p>
      <w:pPr>
        <w:spacing w:before="151" w:line="221" w:lineRule="auto"/>
        <w:ind w:left="421"/>
        <w:rPr>
          <w:rFonts w:ascii="宋体" w:hAnsi="宋体" w:eastAsia="宋体" w:cs="宋体"/>
          <w:color w:val="auto"/>
          <w:sz w:val="21"/>
          <w:szCs w:val="21"/>
          <w:highlight w:val="none"/>
        </w:rPr>
      </w:pPr>
      <w:r>
        <w:rPr>
          <w:rFonts w:ascii="宋体" w:hAnsi="宋体" w:eastAsia="宋体" w:cs="宋体"/>
          <w:color w:val="auto"/>
          <w:sz w:val="21"/>
          <w:szCs w:val="21"/>
          <w:highlight w:val="none"/>
        </w:rPr>
        <w:t>合同当事人可以在专用合同条款中约定合同适用的其他规范</w:t>
      </w:r>
      <w:r>
        <w:rPr>
          <w:rFonts w:ascii="宋体" w:hAnsi="宋体" w:eastAsia="宋体" w:cs="宋体"/>
          <w:color w:val="auto"/>
          <w:spacing w:val="-1"/>
          <w:sz w:val="21"/>
          <w:szCs w:val="21"/>
          <w:highlight w:val="none"/>
        </w:rPr>
        <w:t>性文件。</w:t>
      </w:r>
    </w:p>
    <w:p>
      <w:pPr>
        <w:spacing w:before="125" w:line="220"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1.4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标准和规范</w:t>
      </w:r>
    </w:p>
    <w:p>
      <w:pPr>
        <w:spacing w:before="137" w:line="401" w:lineRule="exact"/>
        <w:ind w:right="1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1.4.1  </w:t>
      </w:r>
      <w:r>
        <w:rPr>
          <w:rFonts w:ascii="宋体" w:hAnsi="宋体" w:eastAsia="宋体" w:cs="宋体"/>
          <w:color w:val="auto"/>
          <w:spacing w:val="2"/>
          <w:position w:val="14"/>
          <w:sz w:val="21"/>
          <w:szCs w:val="21"/>
          <w:highlight w:val="none"/>
        </w:rPr>
        <w:t>适用于工程的国家标准、行业标准、</w:t>
      </w:r>
      <w:r>
        <w:rPr>
          <w:rFonts w:ascii="宋体" w:hAnsi="宋体" w:eastAsia="宋体" w:cs="宋体"/>
          <w:color w:val="auto"/>
          <w:spacing w:val="1"/>
          <w:position w:val="14"/>
          <w:sz w:val="21"/>
          <w:szCs w:val="21"/>
          <w:highlight w:val="none"/>
        </w:rPr>
        <w:t>工程所在地的地方性标准，以及相应的规范、规</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程等， 合同当事人有特别要求的，应在专用合同条款中约定。</w:t>
      </w:r>
    </w:p>
    <w:p>
      <w:pPr>
        <w:spacing w:before="125" w:line="401"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1.4.2  </w:t>
      </w:r>
      <w:r>
        <w:rPr>
          <w:rFonts w:ascii="宋体" w:hAnsi="宋体" w:eastAsia="宋体" w:cs="宋体"/>
          <w:color w:val="auto"/>
          <w:spacing w:val="2"/>
          <w:position w:val="14"/>
          <w:sz w:val="21"/>
          <w:szCs w:val="21"/>
          <w:highlight w:val="none"/>
        </w:rPr>
        <w:t>发包人要求使用国外标准、规范的，发包人负责提供</w:t>
      </w:r>
      <w:r>
        <w:rPr>
          <w:rFonts w:ascii="宋体" w:hAnsi="宋体" w:eastAsia="宋体" w:cs="宋体"/>
          <w:color w:val="auto"/>
          <w:spacing w:val="1"/>
          <w:position w:val="14"/>
          <w:sz w:val="21"/>
          <w:szCs w:val="21"/>
          <w:highlight w:val="none"/>
        </w:rPr>
        <w:t>原文版本和中文译本，并在专用</w:t>
      </w:r>
    </w:p>
    <w:p>
      <w:pPr>
        <w:spacing w:line="219"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合同条款中约定提供标准规范的名称、份数和时间。</w:t>
      </w:r>
    </w:p>
    <w:p>
      <w:pPr>
        <w:spacing w:before="151" w:line="351" w:lineRule="auto"/>
        <w:ind w:right="177" w:firstLine="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发包人对工程的技术标准、功能要求高于或严于现行</w:t>
      </w:r>
      <w:r>
        <w:rPr>
          <w:rFonts w:ascii="宋体" w:hAnsi="宋体" w:eastAsia="宋体" w:cs="宋体"/>
          <w:color w:val="auto"/>
          <w:spacing w:val="1"/>
          <w:sz w:val="21"/>
          <w:szCs w:val="21"/>
          <w:highlight w:val="none"/>
        </w:rPr>
        <w:t>国家、行业或地方标准的，应当</w:t>
      </w:r>
      <w:r>
        <w:rPr>
          <w:rFonts w:ascii="宋体" w:hAnsi="宋体" w:eastAsia="宋体" w:cs="宋体"/>
          <w:color w:val="auto"/>
          <w:sz w:val="21"/>
          <w:szCs w:val="21"/>
          <w:highlight w:val="none"/>
        </w:rPr>
        <w:t xml:space="preserve"> 在专用合同条款中予以明确。除专用合同条款另有约定外，应视为承包人在签订合同前已</w:t>
      </w:r>
      <w:r>
        <w:rPr>
          <w:rFonts w:ascii="宋体" w:hAnsi="宋体" w:eastAsia="宋体" w:cs="宋体"/>
          <w:color w:val="auto"/>
          <w:spacing w:val="-1"/>
          <w:sz w:val="21"/>
          <w:szCs w:val="21"/>
          <w:highlight w:val="none"/>
        </w:rPr>
        <w:t>充分预</w:t>
      </w:r>
      <w:r>
        <w:rPr>
          <w:rFonts w:ascii="宋体" w:hAnsi="宋体" w:eastAsia="宋体" w:cs="宋体"/>
          <w:color w:val="auto"/>
          <w:spacing w:val="-3"/>
          <w:sz w:val="21"/>
          <w:szCs w:val="21"/>
          <w:highlight w:val="none"/>
        </w:rPr>
        <w:t>见前述技术标准和功能要求的复杂程度，</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签约合同价中已包含由此产生的费用。</w:t>
      </w:r>
    </w:p>
    <w:p>
      <w:pPr>
        <w:spacing w:before="126" w:line="218" w:lineRule="auto"/>
        <w:ind w:left="8"/>
        <w:outlineLvl w:val="6"/>
        <w:rPr>
          <w:rFonts w:ascii="黑体" w:hAnsi="黑体" w:eastAsia="黑体" w:cs="黑体"/>
          <w:color w:val="auto"/>
          <w:sz w:val="24"/>
          <w:szCs w:val="24"/>
          <w:highlight w:val="none"/>
        </w:rPr>
      </w:pPr>
      <w:bookmarkStart w:id="156" w:name="bookmark197"/>
      <w:bookmarkEnd w:id="156"/>
      <w:bookmarkStart w:id="157" w:name="bookmark195"/>
      <w:bookmarkEnd w:id="157"/>
      <w:bookmarkStart w:id="158" w:name="bookmark196"/>
      <w:bookmarkEnd w:id="158"/>
      <w:r>
        <w:rPr>
          <w:rFonts w:ascii="Times New Roman" w:hAnsi="Times New Roman" w:eastAsia="Times New Roman" w:cs="Times New Roman"/>
          <w:b/>
          <w:bCs/>
          <w:color w:val="auto"/>
          <w:spacing w:val="-1"/>
          <w:sz w:val="24"/>
          <w:szCs w:val="24"/>
          <w:highlight w:val="none"/>
        </w:rPr>
        <w:t xml:space="preserve">1.5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合同文件的优先顺序</w:t>
      </w:r>
    </w:p>
    <w:p>
      <w:pPr>
        <w:spacing w:before="140" w:line="400" w:lineRule="exact"/>
        <w:ind w:left="423"/>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组成合同的各项文件应互相解释，互为说明。除专用合同条款另有约定外， 解释合同文件的优先顺序如下：</w:t>
      </w:r>
    </w:p>
    <w:p>
      <w:pPr>
        <w:spacing w:before="150" w:line="220" w:lineRule="auto"/>
        <w:ind w:left="42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）合同协议书；</w:t>
      </w:r>
    </w:p>
    <w:p>
      <w:pPr>
        <w:spacing w:before="149"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）中标通知书（如果有</w:t>
      </w:r>
      <w:r>
        <w:rPr>
          <w:rFonts w:ascii="宋体" w:hAnsi="宋体" w:eastAsia="宋体" w:cs="宋体"/>
          <w:color w:val="auto"/>
          <w:spacing w:val="-56"/>
          <w:sz w:val="21"/>
          <w:szCs w:val="21"/>
          <w:highlight w:val="none"/>
        </w:rPr>
        <w:t>）；</w:t>
      </w:r>
    </w:p>
    <w:p>
      <w:pPr>
        <w:spacing w:before="150" w:line="401" w:lineRule="exact"/>
        <w:ind w:left="427"/>
        <w:rPr>
          <w:rFonts w:ascii="宋体" w:hAnsi="宋体" w:eastAsia="宋体" w:cs="宋体"/>
          <w:color w:val="auto"/>
          <w:sz w:val="21"/>
          <w:szCs w:val="21"/>
          <w:highlight w:val="none"/>
        </w:rPr>
      </w:pPr>
      <w:r>
        <w:rPr>
          <w:rFonts w:ascii="宋体" w:hAnsi="宋体" w:eastAsia="宋体" w:cs="宋体"/>
          <w:color w:val="auto"/>
          <w:spacing w:val="-7"/>
          <w:position w:val="14"/>
          <w:sz w:val="21"/>
          <w:szCs w:val="21"/>
          <w:highlight w:val="none"/>
        </w:rPr>
        <w:t>（</w:t>
      </w:r>
      <w:r>
        <w:rPr>
          <w:rFonts w:ascii="Times New Roman" w:hAnsi="Times New Roman" w:eastAsia="Times New Roman" w:cs="Times New Roman"/>
          <w:color w:val="auto"/>
          <w:spacing w:val="-7"/>
          <w:position w:val="14"/>
          <w:sz w:val="21"/>
          <w:szCs w:val="21"/>
          <w:highlight w:val="none"/>
        </w:rPr>
        <w:t>3</w:t>
      </w:r>
      <w:r>
        <w:rPr>
          <w:rFonts w:ascii="宋体" w:hAnsi="宋体" w:eastAsia="宋体" w:cs="宋体"/>
          <w:color w:val="auto"/>
          <w:spacing w:val="-7"/>
          <w:position w:val="14"/>
          <w:sz w:val="21"/>
          <w:szCs w:val="21"/>
          <w:highlight w:val="none"/>
        </w:rPr>
        <w:t>）投标函及其附录（如果有</w:t>
      </w:r>
      <w:r>
        <w:rPr>
          <w:rFonts w:ascii="宋体" w:hAnsi="宋体" w:eastAsia="宋体" w:cs="宋体"/>
          <w:color w:val="auto"/>
          <w:spacing w:val="-17"/>
          <w:position w:val="14"/>
          <w:sz w:val="21"/>
          <w:szCs w:val="21"/>
          <w:highlight w:val="none"/>
        </w:rPr>
        <w:t>）；</w:t>
      </w:r>
    </w:p>
    <w:p>
      <w:pPr>
        <w:spacing w:before="1" w:line="219"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）专用合同条款及其附件；</w:t>
      </w:r>
    </w:p>
    <w:p>
      <w:pPr>
        <w:spacing w:before="148"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）通用合同条款；</w:t>
      </w:r>
    </w:p>
    <w:p>
      <w:pPr>
        <w:spacing w:before="150" w:line="401" w:lineRule="exact"/>
        <w:ind w:left="42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6</w:t>
      </w:r>
      <w:r>
        <w:rPr>
          <w:rFonts w:ascii="宋体" w:hAnsi="宋体" w:eastAsia="宋体" w:cs="宋体"/>
          <w:color w:val="auto"/>
          <w:spacing w:val="-4"/>
          <w:position w:val="14"/>
          <w:sz w:val="21"/>
          <w:szCs w:val="21"/>
          <w:highlight w:val="none"/>
        </w:rPr>
        <w:t>）技术标准和要求；</w:t>
      </w:r>
    </w:p>
    <w:p>
      <w:pPr>
        <w:spacing w:line="222"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）图纸；</w:t>
      </w:r>
    </w:p>
    <w:p>
      <w:pPr>
        <w:spacing w:before="145" w:line="402" w:lineRule="exact"/>
        <w:ind w:left="42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8</w:t>
      </w:r>
      <w:r>
        <w:rPr>
          <w:rFonts w:ascii="宋体" w:hAnsi="宋体" w:eastAsia="宋体" w:cs="宋体"/>
          <w:color w:val="auto"/>
          <w:spacing w:val="-1"/>
          <w:position w:val="14"/>
          <w:sz w:val="21"/>
          <w:szCs w:val="21"/>
          <w:highlight w:val="none"/>
        </w:rPr>
        <w:t>）已标价工程量清单或预算书；</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9</w:t>
      </w:r>
      <w:r>
        <w:rPr>
          <w:rFonts w:ascii="宋体" w:hAnsi="宋体" w:eastAsia="宋体" w:cs="宋体"/>
          <w:color w:val="auto"/>
          <w:spacing w:val="-2"/>
          <w:sz w:val="21"/>
          <w:szCs w:val="21"/>
          <w:highlight w:val="none"/>
        </w:rPr>
        <w:t>）其他合同文件。</w:t>
      </w:r>
    </w:p>
    <w:p>
      <w:pPr>
        <w:spacing w:before="150" w:line="399" w:lineRule="exact"/>
        <w:ind w:left="422"/>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上述各项合同文件包括合同当事人就该项合同文件所作出的补充和修改，属于同一类内容的文件， 应以最新签署的为准。</w:t>
      </w:r>
    </w:p>
    <w:p>
      <w:pPr>
        <w:spacing w:before="150" w:line="399" w:lineRule="exact"/>
        <w:ind w:left="422"/>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在合同订立及履行过程中形成的与合同有关的文件均构成合同文件组成部分，并根据其性质确定优先解释顺序。</w:t>
      </w:r>
    </w:p>
    <w:p>
      <w:pPr>
        <w:spacing w:before="122" w:line="219"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1.6</w:t>
      </w:r>
      <w:r>
        <w:rPr>
          <w:rFonts w:ascii="Times New Roman" w:hAnsi="Times New Roman" w:eastAsia="Times New Roman" w:cs="Times New Roman"/>
          <w:b/>
          <w:bCs/>
          <w:color w:val="auto"/>
          <w:spacing w:val="23"/>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图纸和承包人文件</w:t>
      </w:r>
    </w:p>
    <w:p>
      <w:pPr>
        <w:spacing w:before="141"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1.6.1</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4"/>
          <w:sz w:val="21"/>
          <w:szCs w:val="21"/>
          <w:highlight w:val="none"/>
        </w:rPr>
        <w:t>图纸的提供和交底</w:t>
      </w:r>
    </w:p>
    <w:p>
      <w:pPr>
        <w:spacing w:before="150" w:line="352" w:lineRule="auto"/>
        <w:ind w:left="1"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发包人应按照专用合同条款约定的期限、数量和内容向承包人免费提供图纸，并组织承包人、</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 xml:space="preserve">监理人和设计人进行图纸会审和设计交底。发包人至迟不得晚于第 </w:t>
      </w:r>
      <w:r>
        <w:rPr>
          <w:rFonts w:ascii="Times New Roman" w:hAnsi="Times New Roman" w:eastAsia="Times New Roman" w:cs="Times New Roman"/>
          <w:color w:val="auto"/>
          <w:sz w:val="21"/>
          <w:szCs w:val="21"/>
          <w:highlight w:val="none"/>
        </w:rPr>
        <w:t xml:space="preserve">7.3.2  </w:t>
      </w:r>
      <w:r>
        <w:rPr>
          <w:rFonts w:ascii="宋体" w:hAnsi="宋体" w:eastAsia="宋体" w:cs="宋体"/>
          <w:color w:val="auto"/>
          <w:sz w:val="21"/>
          <w:szCs w:val="21"/>
          <w:highlight w:val="none"/>
        </w:rPr>
        <w:t>项〔开工通知〕载明的</w:t>
      </w:r>
      <w:r>
        <w:rPr>
          <w:rFonts w:ascii="宋体" w:hAnsi="宋体" w:eastAsia="宋体" w:cs="宋体"/>
          <w:color w:val="auto"/>
          <w:spacing w:val="-3"/>
          <w:sz w:val="21"/>
          <w:szCs w:val="21"/>
          <w:highlight w:val="none"/>
        </w:rPr>
        <w:t>开工日期前</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天向承包人提供图纸。</w:t>
      </w:r>
    </w:p>
    <w:p>
      <w:pPr>
        <w:spacing w:before="150" w:line="399" w:lineRule="exact"/>
        <w:ind w:left="43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因发包人未按合同约定提供图纸导致承包人费用增加和（或）</w:t>
      </w:r>
      <w:r>
        <w:rPr>
          <w:rFonts w:ascii="宋体" w:hAnsi="宋体" w:eastAsia="宋体" w:cs="宋体"/>
          <w:color w:val="auto"/>
          <w:spacing w:val="-18"/>
          <w:position w:val="14"/>
          <w:sz w:val="21"/>
          <w:szCs w:val="21"/>
          <w:highlight w:val="none"/>
        </w:rPr>
        <w:t xml:space="preserve"> </w:t>
      </w:r>
      <w:r>
        <w:rPr>
          <w:rFonts w:ascii="宋体" w:hAnsi="宋体" w:eastAsia="宋体" w:cs="宋体"/>
          <w:color w:val="auto"/>
          <w:spacing w:val="-4"/>
          <w:position w:val="14"/>
          <w:sz w:val="21"/>
          <w:szCs w:val="21"/>
          <w:highlight w:val="none"/>
        </w:rPr>
        <w:t>工期延误的，</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4"/>
          <w:position w:val="14"/>
          <w:sz w:val="21"/>
          <w:szCs w:val="21"/>
          <w:highlight w:val="none"/>
        </w:rPr>
        <w:t xml:space="preserve">按照第 </w:t>
      </w:r>
      <w:r>
        <w:rPr>
          <w:rFonts w:ascii="Times New Roman" w:hAnsi="Times New Roman" w:eastAsia="Times New Roman" w:cs="Times New Roman"/>
          <w:color w:val="auto"/>
          <w:spacing w:val="-4"/>
          <w:position w:val="14"/>
          <w:sz w:val="21"/>
          <w:szCs w:val="21"/>
          <w:highlight w:val="none"/>
        </w:rPr>
        <w:t xml:space="preserve">7.5.1 </w:t>
      </w:r>
      <w:r>
        <w:rPr>
          <w:rFonts w:ascii="宋体" w:hAnsi="宋体" w:eastAsia="宋体" w:cs="宋体"/>
          <w:color w:val="auto"/>
          <w:spacing w:val="-4"/>
          <w:position w:val="14"/>
          <w:sz w:val="21"/>
          <w:szCs w:val="21"/>
          <w:highlight w:val="none"/>
        </w:rPr>
        <w:t>项</w:t>
      </w:r>
    </w:p>
    <w:p>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〔因发包人原因导致工期延误〕约定办理。</w:t>
      </w:r>
    </w:p>
    <w:p>
      <w:pPr>
        <w:spacing w:before="149" w:line="222"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1.6.2</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5"/>
          <w:sz w:val="21"/>
          <w:szCs w:val="21"/>
          <w:highlight w:val="none"/>
        </w:rPr>
        <w:t>图纸的错误</w:t>
      </w:r>
    </w:p>
    <w:p>
      <w:pPr>
        <w:spacing w:before="148" w:line="352" w:lineRule="auto"/>
        <w:ind w:left="1"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承包人在收到发包人提供的图纸后，</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发现图纸存在差错、遗漏或缺陷的，应及时通知监理人。</w:t>
      </w:r>
      <w:r>
        <w:rPr>
          <w:rFonts w:ascii="宋体" w:hAnsi="宋体" w:eastAsia="宋体" w:cs="宋体"/>
          <w:color w:val="auto"/>
          <w:sz w:val="21"/>
          <w:szCs w:val="21"/>
          <w:highlight w:val="none"/>
        </w:rPr>
        <w:t xml:space="preserve"> 监理人接到该通知后，应附具相关意见并立即报送发包人，发</w:t>
      </w:r>
      <w:r>
        <w:rPr>
          <w:rFonts w:ascii="宋体" w:hAnsi="宋体" w:eastAsia="宋体" w:cs="宋体"/>
          <w:color w:val="auto"/>
          <w:spacing w:val="-1"/>
          <w:sz w:val="21"/>
          <w:szCs w:val="21"/>
          <w:highlight w:val="none"/>
        </w:rPr>
        <w:t xml:space="preserve">包人应在收到监理人报送的通知后  </w:t>
      </w:r>
      <w:r>
        <w:rPr>
          <w:rFonts w:ascii="宋体" w:hAnsi="宋体" w:eastAsia="宋体" w:cs="宋体"/>
          <w:color w:val="auto"/>
          <w:spacing w:val="-4"/>
          <w:sz w:val="21"/>
          <w:szCs w:val="21"/>
          <w:highlight w:val="none"/>
        </w:rPr>
        <w:t>的合理时间内作出决定。</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合理时间是指发包人在收到监理人的报送通知后，</w:t>
      </w:r>
      <w:r>
        <w:rPr>
          <w:rFonts w:ascii="宋体" w:hAnsi="宋体" w:eastAsia="宋体" w:cs="宋体"/>
          <w:color w:val="auto"/>
          <w:spacing w:val="-22"/>
          <w:sz w:val="21"/>
          <w:szCs w:val="21"/>
          <w:highlight w:val="none"/>
        </w:rPr>
        <w:t xml:space="preserve"> </w:t>
      </w:r>
      <w:r>
        <w:rPr>
          <w:rFonts w:ascii="宋体" w:hAnsi="宋体" w:eastAsia="宋体" w:cs="宋体"/>
          <w:color w:val="auto"/>
          <w:spacing w:val="-4"/>
          <w:sz w:val="21"/>
          <w:szCs w:val="21"/>
          <w:highlight w:val="none"/>
        </w:rPr>
        <w:t>尽其努力且不懈怠地</w:t>
      </w:r>
      <w:r>
        <w:rPr>
          <w:rFonts w:ascii="宋体" w:hAnsi="宋体" w:eastAsia="宋体" w:cs="宋体"/>
          <w:color w:val="auto"/>
          <w:spacing w:val="-2"/>
          <w:sz w:val="21"/>
          <w:szCs w:val="21"/>
          <w:highlight w:val="none"/>
        </w:rPr>
        <w:t>完成图纸修改补充所需的时间。</w:t>
      </w:r>
    </w:p>
    <w:p>
      <w:pPr>
        <w:spacing w:before="148" w:line="352" w:lineRule="auto"/>
        <w:ind w:left="1" w:firstLine="419"/>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1.6.3  图纸的修改和补充</w:t>
      </w:r>
    </w:p>
    <w:p>
      <w:pPr>
        <w:spacing w:before="148" w:line="352" w:lineRule="auto"/>
        <w:ind w:left="1"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图纸需要修改和补充的， 应经图纸原设计人及审批部门同意， 并由监理人在工程或工程相应</w:t>
      </w:r>
      <w:bookmarkStart w:id="159" w:name="bookmark199"/>
      <w:bookmarkEnd w:id="159"/>
      <w:bookmarkStart w:id="160" w:name="bookmark200"/>
      <w:bookmarkEnd w:id="160"/>
      <w:bookmarkStart w:id="161" w:name="bookmark198"/>
      <w:bookmarkEnd w:id="161"/>
      <w:r>
        <w:rPr>
          <w:rFonts w:ascii="宋体" w:hAnsi="宋体" w:eastAsia="宋体" w:cs="宋体"/>
          <w:color w:val="auto"/>
          <w:sz w:val="21"/>
          <w:szCs w:val="21"/>
          <w:highlight w:val="none"/>
        </w:rPr>
        <w:t>部位施工前将修改后的图纸或补充图纸提交给承包人，承包人应按修改或补充后的图</w:t>
      </w:r>
      <w:r>
        <w:rPr>
          <w:rFonts w:ascii="宋体" w:hAnsi="宋体" w:eastAsia="宋体" w:cs="宋体"/>
          <w:color w:val="auto"/>
          <w:spacing w:val="-1"/>
          <w:sz w:val="21"/>
          <w:szCs w:val="21"/>
          <w:highlight w:val="none"/>
        </w:rPr>
        <w:t>纸施工。</w:t>
      </w:r>
    </w:p>
    <w:p>
      <w:pPr>
        <w:spacing w:before="14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1.6.4  </w:t>
      </w:r>
      <w:r>
        <w:rPr>
          <w:rFonts w:ascii="宋体" w:hAnsi="宋体" w:eastAsia="宋体" w:cs="宋体"/>
          <w:color w:val="auto"/>
          <w:spacing w:val="-2"/>
          <w:sz w:val="21"/>
          <w:szCs w:val="21"/>
          <w:highlight w:val="none"/>
        </w:rPr>
        <w:t>承包人文件</w:t>
      </w:r>
    </w:p>
    <w:p>
      <w:pPr>
        <w:spacing w:before="149" w:line="399"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承包人应按照专用合同条款的约定提供应当由其编制的与工程施工有关的文件，并</w:t>
      </w:r>
      <w:r>
        <w:rPr>
          <w:rFonts w:ascii="宋体" w:hAnsi="宋体" w:eastAsia="宋体" w:cs="宋体"/>
          <w:color w:val="auto"/>
          <w:spacing w:val="-1"/>
          <w:position w:val="14"/>
          <w:sz w:val="21"/>
          <w:szCs w:val="21"/>
          <w:highlight w:val="none"/>
        </w:rPr>
        <w:t>按照专用</w:t>
      </w:r>
    </w:p>
    <w:p>
      <w:pPr>
        <w:spacing w:line="220" w:lineRule="auto"/>
        <w:rPr>
          <w:rFonts w:ascii="宋体" w:hAnsi="宋体" w:eastAsia="宋体" w:cs="宋体"/>
          <w:color w:val="auto"/>
          <w:sz w:val="21"/>
          <w:szCs w:val="21"/>
          <w:highlight w:val="none"/>
        </w:rPr>
      </w:pPr>
      <w:r>
        <w:rPr>
          <w:rFonts w:ascii="宋体" w:hAnsi="宋体" w:eastAsia="宋体" w:cs="宋体"/>
          <w:color w:val="auto"/>
          <w:sz w:val="21"/>
          <w:szCs w:val="21"/>
          <w:highlight w:val="none"/>
        </w:rPr>
        <w:t>合同条款约定的期限、数量和形式提交监理人，并由监理人报送</w:t>
      </w:r>
      <w:r>
        <w:rPr>
          <w:rFonts w:ascii="宋体" w:hAnsi="宋体" w:eastAsia="宋体" w:cs="宋体"/>
          <w:color w:val="auto"/>
          <w:spacing w:val="-1"/>
          <w:sz w:val="21"/>
          <w:szCs w:val="21"/>
          <w:highlight w:val="none"/>
        </w:rPr>
        <w:t>发包人。</w:t>
      </w:r>
    </w:p>
    <w:p>
      <w:pPr>
        <w:spacing w:before="150" w:line="351" w:lineRule="auto"/>
        <w:ind w:left="1"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除专用合同条款另有约定外，监理人应在收到承包人文件后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天内审查完毕，监理人对承包</w:t>
      </w:r>
      <w:r>
        <w:rPr>
          <w:rFonts w:ascii="宋体" w:hAnsi="宋体" w:eastAsia="宋体" w:cs="宋体"/>
          <w:color w:val="auto"/>
          <w:sz w:val="21"/>
          <w:szCs w:val="21"/>
          <w:highlight w:val="none"/>
        </w:rPr>
        <w:t xml:space="preserve"> 人文件有异议的，承包人应予以修改，并重新报送监理人。监理人的审查并不减轻或</w:t>
      </w:r>
      <w:r>
        <w:rPr>
          <w:rFonts w:ascii="宋体" w:hAnsi="宋体" w:eastAsia="宋体" w:cs="宋体"/>
          <w:color w:val="auto"/>
          <w:spacing w:val="-1"/>
          <w:sz w:val="21"/>
          <w:szCs w:val="21"/>
          <w:highlight w:val="none"/>
        </w:rPr>
        <w:t>免除承包人</w:t>
      </w:r>
      <w:r>
        <w:rPr>
          <w:rFonts w:ascii="宋体" w:hAnsi="宋体" w:eastAsia="宋体" w:cs="宋体"/>
          <w:color w:val="auto"/>
          <w:spacing w:val="-2"/>
          <w:sz w:val="21"/>
          <w:szCs w:val="21"/>
          <w:highlight w:val="none"/>
        </w:rPr>
        <w:t>根据合同约定应当承担的责任。</w:t>
      </w:r>
    </w:p>
    <w:p>
      <w:pPr>
        <w:spacing w:before="14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1.6.5</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4"/>
          <w:sz w:val="21"/>
          <w:szCs w:val="21"/>
          <w:highlight w:val="none"/>
        </w:rPr>
        <w:t>图纸和承包人文件的保管</w:t>
      </w:r>
    </w:p>
    <w:p>
      <w:pPr>
        <w:spacing w:before="151"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除专用合同条款另有约定外，承包人应在施工现场另外保存一套完整的图纸和承包人文件，</w:t>
      </w:r>
    </w:p>
    <w:p>
      <w:pPr>
        <w:spacing w:before="1" w:line="219" w:lineRule="auto"/>
        <w:rPr>
          <w:rFonts w:ascii="宋体" w:hAnsi="宋体" w:eastAsia="宋体" w:cs="宋体"/>
          <w:color w:val="auto"/>
          <w:sz w:val="21"/>
          <w:szCs w:val="21"/>
          <w:highlight w:val="none"/>
        </w:rPr>
      </w:pPr>
      <w:r>
        <w:rPr>
          <w:rFonts w:ascii="宋体" w:hAnsi="宋体" w:eastAsia="宋体" w:cs="宋体"/>
          <w:color w:val="auto"/>
          <w:sz w:val="21"/>
          <w:szCs w:val="21"/>
          <w:highlight w:val="none"/>
        </w:rPr>
        <w:t>供发包人、监理人及有关人员进行工程检查</w:t>
      </w:r>
      <w:r>
        <w:rPr>
          <w:rFonts w:ascii="宋体" w:hAnsi="宋体" w:eastAsia="宋体" w:cs="宋体"/>
          <w:color w:val="auto"/>
          <w:spacing w:val="-1"/>
          <w:sz w:val="21"/>
          <w:szCs w:val="21"/>
          <w:highlight w:val="none"/>
        </w:rPr>
        <w:t>时使用。</w:t>
      </w:r>
    </w:p>
    <w:p>
      <w:pPr>
        <w:spacing w:before="126" w:line="218"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1.7</w:t>
      </w:r>
      <w:r>
        <w:rPr>
          <w:rFonts w:ascii="Times New Roman" w:hAnsi="Times New Roman" w:eastAsia="Times New Roman" w:cs="Times New Roman"/>
          <w:b/>
          <w:bCs/>
          <w:color w:val="auto"/>
          <w:spacing w:val="10"/>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联络</w:t>
      </w:r>
    </w:p>
    <w:p>
      <w:pPr>
        <w:spacing w:before="142" w:line="399" w:lineRule="exact"/>
        <w:ind w:right="2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1.7.1  </w:t>
      </w:r>
      <w:r>
        <w:rPr>
          <w:rFonts w:ascii="宋体" w:hAnsi="宋体" w:eastAsia="宋体" w:cs="宋体"/>
          <w:color w:val="auto"/>
          <w:spacing w:val="2"/>
          <w:position w:val="14"/>
          <w:sz w:val="21"/>
          <w:szCs w:val="21"/>
          <w:highlight w:val="none"/>
        </w:rPr>
        <w:t>与合同有关的通知、批准、</w:t>
      </w:r>
      <w:r>
        <w:rPr>
          <w:rFonts w:ascii="宋体" w:hAnsi="宋体" w:eastAsia="宋体" w:cs="宋体"/>
          <w:color w:val="auto"/>
          <w:spacing w:val="1"/>
          <w:position w:val="14"/>
          <w:sz w:val="21"/>
          <w:szCs w:val="21"/>
          <w:highlight w:val="none"/>
        </w:rPr>
        <w:t>证明、证书、指示、指令、要求、请求、同意、意见、确</w:t>
      </w:r>
    </w:p>
    <w:p>
      <w:pPr>
        <w:spacing w:before="1" w:line="219" w:lineRule="auto"/>
        <w:ind w:left="5"/>
        <w:rPr>
          <w:rFonts w:ascii="宋体" w:hAnsi="宋体" w:eastAsia="宋体" w:cs="宋体"/>
          <w:color w:val="auto"/>
          <w:sz w:val="21"/>
          <w:szCs w:val="21"/>
          <w:highlight w:val="none"/>
        </w:rPr>
      </w:pPr>
      <w:r>
        <w:rPr>
          <w:rFonts w:ascii="宋体" w:hAnsi="宋体" w:eastAsia="宋体" w:cs="宋体"/>
          <w:color w:val="auto"/>
          <w:sz w:val="21"/>
          <w:szCs w:val="21"/>
          <w:highlight w:val="none"/>
        </w:rPr>
        <w:t>定和决定等，均应采用书面形式，并应在合同约定的期限内送达接收人</w:t>
      </w:r>
      <w:r>
        <w:rPr>
          <w:rFonts w:ascii="宋体" w:hAnsi="宋体" w:eastAsia="宋体" w:cs="宋体"/>
          <w:color w:val="auto"/>
          <w:spacing w:val="-1"/>
          <w:sz w:val="21"/>
          <w:szCs w:val="21"/>
          <w:highlight w:val="none"/>
        </w:rPr>
        <w:t>和送达地点。</w:t>
      </w:r>
    </w:p>
    <w:p>
      <w:pPr>
        <w:spacing w:before="150" w:line="401"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1.7.2  </w:t>
      </w:r>
      <w:r>
        <w:rPr>
          <w:rFonts w:ascii="宋体" w:hAnsi="宋体" w:eastAsia="宋体" w:cs="宋体"/>
          <w:color w:val="auto"/>
          <w:spacing w:val="2"/>
          <w:position w:val="14"/>
          <w:sz w:val="21"/>
          <w:szCs w:val="21"/>
          <w:highlight w:val="none"/>
        </w:rPr>
        <w:t>发包人和承包人应在专用合同条款中约定各自的送达</w:t>
      </w:r>
      <w:r>
        <w:rPr>
          <w:rFonts w:ascii="宋体" w:hAnsi="宋体" w:eastAsia="宋体" w:cs="宋体"/>
          <w:color w:val="auto"/>
          <w:spacing w:val="1"/>
          <w:position w:val="14"/>
          <w:sz w:val="21"/>
          <w:szCs w:val="21"/>
          <w:highlight w:val="none"/>
        </w:rPr>
        <w:t>接收人和送达地点。任何一方合</w:t>
      </w:r>
    </w:p>
    <w:p>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同当事人指定的接收人或送达地点发生变动的，应</w:t>
      </w:r>
      <w:r>
        <w:rPr>
          <w:rFonts w:ascii="宋体" w:hAnsi="宋体" w:eastAsia="宋体" w:cs="宋体"/>
          <w:color w:val="auto"/>
          <w:spacing w:val="-2"/>
          <w:sz w:val="21"/>
          <w:szCs w:val="21"/>
          <w:highlight w:val="none"/>
        </w:rPr>
        <w:t>提前</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天以书面形式通知对方。</w:t>
      </w:r>
    </w:p>
    <w:p>
      <w:pPr>
        <w:spacing w:before="148" w:line="402"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1.7.3  </w:t>
      </w:r>
      <w:r>
        <w:rPr>
          <w:rFonts w:ascii="宋体" w:hAnsi="宋体" w:eastAsia="宋体" w:cs="宋体"/>
          <w:color w:val="auto"/>
          <w:spacing w:val="2"/>
          <w:position w:val="14"/>
          <w:sz w:val="21"/>
          <w:szCs w:val="21"/>
          <w:highlight w:val="none"/>
        </w:rPr>
        <w:t>发包人和承包人应当及时签收另一方送达至送达地点</w:t>
      </w:r>
      <w:r>
        <w:rPr>
          <w:rFonts w:ascii="宋体" w:hAnsi="宋体" w:eastAsia="宋体" w:cs="宋体"/>
          <w:color w:val="auto"/>
          <w:spacing w:val="1"/>
          <w:position w:val="14"/>
          <w:sz w:val="21"/>
          <w:szCs w:val="21"/>
          <w:highlight w:val="none"/>
        </w:rPr>
        <w:t>和指定接收人的来往信函。拒不</w:t>
      </w:r>
    </w:p>
    <w:p>
      <w:pPr>
        <w:spacing w:line="220" w:lineRule="auto"/>
        <w:rPr>
          <w:rFonts w:ascii="宋体" w:hAnsi="宋体" w:eastAsia="宋体" w:cs="宋体"/>
          <w:color w:val="auto"/>
          <w:sz w:val="21"/>
          <w:szCs w:val="21"/>
          <w:highlight w:val="none"/>
        </w:rPr>
      </w:pPr>
      <w:r>
        <w:rPr>
          <w:rFonts w:ascii="宋体" w:hAnsi="宋体" w:eastAsia="宋体" w:cs="宋体"/>
          <w:color w:val="auto"/>
          <w:sz w:val="21"/>
          <w:szCs w:val="21"/>
          <w:highlight w:val="none"/>
        </w:rPr>
        <w:t>签收的，由此增加的费用和（或）延误的工期由拒绝接收一方</w:t>
      </w:r>
      <w:r>
        <w:rPr>
          <w:rFonts w:ascii="宋体" w:hAnsi="宋体" w:eastAsia="宋体" w:cs="宋体"/>
          <w:color w:val="auto"/>
          <w:spacing w:val="-1"/>
          <w:sz w:val="21"/>
          <w:szCs w:val="21"/>
          <w:highlight w:val="none"/>
        </w:rPr>
        <w:t>承担。</w:t>
      </w:r>
    </w:p>
    <w:p>
      <w:pPr>
        <w:spacing w:before="125"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严禁贿赂</w:t>
      </w:r>
    </w:p>
    <w:p>
      <w:pPr>
        <w:spacing w:before="139"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合同当事人不得以贿赂或变相贿赂的方式，谋取非法利益或损害对方权益。因一方</w:t>
      </w:r>
      <w:r>
        <w:rPr>
          <w:rFonts w:ascii="宋体" w:hAnsi="宋体" w:eastAsia="宋体" w:cs="宋体"/>
          <w:color w:val="auto"/>
          <w:spacing w:val="-1"/>
          <w:position w:val="14"/>
          <w:sz w:val="21"/>
          <w:szCs w:val="21"/>
          <w:highlight w:val="none"/>
        </w:rPr>
        <w:t>合同当事</w:t>
      </w:r>
    </w:p>
    <w:p>
      <w:pPr>
        <w:spacing w:line="220" w:lineRule="auto"/>
        <w:ind w:left="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人的贿赂造成对方损失的，应赔偿损失，并承担相应的</w:t>
      </w:r>
      <w:r>
        <w:rPr>
          <w:rFonts w:ascii="宋体" w:hAnsi="宋体" w:eastAsia="宋体" w:cs="宋体"/>
          <w:color w:val="auto"/>
          <w:spacing w:val="-5"/>
          <w:sz w:val="21"/>
          <w:szCs w:val="21"/>
          <w:highlight w:val="none"/>
        </w:rPr>
        <w:t>法律责任。</w:t>
      </w:r>
    </w:p>
    <w:p>
      <w:pPr>
        <w:spacing w:before="151" w:line="351" w:lineRule="auto"/>
        <w:ind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承包人不得与监理人或发包人聘请的第三方串通损害发包人利益。未经发包人书面</w:t>
      </w:r>
      <w:r>
        <w:rPr>
          <w:rFonts w:ascii="宋体" w:hAnsi="宋体" w:eastAsia="宋体" w:cs="宋体"/>
          <w:color w:val="auto"/>
          <w:spacing w:val="-1"/>
          <w:sz w:val="21"/>
          <w:szCs w:val="21"/>
          <w:highlight w:val="none"/>
        </w:rPr>
        <w:t>同意，承</w:t>
      </w:r>
      <w:r>
        <w:rPr>
          <w:rFonts w:ascii="宋体" w:hAnsi="宋体" w:eastAsia="宋体" w:cs="宋体"/>
          <w:color w:val="auto"/>
          <w:sz w:val="21"/>
          <w:szCs w:val="21"/>
          <w:highlight w:val="none"/>
        </w:rPr>
        <w:t>包人不得为监理人提供合同约定以外的通讯设备、交通工具及其他任何形式的利益，不得</w:t>
      </w:r>
      <w:r>
        <w:rPr>
          <w:rFonts w:ascii="宋体" w:hAnsi="宋体" w:eastAsia="宋体" w:cs="宋体"/>
          <w:color w:val="auto"/>
          <w:spacing w:val="-1"/>
          <w:sz w:val="21"/>
          <w:szCs w:val="21"/>
          <w:highlight w:val="none"/>
        </w:rPr>
        <w:t>向监理</w:t>
      </w:r>
      <w:r>
        <w:rPr>
          <w:rFonts w:ascii="宋体" w:hAnsi="宋体" w:eastAsia="宋体" w:cs="宋体"/>
          <w:color w:val="auto"/>
          <w:spacing w:val="-2"/>
          <w:sz w:val="21"/>
          <w:szCs w:val="21"/>
          <w:highlight w:val="none"/>
        </w:rPr>
        <w:t>人支付报酬。</w:t>
      </w:r>
    </w:p>
    <w:p>
      <w:pPr>
        <w:spacing w:before="125"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1.9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化石、文物</w:t>
      </w:r>
    </w:p>
    <w:p>
      <w:pPr>
        <w:spacing w:before="140" w:line="352" w:lineRule="auto"/>
        <w:ind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在施工现场发掘的所有文物、古迹以及具有地质研究或考古价值的其他遗迹、化石、</w:t>
      </w:r>
      <w:r>
        <w:rPr>
          <w:rFonts w:ascii="宋体" w:hAnsi="宋体" w:eastAsia="宋体" w:cs="宋体"/>
          <w:color w:val="auto"/>
          <w:spacing w:val="-1"/>
          <w:sz w:val="21"/>
          <w:szCs w:val="21"/>
          <w:highlight w:val="none"/>
        </w:rPr>
        <w:t>钱币或</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物品属于国家所有。</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一旦发现上述文物，</w:t>
      </w:r>
      <w:r>
        <w:rPr>
          <w:rFonts w:ascii="宋体" w:hAnsi="宋体" w:eastAsia="宋体" w:cs="宋体"/>
          <w:color w:val="auto"/>
          <w:spacing w:val="-22"/>
          <w:sz w:val="21"/>
          <w:szCs w:val="21"/>
          <w:highlight w:val="none"/>
        </w:rPr>
        <w:t xml:space="preserve"> </w:t>
      </w:r>
      <w:r>
        <w:rPr>
          <w:rFonts w:ascii="宋体" w:hAnsi="宋体" w:eastAsia="宋体" w:cs="宋体"/>
          <w:color w:val="auto"/>
          <w:spacing w:val="-4"/>
          <w:sz w:val="21"/>
          <w:szCs w:val="21"/>
          <w:highlight w:val="none"/>
        </w:rPr>
        <w:t>承包人应采取合理有效的保护措施，防止任何人员移动</w:t>
      </w:r>
      <w:r>
        <w:rPr>
          <w:rFonts w:ascii="宋体" w:hAnsi="宋体" w:eastAsia="宋体" w:cs="宋体"/>
          <w:color w:val="auto"/>
          <w:sz w:val="21"/>
          <w:szCs w:val="21"/>
          <w:highlight w:val="none"/>
        </w:rPr>
        <w:t>或损坏上述物品，并立即报告有关政府行政管理部门，同时通</w:t>
      </w:r>
      <w:r>
        <w:rPr>
          <w:rFonts w:ascii="宋体" w:hAnsi="宋体" w:eastAsia="宋体" w:cs="宋体"/>
          <w:color w:val="auto"/>
          <w:spacing w:val="-1"/>
          <w:sz w:val="21"/>
          <w:szCs w:val="21"/>
          <w:highlight w:val="none"/>
        </w:rPr>
        <w:t>知监理人。</w:t>
      </w:r>
    </w:p>
    <w:p>
      <w:pPr>
        <w:spacing w:before="149"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发包人、监理人和承包人应按有关政府行政管理部门要求采取妥善的保护措</w:t>
      </w:r>
      <w:r>
        <w:rPr>
          <w:rFonts w:ascii="宋体" w:hAnsi="宋体" w:eastAsia="宋体" w:cs="宋体"/>
          <w:color w:val="auto"/>
          <w:spacing w:val="-1"/>
          <w:position w:val="14"/>
          <w:sz w:val="21"/>
          <w:szCs w:val="21"/>
          <w:highlight w:val="none"/>
        </w:rPr>
        <w:t>施，由此增加的</w:t>
      </w:r>
    </w:p>
    <w:p>
      <w:pPr>
        <w:spacing w:line="220" w:lineRule="auto"/>
        <w:ind w:left="1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费用和（或）延误的工期由发包人承担。</w:t>
      </w:r>
    </w:p>
    <w:p>
      <w:pPr>
        <w:spacing w:before="150"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承包人发现文物后不及时报告或隐瞒不报，致使文物丢失或损坏的，应赔偿损失，并承担相</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应的法律责任。</w:t>
      </w:r>
    </w:p>
    <w:p>
      <w:pPr>
        <w:spacing w:before="125"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1.10</w:t>
      </w:r>
      <w:r>
        <w:rPr>
          <w:rFonts w:ascii="Times New Roman" w:hAnsi="Times New Roman" w:eastAsia="Times New Roman" w:cs="Times New Roman"/>
          <w:b/>
          <w:bCs/>
          <w:color w:val="auto"/>
          <w:spacing w:val="1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交通运输</w:t>
      </w:r>
    </w:p>
    <w:p>
      <w:pPr>
        <w:spacing w:before="141"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1.10.1</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4"/>
          <w:sz w:val="21"/>
          <w:szCs w:val="21"/>
          <w:highlight w:val="none"/>
        </w:rPr>
        <w:t>出入现场的权利</w:t>
      </w:r>
    </w:p>
    <w:p>
      <w:pPr>
        <w:spacing w:before="150" w:line="399" w:lineRule="exact"/>
        <w:jc w:val="righ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除专用合同条款另有约定外，发包人应根据施工需要，负责取得出入施工现场所需的批准手</w:t>
      </w:r>
    </w:p>
    <w:p>
      <w:pPr>
        <w:spacing w:before="150" w:line="399" w:lineRule="exact"/>
        <w:jc w:val="righ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续和全部权利， 以及取得因施工所需修建道路、桥梁以及其他基础设施的权利，并承担相关手续费用和建设费用。承包人应协助发包人办理修建场内外道路、桥梁以及其他基础设施的手续。</w:t>
      </w:r>
    </w:p>
    <w:p>
      <w:pPr>
        <w:spacing w:before="150" w:line="399" w:lineRule="exact"/>
        <w:jc w:val="righ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承包人应在订立合同前查勘施工现场，并根据工程规模及技术参数合理预见工程施工所需的进出施工现场的方式、手段、路径等。因承包人未合理预见所增加的费用和（或） 延误的工期由</w:t>
      </w:r>
    </w:p>
    <w:p>
      <w:pPr>
        <w:spacing w:before="150" w:line="399" w:lineRule="exact"/>
        <w:jc w:val="both"/>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承包人承担。</w:t>
      </w:r>
    </w:p>
    <w:p>
      <w:pPr>
        <w:spacing w:before="150"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1.10.2  </w:t>
      </w:r>
      <w:r>
        <w:rPr>
          <w:rFonts w:ascii="宋体" w:hAnsi="宋体" w:eastAsia="宋体" w:cs="宋体"/>
          <w:color w:val="auto"/>
          <w:spacing w:val="-2"/>
          <w:sz w:val="21"/>
          <w:szCs w:val="21"/>
          <w:highlight w:val="none"/>
        </w:rPr>
        <w:t>场外交通</w:t>
      </w:r>
    </w:p>
    <w:p>
      <w:pPr>
        <w:spacing w:before="150" w:line="351" w:lineRule="auto"/>
        <w:ind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发包人应提供场外交通设施的技术参数和具体条件，承包人应遵守有关交通法规， 严格按照</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道路和桥梁的限制荷载行驶，执行有关道路限速</w:t>
      </w:r>
      <w:r>
        <w:rPr>
          <w:rFonts w:ascii="宋体" w:hAnsi="宋体" w:eastAsia="宋体" w:cs="宋体"/>
          <w:color w:val="auto"/>
          <w:spacing w:val="-3"/>
          <w:sz w:val="21"/>
          <w:szCs w:val="21"/>
          <w:highlight w:val="none"/>
        </w:rPr>
        <w:t>、限行、禁止超载的规定， 并配合交通管理部门</w:t>
      </w:r>
      <w:r>
        <w:rPr>
          <w:rFonts w:ascii="宋体" w:hAnsi="宋体" w:eastAsia="宋体" w:cs="宋体"/>
          <w:color w:val="auto"/>
          <w:spacing w:val="-4"/>
          <w:sz w:val="21"/>
          <w:szCs w:val="21"/>
          <w:highlight w:val="none"/>
        </w:rPr>
        <w:t>的监督和检查。场外交通设施无法满足工程施工需要的，</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由发包人负责完善并承担相关费用。</w:t>
      </w:r>
    </w:p>
    <w:p>
      <w:pPr>
        <w:spacing w:before="150"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1.10.3 </w:t>
      </w:r>
      <w:r>
        <w:rPr>
          <w:rFonts w:ascii="宋体" w:hAnsi="宋体" w:eastAsia="宋体" w:cs="宋体"/>
          <w:color w:val="auto"/>
          <w:spacing w:val="-2"/>
          <w:sz w:val="21"/>
          <w:szCs w:val="21"/>
          <w:highlight w:val="none"/>
        </w:rPr>
        <w:t>场内交通</w:t>
      </w:r>
    </w:p>
    <w:p>
      <w:pPr>
        <w:spacing w:before="149" w:line="352" w:lineRule="auto"/>
        <w:ind w:left="6" w:firstLine="418"/>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发包人应提供场内交通设施的技术参数和具体条件，并应按照专用合同条款</w:t>
      </w:r>
      <w:r>
        <w:rPr>
          <w:rFonts w:ascii="宋体" w:hAnsi="宋体" w:eastAsia="宋体" w:cs="宋体"/>
          <w:color w:val="auto"/>
          <w:spacing w:val="-1"/>
          <w:sz w:val="21"/>
          <w:szCs w:val="21"/>
          <w:highlight w:val="none"/>
        </w:rPr>
        <w:t>的约定向承包人</w:t>
      </w:r>
      <w:r>
        <w:rPr>
          <w:rFonts w:ascii="宋体" w:hAnsi="宋体" w:eastAsia="宋体" w:cs="宋体"/>
          <w:color w:val="auto"/>
          <w:sz w:val="21"/>
          <w:szCs w:val="21"/>
          <w:highlight w:val="none"/>
        </w:rPr>
        <w:t xml:space="preserve"> 免费提供满足工程施工所需的场内道路和交通设施。因承包人原因造成上述</w:t>
      </w:r>
      <w:r>
        <w:rPr>
          <w:rFonts w:ascii="宋体" w:hAnsi="宋体" w:eastAsia="宋体" w:cs="宋体"/>
          <w:color w:val="auto"/>
          <w:spacing w:val="-1"/>
          <w:sz w:val="21"/>
          <w:szCs w:val="21"/>
          <w:highlight w:val="none"/>
        </w:rPr>
        <w:t>道路或交通设施损坏</w:t>
      </w:r>
      <w:r>
        <w:rPr>
          <w:rFonts w:ascii="宋体" w:hAnsi="宋体" w:eastAsia="宋体" w:cs="宋体"/>
          <w:color w:val="auto"/>
          <w:spacing w:val="-2"/>
          <w:sz w:val="21"/>
          <w:szCs w:val="21"/>
          <w:highlight w:val="none"/>
        </w:rPr>
        <w:t>的，承包人负责修复并承担由此增加的费用。</w:t>
      </w:r>
    </w:p>
    <w:p>
      <w:pPr>
        <w:spacing w:before="148" w:line="352" w:lineRule="auto"/>
        <w:ind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除发包人按照合同约定提供的场内道路和交通设施外，</w:t>
      </w:r>
      <w:r>
        <w:rPr>
          <w:rFonts w:ascii="宋体" w:hAnsi="宋体" w:eastAsia="宋体" w:cs="宋体"/>
          <w:color w:val="auto"/>
          <w:spacing w:val="-1"/>
          <w:sz w:val="21"/>
          <w:szCs w:val="21"/>
          <w:highlight w:val="none"/>
        </w:rPr>
        <w:t>承包人负责修建、维修、养护和管理</w:t>
      </w:r>
      <w:r>
        <w:rPr>
          <w:rFonts w:ascii="宋体" w:hAnsi="宋体" w:eastAsia="宋体" w:cs="宋体"/>
          <w:color w:val="auto"/>
          <w:sz w:val="21"/>
          <w:szCs w:val="21"/>
          <w:highlight w:val="none"/>
        </w:rPr>
        <w:t xml:space="preserve"> 施工所需的其他场内临时道路和交通设施。发包人和监理人可以为实现合同目的使用承包</w:t>
      </w:r>
      <w:r>
        <w:rPr>
          <w:rFonts w:ascii="宋体" w:hAnsi="宋体" w:eastAsia="宋体" w:cs="宋体"/>
          <w:color w:val="auto"/>
          <w:spacing w:val="-1"/>
          <w:sz w:val="21"/>
          <w:szCs w:val="21"/>
          <w:highlight w:val="none"/>
        </w:rPr>
        <w:t>人修建</w:t>
      </w:r>
      <w:r>
        <w:rPr>
          <w:rFonts w:ascii="宋体" w:hAnsi="宋体" w:eastAsia="宋体" w:cs="宋体"/>
          <w:color w:val="auto"/>
          <w:spacing w:val="-3"/>
          <w:sz w:val="21"/>
          <w:szCs w:val="21"/>
          <w:highlight w:val="none"/>
        </w:rPr>
        <w:t>的场内临时道路和交通设施。</w:t>
      </w:r>
    </w:p>
    <w:p>
      <w:pPr>
        <w:spacing w:before="147"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场外交通和场内交通的边界由合同当事人在专用合同条款中约定。</w:t>
      </w:r>
    </w:p>
    <w:p>
      <w:pPr>
        <w:spacing w:before="150"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1.10.4  </w:t>
      </w:r>
      <w:r>
        <w:rPr>
          <w:rFonts w:ascii="宋体" w:hAnsi="宋体" w:eastAsia="宋体" w:cs="宋体"/>
          <w:color w:val="auto"/>
          <w:spacing w:val="-2"/>
          <w:sz w:val="21"/>
          <w:szCs w:val="21"/>
          <w:highlight w:val="none"/>
        </w:rPr>
        <w:t>超大件和超重件的运输</w:t>
      </w:r>
    </w:p>
    <w:p>
      <w:pPr>
        <w:spacing w:before="151" w:line="351" w:lineRule="auto"/>
        <w:ind w:left="3" w:firstLine="4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由承包人负责运输的超大件或超重件，应由承包人负责向交通管理部门办理申请手续，</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发包</w:t>
      </w:r>
      <w:r>
        <w:rPr>
          <w:rFonts w:ascii="宋体" w:hAnsi="宋体" w:eastAsia="宋体" w:cs="宋体"/>
          <w:color w:val="auto"/>
          <w:sz w:val="21"/>
          <w:szCs w:val="21"/>
          <w:highlight w:val="none"/>
        </w:rPr>
        <w:t>人给予协助。运输超大件或超重件所需的道路和桥梁临时加固改造费用和其他有关费</w:t>
      </w:r>
      <w:r>
        <w:rPr>
          <w:rFonts w:ascii="宋体" w:hAnsi="宋体" w:eastAsia="宋体" w:cs="宋体"/>
          <w:color w:val="auto"/>
          <w:spacing w:val="-1"/>
          <w:sz w:val="21"/>
          <w:szCs w:val="21"/>
          <w:highlight w:val="none"/>
        </w:rPr>
        <w:t>用，由承包</w:t>
      </w:r>
      <w:r>
        <w:rPr>
          <w:rFonts w:ascii="宋体" w:hAnsi="宋体" w:eastAsia="宋体" w:cs="宋体"/>
          <w:color w:val="auto"/>
          <w:spacing w:val="-2"/>
          <w:sz w:val="21"/>
          <w:szCs w:val="21"/>
          <w:highlight w:val="none"/>
        </w:rPr>
        <w:t>人承担，但专用合同条款另有约定除外。</w:t>
      </w:r>
    </w:p>
    <w:p>
      <w:pPr>
        <w:spacing w:before="150"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1.10.5  </w:t>
      </w:r>
      <w:r>
        <w:rPr>
          <w:rFonts w:ascii="宋体" w:hAnsi="宋体" w:eastAsia="宋体" w:cs="宋体"/>
          <w:color w:val="auto"/>
          <w:spacing w:val="-2"/>
          <w:sz w:val="21"/>
          <w:szCs w:val="21"/>
          <w:highlight w:val="none"/>
        </w:rPr>
        <w:t>道路和桥梁的损坏责任</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因承包人运输造成施工场地内外公共道路和桥梁损坏的，</w:t>
      </w:r>
      <w:r>
        <w:rPr>
          <w:rFonts w:ascii="宋体" w:hAnsi="宋体" w:eastAsia="宋体" w:cs="宋体"/>
          <w:color w:val="auto"/>
          <w:spacing w:val="35"/>
          <w:position w:val="14"/>
          <w:sz w:val="21"/>
          <w:szCs w:val="21"/>
          <w:highlight w:val="none"/>
        </w:rPr>
        <w:t xml:space="preserve"> </w:t>
      </w:r>
      <w:r>
        <w:rPr>
          <w:rFonts w:ascii="宋体" w:hAnsi="宋体" w:eastAsia="宋体" w:cs="宋体"/>
          <w:color w:val="auto"/>
          <w:spacing w:val="-4"/>
          <w:position w:val="14"/>
          <w:sz w:val="21"/>
          <w:szCs w:val="21"/>
          <w:highlight w:val="none"/>
        </w:rPr>
        <w:t>由承包人承担修复损坏的全部费用</w:t>
      </w:r>
    </w:p>
    <w:p>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和可能引起的赔偿。</w:t>
      </w:r>
    </w:p>
    <w:p>
      <w:pPr>
        <w:spacing w:before="149"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1.10.6  </w:t>
      </w:r>
      <w:r>
        <w:rPr>
          <w:rFonts w:ascii="宋体" w:hAnsi="宋体" w:eastAsia="宋体" w:cs="宋体"/>
          <w:color w:val="auto"/>
          <w:spacing w:val="-2"/>
          <w:sz w:val="21"/>
          <w:szCs w:val="21"/>
          <w:highlight w:val="none"/>
        </w:rPr>
        <w:t>水路和航空运输</w:t>
      </w:r>
    </w:p>
    <w:p>
      <w:pPr>
        <w:spacing w:before="149" w:line="352" w:lineRule="auto"/>
        <w:ind w:left="1"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本款前述各项的内容适用于水路运输和航空运输，其中</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道路</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一词的涵义包括河道、航线、</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船闸、机场、码头、堤防以及水路或航空运输</w:t>
      </w:r>
      <w:r>
        <w:rPr>
          <w:rFonts w:ascii="宋体" w:hAnsi="宋体" w:eastAsia="宋体" w:cs="宋体"/>
          <w:color w:val="auto"/>
          <w:sz w:val="21"/>
          <w:szCs w:val="21"/>
          <w:highlight w:val="none"/>
        </w:rPr>
        <w:t>中其他相似结构物；</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车辆</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一词的涵义包括船舶和</w:t>
      </w:r>
      <w:r>
        <w:rPr>
          <w:rFonts w:ascii="宋体" w:hAnsi="宋体" w:eastAsia="宋体" w:cs="宋体"/>
          <w:color w:val="auto"/>
          <w:spacing w:val="-3"/>
          <w:sz w:val="21"/>
          <w:szCs w:val="21"/>
          <w:highlight w:val="none"/>
        </w:rPr>
        <w:t>飞机等。</w:t>
      </w:r>
    </w:p>
    <w:p>
      <w:pPr>
        <w:spacing w:before="123" w:line="220"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6"/>
          <w:sz w:val="24"/>
          <w:szCs w:val="24"/>
          <w:highlight w:val="none"/>
        </w:rPr>
        <w:t>1.11</w:t>
      </w:r>
      <w:r>
        <w:rPr>
          <w:rFonts w:ascii="Times New Roman" w:hAnsi="Times New Roman" w:eastAsia="Times New Roman" w:cs="Times New Roman"/>
          <w:b/>
          <w:bCs/>
          <w:color w:val="auto"/>
          <w:spacing w:val="21"/>
          <w:sz w:val="24"/>
          <w:szCs w:val="24"/>
          <w:highlight w:val="none"/>
        </w:rPr>
        <w:t xml:space="preserve"> </w:t>
      </w:r>
      <w:r>
        <w:rPr>
          <w:rFonts w:ascii="黑体" w:hAnsi="黑体" w:eastAsia="黑体" w:cs="黑体"/>
          <w:color w:val="auto"/>
          <w:spacing w:val="-6"/>
          <w:sz w:val="24"/>
          <w:szCs w:val="24"/>
          <w:highlight w:val="none"/>
          <w14:textOutline w14:w="4354" w14:cap="flat" w14:cmpd="sng">
            <w14:solidFill>
              <w14:srgbClr w14:val="000000"/>
            </w14:solidFill>
            <w14:prstDash w14:val="solid"/>
            <w14:miter w14:val="0"/>
          </w14:textOutline>
        </w:rPr>
        <w:t>知识产权</w:t>
      </w:r>
    </w:p>
    <w:p>
      <w:pPr>
        <w:spacing w:before="139" w:line="352" w:lineRule="auto"/>
        <w:ind w:left="1" w:firstLine="43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1.11.1  </w:t>
      </w:r>
      <w:r>
        <w:rPr>
          <w:rFonts w:ascii="宋体" w:hAnsi="宋体" w:eastAsia="宋体" w:cs="宋体"/>
          <w:color w:val="auto"/>
          <w:sz w:val="21"/>
          <w:szCs w:val="21"/>
          <w:highlight w:val="none"/>
        </w:rPr>
        <w:t>除专用合同条款另有约定外，发包人提</w:t>
      </w:r>
      <w:r>
        <w:rPr>
          <w:rFonts w:ascii="宋体" w:hAnsi="宋体" w:eastAsia="宋体" w:cs="宋体"/>
          <w:color w:val="auto"/>
          <w:spacing w:val="-1"/>
          <w:sz w:val="21"/>
          <w:szCs w:val="21"/>
          <w:highlight w:val="none"/>
        </w:rPr>
        <w:t>供给承包人的图纸、发包人为实施工程自行编</w:t>
      </w:r>
      <w:r>
        <w:rPr>
          <w:rFonts w:ascii="宋体" w:hAnsi="宋体" w:eastAsia="宋体" w:cs="宋体"/>
          <w:color w:val="auto"/>
          <w:sz w:val="21"/>
          <w:szCs w:val="21"/>
          <w:highlight w:val="none"/>
        </w:rPr>
        <w:t xml:space="preserve"> 制或委托编制的技术规范以及反映发包人要求的或其他类似性质的文件的著作权属于发包</w:t>
      </w:r>
      <w:r>
        <w:rPr>
          <w:rFonts w:ascii="宋体" w:hAnsi="宋体" w:eastAsia="宋体" w:cs="宋体"/>
          <w:color w:val="auto"/>
          <w:spacing w:val="-1"/>
          <w:sz w:val="21"/>
          <w:szCs w:val="21"/>
          <w:highlight w:val="none"/>
        </w:rPr>
        <w:t>人，承</w:t>
      </w:r>
      <w:r>
        <w:rPr>
          <w:rFonts w:ascii="宋体" w:hAnsi="宋体" w:eastAsia="宋体" w:cs="宋体"/>
          <w:color w:val="auto"/>
          <w:spacing w:val="-2"/>
          <w:sz w:val="21"/>
          <w:szCs w:val="21"/>
          <w:highlight w:val="none"/>
        </w:rPr>
        <w:t>包人可以为实现合同目的而复制、使用此类文件，</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但不能用于与合同无关的其他事项。未经发包</w:t>
      </w:r>
      <w:r>
        <w:rPr>
          <w:rFonts w:ascii="宋体" w:hAnsi="宋体" w:eastAsia="宋体" w:cs="宋体"/>
          <w:color w:val="auto"/>
          <w:spacing w:val="-1"/>
          <w:sz w:val="21"/>
          <w:szCs w:val="21"/>
          <w:highlight w:val="none"/>
        </w:rPr>
        <w:t>人书面同意，承包人不得为了合同以外的目的而复制、使用上述文件或将之提供给任何第三方。</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1.11.2  除专用合同条款另有约定外，承包人为实施工程所编制的文件，除署名权以外的著作 权属于发包人， 承包人可因实施工程的运行、调试、维修、改造等目的而复制、使用此类文件，但不能用于与合同无关的其他事项。未经发包人书面同意，承包人不得为了合同以外的目的而复</w:t>
      </w:r>
      <w:bookmarkStart w:id="162" w:name="bookmark205"/>
      <w:bookmarkEnd w:id="162"/>
      <w:bookmarkStart w:id="163" w:name="bookmark202"/>
      <w:bookmarkEnd w:id="163"/>
      <w:bookmarkStart w:id="164" w:name="bookmark204"/>
      <w:bookmarkEnd w:id="164"/>
      <w:bookmarkStart w:id="165" w:name="bookmark201"/>
      <w:bookmarkEnd w:id="165"/>
      <w:bookmarkStart w:id="166" w:name="bookmark203"/>
      <w:bookmarkEnd w:id="166"/>
      <w:r>
        <w:rPr>
          <w:rFonts w:ascii="宋体" w:hAnsi="宋体" w:eastAsia="宋体" w:cs="宋体"/>
          <w:color w:val="auto"/>
          <w:spacing w:val="-1"/>
          <w:sz w:val="21"/>
          <w:szCs w:val="21"/>
          <w:highlight w:val="none"/>
        </w:rPr>
        <w:t>制、使用上述文件或将之提供给任何第三方。</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1.11.3  合同当事人保证在履行合同过程中不侵犯对方及第三方的知识产权。承包人在使用材料、施工设备、工程设备或采用施工工艺时， 因侵犯他人的专利权或其他知识产权所引起的责任，由承包人承担；因发包人提供的材料、施工设备、工程设备或施工工艺导致侵权的，由发包人承担责任。</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1.11.4  除专用合同条款另有约定外，承包人在合同签订前和签订时已确定采用的专利、专有技术、技术秘密的使用费已包含在签约合同价中。</w:t>
      </w:r>
    </w:p>
    <w:p>
      <w:pPr>
        <w:spacing w:before="126" w:line="218"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保密</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除法律规定或合同另有约定外， 未经发包人同意， 承包人不得将发包人提供的图纸、文件以及声明需要保密的资料信息等商业秘密泄露给第三方。</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除法律规定或合同另有约定外， 未经承包人同意， 发包人不得将承包人提供的技术秘密及声明需要保密的资料信息等商业秘密泄露给第三方。</w:t>
      </w:r>
    </w:p>
    <w:p>
      <w:pPr>
        <w:spacing w:before="123" w:line="219"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1.13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工程量清单错误的修正</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 发包人提供的工程量清单， 应被认为是准确的和完整的。出现下列情形之一时，发包人应予以修正，并相应调整合同价格：</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（1）工程量清单存在缺项、漏项的；</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（2）工程量清单偏差超出专用合同条款约定的工程量偏差范围的；</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（3）未按照国家现行计量规范强制性规定计量的。</w:t>
      </w:r>
    </w:p>
    <w:p>
      <w:pPr>
        <w:spacing w:before="188" w:line="219" w:lineRule="auto"/>
        <w:rPr>
          <w:rFonts w:ascii="黑体" w:hAnsi="黑体" w:eastAsia="黑体" w:cs="黑体"/>
          <w:color w:val="auto"/>
          <w:sz w:val="28"/>
          <w:szCs w:val="28"/>
          <w:highlight w:val="none"/>
        </w:rPr>
      </w:pPr>
      <w:r>
        <w:rPr>
          <w:rFonts w:ascii="Times New Roman" w:hAnsi="Times New Roman" w:eastAsia="Times New Roman" w:cs="Times New Roman"/>
          <w:b/>
          <w:bCs/>
          <w:color w:val="auto"/>
          <w:spacing w:val="-3"/>
          <w:sz w:val="28"/>
          <w:szCs w:val="28"/>
          <w:highlight w:val="none"/>
        </w:rPr>
        <w:t>2.</w:t>
      </w:r>
      <w:r>
        <w:rPr>
          <w:rFonts w:ascii="Times New Roman" w:hAnsi="Times New Roman" w:eastAsia="Times New Roman" w:cs="Times New Roman"/>
          <w:b/>
          <w:bCs/>
          <w:color w:val="auto"/>
          <w:spacing w:val="6"/>
          <w:sz w:val="28"/>
          <w:szCs w:val="28"/>
          <w:highlight w:val="none"/>
        </w:rPr>
        <w:t xml:space="preserve">  </w:t>
      </w:r>
      <w:r>
        <w:rPr>
          <w:rFonts w:ascii="黑体" w:hAnsi="黑体" w:eastAsia="黑体" w:cs="黑体"/>
          <w:color w:val="auto"/>
          <w:spacing w:val="-3"/>
          <w:sz w:val="28"/>
          <w:szCs w:val="28"/>
          <w:highlight w:val="none"/>
          <w14:textOutline w14:w="5094" w14:cap="flat" w14:cmpd="sng">
            <w14:solidFill>
              <w14:srgbClr w14:val="000000"/>
            </w14:solidFill>
            <w14:prstDash w14:val="solid"/>
            <w14:miter w14:val="0"/>
          </w14:textOutline>
        </w:rPr>
        <w:t>发包人</w:t>
      </w:r>
    </w:p>
    <w:p>
      <w:pPr>
        <w:spacing w:before="104" w:line="219"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许可或批准</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发包人应遵守法律， 并办理法律规定由其办理的许可、批准或备案，包括但不限于建设用地 规划许可证、建设工程规划许可证、建设工程施工许可证、施工所需临时用水、临时用电、中断 道路交通、临时占用土地等许可和批准。发包人应协助承包人办理法律规定的有关施工证件和批件。</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因发包人原因未能及时办理完毕前述许可、批准或备案，由发包人承担由此增加的费用和</w:t>
      </w:r>
    </w:p>
    <w:p>
      <w:pPr>
        <w:spacing w:before="149" w:line="399" w:lineRule="exact"/>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（或） 延误的工期， 并支付承包人合理的利润。</w:t>
      </w:r>
    </w:p>
    <w:p>
      <w:pPr>
        <w:spacing w:before="123"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发包人代表</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发包人应在专用合同条款中明确其派驻施工现场的发包人代表的姓名、职务、联系方式及授 权范围等事项。发包人代表在发包人的授权范围内，负责处理合同履行过程中与发包人有关的具 体事宜。发包人代表在授权范围内的行为由发包人承担法律责任。发包人更换发包人代表的，应</w:t>
      </w:r>
    </w:p>
    <w:p>
      <w:pPr>
        <w:spacing w:before="149" w:line="399" w:lineRule="exact"/>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提前 7 天书面通知承包人。</w:t>
      </w:r>
    </w:p>
    <w:p>
      <w:pPr>
        <w:spacing w:before="149" w:line="399" w:lineRule="exact"/>
        <w:ind w:left="18"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发包人代表不能按照合同约定履行其职责及义务， 并导致合同无法继续正常履行的，承包人可以要求发包人撤换发包人代表。</w:t>
      </w:r>
    </w:p>
    <w:p>
      <w:pPr>
        <w:spacing w:before="149" w:line="399" w:lineRule="exact"/>
        <w:ind w:left="18" w:leftChars="0" w:firstLine="418" w:firstLineChars="20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不属于法定必须监理的工程，监理人的职权可以由发包人代表或发包人指定的其他人员行使。</w:t>
      </w:r>
    </w:p>
    <w:p>
      <w:pPr>
        <w:spacing w:before="100" w:line="218" w:lineRule="auto"/>
        <w:ind w:left="1"/>
        <w:outlineLvl w:val="6"/>
        <w:rPr>
          <w:rFonts w:ascii="黑体" w:hAnsi="黑体" w:eastAsia="黑体" w:cs="黑体"/>
          <w:color w:val="auto"/>
          <w:sz w:val="24"/>
          <w:szCs w:val="24"/>
          <w:highlight w:val="none"/>
        </w:rPr>
      </w:pPr>
      <w:bookmarkStart w:id="167" w:name="bookmark208"/>
      <w:bookmarkEnd w:id="167"/>
      <w:bookmarkStart w:id="168" w:name="bookmark207"/>
      <w:bookmarkEnd w:id="168"/>
      <w:bookmarkStart w:id="169" w:name="bookmark206"/>
      <w:bookmarkEnd w:id="169"/>
      <w:r>
        <w:rPr>
          <w:rFonts w:ascii="Times New Roman" w:hAnsi="Times New Roman" w:eastAsia="Times New Roman" w:cs="Times New Roman"/>
          <w:b/>
          <w:bCs/>
          <w:color w:val="auto"/>
          <w:spacing w:val="-1"/>
          <w:sz w:val="24"/>
          <w:szCs w:val="24"/>
          <w:highlight w:val="none"/>
        </w:rPr>
        <w:t xml:space="preserve">2.3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发包人人员</w:t>
      </w:r>
    </w:p>
    <w:p>
      <w:pPr>
        <w:spacing w:before="149" w:line="399" w:lineRule="exact"/>
        <w:ind w:left="18" w:leftChars="0" w:firstLine="401" w:firstLineChars="193"/>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发包人应要求在施工现场的发包人人员遵守法律及有关安全、质量、环境保护、文明施工等</w:t>
      </w:r>
    </w:p>
    <w:p>
      <w:pPr>
        <w:spacing w:before="149" w:line="399" w:lineRule="exact"/>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规定，并保障承包人免于承受因发包人人员未遵守上述要求给承包人造成的损失和责任。</w:t>
      </w:r>
    </w:p>
    <w:p>
      <w:pPr>
        <w:spacing w:before="149" w:line="399" w:lineRule="exact"/>
        <w:ind w:left="18" w:leftChars="0" w:firstLine="401" w:firstLineChars="193"/>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发包人人员包括发包人代表及其他由发包人派驻施工现场的人员。</w:t>
      </w:r>
    </w:p>
    <w:p>
      <w:pPr>
        <w:spacing w:before="125" w:line="218"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2.4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施工现场、施工条件和基础资料的提供</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2.4.1  提供施工现场</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除专用合同条款另有约定外，发包人应最迟于开工日期 7 天前向承包人移交施工现场。</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2.4.2  提供施工条件</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除专用合同条款另有约定外，发包人应负责提供施工所需要的条件，包括：</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（1）将施工用水、电力、通讯线路等施工所必需的条件接至施工现场内；</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（2）保证向承包人提供正常施工所需要的进入施工现场的交通条件；</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（3）协调处理施工现场周围地下管线和邻近建筑物、构筑物、古树名木的保护工作，并承</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担相关费用；</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（4）按照专用合同条款约定应提供的其他设施和条件。</w:t>
      </w:r>
    </w:p>
    <w:p>
      <w:pPr>
        <w:spacing w:before="149" w:line="399"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2.4.3  提供基础资料</w:t>
      </w:r>
    </w:p>
    <w:p>
      <w:pPr>
        <w:spacing w:before="148" w:line="352" w:lineRule="auto"/>
        <w:ind w:left="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发包人应当在移交施工现场前向承包人提供施工现场及工程施工所必需的毗</w:t>
      </w:r>
      <w:r>
        <w:rPr>
          <w:rFonts w:ascii="宋体" w:hAnsi="宋体" w:eastAsia="宋体" w:cs="宋体"/>
          <w:color w:val="auto"/>
          <w:spacing w:val="-1"/>
          <w:sz w:val="21"/>
          <w:szCs w:val="21"/>
          <w:highlight w:val="none"/>
        </w:rPr>
        <w:t>邻区域内供水、</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排水、供电、供气、供热、通信、广播电视等地下管线资料，</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气象和水文观测资料，地质</w:t>
      </w:r>
      <w:r>
        <w:rPr>
          <w:rFonts w:ascii="宋体" w:hAnsi="宋体" w:eastAsia="宋体" w:cs="宋体"/>
          <w:color w:val="auto"/>
          <w:spacing w:val="-3"/>
          <w:sz w:val="21"/>
          <w:szCs w:val="21"/>
          <w:highlight w:val="none"/>
        </w:rPr>
        <w:t>勘察资</w:t>
      </w:r>
      <w:r>
        <w:rPr>
          <w:rFonts w:ascii="宋体" w:hAnsi="宋体" w:eastAsia="宋体" w:cs="宋体"/>
          <w:color w:val="auto"/>
          <w:sz w:val="21"/>
          <w:szCs w:val="21"/>
          <w:highlight w:val="none"/>
        </w:rPr>
        <w:t xml:space="preserve"> 料，相邻建筑物、构筑物和地下工程等有关基础资料，并对所提供资料的真实性、准确性</w:t>
      </w:r>
      <w:r>
        <w:rPr>
          <w:rFonts w:ascii="宋体" w:hAnsi="宋体" w:eastAsia="宋体" w:cs="宋体"/>
          <w:color w:val="auto"/>
          <w:spacing w:val="-1"/>
          <w:sz w:val="21"/>
          <w:szCs w:val="21"/>
          <w:highlight w:val="none"/>
        </w:rPr>
        <w:t>和完整</w:t>
      </w:r>
      <w:r>
        <w:rPr>
          <w:rFonts w:ascii="宋体" w:hAnsi="宋体" w:eastAsia="宋体" w:cs="宋体"/>
          <w:color w:val="auto"/>
          <w:spacing w:val="-2"/>
          <w:sz w:val="21"/>
          <w:szCs w:val="21"/>
          <w:highlight w:val="none"/>
        </w:rPr>
        <w:t>性负责。</w:t>
      </w:r>
    </w:p>
    <w:p>
      <w:pPr>
        <w:spacing w:before="150"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按照法律规定确需在开工后方能提供的基础资料，</w:t>
      </w:r>
      <w:r>
        <w:rPr>
          <w:rFonts w:ascii="宋体" w:hAnsi="宋体" w:eastAsia="宋体" w:cs="宋体"/>
          <w:color w:val="auto"/>
          <w:spacing w:val="-19"/>
          <w:position w:val="14"/>
          <w:sz w:val="21"/>
          <w:szCs w:val="21"/>
          <w:highlight w:val="none"/>
        </w:rPr>
        <w:t xml:space="preserve"> </w:t>
      </w:r>
      <w:r>
        <w:rPr>
          <w:rFonts w:ascii="宋体" w:hAnsi="宋体" w:eastAsia="宋体" w:cs="宋体"/>
          <w:color w:val="auto"/>
          <w:spacing w:val="-2"/>
          <w:position w:val="14"/>
          <w:sz w:val="21"/>
          <w:szCs w:val="21"/>
          <w:highlight w:val="none"/>
        </w:rPr>
        <w:t>发包人应尽其努</w:t>
      </w:r>
      <w:r>
        <w:rPr>
          <w:rFonts w:ascii="宋体" w:hAnsi="宋体" w:eastAsia="宋体" w:cs="宋体"/>
          <w:color w:val="auto"/>
          <w:spacing w:val="-3"/>
          <w:position w:val="14"/>
          <w:sz w:val="21"/>
          <w:szCs w:val="21"/>
          <w:highlight w:val="none"/>
        </w:rPr>
        <w:t>力及时地在相应工程施工</w:t>
      </w:r>
    </w:p>
    <w:p>
      <w:pPr>
        <w:spacing w:before="1" w:line="219" w:lineRule="auto"/>
        <w:ind w:left="7"/>
        <w:rPr>
          <w:rFonts w:ascii="宋体" w:hAnsi="宋体" w:eastAsia="宋体" w:cs="宋体"/>
          <w:color w:val="auto"/>
          <w:sz w:val="21"/>
          <w:szCs w:val="21"/>
          <w:highlight w:val="none"/>
        </w:rPr>
      </w:pPr>
      <w:r>
        <w:rPr>
          <w:rFonts w:ascii="宋体" w:hAnsi="宋体" w:eastAsia="宋体" w:cs="宋体"/>
          <w:color w:val="auto"/>
          <w:sz w:val="21"/>
          <w:szCs w:val="21"/>
          <w:highlight w:val="none"/>
        </w:rPr>
        <w:t>前的合理期限内提供，合理期限应以不影响承包人的正</w:t>
      </w:r>
      <w:r>
        <w:rPr>
          <w:rFonts w:ascii="宋体" w:hAnsi="宋体" w:eastAsia="宋体" w:cs="宋体"/>
          <w:color w:val="auto"/>
          <w:spacing w:val="-1"/>
          <w:sz w:val="21"/>
          <w:szCs w:val="21"/>
          <w:highlight w:val="none"/>
        </w:rPr>
        <w:t>常施工为限。</w:t>
      </w:r>
    </w:p>
    <w:p>
      <w:pPr>
        <w:spacing w:before="148" w:line="22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2.4.4  </w:t>
      </w:r>
      <w:r>
        <w:rPr>
          <w:rFonts w:ascii="宋体" w:hAnsi="宋体" w:eastAsia="宋体" w:cs="宋体"/>
          <w:color w:val="auto"/>
          <w:spacing w:val="-1"/>
          <w:sz w:val="21"/>
          <w:szCs w:val="21"/>
          <w:highlight w:val="none"/>
        </w:rPr>
        <w:t>逾期提供的责任</w:t>
      </w:r>
    </w:p>
    <w:p>
      <w:pPr>
        <w:spacing w:before="151"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因发包人原因未能按合同约定及时向承包人提</w:t>
      </w:r>
      <w:r>
        <w:rPr>
          <w:rFonts w:ascii="宋体" w:hAnsi="宋体" w:eastAsia="宋体" w:cs="宋体"/>
          <w:color w:val="auto"/>
          <w:spacing w:val="-1"/>
          <w:position w:val="14"/>
          <w:sz w:val="21"/>
          <w:szCs w:val="21"/>
          <w:highlight w:val="none"/>
        </w:rPr>
        <w:t>供施工现场、施工条件、基础资料的，由发包</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人承担由此增加的费用和（或） 延误的工期。</w:t>
      </w:r>
    </w:p>
    <w:p>
      <w:pPr>
        <w:spacing w:before="124" w:line="218"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2.5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资金来源证明及支付担保</w:t>
      </w:r>
    </w:p>
    <w:p>
      <w:pPr>
        <w:spacing w:before="142" w:line="400" w:lineRule="exact"/>
        <w:ind w:right="1"/>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除专用合同条款另有约定外，发包人应在收到承包人要求提供资金来源证明的书面通</w:t>
      </w:r>
      <w:r>
        <w:rPr>
          <w:rFonts w:ascii="宋体" w:hAnsi="宋体" w:eastAsia="宋体" w:cs="宋体"/>
          <w:color w:val="auto"/>
          <w:spacing w:val="4"/>
          <w:position w:val="14"/>
          <w:sz w:val="21"/>
          <w:szCs w:val="21"/>
          <w:highlight w:val="none"/>
        </w:rPr>
        <w:t>知后</w:t>
      </w:r>
    </w:p>
    <w:p>
      <w:pPr>
        <w:spacing w:before="1" w:line="219" w:lineRule="auto"/>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3"/>
          <w:sz w:val="21"/>
          <w:szCs w:val="21"/>
          <w:highlight w:val="none"/>
        </w:rPr>
        <w:t>天内， 向承包人提供能够按照合同约定支付合同价</w:t>
      </w:r>
      <w:r>
        <w:rPr>
          <w:rFonts w:ascii="宋体" w:hAnsi="宋体" w:eastAsia="宋体" w:cs="宋体"/>
          <w:color w:val="auto"/>
          <w:spacing w:val="-4"/>
          <w:sz w:val="21"/>
          <w:szCs w:val="21"/>
          <w:highlight w:val="none"/>
        </w:rPr>
        <w:t>款的相应资金来源证明。</w:t>
      </w:r>
    </w:p>
    <w:p>
      <w:pPr>
        <w:spacing w:before="150" w:line="352" w:lineRule="auto"/>
        <w:ind w:left="4" w:firstLine="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除专用合同条款另有约定外，发包人要求承包人提供履约担保的，</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发包人应当向承包人提供</w:t>
      </w:r>
      <w:r>
        <w:rPr>
          <w:rFonts w:ascii="宋体" w:hAnsi="宋体" w:eastAsia="宋体" w:cs="宋体"/>
          <w:color w:val="auto"/>
          <w:sz w:val="21"/>
          <w:szCs w:val="21"/>
          <w:highlight w:val="none"/>
        </w:rPr>
        <w:t xml:space="preserve"> 支付担保。支付担保可以采用银行保函或担保公司担保等形式，具体由合同当事人在专</w:t>
      </w:r>
      <w:r>
        <w:rPr>
          <w:rFonts w:ascii="宋体" w:hAnsi="宋体" w:eastAsia="宋体" w:cs="宋体"/>
          <w:color w:val="auto"/>
          <w:spacing w:val="-1"/>
          <w:sz w:val="21"/>
          <w:szCs w:val="21"/>
          <w:highlight w:val="none"/>
        </w:rPr>
        <w:t>用合同条</w:t>
      </w:r>
      <w:r>
        <w:rPr>
          <w:rFonts w:ascii="宋体" w:hAnsi="宋体" w:eastAsia="宋体" w:cs="宋体"/>
          <w:color w:val="auto"/>
          <w:spacing w:val="-5"/>
          <w:sz w:val="21"/>
          <w:szCs w:val="21"/>
          <w:highlight w:val="none"/>
        </w:rPr>
        <w:t>款中约定。</w:t>
      </w:r>
    </w:p>
    <w:p>
      <w:pPr>
        <w:spacing w:before="122"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2.6</w:t>
      </w:r>
      <w:r>
        <w:rPr>
          <w:rFonts w:ascii="Times New Roman" w:hAnsi="Times New Roman" w:eastAsia="Times New Roman" w:cs="Times New Roman"/>
          <w:b/>
          <w:bCs/>
          <w:color w:val="auto"/>
          <w:spacing w:val="8"/>
          <w:sz w:val="24"/>
          <w:szCs w:val="24"/>
          <w:highlight w:val="none"/>
        </w:rPr>
        <w:t xml:space="preserve">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支付合同价款</w:t>
      </w:r>
    </w:p>
    <w:p>
      <w:pPr>
        <w:spacing w:before="141"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发包人应按合同约定向承包人及时支付合同价款。</w:t>
      </w:r>
    </w:p>
    <w:p>
      <w:pPr>
        <w:spacing w:before="127" w:line="218"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2.7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组织竣工验收</w:t>
      </w:r>
    </w:p>
    <w:p>
      <w:pPr>
        <w:spacing w:before="139"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发包人应按合同约定及时组织竣工验收。</w:t>
      </w:r>
    </w:p>
    <w:p>
      <w:pPr>
        <w:spacing w:before="100" w:line="218" w:lineRule="auto"/>
        <w:ind w:left="1"/>
        <w:outlineLvl w:val="6"/>
        <w:rPr>
          <w:rFonts w:ascii="黑体" w:hAnsi="黑体" w:eastAsia="黑体" w:cs="黑体"/>
          <w:color w:val="auto"/>
          <w:sz w:val="24"/>
          <w:szCs w:val="24"/>
          <w:highlight w:val="none"/>
        </w:rPr>
      </w:pPr>
      <w:bookmarkStart w:id="170" w:name="bookmark210"/>
      <w:bookmarkEnd w:id="170"/>
      <w:bookmarkStart w:id="171" w:name="bookmark209"/>
      <w:bookmarkEnd w:id="171"/>
      <w:r>
        <w:rPr>
          <w:rFonts w:ascii="Times New Roman" w:hAnsi="Times New Roman" w:eastAsia="Times New Roman" w:cs="Times New Roman"/>
          <w:b/>
          <w:bCs/>
          <w:color w:val="auto"/>
          <w:sz w:val="24"/>
          <w:szCs w:val="24"/>
          <w:highlight w:val="none"/>
        </w:rPr>
        <w:t xml:space="preserve">2.8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现场统一管理协议</w:t>
      </w:r>
    </w:p>
    <w:p>
      <w:pPr>
        <w:spacing w:before="142" w:line="400" w:lineRule="exact"/>
        <w:ind w:left="427"/>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发包人应与承包人、由发包人直接发包的专业</w:t>
      </w:r>
      <w:r>
        <w:rPr>
          <w:rFonts w:ascii="宋体" w:hAnsi="宋体" w:eastAsia="宋体" w:cs="宋体"/>
          <w:color w:val="auto"/>
          <w:position w:val="14"/>
          <w:sz w:val="21"/>
          <w:szCs w:val="21"/>
          <w:highlight w:val="none"/>
        </w:rPr>
        <w:t>工程的承包人签订施工现场统一管理协议，</w:t>
      </w:r>
      <w:r>
        <w:rPr>
          <w:rFonts w:ascii="宋体" w:hAnsi="宋体" w:eastAsia="宋体" w:cs="宋体"/>
          <w:color w:val="auto"/>
          <w:spacing w:val="1"/>
          <w:position w:val="14"/>
          <w:sz w:val="21"/>
          <w:szCs w:val="21"/>
          <w:highlight w:val="none"/>
        </w:rPr>
        <w:t>明确各方的权利义务。施工现场统一管理协议作为专用合同条款的附件。</w:t>
      </w:r>
    </w:p>
    <w:p>
      <w:pPr>
        <w:spacing w:before="189" w:line="220" w:lineRule="auto"/>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z w:val="28"/>
          <w:szCs w:val="28"/>
          <w:highlight w:val="none"/>
        </w:rPr>
        <w:t xml:space="preserve">3.  </w:t>
      </w:r>
      <w:r>
        <w:rPr>
          <w:rFonts w:ascii="黑体" w:hAnsi="黑体" w:eastAsia="黑体" w:cs="黑体"/>
          <w:color w:val="auto"/>
          <w:sz w:val="28"/>
          <w:szCs w:val="28"/>
          <w:highlight w:val="none"/>
          <w14:textOutline w14:w="5094" w14:cap="flat" w14:cmpd="sng">
            <w14:solidFill>
              <w14:srgbClr w14:val="000000"/>
            </w14:solidFill>
            <w14:prstDash w14:val="solid"/>
            <w14:miter w14:val="0"/>
          </w14:textOutline>
        </w:rPr>
        <w:t>承包人</w:t>
      </w:r>
    </w:p>
    <w:p>
      <w:pPr>
        <w:spacing w:before="103"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3.1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承包人的一般义务</w:t>
      </w:r>
    </w:p>
    <w:p>
      <w:pPr>
        <w:spacing w:before="139" w:line="221"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承包人在履行合同过程中应遵守法律和工程建设标准规范，并履行以下</w:t>
      </w:r>
      <w:r>
        <w:rPr>
          <w:rFonts w:ascii="宋体" w:hAnsi="宋体" w:eastAsia="宋体" w:cs="宋体"/>
          <w:color w:val="auto"/>
          <w:spacing w:val="-1"/>
          <w:sz w:val="21"/>
          <w:szCs w:val="21"/>
          <w:highlight w:val="none"/>
        </w:rPr>
        <w:t>义务：</w:t>
      </w:r>
    </w:p>
    <w:p>
      <w:pPr>
        <w:spacing w:before="150" w:line="400" w:lineRule="exact"/>
        <w:ind w:left="43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1</w:t>
      </w:r>
      <w:r>
        <w:rPr>
          <w:rFonts w:ascii="宋体" w:hAnsi="宋体" w:eastAsia="宋体" w:cs="宋体"/>
          <w:color w:val="auto"/>
          <w:spacing w:val="-3"/>
          <w:position w:val="14"/>
          <w:sz w:val="21"/>
          <w:szCs w:val="21"/>
          <w:highlight w:val="none"/>
        </w:rPr>
        <w:t>）办理法律规定应由承包人办理的许可和批</w:t>
      </w:r>
      <w:r>
        <w:rPr>
          <w:rFonts w:ascii="宋体" w:hAnsi="宋体" w:eastAsia="宋体" w:cs="宋体"/>
          <w:color w:val="auto"/>
          <w:spacing w:val="-4"/>
          <w:position w:val="14"/>
          <w:sz w:val="21"/>
          <w:szCs w:val="21"/>
          <w:highlight w:val="none"/>
        </w:rPr>
        <w:t>准， 并将办理结果书面报送发包人留存；</w:t>
      </w:r>
    </w:p>
    <w:p>
      <w:pPr>
        <w:spacing w:before="1" w:line="220" w:lineRule="auto"/>
        <w:ind w:left="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）按法律规定和合同约定完成工程，并在</w:t>
      </w:r>
      <w:r>
        <w:rPr>
          <w:rFonts w:ascii="宋体" w:hAnsi="宋体" w:eastAsia="宋体" w:cs="宋体"/>
          <w:color w:val="auto"/>
          <w:spacing w:val="-1"/>
          <w:sz w:val="21"/>
          <w:szCs w:val="21"/>
          <w:highlight w:val="none"/>
        </w:rPr>
        <w:t>保修期内承担保修义务；</w:t>
      </w:r>
    </w:p>
    <w:p>
      <w:pPr>
        <w:spacing w:before="148" w:line="401" w:lineRule="exact"/>
        <w:ind w:left="43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）按法律规定和合同约定采取施工安全和环境保护措施，办理工伤保险，确保工程及人</w:t>
      </w:r>
    </w:p>
    <w:p>
      <w:pPr>
        <w:spacing w:before="1" w:line="219" w:lineRule="auto"/>
        <w:ind w:left="1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员、材料、设备和设施的安全；</w:t>
      </w:r>
    </w:p>
    <w:p>
      <w:pPr>
        <w:spacing w:before="151" w:line="398" w:lineRule="exact"/>
        <w:ind w:left="43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）按合同约定的工作内容和施工进度要求，编制施工组织设计和施工措施计划，并对所</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有施工作业和施工方法的完备性和安全可靠性负责；</w:t>
      </w:r>
    </w:p>
    <w:p>
      <w:pPr>
        <w:spacing w:before="150" w:line="351" w:lineRule="auto"/>
        <w:ind w:left="20" w:right="153" w:firstLine="40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）在进行合同约定的各项工作时， 不得侵害发</w:t>
      </w:r>
      <w:r>
        <w:rPr>
          <w:rFonts w:ascii="宋体" w:hAnsi="宋体" w:eastAsia="宋体" w:cs="宋体"/>
          <w:color w:val="auto"/>
          <w:spacing w:val="-1"/>
          <w:sz w:val="21"/>
          <w:szCs w:val="21"/>
          <w:highlight w:val="none"/>
        </w:rPr>
        <w:t>包人与他人使用公用道路、水源、市政管</w:t>
      </w:r>
      <w:r>
        <w:rPr>
          <w:rFonts w:ascii="宋体" w:hAnsi="宋体" w:eastAsia="宋体" w:cs="宋体"/>
          <w:color w:val="auto"/>
          <w:sz w:val="21"/>
          <w:szCs w:val="21"/>
          <w:highlight w:val="none"/>
        </w:rPr>
        <w:t xml:space="preserve"> 网等公共设施的权利，避免对邻近的公共设施产生</w:t>
      </w:r>
      <w:r>
        <w:rPr>
          <w:rFonts w:ascii="宋体" w:hAnsi="宋体" w:eastAsia="宋体" w:cs="宋体"/>
          <w:color w:val="auto"/>
          <w:spacing w:val="-1"/>
          <w:sz w:val="21"/>
          <w:szCs w:val="21"/>
          <w:highlight w:val="none"/>
        </w:rPr>
        <w:t>干扰。承包人占用或使用他人的施工场地，影</w:t>
      </w:r>
      <w:r>
        <w:rPr>
          <w:rFonts w:ascii="宋体" w:hAnsi="宋体" w:eastAsia="宋体" w:cs="宋体"/>
          <w:color w:val="auto"/>
          <w:spacing w:val="-3"/>
          <w:sz w:val="21"/>
          <w:szCs w:val="21"/>
          <w:highlight w:val="none"/>
        </w:rPr>
        <w:t>响他人作业或生活的，应承担相应责任；</w:t>
      </w:r>
    </w:p>
    <w:p>
      <w:pPr>
        <w:spacing w:before="149" w:line="221" w:lineRule="auto"/>
        <w:ind w:left="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6</w:t>
      </w:r>
      <w:r>
        <w:rPr>
          <w:rFonts w:ascii="宋体" w:hAnsi="宋体" w:eastAsia="宋体" w:cs="宋体"/>
          <w:color w:val="auto"/>
          <w:sz w:val="21"/>
          <w:szCs w:val="21"/>
          <w:highlight w:val="none"/>
        </w:rPr>
        <w:t>）按照第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z w:val="21"/>
          <w:szCs w:val="21"/>
          <w:highlight w:val="none"/>
        </w:rPr>
        <w:t xml:space="preserve">6.3 </w:t>
      </w:r>
      <w:r>
        <w:rPr>
          <w:rFonts w:ascii="宋体" w:hAnsi="宋体" w:eastAsia="宋体" w:cs="宋体"/>
          <w:color w:val="auto"/>
          <w:sz w:val="21"/>
          <w:szCs w:val="21"/>
          <w:highlight w:val="none"/>
        </w:rPr>
        <w:t>款〔环境保护〕约定负责</w:t>
      </w:r>
      <w:r>
        <w:rPr>
          <w:rFonts w:ascii="宋体" w:hAnsi="宋体" w:eastAsia="宋体" w:cs="宋体"/>
          <w:color w:val="auto"/>
          <w:spacing w:val="-1"/>
          <w:sz w:val="21"/>
          <w:szCs w:val="21"/>
          <w:highlight w:val="none"/>
        </w:rPr>
        <w:t>施工场地及其周边环境与生态的保护工作；</w:t>
      </w:r>
    </w:p>
    <w:p>
      <w:pPr>
        <w:spacing w:before="151" w:line="398" w:lineRule="exact"/>
        <w:ind w:left="43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）按第 6.1  款〔安全文明施工〕约定采取施工安全措施，确保工程及其人员、材料、设备和设施的安全，防止因工程施工造成的人身伤害和财产损失；</w:t>
      </w:r>
    </w:p>
    <w:p>
      <w:pPr>
        <w:spacing w:before="150" w:line="400"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8</w:t>
      </w:r>
      <w:r>
        <w:rPr>
          <w:rFonts w:ascii="宋体" w:hAnsi="宋体" w:eastAsia="宋体" w:cs="宋体"/>
          <w:color w:val="auto"/>
          <w:spacing w:val="-2"/>
          <w:position w:val="14"/>
          <w:sz w:val="21"/>
          <w:szCs w:val="21"/>
          <w:highlight w:val="none"/>
        </w:rPr>
        <w:t>）将发包人按合同约定支付的各项价款专用于合同工程， 且应及时支付其雇用人员工资，</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并及时向分包人支付合同价款；</w:t>
      </w:r>
    </w:p>
    <w:p>
      <w:pPr>
        <w:spacing w:before="149" w:line="401" w:lineRule="exact"/>
        <w:ind w:left="43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9</w:t>
      </w:r>
      <w:r>
        <w:rPr>
          <w:rFonts w:ascii="宋体" w:hAnsi="宋体" w:eastAsia="宋体" w:cs="宋体"/>
          <w:color w:val="auto"/>
          <w:position w:val="14"/>
          <w:sz w:val="21"/>
          <w:szCs w:val="21"/>
          <w:highlight w:val="none"/>
        </w:rPr>
        <w:t>）按照法律规定和合同约定编制竣工资</w:t>
      </w:r>
      <w:r>
        <w:rPr>
          <w:rFonts w:ascii="宋体" w:hAnsi="宋体" w:eastAsia="宋体" w:cs="宋体"/>
          <w:color w:val="auto"/>
          <w:spacing w:val="-1"/>
          <w:position w:val="14"/>
          <w:sz w:val="21"/>
          <w:szCs w:val="21"/>
          <w:highlight w:val="none"/>
        </w:rPr>
        <w:t>料，完成竣工资料立卷及归档， 并按专用合同条</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z w:val="21"/>
          <w:szCs w:val="21"/>
          <w:highlight w:val="none"/>
        </w:rPr>
        <w:t>款约定的竣工资料的套数、内容、时间等要求移交</w:t>
      </w:r>
      <w:r>
        <w:rPr>
          <w:rFonts w:ascii="宋体" w:hAnsi="宋体" w:eastAsia="宋体" w:cs="宋体"/>
          <w:color w:val="auto"/>
          <w:spacing w:val="-1"/>
          <w:sz w:val="21"/>
          <w:szCs w:val="21"/>
          <w:highlight w:val="none"/>
        </w:rPr>
        <w:t>发包人；</w:t>
      </w:r>
    </w:p>
    <w:p>
      <w:pPr>
        <w:spacing w:before="150" w:line="221" w:lineRule="auto"/>
        <w:ind w:left="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10</w:t>
      </w:r>
      <w:r>
        <w:rPr>
          <w:rFonts w:ascii="宋体" w:hAnsi="宋体" w:eastAsia="宋体" w:cs="宋体"/>
          <w:color w:val="auto"/>
          <w:spacing w:val="-1"/>
          <w:sz w:val="21"/>
          <w:szCs w:val="21"/>
          <w:highlight w:val="none"/>
        </w:rPr>
        <w:t>）应履行的其他义务。</w:t>
      </w:r>
    </w:p>
    <w:p>
      <w:pPr>
        <w:spacing w:before="122"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3.2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项目经理</w:t>
      </w:r>
    </w:p>
    <w:p>
      <w:pPr>
        <w:spacing w:before="139" w:line="352" w:lineRule="auto"/>
        <w:ind w:left="5" w:right="153"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项目经理应为合同当事人所确认的人选，并在专用合同条款中明确项目经理的姓名、</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职称、注册执业证书编号、联系方式及授权范</w:t>
      </w:r>
      <w:r>
        <w:rPr>
          <w:rFonts w:ascii="宋体" w:hAnsi="宋体" w:eastAsia="宋体" w:cs="宋体"/>
          <w:color w:val="auto"/>
          <w:spacing w:val="-3"/>
          <w:sz w:val="21"/>
          <w:szCs w:val="21"/>
          <w:highlight w:val="none"/>
        </w:rPr>
        <w:t>围等事项， 项目经理经承包人授权后代表承包人负</w:t>
      </w:r>
      <w:r>
        <w:rPr>
          <w:rFonts w:ascii="宋体" w:hAnsi="宋体" w:eastAsia="宋体" w:cs="宋体"/>
          <w:color w:val="auto"/>
          <w:sz w:val="21"/>
          <w:szCs w:val="21"/>
          <w:highlight w:val="none"/>
        </w:rPr>
        <w:t xml:space="preserve"> 责履行合同。项目经理应是承包人正式聘用的员工，承包人应向发包人提交项目经理与</w:t>
      </w:r>
      <w:r>
        <w:rPr>
          <w:rFonts w:ascii="宋体" w:hAnsi="宋体" w:eastAsia="宋体" w:cs="宋体"/>
          <w:color w:val="auto"/>
          <w:spacing w:val="-1"/>
          <w:sz w:val="21"/>
          <w:szCs w:val="21"/>
          <w:highlight w:val="none"/>
        </w:rPr>
        <w:t>承包人之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间的劳动合同， 以及承包人为项目经理缴纳</w:t>
      </w:r>
      <w:r>
        <w:rPr>
          <w:rFonts w:ascii="宋体" w:hAnsi="宋体" w:eastAsia="宋体" w:cs="宋体"/>
          <w:color w:val="auto"/>
          <w:spacing w:val="-3"/>
          <w:sz w:val="21"/>
          <w:szCs w:val="21"/>
          <w:highlight w:val="none"/>
        </w:rPr>
        <w:t>社会保险的有效证明。承包人不提交上述文件的，项</w:t>
      </w:r>
      <w:r>
        <w:rPr>
          <w:rFonts w:ascii="宋体" w:hAnsi="宋体" w:eastAsia="宋体" w:cs="宋体"/>
          <w:color w:val="auto"/>
          <w:sz w:val="21"/>
          <w:szCs w:val="21"/>
          <w:highlight w:val="none"/>
        </w:rPr>
        <w:t xml:space="preserve"> 目经理无权履行职责，发包人有权要求更换项目经理，由此增加的费用和（或）延误的</w:t>
      </w:r>
      <w:r>
        <w:rPr>
          <w:rFonts w:ascii="宋体" w:hAnsi="宋体" w:eastAsia="宋体" w:cs="宋体"/>
          <w:color w:val="auto"/>
          <w:spacing w:val="-1"/>
          <w:sz w:val="21"/>
          <w:szCs w:val="21"/>
          <w:highlight w:val="none"/>
        </w:rPr>
        <w:t>工期由承</w:t>
      </w:r>
      <w:r>
        <w:rPr>
          <w:rFonts w:ascii="宋体" w:hAnsi="宋体" w:eastAsia="宋体" w:cs="宋体"/>
          <w:color w:val="auto"/>
          <w:spacing w:val="-5"/>
          <w:sz w:val="21"/>
          <w:szCs w:val="21"/>
          <w:highlight w:val="none"/>
        </w:rPr>
        <w:t>包人承担。</w:t>
      </w:r>
    </w:p>
    <w:p>
      <w:pPr>
        <w:spacing w:before="149" w:line="352" w:lineRule="auto"/>
        <w:ind w:left="6" w:right="153"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项目经理应常驻施工现场，且每月在施工现场时间不得少于专用合同条款约</w:t>
      </w:r>
      <w:r>
        <w:rPr>
          <w:rFonts w:ascii="宋体" w:hAnsi="宋体" w:eastAsia="宋体" w:cs="宋体"/>
          <w:color w:val="auto"/>
          <w:spacing w:val="-1"/>
          <w:sz w:val="21"/>
          <w:szCs w:val="21"/>
          <w:highlight w:val="none"/>
        </w:rPr>
        <w:t>定的天数。项目</w:t>
      </w:r>
      <w:r>
        <w:rPr>
          <w:rFonts w:ascii="宋体" w:hAnsi="宋体" w:eastAsia="宋体" w:cs="宋体"/>
          <w:color w:val="auto"/>
          <w:sz w:val="21"/>
          <w:szCs w:val="21"/>
          <w:highlight w:val="none"/>
        </w:rPr>
        <w:t xml:space="preserve"> 经理不得同时担任其他项目的项目经理。项目经理确需离开施工现场时，应事先通知</w:t>
      </w:r>
      <w:r>
        <w:rPr>
          <w:rFonts w:ascii="宋体" w:hAnsi="宋体" w:eastAsia="宋体" w:cs="宋体"/>
          <w:color w:val="auto"/>
          <w:spacing w:val="-1"/>
          <w:sz w:val="21"/>
          <w:szCs w:val="21"/>
          <w:highlight w:val="none"/>
        </w:rPr>
        <w:t>监理人，并</w:t>
      </w:r>
      <w:r>
        <w:rPr>
          <w:rFonts w:ascii="宋体" w:hAnsi="宋体" w:eastAsia="宋体" w:cs="宋体"/>
          <w:color w:val="auto"/>
          <w:sz w:val="21"/>
          <w:szCs w:val="21"/>
          <w:highlight w:val="none"/>
        </w:rPr>
        <w:t>取得发包人的书面同意。项目经理的通知中应当载明临时代行其职责的人员的注册执</w:t>
      </w:r>
      <w:r>
        <w:rPr>
          <w:rFonts w:ascii="宋体" w:hAnsi="宋体" w:eastAsia="宋体" w:cs="宋体"/>
          <w:color w:val="auto"/>
          <w:spacing w:val="-1"/>
          <w:sz w:val="21"/>
          <w:szCs w:val="21"/>
          <w:highlight w:val="none"/>
        </w:rPr>
        <w:t>业资格、管</w:t>
      </w:r>
      <w:r>
        <w:rPr>
          <w:rFonts w:ascii="宋体" w:hAnsi="宋体" w:eastAsia="宋体" w:cs="宋体"/>
          <w:color w:val="auto"/>
          <w:spacing w:val="-5"/>
          <w:sz w:val="21"/>
          <w:szCs w:val="21"/>
          <w:highlight w:val="none"/>
        </w:rPr>
        <w:t>理经验等资料， 该人员应具备履行相应职责的能力。</w:t>
      </w:r>
    </w:p>
    <w:p>
      <w:pPr>
        <w:spacing w:before="124" w:line="221" w:lineRule="auto"/>
        <w:ind w:left="424"/>
        <w:rPr>
          <w:rFonts w:ascii="宋体" w:hAnsi="宋体" w:eastAsia="宋体" w:cs="宋体"/>
          <w:color w:val="auto"/>
          <w:sz w:val="21"/>
          <w:szCs w:val="21"/>
          <w:highlight w:val="none"/>
        </w:rPr>
      </w:pPr>
      <w:bookmarkStart w:id="172" w:name="bookmark211"/>
      <w:bookmarkEnd w:id="172"/>
      <w:bookmarkStart w:id="173" w:name="bookmark214"/>
      <w:bookmarkEnd w:id="173"/>
      <w:bookmarkStart w:id="174" w:name="bookmark216"/>
      <w:bookmarkEnd w:id="174"/>
      <w:bookmarkStart w:id="175" w:name="bookmark212"/>
      <w:bookmarkEnd w:id="175"/>
      <w:bookmarkStart w:id="176" w:name="bookmark213"/>
      <w:bookmarkEnd w:id="176"/>
      <w:bookmarkStart w:id="177" w:name="bookmark215"/>
      <w:bookmarkEnd w:id="177"/>
      <w:r>
        <w:rPr>
          <w:rFonts w:ascii="宋体" w:hAnsi="宋体" w:eastAsia="宋体" w:cs="宋体"/>
          <w:color w:val="auto"/>
          <w:spacing w:val="-3"/>
          <w:sz w:val="21"/>
          <w:szCs w:val="21"/>
          <w:highlight w:val="none"/>
        </w:rPr>
        <w:t>承包人违反上述约定的，</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应按照专用合同条款的约定</w:t>
      </w:r>
      <w:r>
        <w:rPr>
          <w:rFonts w:ascii="宋体" w:hAnsi="宋体" w:eastAsia="宋体" w:cs="宋体"/>
          <w:color w:val="auto"/>
          <w:spacing w:val="-4"/>
          <w:sz w:val="21"/>
          <w:szCs w:val="21"/>
          <w:highlight w:val="none"/>
        </w:rPr>
        <w:t>，承担违约责任。</w:t>
      </w:r>
    </w:p>
    <w:p>
      <w:pPr>
        <w:spacing w:before="150" w:line="351" w:lineRule="auto"/>
        <w:ind w:left="5" w:right="177"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3.2.2  </w:t>
      </w:r>
      <w:r>
        <w:rPr>
          <w:rFonts w:ascii="宋体" w:hAnsi="宋体" w:eastAsia="宋体" w:cs="宋体"/>
          <w:color w:val="auto"/>
          <w:spacing w:val="2"/>
          <w:sz w:val="21"/>
          <w:szCs w:val="21"/>
          <w:highlight w:val="none"/>
        </w:rPr>
        <w:t>项目经理按合同约定组织工程实施。在紧急情况下为确保施工安全和人员安全，在无</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法与发包人代表和总监理工程师及时取得联系时，</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项目经理有权采取必要的措施保</w:t>
      </w:r>
      <w:r>
        <w:rPr>
          <w:rFonts w:ascii="宋体" w:hAnsi="宋体" w:eastAsia="宋体" w:cs="宋体"/>
          <w:color w:val="auto"/>
          <w:spacing w:val="-3"/>
          <w:sz w:val="21"/>
          <w:szCs w:val="21"/>
          <w:highlight w:val="none"/>
        </w:rPr>
        <w:t>证与工程有关</w:t>
      </w:r>
      <w:r>
        <w:rPr>
          <w:rFonts w:ascii="宋体" w:hAnsi="宋体" w:eastAsia="宋体" w:cs="宋体"/>
          <w:color w:val="auto"/>
          <w:spacing w:val="-1"/>
          <w:sz w:val="21"/>
          <w:szCs w:val="21"/>
          <w:highlight w:val="none"/>
        </w:rPr>
        <w:t>的人身、财产和工程的安全，但应在</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48 </w:t>
      </w:r>
      <w:r>
        <w:rPr>
          <w:rFonts w:ascii="宋体" w:hAnsi="宋体" w:eastAsia="宋体" w:cs="宋体"/>
          <w:color w:val="auto"/>
          <w:spacing w:val="-1"/>
          <w:sz w:val="21"/>
          <w:szCs w:val="21"/>
          <w:highlight w:val="none"/>
        </w:rPr>
        <w:t>小时内向发包人代表和总监理工程师提交书面报告。</w:t>
      </w:r>
    </w:p>
    <w:p>
      <w:pPr>
        <w:spacing w:before="150" w:line="352" w:lineRule="auto"/>
        <w:ind w:left="5" w:right="177" w:firstLine="41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3.2.3  </w:t>
      </w:r>
      <w:r>
        <w:rPr>
          <w:rFonts w:ascii="宋体" w:hAnsi="宋体" w:eastAsia="宋体" w:cs="宋体"/>
          <w:color w:val="auto"/>
          <w:sz w:val="21"/>
          <w:szCs w:val="21"/>
          <w:highlight w:val="none"/>
        </w:rPr>
        <w:t>承包人需要更换项目经理的</w:t>
      </w:r>
      <w:r>
        <w:rPr>
          <w:rFonts w:ascii="宋体" w:hAnsi="宋体" w:eastAsia="宋体" w:cs="宋体"/>
          <w:color w:val="auto"/>
          <w:spacing w:val="-1"/>
          <w:sz w:val="21"/>
          <w:szCs w:val="21"/>
          <w:highlight w:val="none"/>
        </w:rPr>
        <w:t>，应提前</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天书面通知发包人和监理人，并征得发包人书</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面同意。通知中应当载明继任项目经理的注册</w:t>
      </w:r>
      <w:r>
        <w:rPr>
          <w:rFonts w:ascii="宋体" w:hAnsi="宋体" w:eastAsia="宋体" w:cs="宋体"/>
          <w:color w:val="auto"/>
          <w:spacing w:val="-3"/>
          <w:sz w:val="21"/>
          <w:szCs w:val="21"/>
          <w:highlight w:val="none"/>
        </w:rPr>
        <w:t>执业资格、管理经验等资料， 继任项目经理继续履</w:t>
      </w:r>
      <w:r>
        <w:rPr>
          <w:rFonts w:ascii="宋体" w:hAnsi="宋体" w:eastAsia="宋体" w:cs="宋体"/>
          <w:color w:val="auto"/>
          <w:spacing w:val="-2"/>
          <w:sz w:val="21"/>
          <w:szCs w:val="21"/>
          <w:highlight w:val="none"/>
        </w:rPr>
        <w:t xml:space="preserve">行第 </w:t>
      </w:r>
      <w:r>
        <w:rPr>
          <w:rFonts w:ascii="Times New Roman" w:hAnsi="Times New Roman" w:eastAsia="Times New Roman" w:cs="Times New Roman"/>
          <w:color w:val="auto"/>
          <w:spacing w:val="-2"/>
          <w:sz w:val="21"/>
          <w:szCs w:val="21"/>
          <w:highlight w:val="none"/>
        </w:rPr>
        <w:t xml:space="preserve">3.2.1  </w:t>
      </w:r>
      <w:r>
        <w:rPr>
          <w:rFonts w:ascii="宋体" w:hAnsi="宋体" w:eastAsia="宋体" w:cs="宋体"/>
          <w:color w:val="auto"/>
          <w:spacing w:val="-2"/>
          <w:sz w:val="21"/>
          <w:szCs w:val="21"/>
          <w:highlight w:val="none"/>
        </w:rPr>
        <w:t>项约定的职责。未经发包人书面同意，</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承包人不得擅自更换项目经理。承包人擅自更</w:t>
      </w:r>
      <w:r>
        <w:rPr>
          <w:rFonts w:ascii="宋体" w:hAnsi="宋体" w:eastAsia="宋体" w:cs="宋体"/>
          <w:color w:val="auto"/>
          <w:spacing w:val="-4"/>
          <w:sz w:val="21"/>
          <w:szCs w:val="21"/>
          <w:highlight w:val="none"/>
        </w:rPr>
        <w:t>换项目经理的，</w:t>
      </w:r>
      <w:r>
        <w:rPr>
          <w:rFonts w:ascii="宋体" w:hAnsi="宋体" w:eastAsia="宋体" w:cs="宋体"/>
          <w:color w:val="auto"/>
          <w:spacing w:val="-6"/>
          <w:sz w:val="21"/>
          <w:szCs w:val="21"/>
          <w:highlight w:val="none"/>
        </w:rPr>
        <w:t xml:space="preserve"> </w:t>
      </w:r>
      <w:r>
        <w:rPr>
          <w:rFonts w:ascii="宋体" w:hAnsi="宋体" w:eastAsia="宋体" w:cs="宋体"/>
          <w:color w:val="auto"/>
          <w:spacing w:val="-4"/>
          <w:sz w:val="21"/>
          <w:szCs w:val="21"/>
          <w:highlight w:val="none"/>
        </w:rPr>
        <w:t>应按照专用合同条款的约定承担违约责任。</w:t>
      </w:r>
    </w:p>
    <w:p>
      <w:pPr>
        <w:spacing w:before="152" w:line="351" w:lineRule="auto"/>
        <w:ind w:left="6" w:right="177" w:firstLine="41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3.2.4  </w:t>
      </w:r>
      <w:r>
        <w:rPr>
          <w:rFonts w:ascii="宋体" w:hAnsi="宋体" w:eastAsia="宋体" w:cs="宋体"/>
          <w:color w:val="auto"/>
          <w:sz w:val="21"/>
          <w:szCs w:val="21"/>
          <w:highlight w:val="none"/>
        </w:rPr>
        <w:t>发包人有权书面通知承包人更换其认为不称职的项目</w:t>
      </w:r>
      <w:r>
        <w:rPr>
          <w:rFonts w:ascii="宋体" w:hAnsi="宋体" w:eastAsia="宋体" w:cs="宋体"/>
          <w:color w:val="auto"/>
          <w:spacing w:val="-1"/>
          <w:sz w:val="21"/>
          <w:szCs w:val="21"/>
          <w:highlight w:val="none"/>
        </w:rPr>
        <w:t>经理， 通知中应当载明要求更换</w:t>
      </w:r>
      <w:r>
        <w:rPr>
          <w:rFonts w:ascii="宋体" w:hAnsi="宋体" w:eastAsia="宋体" w:cs="宋体"/>
          <w:color w:val="auto"/>
          <w:sz w:val="21"/>
          <w:szCs w:val="21"/>
          <w:highlight w:val="none"/>
        </w:rPr>
        <w:t xml:space="preserve"> 的理由。承包人应在接到更换通知后 </w:t>
      </w:r>
      <w:r>
        <w:rPr>
          <w:rFonts w:ascii="Times New Roman" w:hAnsi="Times New Roman" w:eastAsia="Times New Roman" w:cs="Times New Roman"/>
          <w:color w:val="auto"/>
          <w:sz w:val="21"/>
          <w:szCs w:val="21"/>
          <w:highlight w:val="none"/>
        </w:rPr>
        <w:t xml:space="preserve">14  </w:t>
      </w:r>
      <w:r>
        <w:rPr>
          <w:rFonts w:ascii="宋体" w:hAnsi="宋体" w:eastAsia="宋体" w:cs="宋体"/>
          <w:color w:val="auto"/>
          <w:sz w:val="21"/>
          <w:szCs w:val="21"/>
          <w:highlight w:val="none"/>
        </w:rPr>
        <w:t>天内向发包人提出书面的改进报告。发包</w:t>
      </w:r>
      <w:r>
        <w:rPr>
          <w:rFonts w:ascii="宋体" w:hAnsi="宋体" w:eastAsia="宋体" w:cs="宋体"/>
          <w:color w:val="auto"/>
          <w:spacing w:val="-1"/>
          <w:sz w:val="21"/>
          <w:szCs w:val="21"/>
          <w:highlight w:val="none"/>
        </w:rPr>
        <w:t>人收到改进报</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告后仍要求更换的，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 xml:space="preserve">承包人应在接到第二次更换通知的 </w:t>
      </w:r>
      <w:r>
        <w:rPr>
          <w:rFonts w:ascii="Times New Roman" w:hAnsi="Times New Roman" w:eastAsia="Times New Roman" w:cs="Times New Roman"/>
          <w:color w:val="auto"/>
          <w:spacing w:val="-4"/>
          <w:sz w:val="21"/>
          <w:szCs w:val="21"/>
          <w:highlight w:val="none"/>
        </w:rPr>
        <w:t xml:space="preserve">28  </w:t>
      </w:r>
      <w:r>
        <w:rPr>
          <w:rFonts w:ascii="宋体" w:hAnsi="宋体" w:eastAsia="宋体" w:cs="宋体"/>
          <w:color w:val="auto"/>
          <w:spacing w:val="-4"/>
          <w:sz w:val="21"/>
          <w:szCs w:val="21"/>
          <w:highlight w:val="none"/>
        </w:rPr>
        <w:t xml:space="preserve">天内进行更换， </w:t>
      </w:r>
      <w:r>
        <w:rPr>
          <w:rFonts w:ascii="宋体" w:hAnsi="宋体" w:eastAsia="宋体" w:cs="宋体"/>
          <w:color w:val="auto"/>
          <w:spacing w:val="-5"/>
          <w:sz w:val="21"/>
          <w:szCs w:val="21"/>
          <w:highlight w:val="none"/>
        </w:rPr>
        <w:t>并将新任命的项目经</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理的注册执业资格、管理经验等资料书面通知发包人。</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 xml:space="preserve">继任项目经理继续履行第 </w:t>
      </w:r>
      <w:r>
        <w:rPr>
          <w:rFonts w:ascii="Times New Roman" w:hAnsi="Times New Roman" w:eastAsia="Times New Roman" w:cs="Times New Roman"/>
          <w:color w:val="auto"/>
          <w:spacing w:val="-2"/>
          <w:sz w:val="21"/>
          <w:szCs w:val="21"/>
          <w:highlight w:val="none"/>
        </w:rPr>
        <w:t xml:space="preserve">3.2.1  </w:t>
      </w:r>
      <w:r>
        <w:rPr>
          <w:rFonts w:ascii="宋体" w:hAnsi="宋体" w:eastAsia="宋体" w:cs="宋体"/>
          <w:color w:val="auto"/>
          <w:spacing w:val="-2"/>
          <w:sz w:val="21"/>
          <w:szCs w:val="21"/>
          <w:highlight w:val="none"/>
        </w:rPr>
        <w:t>项约定的</w:t>
      </w:r>
      <w:r>
        <w:rPr>
          <w:rFonts w:ascii="宋体" w:hAnsi="宋体" w:eastAsia="宋体" w:cs="宋体"/>
          <w:color w:val="auto"/>
          <w:sz w:val="21"/>
          <w:szCs w:val="21"/>
          <w:highlight w:val="none"/>
        </w:rPr>
        <w:t>职责。承包人无正当理由拒绝更换项目经理的，应</w:t>
      </w:r>
      <w:r>
        <w:rPr>
          <w:rFonts w:ascii="宋体" w:hAnsi="宋体" w:eastAsia="宋体" w:cs="宋体"/>
          <w:color w:val="auto"/>
          <w:spacing w:val="-1"/>
          <w:sz w:val="21"/>
          <w:szCs w:val="21"/>
          <w:highlight w:val="none"/>
        </w:rPr>
        <w:t>按照专用合同条款的约定承担违约责任。</w:t>
      </w:r>
    </w:p>
    <w:p>
      <w:pPr>
        <w:spacing w:before="150" w:line="351" w:lineRule="auto"/>
        <w:ind w:left="4" w:right="17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3.2.5  </w:t>
      </w:r>
      <w:r>
        <w:rPr>
          <w:rFonts w:ascii="宋体" w:hAnsi="宋体" w:eastAsia="宋体" w:cs="宋体"/>
          <w:color w:val="auto"/>
          <w:spacing w:val="2"/>
          <w:sz w:val="21"/>
          <w:szCs w:val="21"/>
          <w:highlight w:val="none"/>
        </w:rPr>
        <w:t xml:space="preserve">项目经理因特殊情况授权其下属人员履行其某项工作职责的，该下属人员应具备履行 </w:t>
      </w:r>
      <w:r>
        <w:rPr>
          <w:rFonts w:ascii="宋体" w:hAnsi="宋体" w:eastAsia="宋体" w:cs="宋体"/>
          <w:color w:val="auto"/>
          <w:sz w:val="21"/>
          <w:szCs w:val="21"/>
          <w:highlight w:val="none"/>
        </w:rPr>
        <w:t>相应职责的能力，并应提前</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天将上述人员的姓名和授权范围书面通</w:t>
      </w:r>
      <w:r>
        <w:rPr>
          <w:rFonts w:ascii="宋体" w:hAnsi="宋体" w:eastAsia="宋体" w:cs="宋体"/>
          <w:color w:val="auto"/>
          <w:spacing w:val="-1"/>
          <w:sz w:val="21"/>
          <w:szCs w:val="21"/>
          <w:highlight w:val="none"/>
        </w:rPr>
        <w:t>知监理人，并征得发包人书</w:t>
      </w:r>
      <w:r>
        <w:rPr>
          <w:rFonts w:ascii="宋体" w:hAnsi="宋体" w:eastAsia="宋体" w:cs="宋体"/>
          <w:color w:val="auto"/>
          <w:spacing w:val="-2"/>
          <w:sz w:val="21"/>
          <w:szCs w:val="21"/>
          <w:highlight w:val="none"/>
        </w:rPr>
        <w:t>面同意。</w:t>
      </w:r>
    </w:p>
    <w:p>
      <w:pPr>
        <w:spacing w:before="124"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3.3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承包人人员</w:t>
      </w:r>
    </w:p>
    <w:p>
      <w:pPr>
        <w:spacing w:before="141" w:line="352" w:lineRule="auto"/>
        <w:ind w:left="6"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3.3.1  </w:t>
      </w:r>
      <w:r>
        <w:rPr>
          <w:rFonts w:ascii="宋体" w:hAnsi="宋体" w:eastAsia="宋体" w:cs="宋体"/>
          <w:color w:val="auto"/>
          <w:sz w:val="21"/>
          <w:szCs w:val="21"/>
          <w:highlight w:val="none"/>
        </w:rPr>
        <w:t xml:space="preserve">除专用合同条款另有约定外，承包人应在接到开工通知后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 xml:space="preserve">天内，向监理人提交承包  </w:t>
      </w:r>
      <w:r>
        <w:rPr>
          <w:rFonts w:ascii="宋体" w:hAnsi="宋体" w:eastAsia="宋体" w:cs="宋体"/>
          <w:color w:val="auto"/>
          <w:spacing w:val="-3"/>
          <w:sz w:val="21"/>
          <w:szCs w:val="21"/>
          <w:highlight w:val="none"/>
        </w:rPr>
        <w:t>人项目管理机构及施工现场人员安排的报告，</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其内容应包括合同管理、施工、技术、材料、质量、</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安全、财务等主要施工管理人员名单及其岗位</w:t>
      </w:r>
      <w:r>
        <w:rPr>
          <w:rFonts w:ascii="宋体" w:hAnsi="宋体" w:eastAsia="宋体" w:cs="宋体"/>
          <w:color w:val="auto"/>
          <w:spacing w:val="-3"/>
          <w:sz w:val="21"/>
          <w:szCs w:val="21"/>
          <w:highlight w:val="none"/>
        </w:rPr>
        <w:t>、注册执业资格等， 以及各工种技术工人的安排情</w:t>
      </w:r>
      <w:r>
        <w:rPr>
          <w:rFonts w:ascii="宋体" w:hAnsi="宋体" w:eastAsia="宋体" w:cs="宋体"/>
          <w:color w:val="auto"/>
          <w:sz w:val="21"/>
          <w:szCs w:val="21"/>
          <w:highlight w:val="none"/>
        </w:rPr>
        <w:t>况，并同时提交主要施工管理人员与承包人之间的劳动关系证明和缴纳社会保险的有效</w:t>
      </w:r>
      <w:r>
        <w:rPr>
          <w:rFonts w:ascii="宋体" w:hAnsi="宋体" w:eastAsia="宋体" w:cs="宋体"/>
          <w:color w:val="auto"/>
          <w:spacing w:val="-1"/>
          <w:sz w:val="21"/>
          <w:szCs w:val="21"/>
          <w:highlight w:val="none"/>
        </w:rPr>
        <w:t>证明。</w:t>
      </w:r>
    </w:p>
    <w:p>
      <w:pPr>
        <w:spacing w:before="148" w:line="352" w:lineRule="auto"/>
        <w:ind w:left="3" w:right="17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3.3.2  </w:t>
      </w:r>
      <w:r>
        <w:rPr>
          <w:rFonts w:ascii="宋体" w:hAnsi="宋体" w:eastAsia="宋体" w:cs="宋体"/>
          <w:color w:val="auto"/>
          <w:spacing w:val="2"/>
          <w:sz w:val="21"/>
          <w:szCs w:val="21"/>
          <w:highlight w:val="none"/>
        </w:rPr>
        <w:t>承包人派驻到施工现场的主要施工管理人员应相对稳定。施工过程中如有变动，承包</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人应及时向监理人提交施工现场人员变动情况的报告。承包人更换主要施工管理人员时，</w:t>
      </w:r>
      <w:r>
        <w:rPr>
          <w:rFonts w:ascii="宋体" w:hAnsi="宋体" w:eastAsia="宋体" w:cs="宋体"/>
          <w:color w:val="auto"/>
          <w:spacing w:val="-1"/>
          <w:sz w:val="21"/>
          <w:szCs w:val="21"/>
          <w:highlight w:val="none"/>
        </w:rPr>
        <w:t>应提前</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天书面通知监理人，并征得发包人书面同意。通知中应当载明继任人员的注册执业资格</w:t>
      </w:r>
      <w:r>
        <w:rPr>
          <w:rFonts w:ascii="宋体" w:hAnsi="宋体" w:eastAsia="宋体" w:cs="宋体"/>
          <w:color w:val="auto"/>
          <w:spacing w:val="-1"/>
          <w:sz w:val="21"/>
          <w:szCs w:val="21"/>
          <w:highlight w:val="none"/>
        </w:rPr>
        <w:t>、管理</w:t>
      </w:r>
      <w:r>
        <w:rPr>
          <w:rFonts w:ascii="宋体" w:hAnsi="宋体" w:eastAsia="宋体" w:cs="宋体"/>
          <w:color w:val="auto"/>
          <w:spacing w:val="-2"/>
          <w:sz w:val="21"/>
          <w:szCs w:val="21"/>
          <w:highlight w:val="none"/>
        </w:rPr>
        <w:t>经验等资料。</w:t>
      </w:r>
    </w:p>
    <w:p>
      <w:pPr>
        <w:spacing w:before="150" w:line="221" w:lineRule="auto"/>
        <w:ind w:left="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特殊工种作业人员均应持有相应的资格证明，</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监理人可以随时检查。</w:t>
      </w:r>
    </w:p>
    <w:p>
      <w:pPr>
        <w:spacing w:before="148" w:line="352" w:lineRule="auto"/>
        <w:ind w:left="4" w:right="17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3.3.3  </w:t>
      </w:r>
      <w:r>
        <w:rPr>
          <w:rFonts w:ascii="宋体" w:hAnsi="宋体" w:eastAsia="宋体" w:cs="宋体"/>
          <w:color w:val="auto"/>
          <w:spacing w:val="2"/>
          <w:sz w:val="21"/>
          <w:szCs w:val="21"/>
          <w:highlight w:val="none"/>
        </w:rPr>
        <w:t>发包人对于承包人主要施工管理人员的资格或能力有异议的，承包人应提供资料证明</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被质疑人员有能力完成其岗位工作或不存在发包人所质疑的情形。发包人要求撤换不能按</w:t>
      </w:r>
      <w:r>
        <w:rPr>
          <w:rFonts w:ascii="宋体" w:hAnsi="宋体" w:eastAsia="宋体" w:cs="宋体"/>
          <w:color w:val="auto"/>
          <w:spacing w:val="-1"/>
          <w:sz w:val="21"/>
          <w:szCs w:val="21"/>
          <w:highlight w:val="none"/>
        </w:rPr>
        <w:t>照合同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约定履行职责及义务的主要施工管理人员的，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承包人应当撤换。承包人无正当理</w:t>
      </w:r>
      <w:r>
        <w:rPr>
          <w:rFonts w:ascii="宋体" w:hAnsi="宋体" w:eastAsia="宋体" w:cs="宋体"/>
          <w:color w:val="auto"/>
          <w:spacing w:val="-4"/>
          <w:sz w:val="21"/>
          <w:szCs w:val="21"/>
          <w:highlight w:val="none"/>
        </w:rPr>
        <w:t>由拒绝撤换的，</w:t>
      </w:r>
      <w:r>
        <w:rPr>
          <w:rFonts w:ascii="宋体" w:hAnsi="宋体" w:eastAsia="宋体" w:cs="宋体"/>
          <w:color w:val="auto"/>
          <w:spacing w:val="-1"/>
          <w:sz w:val="21"/>
          <w:szCs w:val="21"/>
          <w:highlight w:val="none"/>
        </w:rPr>
        <w:t>应按照专用合同条款的约定承担违约责任。</w:t>
      </w:r>
    </w:p>
    <w:p>
      <w:pPr>
        <w:spacing w:before="147" w:line="352" w:lineRule="auto"/>
        <w:ind w:left="5" w:right="177"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3.3.4  </w:t>
      </w:r>
      <w:r>
        <w:rPr>
          <w:rFonts w:ascii="宋体" w:hAnsi="宋体" w:eastAsia="宋体" w:cs="宋体"/>
          <w:color w:val="auto"/>
          <w:spacing w:val="2"/>
          <w:sz w:val="21"/>
          <w:szCs w:val="21"/>
          <w:highlight w:val="none"/>
        </w:rPr>
        <w:t xml:space="preserve">除专用合同条款另有约定外，承包人的主要施工管理人员离开施工现场每月累计不超 </w:t>
      </w:r>
      <w:r>
        <w:rPr>
          <w:rFonts w:ascii="宋体" w:hAnsi="宋体" w:eastAsia="宋体" w:cs="宋体"/>
          <w:color w:val="auto"/>
          <w:spacing w:val="-7"/>
          <w:sz w:val="21"/>
          <w:szCs w:val="21"/>
          <w:highlight w:val="none"/>
        </w:rPr>
        <w:t>过</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7"/>
          <w:sz w:val="21"/>
          <w:szCs w:val="21"/>
          <w:highlight w:val="none"/>
        </w:rPr>
        <w:t>5</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7"/>
          <w:sz w:val="21"/>
          <w:szCs w:val="21"/>
          <w:highlight w:val="none"/>
        </w:rPr>
        <w:t>天的，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应报监理人同意；离开施工现场每月累计超过</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7"/>
          <w:sz w:val="21"/>
          <w:szCs w:val="21"/>
          <w:highlight w:val="none"/>
        </w:rPr>
        <w:t>5</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8"/>
          <w:sz w:val="21"/>
          <w:szCs w:val="21"/>
          <w:highlight w:val="none"/>
        </w:rPr>
        <w:t>天的，</w:t>
      </w:r>
      <w:r>
        <w:rPr>
          <w:rFonts w:ascii="宋体" w:hAnsi="宋体" w:eastAsia="宋体" w:cs="宋体"/>
          <w:color w:val="auto"/>
          <w:spacing w:val="-22"/>
          <w:sz w:val="21"/>
          <w:szCs w:val="21"/>
          <w:highlight w:val="none"/>
        </w:rPr>
        <w:t xml:space="preserve"> </w:t>
      </w:r>
      <w:r>
        <w:rPr>
          <w:rFonts w:ascii="宋体" w:hAnsi="宋体" w:eastAsia="宋体" w:cs="宋体"/>
          <w:color w:val="auto"/>
          <w:spacing w:val="-8"/>
          <w:sz w:val="21"/>
          <w:szCs w:val="21"/>
          <w:highlight w:val="none"/>
        </w:rPr>
        <w:t>应通知监理人， 并征得发包人</w:t>
      </w:r>
      <w:r>
        <w:rPr>
          <w:rFonts w:ascii="宋体" w:hAnsi="宋体" w:eastAsia="宋体" w:cs="宋体"/>
          <w:color w:val="auto"/>
          <w:sz w:val="21"/>
          <w:szCs w:val="21"/>
          <w:highlight w:val="none"/>
        </w:rPr>
        <w:t xml:space="preserve"> 书面同意。主要施工管理人员离开施工现场前应指定一名有经验的人员临时代行其职责</w:t>
      </w:r>
      <w:r>
        <w:rPr>
          <w:rFonts w:ascii="宋体" w:hAnsi="宋体" w:eastAsia="宋体" w:cs="宋体"/>
          <w:color w:val="auto"/>
          <w:spacing w:val="-1"/>
          <w:sz w:val="21"/>
          <w:szCs w:val="21"/>
          <w:highlight w:val="none"/>
        </w:rPr>
        <w:t>，该人员</w:t>
      </w:r>
      <w:r>
        <w:rPr>
          <w:rFonts w:ascii="宋体" w:hAnsi="宋体" w:eastAsia="宋体" w:cs="宋体"/>
          <w:color w:val="auto"/>
          <w:spacing w:val="-3"/>
          <w:sz w:val="21"/>
          <w:szCs w:val="21"/>
          <w:highlight w:val="none"/>
        </w:rPr>
        <w:t>应具备履行相应职责的资格和能力，</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且应征得监理人</w:t>
      </w:r>
      <w:r>
        <w:rPr>
          <w:rFonts w:ascii="宋体" w:hAnsi="宋体" w:eastAsia="宋体" w:cs="宋体"/>
          <w:color w:val="auto"/>
          <w:spacing w:val="-4"/>
          <w:sz w:val="21"/>
          <w:szCs w:val="21"/>
          <w:highlight w:val="none"/>
        </w:rPr>
        <w:t>或发包人的同意。</w:t>
      </w:r>
    </w:p>
    <w:p>
      <w:pPr>
        <w:spacing w:before="150"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3.3.5  </w:t>
      </w:r>
      <w:r>
        <w:rPr>
          <w:rFonts w:ascii="宋体" w:hAnsi="宋体" w:eastAsia="宋体" w:cs="宋体"/>
          <w:color w:val="auto"/>
          <w:spacing w:val="2"/>
          <w:sz w:val="21"/>
          <w:szCs w:val="21"/>
          <w:highlight w:val="none"/>
        </w:rPr>
        <w:t>承包人擅自更换主要施工管理人员，或前述人员未经监理人或发包人同意擅自离开施</w:t>
      </w:r>
    </w:p>
    <w:p>
      <w:pPr>
        <w:spacing w:before="124" w:line="221" w:lineRule="auto"/>
        <w:ind w:left="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工现场的，</w:t>
      </w:r>
      <w:r>
        <w:rPr>
          <w:rFonts w:ascii="宋体" w:hAnsi="宋体" w:eastAsia="宋体" w:cs="宋体"/>
          <w:color w:val="auto"/>
          <w:spacing w:val="-20"/>
          <w:sz w:val="21"/>
          <w:szCs w:val="21"/>
          <w:highlight w:val="none"/>
        </w:rPr>
        <w:t xml:space="preserve"> </w:t>
      </w:r>
      <w:r>
        <w:rPr>
          <w:rFonts w:ascii="宋体" w:hAnsi="宋体" w:eastAsia="宋体" w:cs="宋体"/>
          <w:color w:val="auto"/>
          <w:spacing w:val="-4"/>
          <w:sz w:val="21"/>
          <w:szCs w:val="21"/>
          <w:highlight w:val="none"/>
        </w:rPr>
        <w:t>应按照专用合同条款约定承担违约责任。</w:t>
      </w:r>
    </w:p>
    <w:p>
      <w:pPr>
        <w:spacing w:before="124" w:line="219" w:lineRule="auto"/>
        <w:outlineLvl w:val="6"/>
        <w:rPr>
          <w:rFonts w:ascii="黑体" w:hAnsi="黑体" w:eastAsia="黑体" w:cs="黑体"/>
          <w:color w:val="auto"/>
          <w:sz w:val="24"/>
          <w:szCs w:val="24"/>
          <w:highlight w:val="none"/>
        </w:rPr>
      </w:pPr>
      <w:bookmarkStart w:id="178" w:name="bookmark221"/>
      <w:bookmarkEnd w:id="178"/>
      <w:bookmarkStart w:id="179" w:name="bookmark219"/>
      <w:bookmarkEnd w:id="179"/>
      <w:bookmarkStart w:id="180" w:name="bookmark217"/>
      <w:bookmarkEnd w:id="180"/>
      <w:bookmarkStart w:id="181" w:name="bookmark220"/>
      <w:bookmarkEnd w:id="181"/>
      <w:bookmarkStart w:id="182" w:name="bookmark218"/>
      <w:bookmarkEnd w:id="182"/>
      <w:r>
        <w:rPr>
          <w:rFonts w:ascii="Times New Roman" w:hAnsi="Times New Roman" w:eastAsia="Times New Roman" w:cs="Times New Roman"/>
          <w:b/>
          <w:bCs/>
          <w:color w:val="auto"/>
          <w:sz w:val="24"/>
          <w:szCs w:val="24"/>
          <w:highlight w:val="none"/>
        </w:rPr>
        <w:t xml:space="preserve">3.4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承包人现场查勘</w:t>
      </w:r>
    </w:p>
    <w:p>
      <w:pPr>
        <w:spacing w:before="141"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承包人应对基于发包人按照第 </w:t>
      </w:r>
      <w:r>
        <w:rPr>
          <w:rFonts w:ascii="Times New Roman" w:hAnsi="Times New Roman" w:eastAsia="Times New Roman" w:cs="Times New Roman"/>
          <w:color w:val="auto"/>
          <w:position w:val="14"/>
          <w:sz w:val="21"/>
          <w:szCs w:val="21"/>
          <w:highlight w:val="none"/>
        </w:rPr>
        <w:t xml:space="preserve">2.4.3  </w:t>
      </w:r>
      <w:r>
        <w:rPr>
          <w:rFonts w:ascii="宋体" w:hAnsi="宋体" w:eastAsia="宋体" w:cs="宋体"/>
          <w:color w:val="auto"/>
          <w:position w:val="14"/>
          <w:sz w:val="21"/>
          <w:szCs w:val="21"/>
          <w:highlight w:val="none"/>
        </w:rPr>
        <w:t>项〔提供基础资料〕提交的基础资料所做出的解</w:t>
      </w:r>
      <w:r>
        <w:rPr>
          <w:rFonts w:ascii="宋体" w:hAnsi="宋体" w:eastAsia="宋体" w:cs="宋体"/>
          <w:color w:val="auto"/>
          <w:spacing w:val="-1"/>
          <w:position w:val="14"/>
          <w:sz w:val="21"/>
          <w:szCs w:val="21"/>
          <w:highlight w:val="none"/>
        </w:rPr>
        <w:t>释和推</w:t>
      </w:r>
    </w:p>
    <w:p>
      <w:pPr>
        <w:spacing w:line="220" w:lineRule="auto"/>
        <w:ind w:left="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断负责，但因基础资料存在错误、遗漏导致承包人解释或推断失实的， 由发</w:t>
      </w:r>
      <w:r>
        <w:rPr>
          <w:rFonts w:ascii="宋体" w:hAnsi="宋体" w:eastAsia="宋体" w:cs="宋体"/>
          <w:color w:val="auto"/>
          <w:spacing w:val="-4"/>
          <w:sz w:val="21"/>
          <w:szCs w:val="21"/>
          <w:highlight w:val="none"/>
        </w:rPr>
        <w:t>包人承担责任。</w:t>
      </w:r>
    </w:p>
    <w:p>
      <w:pPr>
        <w:spacing w:before="151" w:line="351" w:lineRule="auto"/>
        <w:ind w:left="5"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承包人应对施工现场和施工条件进行查勘，并充分了解工程所在地的气象条件、交通</w:t>
      </w:r>
      <w:r>
        <w:rPr>
          <w:rFonts w:ascii="宋体" w:hAnsi="宋体" w:eastAsia="宋体" w:cs="宋体"/>
          <w:color w:val="auto"/>
          <w:spacing w:val="-1"/>
          <w:sz w:val="21"/>
          <w:szCs w:val="21"/>
          <w:highlight w:val="none"/>
        </w:rPr>
        <w:t>条件、</w:t>
      </w:r>
      <w:r>
        <w:rPr>
          <w:rFonts w:ascii="宋体" w:hAnsi="宋体" w:eastAsia="宋体" w:cs="宋体"/>
          <w:color w:val="auto"/>
          <w:sz w:val="21"/>
          <w:szCs w:val="21"/>
          <w:highlight w:val="none"/>
        </w:rPr>
        <w:t xml:space="preserve"> 风俗习惯以及其他与完成合同工作有关的其他资料。因承包人未能充分查勘、了解前述</w:t>
      </w:r>
      <w:r>
        <w:rPr>
          <w:rFonts w:ascii="宋体" w:hAnsi="宋体" w:eastAsia="宋体" w:cs="宋体"/>
          <w:color w:val="auto"/>
          <w:spacing w:val="-1"/>
          <w:sz w:val="21"/>
          <w:szCs w:val="21"/>
          <w:highlight w:val="none"/>
        </w:rPr>
        <w:t>情况或未</w:t>
      </w:r>
      <w:r>
        <w:rPr>
          <w:rFonts w:ascii="宋体" w:hAnsi="宋体" w:eastAsia="宋体" w:cs="宋体"/>
          <w:color w:val="auto"/>
          <w:spacing w:val="-3"/>
          <w:sz w:val="21"/>
          <w:szCs w:val="21"/>
          <w:highlight w:val="none"/>
        </w:rPr>
        <w:t>能充分估计前述情况所可能产生后果的，</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承包人承担由此增加的费用和（或）延误的工期。</w:t>
      </w:r>
    </w:p>
    <w:p>
      <w:pPr>
        <w:spacing w:before="126"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3.5</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分包</w:t>
      </w:r>
    </w:p>
    <w:p>
      <w:pPr>
        <w:spacing w:before="141"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3.5.1  </w:t>
      </w:r>
      <w:r>
        <w:rPr>
          <w:rFonts w:ascii="宋体" w:hAnsi="宋体" w:eastAsia="宋体" w:cs="宋体"/>
          <w:color w:val="auto"/>
          <w:spacing w:val="-1"/>
          <w:sz w:val="21"/>
          <w:szCs w:val="21"/>
          <w:highlight w:val="none"/>
        </w:rPr>
        <w:t>分包的一般约定</w:t>
      </w:r>
    </w:p>
    <w:p>
      <w:pPr>
        <w:spacing w:before="146" w:line="352" w:lineRule="auto"/>
        <w:ind w:left="5"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承包人不得将其承包的全部工程转包给第三人，或将其承包的全部工程肢解后以分</w:t>
      </w:r>
      <w:r>
        <w:rPr>
          <w:rFonts w:ascii="宋体" w:hAnsi="宋体" w:eastAsia="宋体" w:cs="宋体"/>
          <w:color w:val="auto"/>
          <w:spacing w:val="-1"/>
          <w:sz w:val="21"/>
          <w:szCs w:val="21"/>
          <w:highlight w:val="none"/>
        </w:rPr>
        <w:t>包的名义</w:t>
      </w:r>
      <w:r>
        <w:rPr>
          <w:rFonts w:ascii="宋体" w:hAnsi="宋体" w:eastAsia="宋体" w:cs="宋体"/>
          <w:color w:val="auto"/>
          <w:sz w:val="21"/>
          <w:szCs w:val="21"/>
          <w:highlight w:val="none"/>
        </w:rPr>
        <w:t xml:space="preserve"> 转包给第三人。承包人不得将工程主体结构、关键性工作及专用合同条款中禁止分包的</w:t>
      </w:r>
      <w:r>
        <w:rPr>
          <w:rFonts w:ascii="宋体" w:hAnsi="宋体" w:eastAsia="宋体" w:cs="宋体"/>
          <w:color w:val="auto"/>
          <w:spacing w:val="-1"/>
          <w:sz w:val="21"/>
          <w:szCs w:val="21"/>
          <w:highlight w:val="none"/>
        </w:rPr>
        <w:t>专业工程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分包给第三人，</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主体结构、关键性工作的范围由合同当事人按照法律规定在专用合同条</w:t>
      </w:r>
      <w:r>
        <w:rPr>
          <w:rFonts w:ascii="宋体" w:hAnsi="宋体" w:eastAsia="宋体" w:cs="宋体"/>
          <w:color w:val="auto"/>
          <w:spacing w:val="-3"/>
          <w:sz w:val="21"/>
          <w:szCs w:val="21"/>
          <w:highlight w:val="none"/>
        </w:rPr>
        <w:t>款中予以</w:t>
      </w:r>
      <w:r>
        <w:rPr>
          <w:rFonts w:ascii="宋体" w:hAnsi="宋体" w:eastAsia="宋体" w:cs="宋体"/>
          <w:color w:val="auto"/>
          <w:spacing w:val="-13"/>
          <w:sz w:val="21"/>
          <w:szCs w:val="21"/>
          <w:highlight w:val="none"/>
        </w:rPr>
        <w:t>明确。</w:t>
      </w:r>
    </w:p>
    <w:p>
      <w:pPr>
        <w:spacing w:before="149" w:line="221"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承包人不得以劳务分包的名义转包或违法分</w:t>
      </w:r>
      <w:r>
        <w:rPr>
          <w:rFonts w:ascii="宋体" w:hAnsi="宋体" w:eastAsia="宋体" w:cs="宋体"/>
          <w:color w:val="auto"/>
          <w:spacing w:val="-1"/>
          <w:sz w:val="21"/>
          <w:szCs w:val="21"/>
          <w:highlight w:val="none"/>
        </w:rPr>
        <w:t>包工程。</w:t>
      </w:r>
    </w:p>
    <w:p>
      <w:pPr>
        <w:spacing w:before="150"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分包的确定</w:t>
      </w:r>
    </w:p>
    <w:p>
      <w:pPr>
        <w:spacing w:before="146" w:line="352" w:lineRule="auto"/>
        <w:ind w:left="4"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承包人应按专用合同条款的约定进行分包，确定分包人。已标价工程量清单或预算</w:t>
      </w:r>
      <w:r>
        <w:rPr>
          <w:rFonts w:ascii="宋体" w:hAnsi="宋体" w:eastAsia="宋体" w:cs="宋体"/>
          <w:color w:val="auto"/>
          <w:spacing w:val="-1"/>
          <w:sz w:val="21"/>
          <w:szCs w:val="21"/>
          <w:highlight w:val="none"/>
        </w:rPr>
        <w:t>书中给定</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暂估价的专业工程，按照第 </w:t>
      </w:r>
      <w:r>
        <w:rPr>
          <w:rFonts w:ascii="Times New Roman" w:hAnsi="Times New Roman" w:eastAsia="Times New Roman" w:cs="Times New Roman"/>
          <w:color w:val="auto"/>
          <w:spacing w:val="1"/>
          <w:sz w:val="21"/>
          <w:szCs w:val="21"/>
          <w:highlight w:val="none"/>
        </w:rPr>
        <w:t xml:space="preserve">10.7  </w:t>
      </w:r>
      <w:r>
        <w:rPr>
          <w:rFonts w:ascii="宋体" w:hAnsi="宋体" w:eastAsia="宋体" w:cs="宋体"/>
          <w:color w:val="auto"/>
          <w:spacing w:val="1"/>
          <w:sz w:val="21"/>
          <w:szCs w:val="21"/>
          <w:highlight w:val="none"/>
        </w:rPr>
        <w:t>款〔暂估价〕确定分包人。按照合同约定进行分包的，承包人</w:t>
      </w:r>
      <w:r>
        <w:rPr>
          <w:rFonts w:ascii="宋体" w:hAnsi="宋体" w:eastAsia="宋体" w:cs="宋体"/>
          <w:color w:val="auto"/>
          <w:sz w:val="21"/>
          <w:szCs w:val="21"/>
          <w:highlight w:val="none"/>
        </w:rPr>
        <w:t xml:space="preserve"> 应确保分包人具有相应的资质和能力。工程分包不减轻或免除承包人的责任和义务，承包</w:t>
      </w:r>
      <w:r>
        <w:rPr>
          <w:rFonts w:ascii="宋体" w:hAnsi="宋体" w:eastAsia="宋体" w:cs="宋体"/>
          <w:color w:val="auto"/>
          <w:spacing w:val="-1"/>
          <w:sz w:val="21"/>
          <w:szCs w:val="21"/>
          <w:highlight w:val="none"/>
        </w:rPr>
        <w:t>人和分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包人就分包工程向发包人承担连带责任。除合同另有约定外，</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承包人应在分包合</w:t>
      </w:r>
      <w:r>
        <w:rPr>
          <w:rFonts w:ascii="宋体" w:hAnsi="宋体" w:eastAsia="宋体" w:cs="宋体"/>
          <w:color w:val="auto"/>
          <w:spacing w:val="-3"/>
          <w:sz w:val="21"/>
          <w:szCs w:val="21"/>
          <w:highlight w:val="none"/>
        </w:rPr>
        <w:t>同签订后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 </w:t>
      </w:r>
      <w:r>
        <w:rPr>
          <w:rFonts w:ascii="宋体" w:hAnsi="宋体" w:eastAsia="宋体" w:cs="宋体"/>
          <w:color w:val="auto"/>
          <w:spacing w:val="-3"/>
          <w:sz w:val="21"/>
          <w:szCs w:val="21"/>
          <w:highlight w:val="none"/>
        </w:rPr>
        <w:t>天内</w:t>
      </w:r>
      <w:r>
        <w:rPr>
          <w:rFonts w:ascii="宋体" w:hAnsi="宋体" w:eastAsia="宋体" w:cs="宋体"/>
          <w:color w:val="auto"/>
          <w:spacing w:val="-2"/>
          <w:sz w:val="21"/>
          <w:szCs w:val="21"/>
          <w:highlight w:val="none"/>
        </w:rPr>
        <w:t>向发包人和监理人提交分包合同副本。</w:t>
      </w:r>
    </w:p>
    <w:p>
      <w:pPr>
        <w:spacing w:before="151"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3.5.3  </w:t>
      </w:r>
      <w:r>
        <w:rPr>
          <w:rFonts w:ascii="宋体" w:hAnsi="宋体" w:eastAsia="宋体" w:cs="宋体"/>
          <w:color w:val="auto"/>
          <w:spacing w:val="-1"/>
          <w:sz w:val="21"/>
          <w:szCs w:val="21"/>
          <w:highlight w:val="none"/>
        </w:rPr>
        <w:t>分包管理</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承包人应向监理人提交分包人的主要施工管理人员表，并对分包人的施工人员进行</w:t>
      </w:r>
      <w:r>
        <w:rPr>
          <w:rFonts w:ascii="宋体" w:hAnsi="宋体" w:eastAsia="宋体" w:cs="宋体"/>
          <w:color w:val="auto"/>
          <w:spacing w:val="-1"/>
          <w:position w:val="14"/>
          <w:sz w:val="21"/>
          <w:szCs w:val="21"/>
          <w:highlight w:val="none"/>
        </w:rPr>
        <w:t>实名制管</w:t>
      </w:r>
    </w:p>
    <w:p>
      <w:pPr>
        <w:spacing w:before="1" w:line="220" w:lineRule="auto"/>
        <w:ind w:left="6"/>
        <w:rPr>
          <w:rFonts w:ascii="宋体" w:hAnsi="宋体" w:eastAsia="宋体" w:cs="宋体"/>
          <w:color w:val="auto"/>
          <w:sz w:val="21"/>
          <w:szCs w:val="21"/>
          <w:highlight w:val="none"/>
        </w:rPr>
      </w:pPr>
      <w:r>
        <w:rPr>
          <w:rFonts w:ascii="宋体" w:hAnsi="宋体" w:eastAsia="宋体" w:cs="宋体"/>
          <w:color w:val="auto"/>
          <w:sz w:val="21"/>
          <w:szCs w:val="21"/>
          <w:highlight w:val="none"/>
        </w:rPr>
        <w:t>理，包括但不限于进出场管理、登记造册以及各种证</w:t>
      </w:r>
      <w:r>
        <w:rPr>
          <w:rFonts w:ascii="宋体" w:hAnsi="宋体" w:eastAsia="宋体" w:cs="宋体"/>
          <w:color w:val="auto"/>
          <w:spacing w:val="-1"/>
          <w:sz w:val="21"/>
          <w:szCs w:val="21"/>
          <w:highlight w:val="none"/>
        </w:rPr>
        <w:t>照的办理。</w:t>
      </w:r>
    </w:p>
    <w:p>
      <w:pPr>
        <w:spacing w:before="150" w:line="219"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分包合同价款</w:t>
      </w:r>
    </w:p>
    <w:p>
      <w:pPr>
        <w:spacing w:before="149"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）除本项第（</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w:t>
      </w:r>
      <w:r>
        <w:rPr>
          <w:rFonts w:ascii="宋体" w:hAnsi="宋体" w:eastAsia="宋体" w:cs="宋体"/>
          <w:color w:val="auto"/>
          <w:spacing w:val="-42"/>
          <w:position w:val="14"/>
          <w:sz w:val="21"/>
          <w:szCs w:val="21"/>
          <w:highlight w:val="none"/>
        </w:rPr>
        <w:t xml:space="preserve"> </w:t>
      </w:r>
      <w:r>
        <w:rPr>
          <w:rFonts w:ascii="宋体" w:hAnsi="宋体" w:eastAsia="宋体" w:cs="宋体"/>
          <w:color w:val="auto"/>
          <w:spacing w:val="-2"/>
          <w:position w:val="14"/>
          <w:sz w:val="21"/>
          <w:szCs w:val="21"/>
          <w:highlight w:val="none"/>
        </w:rPr>
        <w:t>目约定的情况或专用合同条款另有约定外，分包合同价款由承包人与分</w:t>
      </w:r>
    </w:p>
    <w:p>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包人结算，</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rPr>
        <w:t>未经承包人同意，发包人不得向分包人支付分包工程价款；</w:t>
      </w:r>
    </w:p>
    <w:p>
      <w:pPr>
        <w:spacing w:before="152" w:line="398"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）生效法律文书要求发包人向分包人支</w:t>
      </w:r>
      <w:r>
        <w:rPr>
          <w:rFonts w:ascii="宋体" w:hAnsi="宋体" w:eastAsia="宋体" w:cs="宋体"/>
          <w:color w:val="auto"/>
          <w:spacing w:val="-1"/>
          <w:position w:val="14"/>
          <w:sz w:val="21"/>
          <w:szCs w:val="21"/>
          <w:highlight w:val="none"/>
        </w:rPr>
        <w:t>付分包合同价款的， 发包人有权从应付承包人工</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程款中扣除该部分款项。</w:t>
      </w:r>
    </w:p>
    <w:p>
      <w:pPr>
        <w:spacing w:before="149"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分包合同权益的转让</w:t>
      </w:r>
    </w:p>
    <w:p>
      <w:pPr>
        <w:spacing w:before="151" w:line="351" w:lineRule="auto"/>
        <w:ind w:left="7"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分包人在分包合同项下的义务持续到缺陷责任期届满以后的，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发</w:t>
      </w:r>
      <w:r>
        <w:rPr>
          <w:rFonts w:ascii="宋体" w:hAnsi="宋体" w:eastAsia="宋体" w:cs="宋体"/>
          <w:color w:val="auto"/>
          <w:spacing w:val="-3"/>
          <w:sz w:val="21"/>
          <w:szCs w:val="21"/>
          <w:highlight w:val="none"/>
        </w:rPr>
        <w:t>包人有权在缺陷责任期届满</w:t>
      </w:r>
      <w:r>
        <w:rPr>
          <w:rFonts w:ascii="宋体" w:hAnsi="宋体" w:eastAsia="宋体" w:cs="宋体"/>
          <w:color w:val="auto"/>
          <w:sz w:val="21"/>
          <w:szCs w:val="21"/>
          <w:highlight w:val="none"/>
        </w:rPr>
        <w:t xml:space="preserve"> 前，要求承包人将其在分包合同项下的权益转让给发包人，承包人应当转让。除</w:t>
      </w:r>
      <w:r>
        <w:rPr>
          <w:rFonts w:ascii="宋体" w:hAnsi="宋体" w:eastAsia="宋体" w:cs="宋体"/>
          <w:color w:val="auto"/>
          <w:spacing w:val="-1"/>
          <w:sz w:val="21"/>
          <w:szCs w:val="21"/>
          <w:highlight w:val="none"/>
        </w:rPr>
        <w:t>转让合同另有约</w:t>
      </w:r>
      <w:r>
        <w:rPr>
          <w:rFonts w:ascii="宋体" w:hAnsi="宋体" w:eastAsia="宋体" w:cs="宋体"/>
          <w:color w:val="auto"/>
          <w:spacing w:val="-9"/>
          <w:sz w:val="21"/>
          <w:szCs w:val="21"/>
          <w:highlight w:val="none"/>
        </w:rPr>
        <w:t>定外， 转让合同生效后， 由分包人向发包人履行义务。</w:t>
      </w:r>
    </w:p>
    <w:p>
      <w:pPr>
        <w:spacing w:before="124"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3.6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工程照管与成品、半成品保护</w:t>
      </w:r>
    </w:p>
    <w:p>
      <w:pPr>
        <w:spacing w:before="140" w:line="400" w:lineRule="exact"/>
        <w:ind w:right="11"/>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）除专用合同条款另有约定外，自发包人向承包人移交施工现场之日起，承包人应负责</w:t>
      </w:r>
    </w:p>
    <w:p>
      <w:pPr>
        <w:spacing w:before="1" w:line="219" w:lineRule="auto"/>
        <w:ind w:left="1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照管工程及工程相关的材料、工程设备，</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直到颁发工程接收证书之日止。</w:t>
      </w:r>
    </w:p>
    <w:p>
      <w:pPr>
        <w:spacing w:before="125" w:line="401" w:lineRule="exact"/>
        <w:ind w:left="43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）在承包人负责照管期间，因承包人原因造成工程、材料、工程设备损坏的，由承包人</w:t>
      </w:r>
    </w:p>
    <w:p>
      <w:pPr>
        <w:spacing w:line="220" w:lineRule="auto"/>
        <w:ind w:left="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负责修复或更换，并承担由此增加的费用和</w:t>
      </w:r>
      <w:r>
        <w:rPr>
          <w:rFonts w:ascii="宋体" w:hAnsi="宋体" w:eastAsia="宋体" w:cs="宋体"/>
          <w:color w:val="auto"/>
          <w:spacing w:val="-4"/>
          <w:sz w:val="21"/>
          <w:szCs w:val="21"/>
          <w:highlight w:val="none"/>
        </w:rPr>
        <w:t>（或）</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延误的工期。</w:t>
      </w:r>
    </w:p>
    <w:p>
      <w:pPr>
        <w:spacing w:before="150" w:line="351" w:lineRule="auto"/>
        <w:ind w:left="20" w:right="8" w:firstLine="40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）对合同内分期完成的成品和半成品， 在工程接收证书颁发前， 由承包人承担保护责任。</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因承包人原因造成成品或半成品损坏的，</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由承包人负责修复或更换，并承担由此增加的费用和</w:t>
      </w:r>
      <w:r>
        <w:rPr>
          <w:rFonts w:ascii="宋体" w:hAnsi="宋体" w:eastAsia="宋体" w:cs="宋体"/>
          <w:color w:val="auto"/>
          <w:spacing w:val="-13"/>
          <w:sz w:val="21"/>
          <w:szCs w:val="21"/>
          <w:highlight w:val="none"/>
        </w:rPr>
        <w:t>（或）</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延误的工期。</w:t>
      </w:r>
    </w:p>
    <w:p>
      <w:pPr>
        <w:spacing w:before="124" w:line="219" w:lineRule="auto"/>
        <w:outlineLvl w:val="6"/>
        <w:rPr>
          <w:rFonts w:ascii="黑体" w:hAnsi="黑体" w:eastAsia="黑体" w:cs="黑体"/>
          <w:color w:val="auto"/>
          <w:sz w:val="24"/>
          <w:szCs w:val="24"/>
          <w:highlight w:val="none"/>
        </w:rPr>
      </w:pPr>
      <w:bookmarkStart w:id="183" w:name="bookmark223"/>
      <w:bookmarkEnd w:id="183"/>
      <w:bookmarkStart w:id="184" w:name="bookmark224"/>
      <w:bookmarkEnd w:id="184"/>
      <w:bookmarkStart w:id="185" w:name="bookmark222"/>
      <w:bookmarkEnd w:id="185"/>
      <w:r>
        <w:rPr>
          <w:rFonts w:ascii="Times New Roman" w:hAnsi="Times New Roman" w:eastAsia="Times New Roman" w:cs="Times New Roman"/>
          <w:b/>
          <w:bCs/>
          <w:color w:val="auto"/>
          <w:sz w:val="24"/>
          <w:szCs w:val="24"/>
          <w:highlight w:val="none"/>
        </w:rPr>
        <w:t xml:space="preserve">3.7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履约担保</w:t>
      </w:r>
    </w:p>
    <w:p>
      <w:pPr>
        <w:spacing w:before="137" w:line="353" w:lineRule="auto"/>
        <w:ind w:left="6" w:right="177"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发包人需要承包人提供履约担保的， 由合同当事人在专用合同条款中约定履约担保的方式、</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金额及期限等。</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履约担保可以采用银行保函或担保公司担保等形式，具体由合同当事人在专用合</w:t>
      </w:r>
      <w:r>
        <w:rPr>
          <w:rFonts w:ascii="宋体" w:hAnsi="宋体" w:eastAsia="宋体" w:cs="宋体"/>
          <w:color w:val="auto"/>
          <w:spacing w:val="-6"/>
          <w:sz w:val="21"/>
          <w:szCs w:val="21"/>
          <w:highlight w:val="none"/>
        </w:rPr>
        <w:t>同条款中约定。</w:t>
      </w:r>
    </w:p>
    <w:p>
      <w:pPr>
        <w:spacing w:before="147" w:line="401" w:lineRule="exact"/>
        <w:ind w:left="440"/>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因承包人原因导致工期延长的， 继续提供履约担保所增加的费用由承包人承担；非因承包人原因导致工期延长的，继续提供履约担保所增加的费用由发包人承担。</w:t>
      </w:r>
    </w:p>
    <w:p>
      <w:pPr>
        <w:spacing w:before="126"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3.8</w:t>
      </w:r>
      <w:r>
        <w:rPr>
          <w:rFonts w:ascii="Times New Roman" w:hAnsi="Times New Roman" w:eastAsia="Times New Roman" w:cs="Times New Roman"/>
          <w:b/>
          <w:bCs/>
          <w:color w:val="auto"/>
          <w:spacing w:val="5"/>
          <w:sz w:val="24"/>
          <w:szCs w:val="24"/>
          <w:highlight w:val="none"/>
        </w:rPr>
        <w:t xml:space="preserve">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联合体</w:t>
      </w:r>
    </w:p>
    <w:p>
      <w:pPr>
        <w:spacing w:before="138" w:line="401" w:lineRule="exact"/>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3.8.1  </w:t>
      </w:r>
      <w:r>
        <w:rPr>
          <w:rFonts w:ascii="宋体" w:hAnsi="宋体" w:eastAsia="宋体" w:cs="宋体"/>
          <w:color w:val="auto"/>
          <w:spacing w:val="2"/>
          <w:position w:val="14"/>
          <w:sz w:val="21"/>
          <w:szCs w:val="21"/>
          <w:highlight w:val="none"/>
        </w:rPr>
        <w:t>联合体各方应共同与发包人签订合同协议书。联合体各方应为履行合同向发包人承担</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连带责任。</w:t>
      </w:r>
    </w:p>
    <w:p>
      <w:pPr>
        <w:spacing w:before="150" w:line="398" w:lineRule="exact"/>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3.8.2  </w:t>
      </w:r>
      <w:r>
        <w:rPr>
          <w:rFonts w:ascii="宋体" w:hAnsi="宋体" w:eastAsia="宋体" w:cs="宋体"/>
          <w:color w:val="auto"/>
          <w:spacing w:val="2"/>
          <w:position w:val="14"/>
          <w:sz w:val="21"/>
          <w:szCs w:val="21"/>
          <w:highlight w:val="none"/>
        </w:rPr>
        <w:t>联合体协议经发包人确认后作为合同附件。在履行合同过程中，未经发</w:t>
      </w:r>
      <w:r>
        <w:rPr>
          <w:rFonts w:ascii="宋体" w:hAnsi="宋体" w:eastAsia="宋体" w:cs="宋体"/>
          <w:color w:val="auto"/>
          <w:spacing w:val="1"/>
          <w:position w:val="14"/>
          <w:sz w:val="21"/>
          <w:szCs w:val="21"/>
          <w:highlight w:val="none"/>
        </w:rPr>
        <w:t>包人同意，不</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得修改联合体协议。</w:t>
      </w:r>
    </w:p>
    <w:p>
      <w:pPr>
        <w:spacing w:before="150" w:line="401" w:lineRule="exact"/>
        <w:ind w:left="424"/>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 xml:space="preserve">3.8.3  </w:t>
      </w:r>
      <w:r>
        <w:rPr>
          <w:rFonts w:ascii="宋体" w:hAnsi="宋体" w:eastAsia="宋体" w:cs="宋体"/>
          <w:color w:val="auto"/>
          <w:position w:val="14"/>
          <w:sz w:val="21"/>
          <w:szCs w:val="21"/>
          <w:highlight w:val="none"/>
        </w:rPr>
        <w:t>联合体牵头人负责与发包人和监理人联系， 并接受</w:t>
      </w:r>
      <w:r>
        <w:rPr>
          <w:rFonts w:ascii="宋体" w:hAnsi="宋体" w:eastAsia="宋体" w:cs="宋体"/>
          <w:color w:val="auto"/>
          <w:spacing w:val="-1"/>
          <w:position w:val="14"/>
          <w:sz w:val="21"/>
          <w:szCs w:val="21"/>
          <w:highlight w:val="none"/>
        </w:rPr>
        <w:t>指示，负责组织联合体各成员全面</w:t>
      </w:r>
    </w:p>
    <w:p>
      <w:pPr>
        <w:spacing w:line="221" w:lineRule="auto"/>
        <w:ind w:left="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履行合同。</w:t>
      </w:r>
    </w:p>
    <w:p>
      <w:pPr>
        <w:spacing w:before="188" w:line="222" w:lineRule="auto"/>
        <w:ind w:left="3"/>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sz w:val="28"/>
          <w:szCs w:val="28"/>
          <w:highlight w:val="none"/>
        </w:rPr>
        <w:t xml:space="preserve">4.  </w:t>
      </w:r>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监理人</w:t>
      </w:r>
    </w:p>
    <w:p>
      <w:pPr>
        <w:spacing w:before="99" w:line="218" w:lineRule="auto"/>
        <w:ind w:left="2"/>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4.1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监理人的一般规定</w:t>
      </w:r>
    </w:p>
    <w:p>
      <w:pPr>
        <w:spacing w:before="151" w:line="401"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工程实行监理的，发包人和承包人应在专用合同条款中明确监理人的监理内容及监理权限等  事项。监理人应当根据发包人授权及法律规定，代表发包人对工程施工相关事项进行检查、查验、 审核、验收，并签发相关指示， 但监理人无权修改合同， 且无权减轻或免除合同约定的承包人的任何责任与义务。</w:t>
      </w:r>
    </w:p>
    <w:p>
      <w:pPr>
        <w:spacing w:before="151" w:line="401" w:lineRule="exact"/>
        <w:ind w:left="0" w:leftChars="0" w:firstLine="418" w:firstLineChars="20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除专用合同条款另有约定外，监理人在施工现场的办公场所、生活场所由承包人提供， 所发生的费用由发包人承担。</w:t>
      </w:r>
    </w:p>
    <w:p>
      <w:pPr>
        <w:spacing w:before="123" w:line="218" w:lineRule="auto"/>
        <w:ind w:left="2"/>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监理人员</w:t>
      </w:r>
    </w:p>
    <w:p>
      <w:pPr>
        <w:spacing w:before="141" w:line="352" w:lineRule="auto"/>
        <w:ind w:left="4" w:right="177" w:firstLine="423"/>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发包人授予监理人对工程实施监理的权利由监理人派驻施工现场的监理人员行使， 监理人员</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包括总监理工程师及监理工程师。监理人应将授权的总监理工程师和监理工程师的姓名及</w:t>
      </w:r>
      <w:r>
        <w:rPr>
          <w:rFonts w:ascii="宋体" w:hAnsi="宋体" w:eastAsia="宋体" w:cs="宋体"/>
          <w:color w:val="auto"/>
          <w:spacing w:val="-1"/>
          <w:sz w:val="21"/>
          <w:szCs w:val="21"/>
          <w:highlight w:val="none"/>
        </w:rPr>
        <w:t>授权范</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围以书面形式提前通知承包人。更换总监理工程师的，监理人应提前</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3"/>
          <w:sz w:val="21"/>
          <w:szCs w:val="21"/>
          <w:highlight w:val="none"/>
        </w:rPr>
        <w:t xml:space="preserve"> </w:t>
      </w:r>
      <w:r>
        <w:rPr>
          <w:rFonts w:ascii="宋体" w:hAnsi="宋体" w:eastAsia="宋体" w:cs="宋体"/>
          <w:color w:val="auto"/>
          <w:spacing w:val="-3"/>
          <w:sz w:val="21"/>
          <w:szCs w:val="21"/>
          <w:highlight w:val="none"/>
        </w:rPr>
        <w:t>天书面通知承包人；</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更换</w:t>
      </w:r>
      <w:r>
        <w:rPr>
          <w:rFonts w:ascii="宋体" w:hAnsi="宋体" w:eastAsia="宋体" w:cs="宋体"/>
          <w:color w:val="auto"/>
          <w:spacing w:val="-5"/>
          <w:sz w:val="21"/>
          <w:szCs w:val="21"/>
          <w:highlight w:val="none"/>
        </w:rPr>
        <w:t>其他监理人员，</w:t>
      </w:r>
      <w:r>
        <w:rPr>
          <w:rFonts w:ascii="宋体" w:hAnsi="宋体" w:eastAsia="宋体" w:cs="宋体"/>
          <w:color w:val="auto"/>
          <w:spacing w:val="-20"/>
          <w:sz w:val="21"/>
          <w:szCs w:val="21"/>
          <w:highlight w:val="none"/>
        </w:rPr>
        <w:t xml:space="preserve"> </w:t>
      </w:r>
      <w:r>
        <w:rPr>
          <w:rFonts w:ascii="宋体" w:hAnsi="宋体" w:eastAsia="宋体" w:cs="宋体"/>
          <w:color w:val="auto"/>
          <w:spacing w:val="-5"/>
          <w:sz w:val="21"/>
          <w:szCs w:val="21"/>
          <w:highlight w:val="none"/>
        </w:rPr>
        <w:t>监理人应提前</w:t>
      </w:r>
      <w:r>
        <w:rPr>
          <w:rFonts w:ascii="宋体" w:hAnsi="宋体" w:eastAsia="宋体" w:cs="宋体"/>
          <w:color w:val="auto"/>
          <w:spacing w:val="-49"/>
          <w:sz w:val="21"/>
          <w:szCs w:val="21"/>
          <w:highlight w:val="none"/>
        </w:rPr>
        <w:t xml:space="preserve"> </w:t>
      </w:r>
      <w:r>
        <w:rPr>
          <w:rFonts w:ascii="Times New Roman" w:hAnsi="Times New Roman" w:eastAsia="Times New Roman" w:cs="Times New Roman"/>
          <w:color w:val="auto"/>
          <w:spacing w:val="-5"/>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5"/>
          <w:sz w:val="21"/>
          <w:szCs w:val="21"/>
          <w:highlight w:val="none"/>
        </w:rPr>
        <w:t>小时书面通知承包人。</w:t>
      </w:r>
    </w:p>
    <w:p>
      <w:pPr>
        <w:spacing w:before="126" w:line="219" w:lineRule="auto"/>
        <w:ind w:left="2"/>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4.3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监理人的指示</w:t>
      </w:r>
    </w:p>
    <w:p>
      <w:pPr>
        <w:spacing w:before="139" w:line="401" w:lineRule="exact"/>
        <w:ind w:left="425"/>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监理人应按照发包人的授权发出监理指示。监理人的指示应采用书面形式， 并经其授权的监</w:t>
      </w:r>
    </w:p>
    <w:p>
      <w:pPr>
        <w:spacing w:before="147" w:line="401" w:lineRule="exact"/>
        <w:ind w:left="0" w:leftChars="0" w:firstLine="0" w:firstLineChars="0"/>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理人员签字。紧急情况下，为了保证施工人员的安全或避免工程受损， 监理人员可以口头形式发</w:t>
      </w:r>
      <w:bookmarkStart w:id="186" w:name="bookmark225"/>
      <w:bookmarkEnd w:id="186"/>
      <w:bookmarkStart w:id="187" w:name="bookmark226"/>
      <w:bookmarkEnd w:id="187"/>
      <w:r>
        <w:rPr>
          <w:rFonts w:ascii="宋体" w:hAnsi="宋体" w:eastAsia="宋体" w:cs="宋体"/>
          <w:color w:val="auto"/>
          <w:spacing w:val="-3"/>
          <w:position w:val="14"/>
          <w:sz w:val="21"/>
          <w:szCs w:val="21"/>
          <w:highlight w:val="none"/>
        </w:rPr>
        <w:t>出指示，该指示与书面形式的指示具有同等法律效力，但必须在发出口头指示后 24  小时内补发书面监理指示， 补发的书面监理指示应与口头指示一致。</w:t>
      </w:r>
    </w:p>
    <w:p>
      <w:pPr>
        <w:spacing w:before="149" w:line="352" w:lineRule="auto"/>
        <w:ind w:left="2"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监理人发出的指示应送达承包人项目经理或经项目经理授权接收的人员。因监理人</w:t>
      </w:r>
      <w:r>
        <w:rPr>
          <w:rFonts w:ascii="宋体" w:hAnsi="宋体" w:eastAsia="宋体" w:cs="宋体"/>
          <w:color w:val="auto"/>
          <w:spacing w:val="-1"/>
          <w:sz w:val="21"/>
          <w:szCs w:val="21"/>
          <w:highlight w:val="none"/>
        </w:rPr>
        <w:t>未能按合</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同约定发出指示、指示延误或发出了错误指示而</w:t>
      </w:r>
      <w:r>
        <w:rPr>
          <w:rFonts w:ascii="宋体" w:hAnsi="宋体" w:eastAsia="宋体" w:cs="宋体"/>
          <w:color w:val="auto"/>
          <w:spacing w:val="-3"/>
          <w:sz w:val="21"/>
          <w:szCs w:val="21"/>
          <w:highlight w:val="none"/>
        </w:rPr>
        <w:t>导致承包人费用增加和（或）工期延误的， 由发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包人承担相应责任。除专用合同条款另有约</w:t>
      </w:r>
      <w:r>
        <w:rPr>
          <w:rFonts w:ascii="宋体" w:hAnsi="宋体" w:eastAsia="宋体" w:cs="宋体"/>
          <w:color w:val="auto"/>
          <w:spacing w:val="-4"/>
          <w:sz w:val="21"/>
          <w:szCs w:val="21"/>
          <w:highlight w:val="none"/>
        </w:rPr>
        <w:t>定外， 总监理工程师不应将第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4"/>
          <w:sz w:val="21"/>
          <w:szCs w:val="21"/>
          <w:highlight w:val="none"/>
        </w:rPr>
        <w:t>4.4</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pacing w:val="-4"/>
          <w:sz w:val="21"/>
          <w:szCs w:val="21"/>
          <w:highlight w:val="none"/>
        </w:rPr>
        <w:t>款〔商定或确定〕</w:t>
      </w:r>
      <w:r>
        <w:rPr>
          <w:rFonts w:ascii="宋体" w:hAnsi="宋体" w:eastAsia="宋体" w:cs="宋体"/>
          <w:color w:val="auto"/>
          <w:sz w:val="21"/>
          <w:szCs w:val="21"/>
          <w:highlight w:val="none"/>
        </w:rPr>
        <w:t>约定应由总监理工程师作出确定的权力授权或委托</w:t>
      </w:r>
      <w:r>
        <w:rPr>
          <w:rFonts w:ascii="宋体" w:hAnsi="宋体" w:eastAsia="宋体" w:cs="宋体"/>
          <w:color w:val="auto"/>
          <w:spacing w:val="-1"/>
          <w:sz w:val="21"/>
          <w:szCs w:val="21"/>
          <w:highlight w:val="none"/>
        </w:rPr>
        <w:t>给其他监理人员。</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承包人对监理人发出的指示有疑问的，应向监理人提出书面异议，</w:t>
      </w:r>
      <w:r>
        <w:rPr>
          <w:rFonts w:ascii="宋体" w:hAnsi="宋体" w:eastAsia="宋体" w:cs="宋体"/>
          <w:color w:val="auto"/>
          <w:spacing w:val="-22"/>
          <w:position w:val="14"/>
          <w:sz w:val="21"/>
          <w:szCs w:val="21"/>
          <w:highlight w:val="none"/>
        </w:rPr>
        <w:t xml:space="preserve"> </w:t>
      </w:r>
      <w:r>
        <w:rPr>
          <w:rFonts w:ascii="宋体" w:hAnsi="宋体" w:eastAsia="宋体" w:cs="宋体"/>
          <w:color w:val="auto"/>
          <w:spacing w:val="-2"/>
          <w:position w:val="14"/>
          <w:sz w:val="21"/>
          <w:szCs w:val="21"/>
          <w:highlight w:val="none"/>
        </w:rPr>
        <w:t xml:space="preserve">监理人应在 </w:t>
      </w:r>
      <w:r>
        <w:rPr>
          <w:rFonts w:ascii="Times New Roman" w:hAnsi="Times New Roman" w:eastAsia="Times New Roman" w:cs="Times New Roman"/>
          <w:color w:val="auto"/>
          <w:spacing w:val="-2"/>
          <w:position w:val="14"/>
          <w:sz w:val="21"/>
          <w:szCs w:val="21"/>
          <w:highlight w:val="none"/>
        </w:rPr>
        <w:t xml:space="preserve">48  </w:t>
      </w:r>
      <w:r>
        <w:rPr>
          <w:rFonts w:ascii="宋体" w:hAnsi="宋体" w:eastAsia="宋体" w:cs="宋体"/>
          <w:color w:val="auto"/>
          <w:spacing w:val="-2"/>
          <w:position w:val="14"/>
          <w:sz w:val="21"/>
          <w:szCs w:val="21"/>
          <w:highlight w:val="none"/>
        </w:rPr>
        <w:t>小时内对</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该指示予以确认、更改或撤销， 监理人逾期未回复的，承包人有权拒</w:t>
      </w:r>
      <w:r>
        <w:rPr>
          <w:rFonts w:ascii="宋体" w:hAnsi="宋体" w:eastAsia="宋体" w:cs="宋体"/>
          <w:color w:val="auto"/>
          <w:spacing w:val="-4"/>
          <w:sz w:val="21"/>
          <w:szCs w:val="21"/>
          <w:highlight w:val="none"/>
        </w:rPr>
        <w:t>绝执行上述指示。</w:t>
      </w:r>
    </w:p>
    <w:p>
      <w:pPr>
        <w:spacing w:before="151" w:line="351" w:lineRule="auto"/>
        <w:ind w:left="7"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监理人对承包人的任何工作、工程或其采用的材料和工程设备未在约定的或合理期</w:t>
      </w:r>
      <w:r>
        <w:rPr>
          <w:rFonts w:ascii="宋体" w:hAnsi="宋体" w:eastAsia="宋体" w:cs="宋体"/>
          <w:color w:val="auto"/>
          <w:spacing w:val="-1"/>
          <w:sz w:val="21"/>
          <w:szCs w:val="21"/>
          <w:highlight w:val="none"/>
        </w:rPr>
        <w:t>限内提出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意见的，视为批准，</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但不免除或减轻承包人对该工作、工程、材料、工程设备等应</w:t>
      </w:r>
      <w:r>
        <w:rPr>
          <w:rFonts w:ascii="宋体" w:hAnsi="宋体" w:eastAsia="宋体" w:cs="宋体"/>
          <w:color w:val="auto"/>
          <w:spacing w:val="-3"/>
          <w:sz w:val="21"/>
          <w:szCs w:val="21"/>
          <w:highlight w:val="none"/>
        </w:rPr>
        <w:t>承担的责任和</w:t>
      </w:r>
      <w:r>
        <w:rPr>
          <w:rFonts w:ascii="宋体" w:hAnsi="宋体" w:eastAsia="宋体" w:cs="宋体"/>
          <w:color w:val="auto"/>
          <w:spacing w:val="-9"/>
          <w:sz w:val="21"/>
          <w:szCs w:val="21"/>
          <w:highlight w:val="none"/>
        </w:rPr>
        <w:t>义务。</w:t>
      </w:r>
    </w:p>
    <w:p>
      <w:pPr>
        <w:spacing w:before="124"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4.4</w:t>
      </w:r>
      <w:r>
        <w:rPr>
          <w:rFonts w:ascii="Times New Roman" w:hAnsi="Times New Roman" w:eastAsia="Times New Roman" w:cs="Times New Roman"/>
          <w:b/>
          <w:bCs/>
          <w:color w:val="auto"/>
          <w:spacing w:val="10"/>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商定或确定</w:t>
      </w:r>
    </w:p>
    <w:p>
      <w:pPr>
        <w:spacing w:before="139" w:line="401" w:lineRule="exact"/>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合同当事人进行商定或确定时， 总监理工程师应当会同合同当事人尽量通过协商达成一致，</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不能达成一致的，由总监理工程师按照合同约定审慎做出公正的确定。</w:t>
      </w:r>
    </w:p>
    <w:p>
      <w:pPr>
        <w:spacing w:before="151" w:line="351" w:lineRule="auto"/>
        <w:ind w:left="1"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总监理工程师应将确定以书面形式通知发包人和承包人， 并附详细依据。合同当事人对总监</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理工程师的确定没有异议的，按照总监理工程师的确定执行。任何一方合同当事人有异议</w:t>
      </w:r>
      <w:r>
        <w:rPr>
          <w:rFonts w:ascii="宋体" w:hAnsi="宋体" w:eastAsia="宋体" w:cs="宋体"/>
          <w:color w:val="auto"/>
          <w:spacing w:val="-3"/>
          <w:sz w:val="21"/>
          <w:szCs w:val="21"/>
          <w:highlight w:val="none"/>
        </w:rPr>
        <w:t>，</w:t>
      </w:r>
      <w:r>
        <w:rPr>
          <w:rFonts w:ascii="宋体" w:hAnsi="宋体" w:eastAsia="宋体" w:cs="宋体"/>
          <w:color w:val="auto"/>
          <w:spacing w:val="-21"/>
          <w:sz w:val="21"/>
          <w:szCs w:val="21"/>
          <w:highlight w:val="none"/>
        </w:rPr>
        <w:t xml:space="preserve"> </w:t>
      </w:r>
      <w:r>
        <w:rPr>
          <w:rFonts w:ascii="宋体" w:hAnsi="宋体" w:eastAsia="宋体" w:cs="宋体"/>
          <w:color w:val="auto"/>
          <w:spacing w:val="-3"/>
          <w:sz w:val="21"/>
          <w:szCs w:val="21"/>
          <w:highlight w:val="none"/>
        </w:rPr>
        <w:t>按照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第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条〔争议解决〕约定处理。争议解决前，合同当事人暂</w:t>
      </w:r>
      <w:r>
        <w:rPr>
          <w:rFonts w:ascii="宋体" w:hAnsi="宋体" w:eastAsia="宋体" w:cs="宋体"/>
          <w:color w:val="auto"/>
          <w:spacing w:val="-3"/>
          <w:sz w:val="21"/>
          <w:szCs w:val="21"/>
          <w:highlight w:val="none"/>
        </w:rPr>
        <w:t>按总监理工程师的确定执行； 争议</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解决后，争议解决的结果与总监理工程师的确定</w:t>
      </w:r>
      <w:r>
        <w:rPr>
          <w:rFonts w:ascii="宋体" w:hAnsi="宋体" w:eastAsia="宋体" w:cs="宋体"/>
          <w:color w:val="auto"/>
          <w:spacing w:val="-3"/>
          <w:sz w:val="21"/>
          <w:szCs w:val="21"/>
          <w:highlight w:val="none"/>
        </w:rPr>
        <w:t>不一致的，按照争议解决的结果执行， 由此造成的损失由责任人承担。</w:t>
      </w:r>
    </w:p>
    <w:p>
      <w:pPr>
        <w:spacing w:before="188" w:line="436" w:lineRule="exact"/>
        <w:ind w:left="3"/>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5.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工程质量</w:t>
      </w:r>
    </w:p>
    <w:p>
      <w:pPr>
        <w:spacing w:before="1" w:line="219" w:lineRule="auto"/>
        <w:ind w:left="2"/>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5.1</w:t>
      </w:r>
      <w:r>
        <w:rPr>
          <w:rFonts w:ascii="Times New Roman" w:hAnsi="Times New Roman" w:eastAsia="Times New Roman" w:cs="Times New Roman"/>
          <w:b/>
          <w:bCs/>
          <w:color w:val="auto"/>
          <w:spacing w:val="16"/>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质量要求</w:t>
      </w:r>
    </w:p>
    <w:p>
      <w:pPr>
        <w:spacing w:before="140" w:line="401"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5.1.1  </w:t>
      </w:r>
      <w:r>
        <w:rPr>
          <w:rFonts w:ascii="宋体" w:hAnsi="宋体" w:eastAsia="宋体" w:cs="宋体"/>
          <w:color w:val="auto"/>
          <w:spacing w:val="2"/>
          <w:position w:val="14"/>
          <w:sz w:val="21"/>
          <w:szCs w:val="21"/>
          <w:highlight w:val="none"/>
        </w:rPr>
        <w:t>工程质量标准必须符合现行国家有关工程施工质量验收规范和标准的要求。有关工程</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质量的特殊标准或要求由合同当事人在专用合同条款中约定。</w:t>
      </w:r>
    </w:p>
    <w:p>
      <w:pPr>
        <w:spacing w:before="147" w:line="401"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5.1.2  </w:t>
      </w:r>
      <w:r>
        <w:rPr>
          <w:rFonts w:ascii="宋体" w:hAnsi="宋体" w:eastAsia="宋体" w:cs="宋体"/>
          <w:color w:val="auto"/>
          <w:spacing w:val="2"/>
          <w:position w:val="14"/>
          <w:sz w:val="21"/>
          <w:szCs w:val="21"/>
          <w:highlight w:val="none"/>
        </w:rPr>
        <w:t>因发包人原因造成工程质量未达到合同约定标准的，由发包人承担由此增加的费用和</w:t>
      </w:r>
    </w:p>
    <w:p>
      <w:pPr>
        <w:spacing w:before="1" w:line="220" w:lineRule="auto"/>
        <w:ind w:left="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（或）</w:t>
      </w:r>
      <w:r>
        <w:rPr>
          <w:rFonts w:ascii="宋体" w:hAnsi="宋体" w:eastAsia="宋体" w:cs="宋体"/>
          <w:color w:val="auto"/>
          <w:spacing w:val="-23"/>
          <w:sz w:val="21"/>
          <w:szCs w:val="21"/>
          <w:highlight w:val="none"/>
        </w:rPr>
        <w:t xml:space="preserve"> </w:t>
      </w:r>
      <w:r>
        <w:rPr>
          <w:rFonts w:ascii="宋体" w:hAnsi="宋体" w:eastAsia="宋体" w:cs="宋体"/>
          <w:color w:val="auto"/>
          <w:spacing w:val="-9"/>
          <w:sz w:val="21"/>
          <w:szCs w:val="21"/>
          <w:highlight w:val="none"/>
        </w:rPr>
        <w:t>延误的工期， 并支付承包人合理的利润。</w:t>
      </w:r>
    </w:p>
    <w:p>
      <w:pPr>
        <w:spacing w:before="150" w:line="398"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5.1.3  </w:t>
      </w:r>
      <w:r>
        <w:rPr>
          <w:rFonts w:ascii="宋体" w:hAnsi="宋体" w:eastAsia="宋体" w:cs="宋体"/>
          <w:color w:val="auto"/>
          <w:spacing w:val="2"/>
          <w:position w:val="14"/>
          <w:sz w:val="21"/>
          <w:szCs w:val="21"/>
          <w:highlight w:val="none"/>
        </w:rPr>
        <w:t>因承包人原因造成工程质量未达到合同约定标准的，发包人有权要求承包人返工直至</w:t>
      </w:r>
    </w:p>
    <w:p>
      <w:pPr>
        <w:spacing w:before="1" w:line="220" w:lineRule="auto"/>
        <w:ind w:left="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工程质量达到合同约定的标准为止， 并由承包人承担由此增加的费用和（或）延误的工期。</w:t>
      </w:r>
    </w:p>
    <w:p>
      <w:pPr>
        <w:spacing w:before="125" w:line="220" w:lineRule="auto"/>
        <w:ind w:left="2"/>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5.2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质量保证措施</w:t>
      </w:r>
    </w:p>
    <w:p>
      <w:pPr>
        <w:spacing w:before="139"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5.2.1  </w:t>
      </w:r>
      <w:r>
        <w:rPr>
          <w:rFonts w:ascii="宋体" w:hAnsi="宋体" w:eastAsia="宋体" w:cs="宋体"/>
          <w:color w:val="auto"/>
          <w:spacing w:val="-1"/>
          <w:sz w:val="21"/>
          <w:szCs w:val="21"/>
          <w:highlight w:val="none"/>
        </w:rPr>
        <w:t>发包人的质量管理</w:t>
      </w:r>
    </w:p>
    <w:p>
      <w:pPr>
        <w:spacing w:before="147" w:line="221"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发包人应按照法律规定及合同约定完成与工程质量有关</w:t>
      </w:r>
      <w:r>
        <w:rPr>
          <w:rFonts w:ascii="宋体" w:hAnsi="宋体" w:eastAsia="宋体" w:cs="宋体"/>
          <w:color w:val="auto"/>
          <w:spacing w:val="-1"/>
          <w:sz w:val="21"/>
          <w:szCs w:val="21"/>
          <w:highlight w:val="none"/>
        </w:rPr>
        <w:t>的各项工作。</w:t>
      </w:r>
    </w:p>
    <w:p>
      <w:pPr>
        <w:spacing w:before="150"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承包人的质量管理</w:t>
      </w:r>
    </w:p>
    <w:p>
      <w:pPr>
        <w:spacing w:before="151" w:line="351" w:lineRule="auto"/>
        <w:ind w:firstLine="210" w:firstLineChars="100"/>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承包人按照第</w:t>
      </w:r>
      <w:r>
        <w:rPr>
          <w:rFonts w:ascii="宋体" w:hAnsi="宋体" w:eastAsia="宋体" w:cs="宋体"/>
          <w:color w:val="auto"/>
          <w:spacing w:val="-18"/>
          <w:sz w:val="21"/>
          <w:szCs w:val="21"/>
          <w:highlight w:val="none"/>
        </w:rPr>
        <w:t xml:space="preserve"> </w:t>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z w:val="21"/>
          <w:szCs w:val="21"/>
          <w:highlight w:val="none"/>
        </w:rPr>
        <w:t>款〔施工组织设计〕约定</w:t>
      </w:r>
      <w:r>
        <w:rPr>
          <w:rFonts w:ascii="宋体" w:hAnsi="宋体" w:eastAsia="宋体" w:cs="宋体"/>
          <w:color w:val="auto"/>
          <w:spacing w:val="-1"/>
          <w:sz w:val="21"/>
          <w:szCs w:val="21"/>
          <w:highlight w:val="none"/>
        </w:rPr>
        <w:t>向发包人和监理人提交工程质量保证体系及措施</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文件， 建立完善的质量检查制度，并提交</w:t>
      </w:r>
      <w:r>
        <w:rPr>
          <w:rFonts w:ascii="宋体" w:hAnsi="宋体" w:eastAsia="宋体" w:cs="宋体"/>
          <w:color w:val="auto"/>
          <w:spacing w:val="-3"/>
          <w:sz w:val="21"/>
          <w:szCs w:val="21"/>
          <w:highlight w:val="none"/>
        </w:rPr>
        <w:t>相应的工程质量文件。对于发包人和监理人违反法律规</w:t>
      </w:r>
    </w:p>
    <w:p>
      <w:pPr>
        <w:spacing w:line="220" w:lineRule="auto"/>
        <w:ind w:left="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定和合同约定的错误指示，承包人有权拒绝</w:t>
      </w:r>
      <w:r>
        <w:rPr>
          <w:rFonts w:ascii="宋体" w:hAnsi="宋体" w:eastAsia="宋体" w:cs="宋体"/>
          <w:color w:val="auto"/>
          <w:spacing w:val="-2"/>
          <w:sz w:val="21"/>
          <w:szCs w:val="21"/>
          <w:highlight w:val="none"/>
        </w:rPr>
        <w:t>实施。</w:t>
      </w:r>
    </w:p>
    <w:p>
      <w:pPr>
        <w:spacing w:before="125" w:line="401" w:lineRule="exact"/>
        <w:jc w:val="right"/>
        <w:rPr>
          <w:rFonts w:ascii="宋体" w:hAnsi="宋体" w:eastAsia="宋体" w:cs="宋体"/>
          <w:color w:val="auto"/>
          <w:sz w:val="21"/>
          <w:szCs w:val="21"/>
          <w:highlight w:val="none"/>
        </w:rPr>
      </w:pPr>
      <w:bookmarkStart w:id="188" w:name="bookmark227"/>
      <w:bookmarkEnd w:id="188"/>
      <w:bookmarkStart w:id="189" w:name="bookmark228"/>
      <w:bookmarkEnd w:id="189"/>
      <w:r>
        <w:rPr>
          <w:rFonts w:ascii="宋体" w:hAnsi="宋体" w:eastAsia="宋体" w:cs="宋体"/>
          <w:color w:val="auto"/>
          <w:position w:val="14"/>
          <w:sz w:val="21"/>
          <w:szCs w:val="21"/>
          <w:highlight w:val="none"/>
        </w:rPr>
        <w:t>承包人应对施工人员进行质量教育和技术培训，定期考核施工人员的劳动技能，严</w:t>
      </w:r>
      <w:r>
        <w:rPr>
          <w:rFonts w:ascii="宋体" w:hAnsi="宋体" w:eastAsia="宋体" w:cs="宋体"/>
          <w:color w:val="auto"/>
          <w:spacing w:val="-1"/>
          <w:position w:val="14"/>
          <w:sz w:val="21"/>
          <w:szCs w:val="21"/>
          <w:highlight w:val="none"/>
        </w:rPr>
        <w:t>格执行施</w:t>
      </w:r>
    </w:p>
    <w:p>
      <w:pPr>
        <w:spacing w:line="220" w:lineRule="auto"/>
        <w:ind w:left="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工规范和操作规程。</w:t>
      </w:r>
    </w:p>
    <w:p>
      <w:pPr>
        <w:spacing w:before="148" w:line="352" w:lineRule="auto"/>
        <w:ind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承包人应按照法律规定和发包人的要求，</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对材料、工程设备以及工程的所有部位</w:t>
      </w:r>
      <w:r>
        <w:rPr>
          <w:rFonts w:ascii="宋体" w:hAnsi="宋体" w:eastAsia="宋体" w:cs="宋体"/>
          <w:color w:val="auto"/>
          <w:spacing w:val="-3"/>
          <w:sz w:val="21"/>
          <w:szCs w:val="21"/>
          <w:highlight w:val="none"/>
        </w:rPr>
        <w:t>及其施工工</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艺进行全过程的质量检查和检验，并作详细记录，</w:t>
      </w:r>
      <w:r>
        <w:rPr>
          <w:rFonts w:ascii="宋体" w:hAnsi="宋体" w:eastAsia="宋体" w:cs="宋体"/>
          <w:color w:val="auto"/>
          <w:spacing w:val="-21"/>
          <w:sz w:val="21"/>
          <w:szCs w:val="21"/>
          <w:highlight w:val="none"/>
        </w:rPr>
        <w:t xml:space="preserve"> </w:t>
      </w:r>
      <w:r>
        <w:rPr>
          <w:rFonts w:ascii="宋体" w:hAnsi="宋体" w:eastAsia="宋体" w:cs="宋体"/>
          <w:color w:val="auto"/>
          <w:spacing w:val="-4"/>
          <w:sz w:val="21"/>
          <w:szCs w:val="21"/>
          <w:highlight w:val="none"/>
        </w:rPr>
        <w:t>编制工程质量报表，</w:t>
      </w:r>
      <w:r>
        <w:rPr>
          <w:rFonts w:ascii="宋体" w:hAnsi="宋体" w:eastAsia="宋体" w:cs="宋体"/>
          <w:color w:val="auto"/>
          <w:spacing w:val="-24"/>
          <w:sz w:val="21"/>
          <w:szCs w:val="21"/>
          <w:highlight w:val="none"/>
        </w:rPr>
        <w:t xml:space="preserve"> </w:t>
      </w:r>
      <w:r>
        <w:rPr>
          <w:rFonts w:ascii="宋体" w:hAnsi="宋体" w:eastAsia="宋体" w:cs="宋体"/>
          <w:color w:val="auto"/>
          <w:spacing w:val="-4"/>
          <w:sz w:val="21"/>
          <w:szCs w:val="21"/>
          <w:highlight w:val="none"/>
        </w:rPr>
        <w:t>报送监理人审查。此外，</w:t>
      </w:r>
      <w:r>
        <w:rPr>
          <w:rFonts w:ascii="宋体" w:hAnsi="宋体" w:eastAsia="宋体" w:cs="宋体"/>
          <w:color w:val="auto"/>
          <w:sz w:val="21"/>
          <w:szCs w:val="21"/>
          <w:highlight w:val="none"/>
        </w:rPr>
        <w:t xml:space="preserve"> 承包人还应按照法律规定和发包人的要求，进行施工现场取样试验、工程复核测量和设备</w:t>
      </w:r>
      <w:r>
        <w:rPr>
          <w:rFonts w:ascii="宋体" w:hAnsi="宋体" w:eastAsia="宋体" w:cs="宋体"/>
          <w:color w:val="auto"/>
          <w:spacing w:val="-1"/>
          <w:sz w:val="21"/>
          <w:szCs w:val="21"/>
          <w:highlight w:val="none"/>
        </w:rPr>
        <w:t>性能检测，提供试验样品、提交试验报告和测量成果以及其他工作。</w:t>
      </w:r>
    </w:p>
    <w:p>
      <w:pPr>
        <w:spacing w:before="148" w:line="221" w:lineRule="auto"/>
        <w:ind w:left="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5.2.3  </w:t>
      </w:r>
      <w:r>
        <w:rPr>
          <w:rFonts w:ascii="宋体" w:hAnsi="宋体" w:eastAsia="宋体" w:cs="宋体"/>
          <w:color w:val="auto"/>
          <w:spacing w:val="-1"/>
          <w:sz w:val="21"/>
          <w:szCs w:val="21"/>
          <w:highlight w:val="none"/>
        </w:rPr>
        <w:t>监理人的质量检查和检验</w:t>
      </w:r>
    </w:p>
    <w:p>
      <w:pPr>
        <w:spacing w:before="149" w:line="352" w:lineRule="auto"/>
        <w:ind w:left="3" w:firstLine="418"/>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监理人按照法律规定和发包人授权对工程的所有部位及其施工工艺、材料和工程设</w:t>
      </w:r>
      <w:r>
        <w:rPr>
          <w:rFonts w:ascii="宋体" w:hAnsi="宋体" w:eastAsia="宋体" w:cs="宋体"/>
          <w:color w:val="auto"/>
          <w:spacing w:val="-1"/>
          <w:sz w:val="21"/>
          <w:szCs w:val="21"/>
          <w:highlight w:val="none"/>
        </w:rPr>
        <w:t>备进行检</w:t>
      </w:r>
      <w:r>
        <w:rPr>
          <w:rFonts w:ascii="宋体" w:hAnsi="宋体" w:eastAsia="宋体" w:cs="宋体"/>
          <w:color w:val="auto"/>
          <w:sz w:val="21"/>
          <w:szCs w:val="21"/>
          <w:highlight w:val="none"/>
        </w:rPr>
        <w:t xml:space="preserve"> 查和检验。承包人应为监理人的检查和检验提供方便，包括监理人到施工现场，或</w:t>
      </w:r>
      <w:r>
        <w:rPr>
          <w:rFonts w:ascii="宋体" w:hAnsi="宋体" w:eastAsia="宋体" w:cs="宋体"/>
          <w:color w:val="auto"/>
          <w:spacing w:val="-1"/>
          <w:sz w:val="21"/>
          <w:szCs w:val="21"/>
          <w:highlight w:val="none"/>
        </w:rPr>
        <w:t>制造、加工地</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点，或合同约定的其他地方进行察看和查阅施工原始记录。监理人为此进行的</w:t>
      </w:r>
      <w:r>
        <w:rPr>
          <w:rFonts w:ascii="宋体" w:hAnsi="宋体" w:eastAsia="宋体" w:cs="宋体"/>
          <w:color w:val="auto"/>
          <w:spacing w:val="-3"/>
          <w:sz w:val="21"/>
          <w:szCs w:val="21"/>
          <w:highlight w:val="none"/>
        </w:rPr>
        <w:t>检查和检验，</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不免</w:t>
      </w:r>
      <w:r>
        <w:rPr>
          <w:rFonts w:ascii="宋体" w:hAnsi="宋体" w:eastAsia="宋体" w:cs="宋体"/>
          <w:color w:val="auto"/>
          <w:spacing w:val="-1"/>
          <w:sz w:val="21"/>
          <w:szCs w:val="21"/>
          <w:highlight w:val="none"/>
        </w:rPr>
        <w:t>除或减轻承包人按照合同约定应当承担的责任。</w:t>
      </w:r>
    </w:p>
    <w:p>
      <w:pPr>
        <w:spacing w:before="150" w:line="351" w:lineRule="auto"/>
        <w:ind w:left="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监理人的检查和检验不应影响施工正常进行。监理人的检查和检验影响施工正常进</w:t>
      </w:r>
      <w:r>
        <w:rPr>
          <w:rFonts w:ascii="宋体" w:hAnsi="宋体" w:eastAsia="宋体" w:cs="宋体"/>
          <w:color w:val="auto"/>
          <w:spacing w:val="-1"/>
          <w:sz w:val="21"/>
          <w:szCs w:val="21"/>
          <w:highlight w:val="none"/>
        </w:rPr>
        <w:t>行的，且</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经检查检验不合格的，影响正常施工的费用由承包人承担，工期不予</w:t>
      </w:r>
      <w:r>
        <w:rPr>
          <w:rFonts w:ascii="宋体" w:hAnsi="宋体" w:eastAsia="宋体" w:cs="宋体"/>
          <w:color w:val="auto"/>
          <w:spacing w:val="-4"/>
          <w:sz w:val="21"/>
          <w:szCs w:val="21"/>
          <w:highlight w:val="none"/>
        </w:rPr>
        <w:t>顺延；</w:t>
      </w:r>
      <w:r>
        <w:rPr>
          <w:rFonts w:ascii="宋体" w:hAnsi="宋体" w:eastAsia="宋体" w:cs="宋体"/>
          <w:color w:val="auto"/>
          <w:spacing w:val="-20"/>
          <w:sz w:val="21"/>
          <w:szCs w:val="21"/>
          <w:highlight w:val="none"/>
        </w:rPr>
        <w:t xml:space="preserve"> </w:t>
      </w:r>
      <w:r>
        <w:rPr>
          <w:rFonts w:ascii="宋体" w:hAnsi="宋体" w:eastAsia="宋体" w:cs="宋体"/>
          <w:color w:val="auto"/>
          <w:spacing w:val="-4"/>
          <w:sz w:val="21"/>
          <w:szCs w:val="21"/>
          <w:highlight w:val="none"/>
        </w:rPr>
        <w:t>经检查检验合格的，</w:t>
      </w:r>
      <w:r>
        <w:rPr>
          <w:rFonts w:ascii="宋体" w:hAnsi="宋体" w:eastAsia="宋体" w:cs="宋体"/>
          <w:color w:val="auto"/>
          <w:spacing w:val="-5"/>
          <w:sz w:val="21"/>
          <w:szCs w:val="21"/>
          <w:highlight w:val="none"/>
        </w:rPr>
        <w:t>由此增加的费用和（或）</w:t>
      </w:r>
      <w:r>
        <w:rPr>
          <w:rFonts w:ascii="宋体" w:hAnsi="宋体" w:eastAsia="宋体" w:cs="宋体"/>
          <w:color w:val="auto"/>
          <w:spacing w:val="-20"/>
          <w:sz w:val="21"/>
          <w:szCs w:val="21"/>
          <w:highlight w:val="none"/>
        </w:rPr>
        <w:t xml:space="preserve"> </w:t>
      </w:r>
      <w:r>
        <w:rPr>
          <w:rFonts w:ascii="宋体" w:hAnsi="宋体" w:eastAsia="宋体" w:cs="宋体"/>
          <w:color w:val="auto"/>
          <w:spacing w:val="-5"/>
          <w:sz w:val="21"/>
          <w:szCs w:val="21"/>
          <w:highlight w:val="none"/>
        </w:rPr>
        <w:t>延误的工期由发包人承担。</w:t>
      </w:r>
    </w:p>
    <w:p>
      <w:pPr>
        <w:spacing w:before="125"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5.3</w:t>
      </w:r>
      <w:r>
        <w:rPr>
          <w:rFonts w:ascii="Times New Roman" w:hAnsi="Times New Roman" w:eastAsia="Times New Roman" w:cs="Times New Roman"/>
          <w:b/>
          <w:bCs/>
          <w:color w:val="auto"/>
          <w:spacing w:val="12"/>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隐蔽工程检查</w:t>
      </w:r>
    </w:p>
    <w:p>
      <w:pPr>
        <w:spacing w:before="138" w:line="221" w:lineRule="auto"/>
        <w:ind w:left="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5.3.1 </w:t>
      </w:r>
      <w:r>
        <w:rPr>
          <w:rFonts w:ascii="宋体" w:hAnsi="宋体" w:eastAsia="宋体" w:cs="宋体"/>
          <w:color w:val="auto"/>
          <w:spacing w:val="-1"/>
          <w:sz w:val="21"/>
          <w:szCs w:val="21"/>
          <w:highlight w:val="none"/>
        </w:rPr>
        <w:t>承包人自检</w:t>
      </w:r>
    </w:p>
    <w:p>
      <w:pPr>
        <w:spacing w:before="150" w:line="221" w:lineRule="auto"/>
        <w:ind w:left="420"/>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承包人应当对工程隐蔽部位进行自检，并经自检确认是否具备覆盖</w:t>
      </w:r>
      <w:r>
        <w:rPr>
          <w:rFonts w:ascii="宋体" w:hAnsi="宋体" w:eastAsia="宋体" w:cs="宋体"/>
          <w:color w:val="auto"/>
          <w:spacing w:val="-1"/>
          <w:sz w:val="21"/>
          <w:szCs w:val="21"/>
          <w:highlight w:val="none"/>
        </w:rPr>
        <w:t>条件。</w:t>
      </w:r>
    </w:p>
    <w:p>
      <w:pPr>
        <w:spacing w:before="149" w:line="221" w:lineRule="auto"/>
        <w:ind w:left="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5.3.2 </w:t>
      </w:r>
      <w:r>
        <w:rPr>
          <w:rFonts w:ascii="宋体" w:hAnsi="宋体" w:eastAsia="宋体" w:cs="宋体"/>
          <w:color w:val="auto"/>
          <w:spacing w:val="-1"/>
          <w:sz w:val="21"/>
          <w:szCs w:val="21"/>
          <w:highlight w:val="none"/>
        </w:rPr>
        <w:t>检查程序</w:t>
      </w:r>
    </w:p>
    <w:p>
      <w:pPr>
        <w:spacing w:before="149" w:line="352" w:lineRule="auto"/>
        <w:ind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除专用合同条款另有约定外，工程隐蔽部位经承包人自</w:t>
      </w:r>
      <w:r>
        <w:rPr>
          <w:rFonts w:ascii="宋体" w:hAnsi="宋体" w:eastAsia="宋体" w:cs="宋体"/>
          <w:color w:val="auto"/>
          <w:spacing w:val="-1"/>
          <w:sz w:val="21"/>
          <w:szCs w:val="21"/>
          <w:highlight w:val="none"/>
        </w:rPr>
        <w:t>检确认具备覆盖条件的，承包人应在</w:t>
      </w:r>
      <w:r>
        <w:rPr>
          <w:rFonts w:ascii="宋体" w:hAnsi="宋体" w:eastAsia="宋体" w:cs="宋体"/>
          <w:color w:val="auto"/>
          <w:sz w:val="21"/>
          <w:szCs w:val="21"/>
          <w:highlight w:val="none"/>
        </w:rPr>
        <w:t xml:space="preserve">共同检查前 </w:t>
      </w:r>
      <w:r>
        <w:rPr>
          <w:rFonts w:ascii="Times New Roman" w:hAnsi="Times New Roman" w:eastAsia="Times New Roman" w:cs="Times New Roman"/>
          <w:color w:val="auto"/>
          <w:sz w:val="21"/>
          <w:szCs w:val="21"/>
          <w:highlight w:val="none"/>
        </w:rPr>
        <w:t xml:space="preserve">48  </w:t>
      </w:r>
      <w:r>
        <w:rPr>
          <w:rFonts w:ascii="宋体" w:hAnsi="宋体" w:eastAsia="宋体" w:cs="宋体"/>
          <w:color w:val="auto"/>
          <w:sz w:val="21"/>
          <w:szCs w:val="21"/>
          <w:highlight w:val="none"/>
        </w:rPr>
        <w:t>小时书面通知监理人检查，通知中应载明隐蔽检查的内容、时间和地点，</w:t>
      </w:r>
      <w:r>
        <w:rPr>
          <w:rFonts w:ascii="宋体" w:hAnsi="宋体" w:eastAsia="宋体" w:cs="宋体"/>
          <w:color w:val="auto"/>
          <w:spacing w:val="-1"/>
          <w:sz w:val="21"/>
          <w:szCs w:val="21"/>
          <w:highlight w:val="none"/>
        </w:rPr>
        <w:t>并应附</w:t>
      </w:r>
      <w:r>
        <w:rPr>
          <w:rFonts w:ascii="宋体" w:hAnsi="宋体" w:eastAsia="宋体" w:cs="宋体"/>
          <w:color w:val="auto"/>
          <w:spacing w:val="-2"/>
          <w:sz w:val="21"/>
          <w:szCs w:val="21"/>
          <w:highlight w:val="none"/>
        </w:rPr>
        <w:t>有自检记录和必要的检查资料。</w:t>
      </w:r>
    </w:p>
    <w:p>
      <w:pPr>
        <w:spacing w:before="147" w:line="352" w:lineRule="auto"/>
        <w:ind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监理人应按时到场并对隐蔽工程及其施工工艺、材料和工程设备进行检查。经监理</w:t>
      </w:r>
      <w:r>
        <w:rPr>
          <w:rFonts w:ascii="宋体" w:hAnsi="宋体" w:eastAsia="宋体" w:cs="宋体"/>
          <w:color w:val="auto"/>
          <w:spacing w:val="-1"/>
          <w:sz w:val="21"/>
          <w:szCs w:val="21"/>
          <w:highlight w:val="none"/>
        </w:rPr>
        <w:t>人检查确</w:t>
      </w:r>
      <w:r>
        <w:rPr>
          <w:rFonts w:ascii="宋体" w:hAnsi="宋体" w:eastAsia="宋体" w:cs="宋体"/>
          <w:color w:val="auto"/>
          <w:sz w:val="21"/>
          <w:szCs w:val="21"/>
          <w:highlight w:val="none"/>
        </w:rPr>
        <w:t xml:space="preserve"> 认质量符合隐蔽要求，并在验收记录上签字后，承包人才能进行覆盖。经监理人检查质量</w:t>
      </w:r>
      <w:r>
        <w:rPr>
          <w:rFonts w:ascii="宋体" w:hAnsi="宋体" w:eastAsia="宋体" w:cs="宋体"/>
          <w:color w:val="auto"/>
          <w:spacing w:val="-1"/>
          <w:sz w:val="21"/>
          <w:szCs w:val="21"/>
          <w:highlight w:val="none"/>
        </w:rPr>
        <w:t>不合格</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的，承包人应在监理人指示的时间内完成修复，并由监理人重新检查， 由此增加的费用和（或）</w:t>
      </w:r>
      <w:r>
        <w:rPr>
          <w:rFonts w:ascii="宋体" w:hAnsi="宋体" w:eastAsia="宋体" w:cs="宋体"/>
          <w:color w:val="auto"/>
          <w:spacing w:val="-1"/>
          <w:sz w:val="21"/>
          <w:szCs w:val="21"/>
          <w:highlight w:val="none"/>
        </w:rPr>
        <w:t>延误的工期由承包人承担。</w:t>
      </w:r>
    </w:p>
    <w:p>
      <w:pPr>
        <w:spacing w:before="149" w:line="352" w:lineRule="auto"/>
        <w:ind w:left="1" w:firstLine="431"/>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除专用合同条款另有约定外，监理人不能按时进行检查的，应</w:t>
      </w:r>
      <w:r>
        <w:rPr>
          <w:rFonts w:ascii="宋体" w:hAnsi="宋体" w:eastAsia="宋体" w:cs="宋体"/>
          <w:color w:val="auto"/>
          <w:spacing w:val="-1"/>
          <w:sz w:val="21"/>
          <w:szCs w:val="21"/>
          <w:highlight w:val="none"/>
        </w:rPr>
        <w:t xml:space="preserve">在检查前 </w:t>
      </w:r>
      <w:r>
        <w:rPr>
          <w:rFonts w:ascii="Times New Roman" w:hAnsi="Times New Roman" w:eastAsia="Times New Roman" w:cs="Times New Roman"/>
          <w:color w:val="auto"/>
          <w:spacing w:val="-1"/>
          <w:sz w:val="21"/>
          <w:szCs w:val="21"/>
          <w:highlight w:val="none"/>
        </w:rPr>
        <w:t xml:space="preserve">24  </w:t>
      </w:r>
      <w:r>
        <w:rPr>
          <w:rFonts w:ascii="宋体" w:hAnsi="宋体" w:eastAsia="宋体" w:cs="宋体"/>
          <w:color w:val="auto"/>
          <w:spacing w:val="-1"/>
          <w:sz w:val="21"/>
          <w:szCs w:val="21"/>
          <w:highlight w:val="none"/>
        </w:rPr>
        <w:t>小时向承包人提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交书面延期要求，但延期不能超过 </w:t>
      </w:r>
      <w:r>
        <w:rPr>
          <w:rFonts w:ascii="Times New Roman" w:hAnsi="Times New Roman" w:eastAsia="Times New Roman" w:cs="Times New Roman"/>
          <w:color w:val="auto"/>
          <w:spacing w:val="-2"/>
          <w:sz w:val="21"/>
          <w:szCs w:val="21"/>
          <w:highlight w:val="none"/>
        </w:rPr>
        <w:t xml:space="preserve">48  </w:t>
      </w:r>
      <w:r>
        <w:rPr>
          <w:rFonts w:ascii="宋体" w:hAnsi="宋体" w:eastAsia="宋体" w:cs="宋体"/>
          <w:color w:val="auto"/>
          <w:spacing w:val="-2"/>
          <w:sz w:val="21"/>
          <w:szCs w:val="21"/>
          <w:highlight w:val="none"/>
        </w:rPr>
        <w:t>小时， 由此导致工</w:t>
      </w:r>
      <w:r>
        <w:rPr>
          <w:rFonts w:ascii="宋体" w:hAnsi="宋体" w:eastAsia="宋体" w:cs="宋体"/>
          <w:color w:val="auto"/>
          <w:spacing w:val="-3"/>
          <w:sz w:val="21"/>
          <w:szCs w:val="21"/>
          <w:highlight w:val="none"/>
        </w:rPr>
        <w:t>期延误的，工期应予以顺延。监理人未</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按时进行检查， 也未提出延期要求的，视为</w:t>
      </w:r>
      <w:r>
        <w:rPr>
          <w:rFonts w:ascii="宋体" w:hAnsi="宋体" w:eastAsia="宋体" w:cs="宋体"/>
          <w:color w:val="auto"/>
          <w:spacing w:val="-3"/>
          <w:sz w:val="21"/>
          <w:szCs w:val="21"/>
          <w:highlight w:val="none"/>
        </w:rPr>
        <w:t>隐蔽工程检查合格，承包人可自行完成覆盖工作，并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作相应记录报送监理人，</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 xml:space="preserve">监理人应签字确认。监理人事后对检查记录有疑问的，可按第 </w:t>
      </w:r>
      <w:r>
        <w:rPr>
          <w:rFonts w:ascii="Times New Roman" w:hAnsi="Times New Roman" w:eastAsia="Times New Roman" w:cs="Times New Roman"/>
          <w:color w:val="auto"/>
          <w:spacing w:val="-2"/>
          <w:sz w:val="21"/>
          <w:szCs w:val="21"/>
          <w:highlight w:val="none"/>
        </w:rPr>
        <w:t xml:space="preserve">5.3.3  </w:t>
      </w:r>
      <w:r>
        <w:rPr>
          <w:rFonts w:ascii="宋体" w:hAnsi="宋体" w:eastAsia="宋体" w:cs="宋体"/>
          <w:color w:val="auto"/>
          <w:spacing w:val="-2"/>
          <w:sz w:val="21"/>
          <w:szCs w:val="21"/>
          <w:highlight w:val="none"/>
        </w:rPr>
        <w:t>项</w:t>
      </w:r>
      <w:r>
        <w:rPr>
          <w:rFonts w:ascii="宋体" w:hAnsi="宋体" w:eastAsia="宋体" w:cs="宋体"/>
          <w:color w:val="auto"/>
          <w:spacing w:val="-4"/>
          <w:sz w:val="21"/>
          <w:szCs w:val="21"/>
          <w:highlight w:val="none"/>
        </w:rPr>
        <w:t>〔重新检查〕的约定重新检查。</w:t>
      </w:r>
    </w:p>
    <w:p>
      <w:pPr>
        <w:spacing w:before="147" w:line="221" w:lineRule="auto"/>
        <w:ind w:left="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5.3.3  </w:t>
      </w:r>
      <w:r>
        <w:rPr>
          <w:rFonts w:ascii="宋体" w:hAnsi="宋体" w:eastAsia="宋体" w:cs="宋体"/>
          <w:color w:val="auto"/>
          <w:spacing w:val="-1"/>
          <w:sz w:val="21"/>
          <w:szCs w:val="21"/>
          <w:highlight w:val="none"/>
        </w:rPr>
        <w:t>重新检查</w:t>
      </w:r>
    </w:p>
    <w:p>
      <w:pPr>
        <w:spacing w:before="149" w:line="352" w:lineRule="auto"/>
        <w:ind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承包人覆盖工程隐蔽部位后，发包人或监理人对质量有疑问的，可要求承包人对已</w:t>
      </w:r>
      <w:r>
        <w:rPr>
          <w:rFonts w:ascii="宋体" w:hAnsi="宋体" w:eastAsia="宋体" w:cs="宋体"/>
          <w:color w:val="auto"/>
          <w:spacing w:val="-1"/>
          <w:sz w:val="21"/>
          <w:szCs w:val="21"/>
          <w:highlight w:val="none"/>
        </w:rPr>
        <w:t>覆盖的部</w:t>
      </w:r>
      <w:r>
        <w:rPr>
          <w:rFonts w:ascii="宋体" w:hAnsi="宋体" w:eastAsia="宋体" w:cs="宋体"/>
          <w:color w:val="auto"/>
          <w:sz w:val="21"/>
          <w:szCs w:val="21"/>
          <w:highlight w:val="none"/>
        </w:rPr>
        <w:t xml:space="preserve"> 位进行钻孔探测或揭开重新检查，承包人应遵照执行，并在检查后重新覆盖恢复原状。经</w:t>
      </w:r>
      <w:r>
        <w:rPr>
          <w:rFonts w:ascii="宋体" w:hAnsi="宋体" w:eastAsia="宋体" w:cs="宋体"/>
          <w:color w:val="auto"/>
          <w:spacing w:val="-1"/>
          <w:sz w:val="21"/>
          <w:szCs w:val="21"/>
          <w:highlight w:val="none"/>
        </w:rPr>
        <w:t>检查证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明工程质量符合合同要求的，由发包人承担由此</w:t>
      </w:r>
      <w:r>
        <w:rPr>
          <w:rFonts w:ascii="宋体" w:hAnsi="宋体" w:eastAsia="宋体" w:cs="宋体"/>
          <w:color w:val="auto"/>
          <w:spacing w:val="-3"/>
          <w:sz w:val="21"/>
          <w:szCs w:val="21"/>
          <w:highlight w:val="none"/>
        </w:rPr>
        <w:t>增加的费用和（或）延误的工期， 并支付承包人</w:t>
      </w:r>
      <w:r>
        <w:rPr>
          <w:rFonts w:ascii="宋体" w:hAnsi="宋体" w:eastAsia="宋体" w:cs="宋体"/>
          <w:color w:val="auto"/>
          <w:sz w:val="21"/>
          <w:szCs w:val="21"/>
          <w:highlight w:val="none"/>
        </w:rPr>
        <w:t>合理的利润；经检查证明工程质量不符合合同要求的，由此增加的费用和（或）延误的</w:t>
      </w:r>
      <w:r>
        <w:rPr>
          <w:rFonts w:ascii="宋体" w:hAnsi="宋体" w:eastAsia="宋体" w:cs="宋体"/>
          <w:color w:val="auto"/>
          <w:spacing w:val="-1"/>
          <w:sz w:val="21"/>
          <w:szCs w:val="21"/>
          <w:highlight w:val="none"/>
        </w:rPr>
        <w:t>工期由承</w:t>
      </w:r>
      <w:r>
        <w:rPr>
          <w:rFonts w:ascii="宋体" w:hAnsi="宋体" w:eastAsia="宋体" w:cs="宋体"/>
          <w:color w:val="auto"/>
          <w:spacing w:val="-5"/>
          <w:sz w:val="21"/>
          <w:szCs w:val="21"/>
          <w:highlight w:val="none"/>
        </w:rPr>
        <w:t>包人承担。</w:t>
      </w:r>
    </w:p>
    <w:p>
      <w:pPr>
        <w:spacing w:before="149" w:line="221" w:lineRule="auto"/>
        <w:ind w:left="42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5.3.4  </w:t>
      </w:r>
      <w:r>
        <w:rPr>
          <w:rFonts w:ascii="宋体" w:hAnsi="宋体" w:eastAsia="宋体" w:cs="宋体"/>
          <w:color w:val="auto"/>
          <w:spacing w:val="-1"/>
          <w:sz w:val="21"/>
          <w:szCs w:val="21"/>
          <w:highlight w:val="none"/>
        </w:rPr>
        <w:t>承包人私自覆盖</w:t>
      </w:r>
    </w:p>
    <w:p>
      <w:pPr>
        <w:spacing w:before="150" w:line="351" w:lineRule="auto"/>
        <w:ind w:left="5" w:right="152" w:firstLine="4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承包人未通知监理人到场检查， 私自将工程隐蔽部位覆盖的，</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监理人有权指示承包人钻孔探</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测或揭开检查，</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无论工程隐蔽部位质量是否合格， 由此增</w:t>
      </w:r>
      <w:r>
        <w:rPr>
          <w:rFonts w:ascii="宋体" w:hAnsi="宋体" w:eastAsia="宋体" w:cs="宋体"/>
          <w:color w:val="auto"/>
          <w:spacing w:val="-7"/>
          <w:sz w:val="21"/>
          <w:szCs w:val="21"/>
          <w:highlight w:val="none"/>
        </w:rPr>
        <w:t>加的费用和（或）</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延误的工期均由承包</w:t>
      </w:r>
      <w:r>
        <w:rPr>
          <w:rFonts w:ascii="宋体" w:hAnsi="宋体" w:eastAsia="宋体" w:cs="宋体"/>
          <w:color w:val="auto"/>
          <w:spacing w:val="-2"/>
          <w:sz w:val="21"/>
          <w:szCs w:val="21"/>
          <w:highlight w:val="none"/>
        </w:rPr>
        <w:t>人承担。</w:t>
      </w:r>
    </w:p>
    <w:p>
      <w:pPr>
        <w:spacing w:before="125" w:line="219" w:lineRule="auto"/>
        <w:ind w:left="4"/>
        <w:outlineLvl w:val="6"/>
        <w:rPr>
          <w:rFonts w:ascii="黑体" w:hAnsi="黑体" w:eastAsia="黑体" w:cs="黑体"/>
          <w:color w:val="auto"/>
          <w:sz w:val="24"/>
          <w:szCs w:val="24"/>
          <w:highlight w:val="none"/>
        </w:rPr>
      </w:pPr>
      <w:bookmarkStart w:id="190" w:name="bookmark229"/>
      <w:bookmarkEnd w:id="190"/>
      <w:r>
        <w:rPr>
          <w:rFonts w:ascii="Times New Roman" w:hAnsi="Times New Roman" w:eastAsia="Times New Roman" w:cs="Times New Roman"/>
          <w:b/>
          <w:bCs/>
          <w:color w:val="auto"/>
          <w:spacing w:val="-1"/>
          <w:sz w:val="24"/>
          <w:szCs w:val="24"/>
          <w:highlight w:val="none"/>
        </w:rPr>
        <w:t xml:space="preserve">5.4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不合格工程的处理</w:t>
      </w:r>
    </w:p>
    <w:p>
      <w:pPr>
        <w:spacing w:before="138" w:line="353" w:lineRule="auto"/>
        <w:ind w:left="10" w:right="152" w:firstLine="416"/>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5.4.1  </w:t>
      </w:r>
      <w:r>
        <w:rPr>
          <w:rFonts w:ascii="宋体" w:hAnsi="宋体" w:eastAsia="宋体" w:cs="宋体"/>
          <w:color w:val="auto"/>
          <w:sz w:val="21"/>
          <w:szCs w:val="21"/>
          <w:highlight w:val="none"/>
        </w:rPr>
        <w:t>因承包人原因造成工程不合格的， 发包人有权</w:t>
      </w:r>
      <w:r>
        <w:rPr>
          <w:rFonts w:ascii="宋体" w:hAnsi="宋体" w:eastAsia="宋体" w:cs="宋体"/>
          <w:color w:val="auto"/>
          <w:spacing w:val="-1"/>
          <w:sz w:val="21"/>
          <w:szCs w:val="21"/>
          <w:highlight w:val="none"/>
        </w:rPr>
        <w:t>随时要求承包人采取补救措施，直至达</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到合同要求的质量标准， 由此增加的费用和（</w:t>
      </w:r>
      <w:r>
        <w:rPr>
          <w:rFonts w:ascii="宋体" w:hAnsi="宋体" w:eastAsia="宋体" w:cs="宋体"/>
          <w:color w:val="auto"/>
          <w:spacing w:val="-7"/>
          <w:sz w:val="21"/>
          <w:szCs w:val="21"/>
          <w:highlight w:val="none"/>
        </w:rPr>
        <w:t>或）</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延误的工期由承包人承担。无法补救的，</w:t>
      </w:r>
      <w:r>
        <w:rPr>
          <w:rFonts w:ascii="宋体" w:hAnsi="宋体" w:eastAsia="宋体" w:cs="宋体"/>
          <w:color w:val="auto"/>
          <w:spacing w:val="-21"/>
          <w:sz w:val="21"/>
          <w:szCs w:val="21"/>
          <w:highlight w:val="none"/>
        </w:rPr>
        <w:t xml:space="preserve"> </w:t>
      </w:r>
      <w:r>
        <w:rPr>
          <w:rFonts w:ascii="宋体" w:hAnsi="宋体" w:eastAsia="宋体" w:cs="宋体"/>
          <w:color w:val="auto"/>
          <w:spacing w:val="-7"/>
          <w:sz w:val="21"/>
          <w:szCs w:val="21"/>
          <w:highlight w:val="none"/>
        </w:rPr>
        <w:t>按照</w:t>
      </w:r>
      <w:r>
        <w:rPr>
          <w:rFonts w:ascii="宋体" w:hAnsi="宋体" w:eastAsia="宋体" w:cs="宋体"/>
          <w:color w:val="auto"/>
          <w:spacing w:val="-1"/>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13.2.4 </w:t>
      </w:r>
      <w:r>
        <w:rPr>
          <w:rFonts w:ascii="宋体" w:hAnsi="宋体" w:eastAsia="宋体" w:cs="宋体"/>
          <w:color w:val="auto"/>
          <w:spacing w:val="-1"/>
          <w:sz w:val="21"/>
          <w:szCs w:val="21"/>
          <w:highlight w:val="none"/>
        </w:rPr>
        <w:t>项〔拒绝接收全部或部分工程〕约定执</w:t>
      </w:r>
      <w:r>
        <w:rPr>
          <w:rFonts w:ascii="宋体" w:hAnsi="宋体" w:eastAsia="宋体" w:cs="宋体"/>
          <w:color w:val="auto"/>
          <w:spacing w:val="-2"/>
          <w:sz w:val="21"/>
          <w:szCs w:val="21"/>
          <w:highlight w:val="none"/>
        </w:rPr>
        <w:t>行。</w:t>
      </w:r>
    </w:p>
    <w:p>
      <w:pPr>
        <w:spacing w:before="148" w:line="401"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 xml:space="preserve">5.4.2  </w:t>
      </w:r>
      <w:r>
        <w:rPr>
          <w:rFonts w:ascii="宋体" w:hAnsi="宋体" w:eastAsia="宋体" w:cs="宋体"/>
          <w:color w:val="auto"/>
          <w:spacing w:val="-3"/>
          <w:position w:val="14"/>
          <w:sz w:val="21"/>
          <w:szCs w:val="21"/>
          <w:highlight w:val="none"/>
        </w:rPr>
        <w:t>因发包人原因造成工程不合格</w:t>
      </w:r>
      <w:r>
        <w:rPr>
          <w:rFonts w:ascii="宋体" w:hAnsi="宋体" w:eastAsia="宋体" w:cs="宋体"/>
          <w:color w:val="auto"/>
          <w:spacing w:val="-4"/>
          <w:position w:val="14"/>
          <w:sz w:val="21"/>
          <w:szCs w:val="21"/>
          <w:highlight w:val="none"/>
        </w:rPr>
        <w:t>的， 由此增加的费用和（或） 延误的工期由发包人承担，</w:t>
      </w:r>
    </w:p>
    <w:p>
      <w:pPr>
        <w:spacing w:line="220" w:lineRule="auto"/>
        <w:ind w:left="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并支付承包人合理的利润。</w:t>
      </w:r>
    </w:p>
    <w:p>
      <w:pPr>
        <w:spacing w:before="125" w:line="219" w:lineRule="auto"/>
        <w:ind w:left="4"/>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5.5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质量争议检测</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合同当事人对工程质量有争议的，由双方协商确定的工程质量检测机构鉴定，由此产生的费用及因此造成的损失，由责任方承担。</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合同当事人均有责任的， 由双方根据其责任分别承担。合同当事人无法达成一致的，按照第4.4 款〔商定或确定〕执行。</w:t>
      </w:r>
    </w:p>
    <w:p>
      <w:pPr>
        <w:spacing w:before="189" w:line="436" w:lineRule="exact"/>
        <w:ind w:left="7"/>
        <w:rPr>
          <w:rFonts w:ascii="黑体" w:hAnsi="黑体" w:eastAsia="黑体" w:cs="黑体"/>
          <w:color w:val="auto"/>
          <w:sz w:val="28"/>
          <w:szCs w:val="28"/>
          <w:highlight w:val="none"/>
        </w:rPr>
      </w:pPr>
      <w:r>
        <w:rPr>
          <w:rFonts w:ascii="Times New Roman" w:hAnsi="Times New Roman" w:eastAsia="Times New Roman" w:cs="Times New Roman"/>
          <w:b/>
          <w:bCs/>
          <w:color w:val="auto"/>
          <w:position w:val="11"/>
          <w:sz w:val="28"/>
          <w:szCs w:val="28"/>
          <w:highlight w:val="none"/>
        </w:rPr>
        <w:t xml:space="preserve">6.  </w:t>
      </w:r>
      <w:r>
        <w:rPr>
          <w:rFonts w:ascii="黑体" w:hAnsi="黑体" w:eastAsia="黑体" w:cs="黑体"/>
          <w:color w:val="auto"/>
          <w:position w:val="11"/>
          <w:sz w:val="28"/>
          <w:szCs w:val="28"/>
          <w:highlight w:val="none"/>
          <w14:textOutline w14:w="5094" w14:cap="flat" w14:cmpd="sng">
            <w14:solidFill>
              <w14:srgbClr w14:val="000000"/>
            </w14:solidFill>
            <w14:prstDash w14:val="solid"/>
            <w14:miter w14:val="0"/>
          </w14:textOutline>
        </w:rPr>
        <w:t>安全文明施工与环境保护</w:t>
      </w:r>
    </w:p>
    <w:p>
      <w:pPr>
        <w:spacing w:line="218" w:lineRule="auto"/>
        <w:ind w:left="5"/>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6.1</w:t>
      </w:r>
      <w:r>
        <w:rPr>
          <w:rFonts w:ascii="Times New Roman" w:hAnsi="Times New Roman" w:eastAsia="Times New Roman" w:cs="Times New Roman"/>
          <w:b/>
          <w:bCs/>
          <w:color w:val="auto"/>
          <w:spacing w:val="23"/>
          <w:w w:val="101"/>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安全文明施工</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6.1.1 安全生产要求</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合同履行期间， 合同当事人均应当遵守国家和工程所在地有关安全生产的要求，合同当事人 有特别要求的， 应在专用合同条款中明确施工项目安全生产标准化达标目标及相应事项。承包人有权拒绝发包人及监理人强令承包人违章作业、冒险施工的任何指示。</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在施工过程中， 如遇到突发的地质变动、事先未知的地下施工障碍等影响施工安全的紧急情 况， 承包人应及时报告监理人和发包人， 发包人应当及时下令停工并报政府有关行政管理部门采取应急措施。</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因安全生产需要暂停施工的，按照第 7.8 款〔暂停施工〕的约定执行。</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6.1.2  安全生产保证措施</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承包人应当按照有关规定编制安全技术措施或者专项施工方案，建立安全生产责任制度、治 安保卫制度及安全生产教育培训制度，并按安全生产法律规定及合同约定履行安全职责，如实编制工程安全生产的有关记录，接受发包人、监理人及政府安全监督部门的检查与监督。</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6.1.3 特别安全生产事项</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承包人应按照法律规定进行施工，开工前做好安全技术交底工作， 施工过程中做好各项安全 防护措施。承包人为实施合同而雇用的特殊工种的人员应受过专门的培训并已取得政府有关管理机构颁发的上岗证书。</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bookmarkStart w:id="191" w:name="bookmark232"/>
      <w:bookmarkEnd w:id="191"/>
      <w:bookmarkStart w:id="192" w:name="bookmark230"/>
      <w:bookmarkEnd w:id="192"/>
      <w:bookmarkStart w:id="193" w:name="bookmark231"/>
      <w:bookmarkEnd w:id="193"/>
      <w:r>
        <w:rPr>
          <w:rFonts w:ascii="Times New Roman" w:hAnsi="Times New Roman" w:eastAsia="Times New Roman" w:cs="Times New Roman"/>
          <w:color w:val="auto"/>
          <w:sz w:val="21"/>
          <w:szCs w:val="21"/>
          <w:highlight w:val="none"/>
        </w:rPr>
        <w:t>承包人在动力设备、输电线路、地下管道、密封防震车间、易燃易爆地段以及临街交通要道附近施工时，施工开始前应向发包人和监理人提出安全防护措施， 经发包人认可后实施。</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实施爆破作业， 在放射、毒害性环境中施工（含储存、运输、使用）及使用毒害性、腐蚀性 物品施工时，承包人应在施工前 7 天以书面通知发包人和监理人， 并报送相应的安全防护措施，经发包人认可后实施。需单独编制危险性较大分部分项专项工程施工方案的，及要求进行专家论证的超过一定规模的危险性较大的分部分项工程， 承包人应及时编制和组织论证。</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6.1.4  治安保卫</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除专用合同条款另有约定外，发包人应与当地公安部门协商， 在现场建立治安管理机构或联防组织，统一管理施工场地的治安保卫事项， 履行合同工程的治安保卫职责。</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发包人和承包人除应协助现场治安管理机构或联防组织维护施工场地的社会治安外，还应做好包括生活区在内的各自管辖区的治安保卫工作。</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除专用合同条款另有约定外，发包人和承包人应在工程开工后 7 天内共同编制施工场地治安 管理计划， 并制定应对突发治安事件的紧急预案。在工程施工过程中， 发生暴乱、爆炸等恐怖事 件，以及群殴、械斗等群体性突发治安事件的，发包人和承包人应立即向当地政府报告。发包人 和承包人应积极协助当地有关部门采取措施平息事态，防止事态扩大， 尽量避免人员伤亡和财产损失。</w:t>
      </w:r>
    </w:p>
    <w:p>
      <w:pPr>
        <w:spacing w:before="148" w:line="221"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6.1.5  </w:t>
      </w:r>
      <w:r>
        <w:rPr>
          <w:rFonts w:ascii="宋体" w:hAnsi="宋体" w:eastAsia="宋体" w:cs="宋体"/>
          <w:color w:val="auto"/>
          <w:spacing w:val="-1"/>
          <w:sz w:val="21"/>
          <w:szCs w:val="21"/>
          <w:highlight w:val="none"/>
        </w:rPr>
        <w:t>文明施工</w:t>
      </w:r>
    </w:p>
    <w:p>
      <w:pPr>
        <w:spacing w:before="138" w:line="353" w:lineRule="auto"/>
        <w:ind w:left="10" w:right="152" w:firstLine="416"/>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承包人在工程施工期间， 应当采取措施保持施工现场平整，物料堆放整齐。工程所在地有关 政府行政管理部门有特殊要求的，按照其要求执行。合同当事人对文明施工有其他要求的， 可以在专用合同条款中明确。</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在工程移交之前，承包人应当从施工现场清除承包人的全部工程设备、多余材料、垃</w:t>
      </w:r>
      <w:r>
        <w:rPr>
          <w:rFonts w:ascii="宋体" w:hAnsi="宋体" w:eastAsia="宋体" w:cs="宋体"/>
          <w:color w:val="auto"/>
          <w:spacing w:val="-1"/>
          <w:sz w:val="21"/>
          <w:szCs w:val="21"/>
          <w:highlight w:val="none"/>
        </w:rPr>
        <w:t>圾和各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种临时工程，并保持施工现场清洁整齐。经发包人书面同意，</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承包人可在发包人指定的地点</w:t>
      </w:r>
      <w:r>
        <w:rPr>
          <w:rFonts w:ascii="宋体" w:hAnsi="宋体" w:eastAsia="宋体" w:cs="宋体"/>
          <w:color w:val="auto"/>
          <w:spacing w:val="-3"/>
          <w:sz w:val="21"/>
          <w:szCs w:val="21"/>
          <w:highlight w:val="none"/>
        </w:rPr>
        <w:t>保留</w:t>
      </w:r>
      <w:r>
        <w:rPr>
          <w:rFonts w:ascii="宋体" w:hAnsi="宋体" w:eastAsia="宋体" w:cs="宋体"/>
          <w:color w:val="auto"/>
          <w:spacing w:val="-1"/>
          <w:sz w:val="21"/>
          <w:szCs w:val="21"/>
          <w:highlight w:val="none"/>
        </w:rPr>
        <w:t>承包人履行保修期内的各项义务所需要的材料、施工设备和临时工程。</w:t>
      </w:r>
    </w:p>
    <w:p>
      <w:pPr>
        <w:spacing w:before="148" w:line="221"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6.1.6  </w:t>
      </w:r>
      <w:r>
        <w:rPr>
          <w:rFonts w:ascii="宋体" w:hAnsi="宋体" w:eastAsia="宋体" w:cs="宋体"/>
          <w:color w:val="auto"/>
          <w:spacing w:val="-1"/>
          <w:sz w:val="21"/>
          <w:szCs w:val="21"/>
          <w:highlight w:val="none"/>
        </w:rPr>
        <w:t>安全文明施工费</w:t>
      </w:r>
    </w:p>
    <w:p>
      <w:pPr>
        <w:spacing w:before="150" w:line="401" w:lineRule="exact"/>
        <w:ind w:left="425"/>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安全文明施工费由发包人承担， 发包人不得以任何形式扣减该部分费用。因基准日期后合同</w:t>
      </w:r>
    </w:p>
    <w:p>
      <w:pPr>
        <w:spacing w:before="1" w:line="219"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所适用的法律或政府有关规定发生变化，</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增加的安全文明施工费由发包人承担。</w:t>
      </w:r>
    </w:p>
    <w:p>
      <w:pPr>
        <w:spacing w:before="149" w:line="352" w:lineRule="auto"/>
        <w:ind w:left="2" w:right="160" w:firstLine="4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承包人经发包人同意采取合同约定以外的安全措施所产生的费用， 由发包人承担。未经发包</w:t>
      </w:r>
      <w:r>
        <w:rPr>
          <w:rFonts w:ascii="宋体" w:hAnsi="宋体" w:eastAsia="宋体" w:cs="宋体"/>
          <w:color w:val="auto"/>
          <w:spacing w:val="14"/>
          <w:sz w:val="21"/>
          <w:szCs w:val="21"/>
          <w:highlight w:val="none"/>
        </w:rPr>
        <w:t xml:space="preserve"> </w:t>
      </w:r>
      <w:r>
        <w:rPr>
          <w:rFonts w:ascii="宋体" w:hAnsi="宋体" w:eastAsia="宋体" w:cs="宋体"/>
          <w:color w:val="auto"/>
          <w:spacing w:val="-5"/>
          <w:sz w:val="21"/>
          <w:szCs w:val="21"/>
          <w:highlight w:val="none"/>
        </w:rPr>
        <w:t>人同意的， 如果该措施避免了发包人的损失， 则发包人在避免损失的额度内承担该措施费。如果</w:t>
      </w:r>
      <w:r>
        <w:rPr>
          <w:rFonts w:ascii="宋体" w:hAnsi="宋体" w:eastAsia="宋体" w:cs="宋体"/>
          <w:color w:val="auto"/>
          <w:spacing w:val="-1"/>
          <w:sz w:val="21"/>
          <w:szCs w:val="21"/>
          <w:highlight w:val="none"/>
        </w:rPr>
        <w:t>该措施避免了承包人的损失，由承包人承担该措施费。</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除专用合同条款另有约定外，发包人应在开工后 28 天内预付安全文明施工费总额的 50% ， 其余部分与进度款同期支付。发包人逾期支付安全文明施工费超过 7 天的， 承包人有权向发包人 发出要求预付的催告通知，发包人收到通知后 7 天内仍未支付的， 承包人有权暂停施工，并按第16.1.1 项〔发包人违约的情形〕执行。</w:t>
      </w:r>
    </w:p>
    <w:p>
      <w:pPr>
        <w:spacing w:before="148" w:line="352" w:lineRule="auto"/>
        <w:ind w:right="160" w:firstLine="419"/>
        <w:rPr>
          <w:rFonts w:ascii="宋体" w:hAnsi="宋体" w:eastAsia="宋体" w:cs="宋体"/>
          <w:color w:val="auto"/>
          <w:spacing w:val="-2"/>
          <w:position w:val="14"/>
          <w:sz w:val="21"/>
          <w:szCs w:val="21"/>
          <w:highlight w:val="none"/>
        </w:rPr>
      </w:pPr>
      <w:r>
        <w:rPr>
          <w:rFonts w:ascii="宋体" w:hAnsi="宋体" w:eastAsia="宋体" w:cs="宋体"/>
          <w:color w:val="auto"/>
          <w:sz w:val="21"/>
          <w:szCs w:val="21"/>
          <w:highlight w:val="none"/>
        </w:rPr>
        <w:t>承包人对安全文明施工费应专款专用，承包人应在财务账目中单独列项备查，不得挪作他用，</w:t>
      </w:r>
      <w:bookmarkStart w:id="194" w:name="bookmark233"/>
      <w:bookmarkEnd w:id="194"/>
      <w:r>
        <w:rPr>
          <w:rFonts w:ascii="宋体" w:hAnsi="宋体" w:eastAsia="宋体" w:cs="宋体"/>
          <w:color w:val="auto"/>
          <w:sz w:val="21"/>
          <w:szCs w:val="21"/>
          <w:highlight w:val="none"/>
        </w:rPr>
        <w:t>否则发包人有权责令其限期改正；逾期未改正的， 可以责令其暂停施工，由此增加的费用和（或）延误的工期由承包人承担。</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6.1.7  紧急情况处理</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在工程实施期间或缺陷责任期内发生危及工程安全的事件，监理人通知承包人进行抢救，承 包人声明无能力或不愿立即执行的， 发包人有权雇佣其他人员进行抢救。此类抢救按合同约定属于承包人义务的，由此增加的费用和（或）延误的工期由承包人承担。</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6.1.8  事故处理</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工程施工过程中发生事故的，承包人应立即通知监理人， 监理人应立即通知发包人。发包人  和承包人应立即组织人员和设备进行紧急抢救和抢修，减少人员伤亡和财产损失， 防止事故扩大， 并保护事故现场。需要移动现场物品时， 应作出标记和书面记录， 妥善保管有关证据。发包人和 承包人应按国家有关规定，及时如实地向有关部门报告事故发生的情况，以及正在采取的紧急措施等。</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6.1.9  安全生产责任</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fldChar w:fldCharType="begin"/>
      </w:r>
      <w:r>
        <w:rPr>
          <w:rFonts w:ascii="宋体" w:hAnsi="宋体" w:eastAsia="宋体" w:cs="宋体"/>
          <w:color w:val="auto"/>
          <w:sz w:val="21"/>
          <w:szCs w:val="21"/>
          <w:highlight w:val="none"/>
        </w:rPr>
        <w:instrText xml:space="preserve"> HYPERLINK "6.1.9.1" </w:instrText>
      </w:r>
      <w:r>
        <w:rPr>
          <w:rFonts w:ascii="宋体" w:hAnsi="宋体" w:eastAsia="宋体" w:cs="宋体"/>
          <w:color w:val="auto"/>
          <w:sz w:val="21"/>
          <w:szCs w:val="21"/>
          <w:highlight w:val="none"/>
        </w:rPr>
        <w:fldChar w:fldCharType="separate"/>
      </w:r>
      <w:r>
        <w:rPr>
          <w:rFonts w:ascii="宋体" w:hAnsi="宋体" w:eastAsia="宋体" w:cs="宋体"/>
          <w:color w:val="auto"/>
          <w:sz w:val="21"/>
          <w:szCs w:val="21"/>
          <w:highlight w:val="none"/>
        </w:rPr>
        <w:t>6.1.9.1</w:t>
      </w:r>
      <w:r>
        <w:rPr>
          <w:rFonts w:ascii="宋体" w:hAnsi="宋体" w:eastAsia="宋体" w:cs="宋体"/>
          <w:color w:val="auto"/>
          <w:sz w:val="21"/>
          <w:szCs w:val="21"/>
          <w:highlight w:val="none"/>
        </w:rPr>
        <w:fldChar w:fldCharType="end"/>
      </w:r>
      <w:r>
        <w:rPr>
          <w:rFonts w:ascii="宋体" w:hAnsi="宋体" w:eastAsia="宋体" w:cs="宋体"/>
          <w:color w:val="auto"/>
          <w:sz w:val="21"/>
          <w:szCs w:val="21"/>
          <w:highlight w:val="none"/>
        </w:rPr>
        <w:t xml:space="preserve">  发包人的安全责任</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发包人应负责赔偿以下各种情况造成的损失：</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（1）工程或工程的任何部分对土地的占用所造成的第三者财产损失；</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（2）由于发包人原因在施工场地及其毗邻地带造成的第三者人身伤亡和财产损失；</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（3）由于发包人原因对承包人、监理人造成的人员人身伤亡和财产损失；</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（4）由于发包人原因造成的发包人自身人员的人身伤害以及财产损失。</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fldChar w:fldCharType="begin"/>
      </w:r>
      <w:r>
        <w:rPr>
          <w:rFonts w:ascii="宋体" w:hAnsi="宋体" w:eastAsia="宋体" w:cs="宋体"/>
          <w:color w:val="auto"/>
          <w:sz w:val="21"/>
          <w:szCs w:val="21"/>
          <w:highlight w:val="none"/>
        </w:rPr>
        <w:instrText xml:space="preserve"> HYPERLINK "6.1.9.2" </w:instrText>
      </w:r>
      <w:r>
        <w:rPr>
          <w:rFonts w:ascii="宋体" w:hAnsi="宋体" w:eastAsia="宋体" w:cs="宋体"/>
          <w:color w:val="auto"/>
          <w:sz w:val="21"/>
          <w:szCs w:val="21"/>
          <w:highlight w:val="none"/>
        </w:rPr>
        <w:fldChar w:fldCharType="separate"/>
      </w:r>
      <w:r>
        <w:rPr>
          <w:rFonts w:ascii="宋体" w:hAnsi="宋体" w:eastAsia="宋体" w:cs="宋体"/>
          <w:color w:val="auto"/>
          <w:sz w:val="21"/>
          <w:szCs w:val="21"/>
          <w:highlight w:val="none"/>
        </w:rPr>
        <w:t>6.1.9.2</w:t>
      </w:r>
      <w:r>
        <w:rPr>
          <w:rFonts w:ascii="宋体" w:hAnsi="宋体" w:eastAsia="宋体" w:cs="宋体"/>
          <w:color w:val="auto"/>
          <w:sz w:val="21"/>
          <w:szCs w:val="21"/>
          <w:highlight w:val="none"/>
        </w:rPr>
        <w:fldChar w:fldCharType="end"/>
      </w:r>
      <w:r>
        <w:rPr>
          <w:rFonts w:ascii="宋体" w:hAnsi="宋体" w:eastAsia="宋体" w:cs="宋体"/>
          <w:color w:val="auto"/>
          <w:sz w:val="21"/>
          <w:szCs w:val="21"/>
          <w:highlight w:val="none"/>
        </w:rPr>
        <w:t xml:space="preserve">  承包人的安全责任</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由于承包人原因在施工场地内及其毗邻地带造成的发包人、监理人以及第三者人员伤亡和财产损失，由承包人负责赔偿。</w:t>
      </w:r>
    </w:p>
    <w:p>
      <w:pPr>
        <w:spacing w:before="125" w:line="221"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6.2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职业健康</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6.2.1  劳动保护</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承包人应按照法律规定安排现场施工人员的劳动和休息时间， 保障劳动者的休息时间， 并支 付合理的报酬和费用。承包人应依法为其履行合同所雇用的人员办理必要的证件、许可、保险和注册等，承包人应督促其分包人为分包人所雇用的人员办理必要的证件、许可、保险和注册等。</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承包人应按照法律规定保障现场施工人员的劳动安全，并提供劳动保护,并应按国家有关劳 动保护的规定， 采取有效的防止粉尘、降低噪声、控制有害气体和保障高温、高寒、高空作业安 全等劳动保护措施。承包人雇佣人员在施工中受到伤害的，承包人应立即采取有效措施进行抢救和治疗。</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承包人应按法律规定安排工作时间， 保证其雇佣人员享有休息和休假的权利。因工程施工的 特殊需要占用休假日或延长工作时间的， 应不超过法律规定的限度，并按法律规定给予补休或付酬。</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6.2.2  生活条件</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承包人应为其履行合同所雇用的人员提供必要的膳宿条件和生活环境； 承包人应采取有效措 施预防传染病， 保证施工人员的健康，并定期对施工现场、施工人员生活基地和工程进行防疫和 卫生的专业检查和处理,  在远离城镇的施工场地，还应配备必要的伤病防治和急救的医务人员与医疗设施。</w:t>
      </w:r>
    </w:p>
    <w:p>
      <w:pPr>
        <w:spacing w:before="124" w:line="219" w:lineRule="auto"/>
        <w:ind w:left="1"/>
        <w:outlineLvl w:val="6"/>
        <w:rPr>
          <w:rFonts w:ascii="黑体" w:hAnsi="黑体" w:eastAsia="黑体" w:cs="黑体"/>
          <w:color w:val="auto"/>
          <w:sz w:val="24"/>
          <w:szCs w:val="24"/>
          <w:highlight w:val="none"/>
        </w:rPr>
      </w:pPr>
      <w:bookmarkStart w:id="195" w:name="bookmark234"/>
      <w:bookmarkEnd w:id="195"/>
      <w:r>
        <w:rPr>
          <w:rFonts w:ascii="Times New Roman" w:hAnsi="Times New Roman" w:eastAsia="Times New Roman" w:cs="Times New Roman"/>
          <w:b/>
          <w:bCs/>
          <w:color w:val="auto"/>
          <w:spacing w:val="-1"/>
          <w:sz w:val="24"/>
          <w:szCs w:val="24"/>
          <w:highlight w:val="none"/>
        </w:rPr>
        <w:t xml:space="preserve">6.3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环境保护</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承包人应在施工组织设计中列明环境保护的具体措施。在合同履行期间，承包人应采取合理 措施保护施工现场环境。对施工作业过程中可能引起的大气、水、噪音以及固体废物污染采取具体可行的防范措施。</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承包人应当承担因其原因引起的环境污染侵权损害赔偿责任， 因上述环境污染引起纠纷而导致暂停施工的， 由此增加的费用和（或） 延误的工期由承包人承担。</w:t>
      </w:r>
    </w:p>
    <w:p>
      <w:pPr>
        <w:spacing w:before="188" w:line="436" w:lineRule="exact"/>
        <w:ind w:left="2"/>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7.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工期和进度</w:t>
      </w:r>
    </w:p>
    <w:p>
      <w:pPr>
        <w:spacing w:before="1" w:line="218"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施工组织设计</w:t>
      </w:r>
    </w:p>
    <w:p>
      <w:pPr>
        <w:spacing w:before="141"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7.1.1  </w:t>
      </w:r>
      <w:r>
        <w:rPr>
          <w:rFonts w:ascii="宋体" w:hAnsi="宋体" w:eastAsia="宋体" w:cs="宋体"/>
          <w:color w:val="auto"/>
          <w:spacing w:val="-1"/>
          <w:sz w:val="21"/>
          <w:szCs w:val="21"/>
          <w:highlight w:val="none"/>
        </w:rPr>
        <w:t>施工组织设计的内容</w:t>
      </w:r>
    </w:p>
    <w:p>
      <w:pPr>
        <w:spacing w:before="150" w:line="398" w:lineRule="exact"/>
        <w:ind w:left="42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施工组织设计应包含以下内容：</w:t>
      </w:r>
    </w:p>
    <w:p>
      <w:pPr>
        <w:spacing w:before="1"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）施工方案；</w:t>
      </w:r>
    </w:p>
    <w:p>
      <w:pPr>
        <w:spacing w:before="148"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）施工现场平面布置图；</w:t>
      </w:r>
    </w:p>
    <w:p>
      <w:pPr>
        <w:spacing w:before="152" w:line="398" w:lineRule="exact"/>
        <w:ind w:left="42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3</w:t>
      </w:r>
      <w:r>
        <w:rPr>
          <w:rFonts w:ascii="宋体" w:hAnsi="宋体" w:eastAsia="宋体" w:cs="宋体"/>
          <w:color w:val="auto"/>
          <w:spacing w:val="-3"/>
          <w:position w:val="14"/>
          <w:sz w:val="21"/>
          <w:szCs w:val="21"/>
          <w:highlight w:val="none"/>
        </w:rPr>
        <w:t>）施工进度计划和保证措施；</w:t>
      </w:r>
    </w:p>
    <w:p>
      <w:pPr>
        <w:spacing w:before="1" w:line="219"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）劳动力及材料供应计划；</w:t>
      </w:r>
    </w:p>
    <w:p>
      <w:pPr>
        <w:spacing w:before="151" w:line="40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5</w:t>
      </w:r>
      <w:r>
        <w:rPr>
          <w:rFonts w:ascii="宋体" w:hAnsi="宋体" w:eastAsia="宋体" w:cs="宋体"/>
          <w:color w:val="auto"/>
          <w:spacing w:val="-1"/>
          <w:position w:val="14"/>
          <w:sz w:val="21"/>
          <w:szCs w:val="21"/>
          <w:highlight w:val="none"/>
        </w:rPr>
        <w:t>）施工机械设备的选用；</w:t>
      </w:r>
    </w:p>
    <w:p>
      <w:pPr>
        <w:spacing w:before="1"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）质量保证体系及措施；</w:t>
      </w:r>
    </w:p>
    <w:p>
      <w:pPr>
        <w:spacing w:before="146" w:line="221"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）安全生产、文明施工措施；</w:t>
      </w:r>
    </w:p>
    <w:p>
      <w:pPr>
        <w:spacing w:before="150"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）环境保护、成本控制措施；</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）合同当事人约定的其他内容。</w:t>
      </w:r>
    </w:p>
    <w:p>
      <w:pPr>
        <w:spacing w:before="147"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7.1.2  </w:t>
      </w:r>
      <w:r>
        <w:rPr>
          <w:rFonts w:ascii="宋体" w:hAnsi="宋体" w:eastAsia="宋体" w:cs="宋体"/>
          <w:color w:val="auto"/>
          <w:spacing w:val="-1"/>
          <w:sz w:val="21"/>
          <w:szCs w:val="21"/>
          <w:highlight w:val="none"/>
        </w:rPr>
        <w:t>施工组织设计的提交和修改</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除专用合同条款另有约定外，承包人应在合同</w:t>
      </w:r>
      <w:r>
        <w:rPr>
          <w:rFonts w:ascii="宋体" w:hAnsi="宋体" w:eastAsia="宋体" w:cs="宋体"/>
          <w:color w:val="auto"/>
          <w:spacing w:val="-1"/>
          <w:sz w:val="21"/>
          <w:szCs w:val="21"/>
          <w:highlight w:val="none"/>
        </w:rPr>
        <w:t xml:space="preserve">签订后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 xml:space="preserve">天内，但至迟不得晚于第 </w:t>
      </w:r>
      <w:r>
        <w:rPr>
          <w:rFonts w:ascii="Times New Roman" w:hAnsi="Times New Roman" w:eastAsia="Times New Roman" w:cs="Times New Roman"/>
          <w:color w:val="auto"/>
          <w:spacing w:val="-1"/>
          <w:sz w:val="21"/>
          <w:szCs w:val="21"/>
          <w:highlight w:val="none"/>
        </w:rPr>
        <w:t>7.3.2</w:t>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1"/>
          <w:sz w:val="21"/>
          <w:szCs w:val="21"/>
          <w:highlight w:val="none"/>
        </w:rPr>
        <w:t>项</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〔开工通知〕载明的开工日期前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3"/>
          <w:sz w:val="21"/>
          <w:szCs w:val="21"/>
          <w:highlight w:val="none"/>
        </w:rPr>
        <w:t>天，向监理人提交详细的施工组织设计， 并由监理人报送</w:t>
      </w:r>
      <w:r>
        <w:rPr>
          <w:rFonts w:ascii="宋体" w:hAnsi="宋体" w:eastAsia="宋体" w:cs="宋体"/>
          <w:color w:val="auto"/>
          <w:sz w:val="21"/>
          <w:szCs w:val="21"/>
          <w:highlight w:val="none"/>
        </w:rPr>
        <w:t>发包人</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除专用合同条款另有约定外，发包人和监理人应在监理人收到施工组织设计后</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3"/>
          <w:sz w:val="21"/>
          <w:szCs w:val="21"/>
          <w:highlight w:val="none"/>
        </w:rPr>
        <w:t>天内确认或</w:t>
      </w:r>
      <w:r>
        <w:rPr>
          <w:rFonts w:ascii="宋体" w:hAnsi="宋体" w:eastAsia="宋体" w:cs="宋体"/>
          <w:color w:val="auto"/>
          <w:sz w:val="21"/>
          <w:szCs w:val="21"/>
          <w:highlight w:val="none"/>
        </w:rPr>
        <w:t xml:space="preserve"> 提出修改意见。对发包人和监理人提出的合理意见和要求，承包人应自费修改完善。根据</w:t>
      </w:r>
      <w:r>
        <w:rPr>
          <w:rFonts w:ascii="宋体" w:hAnsi="宋体" w:eastAsia="宋体" w:cs="宋体"/>
          <w:color w:val="auto"/>
          <w:spacing w:val="-1"/>
          <w:sz w:val="21"/>
          <w:szCs w:val="21"/>
          <w:highlight w:val="none"/>
        </w:rPr>
        <w:t>工程实际情况需要修改施工组织设计的，承包人应向发包人和监理人提交修改后的施工组织设计。</w:t>
      </w:r>
    </w:p>
    <w:p>
      <w:pPr>
        <w:spacing w:before="147"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施工进度计划的编制和修改按照第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7.2 </w:t>
      </w:r>
      <w:r>
        <w:rPr>
          <w:rFonts w:ascii="宋体" w:hAnsi="宋体" w:eastAsia="宋体" w:cs="宋体"/>
          <w:color w:val="auto"/>
          <w:spacing w:val="-1"/>
          <w:sz w:val="21"/>
          <w:szCs w:val="21"/>
          <w:highlight w:val="none"/>
        </w:rPr>
        <w:t>款〔施工进度计划〕执行。</w:t>
      </w:r>
    </w:p>
    <w:p>
      <w:pPr>
        <w:spacing w:before="125"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施工进度计划</w:t>
      </w:r>
    </w:p>
    <w:p>
      <w:pPr>
        <w:spacing w:before="148" w:line="352" w:lineRule="auto"/>
        <w:ind w:right="160"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7.2.1  施工进度计划的编制</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承包人应按照第 7.1 款〔施工组织设计〕约定提交详细的施工进度计划，施工进度计划的编制应当符合国家法律规定和一般工程实践惯例，施工进度计划经发包人批准后实施。施工进度计</w:t>
      </w:r>
      <w:bookmarkStart w:id="196" w:name="bookmark236"/>
      <w:bookmarkEnd w:id="196"/>
      <w:bookmarkStart w:id="197" w:name="bookmark235"/>
      <w:bookmarkEnd w:id="197"/>
      <w:bookmarkStart w:id="198" w:name="bookmark237"/>
      <w:bookmarkEnd w:id="198"/>
      <w:r>
        <w:rPr>
          <w:rFonts w:ascii="宋体" w:hAnsi="宋体" w:eastAsia="宋体" w:cs="宋体"/>
          <w:color w:val="auto"/>
          <w:spacing w:val="-1"/>
          <w:sz w:val="21"/>
          <w:szCs w:val="21"/>
          <w:highlight w:val="none"/>
        </w:rPr>
        <w:t>划是控制工程进度的依据，发包人和监理人有权按照施工进度计划检查工程进度情况。</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7.2.2  施工进度计划的修订</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施工进度计划不符合合同要求或与工程的实际进度不一致的， 承包人应向监理人提交修订的施工进度计划， 并附具有关措施和相关资料， 由监理人报送发包人。除专用合同条款另有约定外， 发包人和监理人应在收到修订的施工进度计划后 7 天内完成审核和批准或提出修改意见。发包人和监理人对承包人提交的施工进度计划的确认，不能减轻或免除承包人根据法律规定和合同约定应承担的任何责任或义务。</w:t>
      </w:r>
    </w:p>
    <w:p>
      <w:pPr>
        <w:spacing w:before="124" w:line="222"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7.3</w:t>
      </w:r>
      <w:r>
        <w:rPr>
          <w:rFonts w:ascii="Times New Roman" w:hAnsi="Times New Roman" w:eastAsia="Times New Roman" w:cs="Times New Roman"/>
          <w:b/>
          <w:bCs/>
          <w:color w:val="auto"/>
          <w:spacing w:val="6"/>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开工</w:t>
      </w:r>
    </w:p>
    <w:p>
      <w:pPr>
        <w:spacing w:before="137" w:line="222"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开工准备</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除专用合同条款另有约定外，承包人应按照第 7.1 款〔施工组织设计〕约定的期限，向监理 人提交工程开工报审表， 经监理人报发包人批准后执行。开工报审表应详细说明按施工进度计划 正常施工所需的施工道路、临时设施、材料、工程设备、施工设备、施工人员等落实情况以及工程的进度安排。</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除专用合同条款另有约定外，合同当事人应按约定完成开工准备工作。</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7.3.2  开工通知</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发包人应按照法律规定获得工程施工所需的许可。经发包人同意后，监理人发出的开工通知 应符合法律规定。监理人应在计划开工日期 7 天前向承包人发出开工通知， 工期自开工通知中载明的开工日期起算。</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除专用合同条款另有约定外，因发包人原因造成监理人未能在计划开工日期之日起 90  天内 发出开工通知的，承包人有权提出价格调整要求， 或者解除合同。发包人应当承担由此增加的费用和（或） 延误的工期， 并向承包人支付合理利润。</w:t>
      </w:r>
    </w:p>
    <w:p>
      <w:pPr>
        <w:spacing w:before="123" w:line="217"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测量放线</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7.4.1  除专用合同条款另有约定外，发包人应在至迟不得晚于第 7.3.2 项〔开工通知〕载明的 开工日期前 7 天通过监理人向承包人提供测量基准点、基准线和水准点及其书面资料。发包人应对其提供的测量基准点、基准线和水准点及其书面资料的真实性、准确性和完整性负责。</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承包人发现发包人提供的测量基准点、基准线和水准点及其书面资料存在错误或疏漏的，应 及时通知监理人。监理人应及时报告发包人， 并会同发包人和承包人予以核实。发包人应就如何处理和是否继续施工作出决定， 并通知监理人和承包人。</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7.4.2  承包人负责施工过程中的全部施工测量放线工作，并配置具有相应资质的人员、合格 的仪器、设备和其他物品。承包人应矫正工程的位置、标高、尺寸或准线中出现的任何差错，并对工程各部分的定位负责。</w:t>
      </w:r>
    </w:p>
    <w:p>
      <w:pPr>
        <w:spacing w:before="148" w:line="352" w:lineRule="auto"/>
        <w:ind w:right="160" w:firstLine="419"/>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施工过程中对施工现场内水准点等测量标志物的保护工作由承包人负责。</w:t>
      </w:r>
    </w:p>
    <w:p>
      <w:pPr>
        <w:spacing w:before="125"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工期延误</w:t>
      </w:r>
    </w:p>
    <w:p>
      <w:pPr>
        <w:spacing w:before="140"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7.5.1  </w:t>
      </w:r>
      <w:r>
        <w:rPr>
          <w:rFonts w:ascii="宋体" w:hAnsi="宋体" w:eastAsia="宋体" w:cs="宋体"/>
          <w:color w:val="auto"/>
          <w:spacing w:val="-1"/>
          <w:sz w:val="21"/>
          <w:szCs w:val="21"/>
          <w:highlight w:val="none"/>
        </w:rPr>
        <w:t>因发包人原因导致工期延误</w:t>
      </w:r>
    </w:p>
    <w:p>
      <w:pPr>
        <w:spacing w:before="148" w:line="221" w:lineRule="auto"/>
        <w:ind w:left="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在合同履行过程中， 因下列情况导致工期延误和（或）费用增加的，由发包人承担由此延误</w:t>
      </w:r>
    </w:p>
    <w:p>
      <w:pPr>
        <w:spacing w:before="124" w:line="221" w:lineRule="auto"/>
        <w:ind w:left="18"/>
        <w:rPr>
          <w:rFonts w:ascii="宋体" w:hAnsi="宋体" w:eastAsia="宋体" w:cs="宋体"/>
          <w:color w:val="auto"/>
          <w:sz w:val="21"/>
          <w:szCs w:val="21"/>
          <w:highlight w:val="none"/>
        </w:rPr>
      </w:pPr>
      <w:bookmarkStart w:id="199" w:name="bookmark238"/>
      <w:bookmarkEnd w:id="199"/>
      <w:r>
        <w:rPr>
          <w:rFonts w:ascii="宋体" w:hAnsi="宋体" w:eastAsia="宋体" w:cs="宋体"/>
          <w:color w:val="auto"/>
          <w:spacing w:val="-5"/>
          <w:sz w:val="21"/>
          <w:szCs w:val="21"/>
          <w:highlight w:val="none"/>
        </w:rPr>
        <w:t>的工期和（或） 增加的费用，且发包人应支付承包人合理的利润：</w:t>
      </w:r>
    </w:p>
    <w:p>
      <w:pPr>
        <w:spacing w:before="149"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）发包人未能按合同约定提供图纸或所提供图纸不符合合同</w:t>
      </w:r>
      <w:r>
        <w:rPr>
          <w:rFonts w:ascii="宋体" w:hAnsi="宋体" w:eastAsia="宋体" w:cs="宋体"/>
          <w:color w:val="auto"/>
          <w:spacing w:val="-2"/>
          <w:sz w:val="21"/>
          <w:szCs w:val="21"/>
          <w:highlight w:val="none"/>
        </w:rPr>
        <w:t>约定的；</w:t>
      </w:r>
    </w:p>
    <w:p>
      <w:pPr>
        <w:spacing w:before="150" w:line="399" w:lineRule="exact"/>
        <w:ind w:right="12"/>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）发包人未能按合同约定提供施工现场、施工条件、基础资料、许可、批准等开工条件</w:t>
      </w:r>
    </w:p>
    <w:p>
      <w:pPr>
        <w:spacing w:line="222" w:lineRule="auto"/>
        <w:ind w:left="18"/>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的；</w:t>
      </w:r>
    </w:p>
    <w:p>
      <w:pPr>
        <w:spacing w:before="147" w:line="401" w:lineRule="exact"/>
        <w:ind w:left="42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）发包人提供的测量基准点、基准线和水准点及其书面资料存在错</w:t>
      </w:r>
      <w:r>
        <w:rPr>
          <w:rFonts w:ascii="宋体" w:hAnsi="宋体" w:eastAsia="宋体" w:cs="宋体"/>
          <w:color w:val="auto"/>
          <w:spacing w:val="-2"/>
          <w:position w:val="14"/>
          <w:sz w:val="21"/>
          <w:szCs w:val="21"/>
          <w:highlight w:val="none"/>
        </w:rPr>
        <w:t>误或疏漏的；</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）发包人未能在计划开工日期之日起</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天内同意下达开工通知的；</w:t>
      </w:r>
    </w:p>
    <w:p>
      <w:pPr>
        <w:spacing w:before="147" w:line="401" w:lineRule="exact"/>
        <w:ind w:left="42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5</w:t>
      </w:r>
      <w:r>
        <w:rPr>
          <w:rFonts w:ascii="宋体" w:hAnsi="宋体" w:eastAsia="宋体" w:cs="宋体"/>
          <w:color w:val="auto"/>
          <w:spacing w:val="-1"/>
          <w:position w:val="14"/>
          <w:sz w:val="21"/>
          <w:szCs w:val="21"/>
          <w:highlight w:val="none"/>
        </w:rPr>
        <w:t>）发包人未能按合同约定日期支付工程预付款、进度款或竣工结算款</w:t>
      </w:r>
      <w:r>
        <w:rPr>
          <w:rFonts w:ascii="宋体" w:hAnsi="宋体" w:eastAsia="宋体" w:cs="宋体"/>
          <w:color w:val="auto"/>
          <w:spacing w:val="-2"/>
          <w:position w:val="14"/>
          <w:sz w:val="21"/>
          <w:szCs w:val="21"/>
          <w:highlight w:val="none"/>
        </w:rPr>
        <w:t>的；</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）监理人未按合同约定发出指示、批准等文件的；</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）专用合同条款中约定的其他情形。</w:t>
      </w:r>
    </w:p>
    <w:p>
      <w:pPr>
        <w:spacing w:before="148" w:line="352" w:lineRule="auto"/>
        <w:ind w:left="3" w:firstLine="43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因发包人原因未按计划开工日期开工的， 发包人</w:t>
      </w:r>
      <w:r>
        <w:rPr>
          <w:rFonts w:ascii="宋体" w:hAnsi="宋体" w:eastAsia="宋体" w:cs="宋体"/>
          <w:color w:val="auto"/>
          <w:spacing w:val="-6"/>
          <w:sz w:val="21"/>
          <w:szCs w:val="21"/>
          <w:highlight w:val="none"/>
        </w:rPr>
        <w:t>应按实际开工日期顺延竣工日期， 确保实际</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工期不低于合同约定的工期总日历天数。因发包人原因导致工期延误</w:t>
      </w:r>
      <w:r>
        <w:rPr>
          <w:rFonts w:ascii="宋体" w:hAnsi="宋体" w:eastAsia="宋体" w:cs="宋体"/>
          <w:color w:val="auto"/>
          <w:spacing w:val="-2"/>
          <w:sz w:val="21"/>
          <w:szCs w:val="21"/>
          <w:highlight w:val="none"/>
        </w:rPr>
        <w:t>需要修订施工进度计划的，按照第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7.2.2 </w:t>
      </w:r>
      <w:r>
        <w:rPr>
          <w:rFonts w:ascii="宋体" w:hAnsi="宋体" w:eastAsia="宋体" w:cs="宋体"/>
          <w:color w:val="auto"/>
          <w:spacing w:val="-2"/>
          <w:sz w:val="21"/>
          <w:szCs w:val="21"/>
          <w:highlight w:val="none"/>
        </w:rPr>
        <w:t>项〔施工进度计划的修订〕执行。</w:t>
      </w:r>
    </w:p>
    <w:p>
      <w:pPr>
        <w:spacing w:before="147"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7.5.2  </w:t>
      </w:r>
      <w:r>
        <w:rPr>
          <w:rFonts w:ascii="宋体" w:hAnsi="宋体" w:eastAsia="宋体" w:cs="宋体"/>
          <w:color w:val="auto"/>
          <w:spacing w:val="-1"/>
          <w:sz w:val="21"/>
          <w:szCs w:val="21"/>
          <w:highlight w:val="none"/>
        </w:rPr>
        <w:t>因承包人原因导致工期延误</w:t>
      </w:r>
    </w:p>
    <w:p>
      <w:pPr>
        <w:spacing w:before="150" w:line="351" w:lineRule="auto"/>
        <w:ind w:left="3" w:firstLine="43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因承包人原因造成工期延误的， 可以在专用合同条款中约定逾期竣工违约金的计算方法</w:t>
      </w:r>
      <w:r>
        <w:rPr>
          <w:rFonts w:ascii="宋体" w:hAnsi="宋体" w:eastAsia="宋体" w:cs="宋体"/>
          <w:color w:val="auto"/>
          <w:spacing w:val="-4"/>
          <w:sz w:val="21"/>
          <w:szCs w:val="21"/>
          <w:highlight w:val="none"/>
        </w:rPr>
        <w:t>和逾</w:t>
      </w:r>
      <w:r>
        <w:rPr>
          <w:rFonts w:ascii="宋体" w:hAnsi="宋体" w:eastAsia="宋体" w:cs="宋体"/>
          <w:color w:val="auto"/>
          <w:sz w:val="21"/>
          <w:szCs w:val="21"/>
          <w:highlight w:val="none"/>
        </w:rPr>
        <w:t>期竣工违约金的上限。承包人支付逾期竣工违约金后，不免除承包人继续完成工程</w:t>
      </w:r>
      <w:r>
        <w:rPr>
          <w:rFonts w:ascii="宋体" w:hAnsi="宋体" w:eastAsia="宋体" w:cs="宋体"/>
          <w:color w:val="auto"/>
          <w:spacing w:val="-1"/>
          <w:sz w:val="21"/>
          <w:szCs w:val="21"/>
          <w:highlight w:val="none"/>
        </w:rPr>
        <w:t>及修补缺陷的</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义务。</w:t>
      </w:r>
    </w:p>
    <w:p>
      <w:pPr>
        <w:spacing w:before="125"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7.6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不利物质条件</w:t>
      </w:r>
    </w:p>
    <w:p>
      <w:pPr>
        <w:spacing w:before="142" w:line="351" w:lineRule="auto"/>
        <w:ind w:left="1"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不利物质条件是指有经验的承包人在施工现场遇到的不可预见的自然物质条</w:t>
      </w:r>
      <w:r>
        <w:rPr>
          <w:rFonts w:ascii="宋体" w:hAnsi="宋体" w:eastAsia="宋体" w:cs="宋体"/>
          <w:color w:val="auto"/>
          <w:spacing w:val="-1"/>
          <w:sz w:val="21"/>
          <w:szCs w:val="21"/>
          <w:highlight w:val="none"/>
        </w:rPr>
        <w:t>件、非自然的物</w:t>
      </w:r>
      <w:r>
        <w:rPr>
          <w:rFonts w:ascii="宋体" w:hAnsi="宋体" w:eastAsia="宋体" w:cs="宋体"/>
          <w:color w:val="auto"/>
          <w:sz w:val="21"/>
          <w:szCs w:val="21"/>
          <w:highlight w:val="none"/>
        </w:rPr>
        <w:t>质障碍和污染物，包括地表以下物质条件和水文条件以及专用合同条款约定的其他情形</w:t>
      </w:r>
      <w:r>
        <w:rPr>
          <w:rFonts w:ascii="宋体" w:hAnsi="宋体" w:eastAsia="宋体" w:cs="宋体"/>
          <w:color w:val="auto"/>
          <w:spacing w:val="-1"/>
          <w:sz w:val="21"/>
          <w:szCs w:val="21"/>
          <w:highlight w:val="none"/>
        </w:rPr>
        <w:t>，但不包括气候条件。</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承包人遇到不利物质条件时，应采取克服不利物质条件的合理措施继续施工，并及</w:t>
      </w:r>
      <w:r>
        <w:rPr>
          <w:rFonts w:ascii="宋体" w:hAnsi="宋体" w:eastAsia="宋体" w:cs="宋体"/>
          <w:color w:val="auto"/>
          <w:spacing w:val="-1"/>
          <w:sz w:val="21"/>
          <w:szCs w:val="21"/>
          <w:highlight w:val="none"/>
        </w:rPr>
        <w:t>时通知发</w:t>
      </w:r>
      <w:r>
        <w:rPr>
          <w:rFonts w:ascii="宋体" w:hAnsi="宋体" w:eastAsia="宋体" w:cs="宋体"/>
          <w:color w:val="auto"/>
          <w:sz w:val="21"/>
          <w:szCs w:val="21"/>
          <w:highlight w:val="none"/>
        </w:rPr>
        <w:t>包人和监理人。通知应载明不利物质条件的内容以及承包人认为不可预见的理由。监理人</w:t>
      </w:r>
      <w:r>
        <w:rPr>
          <w:rFonts w:ascii="宋体" w:hAnsi="宋体" w:eastAsia="宋体" w:cs="宋体"/>
          <w:color w:val="auto"/>
          <w:spacing w:val="-1"/>
          <w:sz w:val="21"/>
          <w:szCs w:val="21"/>
          <w:highlight w:val="none"/>
        </w:rPr>
        <w:t>经发包</w:t>
      </w:r>
      <w:r>
        <w:rPr>
          <w:rFonts w:ascii="宋体" w:hAnsi="宋体" w:eastAsia="宋体" w:cs="宋体"/>
          <w:color w:val="auto"/>
          <w:sz w:val="21"/>
          <w:szCs w:val="21"/>
          <w:highlight w:val="none"/>
        </w:rPr>
        <w:t xml:space="preserve">人同意后应当及时发出指示，指示构成变更的，按第 </w:t>
      </w:r>
      <w:r>
        <w:rPr>
          <w:rFonts w:ascii="Times New Roman" w:hAnsi="Times New Roman" w:eastAsia="Times New Roman" w:cs="Times New Roman"/>
          <w:color w:val="auto"/>
          <w:sz w:val="21"/>
          <w:szCs w:val="21"/>
          <w:highlight w:val="none"/>
        </w:rPr>
        <w:t xml:space="preserve">10  </w:t>
      </w:r>
      <w:r>
        <w:rPr>
          <w:rFonts w:ascii="宋体" w:hAnsi="宋体" w:eastAsia="宋体" w:cs="宋体"/>
          <w:color w:val="auto"/>
          <w:sz w:val="21"/>
          <w:szCs w:val="21"/>
          <w:highlight w:val="none"/>
        </w:rPr>
        <w:t>条〔变更〕约定执行。承包人</w:t>
      </w:r>
      <w:r>
        <w:rPr>
          <w:rFonts w:ascii="宋体" w:hAnsi="宋体" w:eastAsia="宋体" w:cs="宋体"/>
          <w:color w:val="auto"/>
          <w:spacing w:val="-1"/>
          <w:sz w:val="21"/>
          <w:szCs w:val="21"/>
          <w:highlight w:val="none"/>
        </w:rPr>
        <w:t>因采取合理措施而增加的费用和（或）延误的工期由发包人承</w:t>
      </w:r>
      <w:r>
        <w:rPr>
          <w:rFonts w:ascii="宋体" w:hAnsi="宋体" w:eastAsia="宋体" w:cs="宋体"/>
          <w:color w:val="auto"/>
          <w:spacing w:val="-2"/>
          <w:sz w:val="21"/>
          <w:szCs w:val="21"/>
          <w:highlight w:val="none"/>
        </w:rPr>
        <w:t>担。</w:t>
      </w:r>
    </w:p>
    <w:p>
      <w:pPr>
        <w:spacing w:before="124"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7.7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异常恶劣的气候条件</w:t>
      </w:r>
    </w:p>
    <w:p>
      <w:pPr>
        <w:spacing w:before="142" w:line="351" w:lineRule="auto"/>
        <w:ind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异常恶劣的气候条件是指在施工过程中遇到的，有经验的承包人在签订合同时</w:t>
      </w:r>
      <w:r>
        <w:rPr>
          <w:rFonts w:ascii="宋体" w:hAnsi="宋体" w:eastAsia="宋体" w:cs="宋体"/>
          <w:color w:val="auto"/>
          <w:spacing w:val="-1"/>
          <w:sz w:val="21"/>
          <w:szCs w:val="21"/>
          <w:highlight w:val="none"/>
        </w:rPr>
        <w:t>不可预见的，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对合同履行造成实质性影响的， 但尚未构成不</w:t>
      </w:r>
      <w:r>
        <w:rPr>
          <w:rFonts w:ascii="宋体" w:hAnsi="宋体" w:eastAsia="宋体" w:cs="宋体"/>
          <w:color w:val="auto"/>
          <w:spacing w:val="-3"/>
          <w:sz w:val="21"/>
          <w:szCs w:val="21"/>
          <w:highlight w:val="none"/>
        </w:rPr>
        <w:t>可抗力事件的恶劣气候条件。合同当事人可以在专</w:t>
      </w:r>
      <w:r>
        <w:rPr>
          <w:rFonts w:ascii="宋体" w:hAnsi="宋体" w:eastAsia="宋体" w:cs="宋体"/>
          <w:color w:val="auto"/>
          <w:spacing w:val="-1"/>
          <w:sz w:val="21"/>
          <w:szCs w:val="21"/>
          <w:highlight w:val="none"/>
        </w:rPr>
        <w:t>用合同条款中约定异常恶劣的气候条件的具体情形。</w:t>
      </w:r>
    </w:p>
    <w:p>
      <w:pPr>
        <w:spacing w:before="151" w:line="351" w:lineRule="auto"/>
        <w:ind w:left="1"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承包人应采取克服异常恶劣的气候条件的合理措施继续施工， 并及时通知发包人和监理人。</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监理人经发包人同意后应当及时发出指示，</w:t>
      </w:r>
      <w:r>
        <w:rPr>
          <w:rFonts w:ascii="宋体" w:hAnsi="宋体" w:eastAsia="宋体" w:cs="宋体"/>
          <w:color w:val="auto"/>
          <w:spacing w:val="-3"/>
          <w:sz w:val="21"/>
          <w:szCs w:val="21"/>
          <w:highlight w:val="none"/>
        </w:rPr>
        <w:t>指示构成变更的，</w:t>
      </w:r>
      <w:r>
        <w:rPr>
          <w:rFonts w:ascii="宋体" w:hAnsi="宋体" w:eastAsia="宋体" w:cs="宋体"/>
          <w:color w:val="auto"/>
          <w:spacing w:val="-21"/>
          <w:sz w:val="21"/>
          <w:szCs w:val="21"/>
          <w:highlight w:val="none"/>
        </w:rPr>
        <w:t xml:space="preserve"> </w:t>
      </w:r>
      <w:r>
        <w:rPr>
          <w:rFonts w:ascii="宋体" w:hAnsi="宋体" w:eastAsia="宋体" w:cs="宋体"/>
          <w:color w:val="auto"/>
          <w:spacing w:val="-3"/>
          <w:sz w:val="21"/>
          <w:szCs w:val="21"/>
          <w:highlight w:val="none"/>
        </w:rPr>
        <w:t>按第</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10  </w:t>
      </w:r>
      <w:r>
        <w:rPr>
          <w:rFonts w:ascii="宋体" w:hAnsi="宋体" w:eastAsia="宋体" w:cs="宋体"/>
          <w:color w:val="auto"/>
          <w:spacing w:val="-3"/>
          <w:sz w:val="21"/>
          <w:szCs w:val="21"/>
          <w:highlight w:val="none"/>
        </w:rPr>
        <w:t>条〔变更〕约定办理。承</w:t>
      </w:r>
      <w:r>
        <w:rPr>
          <w:rFonts w:ascii="宋体" w:hAnsi="宋体" w:eastAsia="宋体" w:cs="宋体"/>
          <w:color w:val="auto"/>
          <w:spacing w:val="-1"/>
          <w:sz w:val="21"/>
          <w:szCs w:val="21"/>
          <w:highlight w:val="none"/>
        </w:rPr>
        <w:t>包人因采取合理措施而增加的费用和（或）延误的工期由发包人承担。</w:t>
      </w:r>
    </w:p>
    <w:p>
      <w:pPr>
        <w:spacing w:before="127"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7.8</w:t>
      </w:r>
      <w:r>
        <w:rPr>
          <w:rFonts w:ascii="Times New Roman" w:hAnsi="Times New Roman" w:eastAsia="Times New Roman" w:cs="Times New Roman"/>
          <w:b/>
          <w:bCs/>
          <w:color w:val="auto"/>
          <w:spacing w:val="11"/>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暂停施工</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7.8.1 发包人原因引起的暂停施工</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因发包人原因引起暂停施工的， 监理人经发包人同意后，应及时下达暂停施工指示。情况紧急且监理人未及时下达暂停施工指示的，按照第 7.8.4 项〔紧急情况下的暂停施工〕执行。</w:t>
      </w:r>
    </w:p>
    <w:p>
      <w:pPr>
        <w:spacing w:before="148" w:line="352" w:lineRule="auto"/>
        <w:ind w:firstLine="420"/>
        <w:jc w:val="both"/>
        <w:rPr>
          <w:rFonts w:ascii="宋体" w:hAnsi="宋体" w:eastAsia="宋体" w:cs="宋体"/>
          <w:color w:val="auto"/>
          <w:sz w:val="21"/>
          <w:szCs w:val="21"/>
          <w:highlight w:val="none"/>
        </w:rPr>
      </w:pPr>
      <w:bookmarkStart w:id="200" w:name="bookmark239"/>
      <w:bookmarkEnd w:id="200"/>
      <w:r>
        <w:rPr>
          <w:rFonts w:ascii="宋体" w:hAnsi="宋体" w:eastAsia="宋体" w:cs="宋体"/>
          <w:color w:val="auto"/>
          <w:sz w:val="21"/>
          <w:szCs w:val="21"/>
          <w:highlight w:val="none"/>
        </w:rPr>
        <w:t>因发包人原因引起的暂停施工， 发包人应承担由此增加的费用和（或）延误的工期，并支付承包人合理的利润。</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7.8.2  承包人原因引起的暂停施工</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因承包人原因引起的暂停施工， 承包人应承担由此增加的费用和（或） 延误的工期，且承包 人在收到监理人复工指示后 84 天内仍未复工的，视为第 16.2.1 项〔承包人违约的情形〕第（7）目约定的承包人无法继续履行合同的情形。</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7.8.3  指示暂停施工</w:t>
      </w:r>
    </w:p>
    <w:p>
      <w:pPr>
        <w:spacing w:before="148" w:line="352" w:lineRule="auto"/>
        <w:ind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监理人认为有必要时，并经发包人批准后，可向承包人作出暂停施工的指示，承包人应按监理人指示暂停施工。</w:t>
      </w:r>
    </w:p>
    <w:p>
      <w:pPr>
        <w:spacing w:before="146"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7.8.4  </w:t>
      </w:r>
      <w:r>
        <w:rPr>
          <w:rFonts w:ascii="宋体" w:hAnsi="宋体" w:eastAsia="宋体" w:cs="宋体"/>
          <w:color w:val="auto"/>
          <w:spacing w:val="-1"/>
          <w:sz w:val="21"/>
          <w:szCs w:val="21"/>
          <w:highlight w:val="none"/>
        </w:rPr>
        <w:t>紧急情况下的暂停施工</w:t>
      </w:r>
    </w:p>
    <w:p>
      <w:pPr>
        <w:spacing w:before="149" w:line="352" w:lineRule="auto"/>
        <w:ind w:left="7" w:right="177" w:firstLine="42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因紧急情况需暂停施工，</w:t>
      </w:r>
      <w:r>
        <w:rPr>
          <w:rFonts w:ascii="宋体" w:hAnsi="宋体" w:eastAsia="宋体" w:cs="宋体"/>
          <w:color w:val="auto"/>
          <w:spacing w:val="-23"/>
          <w:sz w:val="21"/>
          <w:szCs w:val="21"/>
          <w:highlight w:val="none"/>
        </w:rPr>
        <w:t xml:space="preserve"> </w:t>
      </w:r>
      <w:r>
        <w:rPr>
          <w:rFonts w:ascii="宋体" w:hAnsi="宋体" w:eastAsia="宋体" w:cs="宋体"/>
          <w:color w:val="auto"/>
          <w:spacing w:val="-5"/>
          <w:sz w:val="21"/>
          <w:szCs w:val="21"/>
          <w:highlight w:val="none"/>
        </w:rPr>
        <w:t xml:space="preserve">且监理人未及时下达暂停施工指示的，承包人可先暂停施工， </w:t>
      </w:r>
      <w:r>
        <w:rPr>
          <w:rFonts w:ascii="宋体" w:hAnsi="宋体" w:eastAsia="宋体" w:cs="宋体"/>
          <w:color w:val="auto"/>
          <w:spacing w:val="-6"/>
          <w:sz w:val="21"/>
          <w:szCs w:val="21"/>
          <w:highlight w:val="none"/>
        </w:rPr>
        <w:t>并及</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时通知监理人。监理人应在接到通知后 </w:t>
      </w:r>
      <w:r>
        <w:rPr>
          <w:rFonts w:ascii="Times New Roman" w:hAnsi="Times New Roman" w:eastAsia="Times New Roman" w:cs="Times New Roman"/>
          <w:color w:val="auto"/>
          <w:spacing w:val="-2"/>
          <w:sz w:val="21"/>
          <w:szCs w:val="21"/>
          <w:highlight w:val="none"/>
        </w:rPr>
        <w:t xml:space="preserve">24  </w:t>
      </w:r>
      <w:r>
        <w:rPr>
          <w:rFonts w:ascii="宋体" w:hAnsi="宋体" w:eastAsia="宋体" w:cs="宋体"/>
          <w:color w:val="auto"/>
          <w:spacing w:val="-2"/>
          <w:sz w:val="21"/>
          <w:szCs w:val="21"/>
          <w:highlight w:val="none"/>
        </w:rPr>
        <w:t>小时内发出指示，</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逾期未发出指示，视为同意承包人</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暂停施工。监理人不同意承包人暂停施工的，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应说明理由，承包人对监理人的</w:t>
      </w:r>
      <w:r>
        <w:rPr>
          <w:rFonts w:ascii="宋体" w:hAnsi="宋体" w:eastAsia="宋体" w:cs="宋体"/>
          <w:color w:val="auto"/>
          <w:spacing w:val="-5"/>
          <w:sz w:val="21"/>
          <w:szCs w:val="21"/>
          <w:highlight w:val="none"/>
        </w:rPr>
        <w:t>答复有异议，</w:t>
      </w:r>
      <w:r>
        <w:rPr>
          <w:rFonts w:ascii="宋体" w:hAnsi="宋体" w:eastAsia="宋体" w:cs="宋体"/>
          <w:color w:val="auto"/>
          <w:spacing w:val="-21"/>
          <w:sz w:val="21"/>
          <w:szCs w:val="21"/>
          <w:highlight w:val="none"/>
        </w:rPr>
        <w:t xml:space="preserve"> </w:t>
      </w:r>
      <w:r>
        <w:rPr>
          <w:rFonts w:ascii="宋体" w:hAnsi="宋体" w:eastAsia="宋体" w:cs="宋体"/>
          <w:color w:val="auto"/>
          <w:spacing w:val="-5"/>
          <w:sz w:val="21"/>
          <w:szCs w:val="21"/>
          <w:highlight w:val="none"/>
        </w:rPr>
        <w:t>按照</w:t>
      </w:r>
      <w:r>
        <w:rPr>
          <w:rFonts w:ascii="宋体" w:hAnsi="宋体" w:eastAsia="宋体" w:cs="宋体"/>
          <w:color w:val="auto"/>
          <w:spacing w:val="-2"/>
          <w:sz w:val="21"/>
          <w:szCs w:val="21"/>
          <w:highlight w:val="none"/>
        </w:rPr>
        <w:t>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条〔争议解决〕约定处理。</w:t>
      </w:r>
    </w:p>
    <w:p>
      <w:pPr>
        <w:spacing w:before="150"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7.8.5  </w:t>
      </w:r>
      <w:r>
        <w:rPr>
          <w:rFonts w:ascii="宋体" w:hAnsi="宋体" w:eastAsia="宋体" w:cs="宋体"/>
          <w:color w:val="auto"/>
          <w:spacing w:val="-1"/>
          <w:sz w:val="21"/>
          <w:szCs w:val="21"/>
          <w:highlight w:val="none"/>
        </w:rPr>
        <w:t>暂停施工后的复工</w:t>
      </w:r>
    </w:p>
    <w:p>
      <w:pPr>
        <w:spacing w:before="146" w:line="353" w:lineRule="auto"/>
        <w:ind w:left="3" w:right="17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暂停施工后，发包人和承包人应采取有效措施积极消除暂停施工的影响。在工程复工前，监理人会同发包人和承包人确定因暂停施工造成的损失，并确定工程复工条件。当工程具备复工条件时， 监理人应经发包人批准后向承包人发出复工通知， 承包人应按照复工通知要求复工。</w:t>
      </w:r>
    </w:p>
    <w:p>
      <w:pPr>
        <w:spacing w:before="146" w:line="353" w:lineRule="auto"/>
        <w:ind w:left="3" w:right="17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承包人无故拖延和拒绝复工的， 承包人承担由此增加的费用和（或）延误的工期； 因发包人原因无法按时复工的，按照第 7.5.1 项〔因发包人原因导致工期延误〕约定办理。</w:t>
      </w:r>
    </w:p>
    <w:p>
      <w:pPr>
        <w:spacing w:before="146" w:line="353" w:lineRule="auto"/>
        <w:ind w:left="3" w:right="177"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7.8.6  暂停施工持续 56 天以上</w:t>
      </w:r>
    </w:p>
    <w:p>
      <w:pPr>
        <w:spacing w:before="147" w:line="352" w:lineRule="auto"/>
        <w:ind w:left="4" w:right="177"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监理人发出暂停施工指示后 </w:t>
      </w:r>
      <w:r>
        <w:rPr>
          <w:rFonts w:ascii="Times New Roman" w:hAnsi="Times New Roman" w:eastAsia="Times New Roman" w:cs="Times New Roman"/>
          <w:color w:val="auto"/>
          <w:sz w:val="21"/>
          <w:szCs w:val="21"/>
          <w:highlight w:val="none"/>
        </w:rPr>
        <w:t xml:space="preserve">56  </w:t>
      </w:r>
      <w:r>
        <w:rPr>
          <w:rFonts w:ascii="宋体" w:hAnsi="宋体" w:eastAsia="宋体" w:cs="宋体"/>
          <w:color w:val="auto"/>
          <w:sz w:val="21"/>
          <w:szCs w:val="21"/>
          <w:highlight w:val="none"/>
        </w:rPr>
        <w:t xml:space="preserve">天内未向承包人发出复工通知，除该项停工属于第 </w:t>
      </w:r>
      <w:r>
        <w:rPr>
          <w:rFonts w:ascii="Times New Roman" w:hAnsi="Times New Roman" w:eastAsia="Times New Roman" w:cs="Times New Roman"/>
          <w:color w:val="auto"/>
          <w:sz w:val="21"/>
          <w:szCs w:val="21"/>
          <w:highlight w:val="none"/>
        </w:rPr>
        <w:t>7.8.</w:t>
      </w:r>
      <w:r>
        <w:rPr>
          <w:rFonts w:ascii="Times New Roman" w:hAnsi="Times New Roman" w:eastAsia="Times New Roman" w:cs="Times New Roman"/>
          <w:color w:val="auto"/>
          <w:spacing w:val="-1"/>
          <w:sz w:val="21"/>
          <w:szCs w:val="21"/>
          <w:highlight w:val="none"/>
        </w:rPr>
        <w:t xml:space="preserve">2  </w:t>
      </w:r>
      <w:r>
        <w:rPr>
          <w:rFonts w:ascii="宋体" w:hAnsi="宋体" w:eastAsia="宋体" w:cs="宋体"/>
          <w:color w:val="auto"/>
          <w:spacing w:val="-1"/>
          <w:sz w:val="21"/>
          <w:szCs w:val="21"/>
          <w:highlight w:val="none"/>
        </w:rPr>
        <w:t>项</w:t>
      </w:r>
      <w:r>
        <w:rPr>
          <w:rFonts w:ascii="宋体" w:hAnsi="宋体" w:eastAsia="宋体" w:cs="宋体"/>
          <w:color w:val="auto"/>
          <w:sz w:val="21"/>
          <w:szCs w:val="21"/>
          <w:highlight w:val="none"/>
        </w:rPr>
        <w:t xml:space="preserve"> 〔承包人原因引起的暂停施工〕及第 </w:t>
      </w:r>
      <w:r>
        <w:rPr>
          <w:rFonts w:ascii="Times New Roman" w:hAnsi="Times New Roman" w:eastAsia="Times New Roman" w:cs="Times New Roman"/>
          <w:color w:val="auto"/>
          <w:sz w:val="21"/>
          <w:szCs w:val="21"/>
          <w:highlight w:val="none"/>
        </w:rPr>
        <w:t xml:space="preserve">17  </w:t>
      </w:r>
      <w:r>
        <w:rPr>
          <w:rFonts w:ascii="宋体" w:hAnsi="宋体" w:eastAsia="宋体" w:cs="宋体"/>
          <w:color w:val="auto"/>
          <w:sz w:val="21"/>
          <w:szCs w:val="21"/>
          <w:highlight w:val="none"/>
        </w:rPr>
        <w:t>条〔不可抗力〕约定的情形外，承包人</w:t>
      </w:r>
      <w:r>
        <w:rPr>
          <w:rFonts w:ascii="宋体" w:hAnsi="宋体" w:eastAsia="宋体" w:cs="宋体"/>
          <w:color w:val="auto"/>
          <w:spacing w:val="-1"/>
          <w:sz w:val="21"/>
          <w:szCs w:val="21"/>
          <w:highlight w:val="none"/>
        </w:rPr>
        <w:t>可向发包人提交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书面通知，</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 xml:space="preserve">要求发包人在收到书面通知后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2"/>
          <w:sz w:val="21"/>
          <w:szCs w:val="21"/>
          <w:highlight w:val="none"/>
        </w:rPr>
        <w:t>天内准许已暂停施工的部分或全部工程继续施工。</w:t>
      </w:r>
      <w:r>
        <w:rPr>
          <w:rFonts w:ascii="宋体" w:hAnsi="宋体" w:eastAsia="宋体" w:cs="宋体"/>
          <w:color w:val="auto"/>
          <w:sz w:val="21"/>
          <w:szCs w:val="21"/>
          <w:highlight w:val="none"/>
        </w:rPr>
        <w:t xml:space="preserve"> 发包人逾期不予批准的，则承包人可以通知发包人，将工程受影响的部分视为按第 10.1  款〔变更的范围〕第（2）项的可取消工作。</w:t>
      </w:r>
    </w:p>
    <w:p>
      <w:pPr>
        <w:spacing w:before="147" w:line="352" w:lineRule="auto"/>
        <w:ind w:left="4" w:right="177"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暂停施工持续 84 天以上不复工的，且不属于第 7.8.2 项〔承包人原因引起的暂停施工〕及第 17  条〔不可抗力〕约定的情形，并影响到整个工程以及合同目的实现的， 承包人有权提出价格调整要求， 或者解除合同。解除合同的， 按照第 16.1.3 项〔因发包人违约解除合同〕执行。</w:t>
      </w:r>
    </w:p>
    <w:p>
      <w:pPr>
        <w:spacing w:before="147" w:line="352" w:lineRule="auto"/>
        <w:ind w:left="4" w:right="177"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7.8.7  暂停施工期间的工程照管</w:t>
      </w:r>
    </w:p>
    <w:p>
      <w:pPr>
        <w:spacing w:before="147" w:line="352" w:lineRule="auto"/>
        <w:ind w:left="4" w:right="177"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暂停施工期间， 承包人应负责妥善照管工程并提供安全保障， 由此增加的费用由责任方承担。</w:t>
      </w:r>
    </w:p>
    <w:p>
      <w:pPr>
        <w:spacing w:before="147" w:line="352" w:lineRule="auto"/>
        <w:ind w:left="4" w:right="177"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7.8.8  暂停施工的措施</w:t>
      </w:r>
    </w:p>
    <w:p>
      <w:pPr>
        <w:spacing w:before="147" w:line="352" w:lineRule="auto"/>
        <w:ind w:left="4" w:right="177"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暂停施工期间， 发包人和承包人均应采取必要的措施确保工程质量及安全， 防止因暂停施工扩大损失。</w:t>
      </w:r>
    </w:p>
    <w:p>
      <w:pPr>
        <w:spacing w:before="100" w:line="218" w:lineRule="auto"/>
        <w:outlineLvl w:val="6"/>
        <w:rPr>
          <w:rFonts w:ascii="黑体" w:hAnsi="黑体" w:eastAsia="黑体" w:cs="黑体"/>
          <w:color w:val="auto"/>
          <w:sz w:val="24"/>
          <w:szCs w:val="24"/>
          <w:highlight w:val="none"/>
        </w:rPr>
      </w:pPr>
      <w:bookmarkStart w:id="201" w:name="bookmark242"/>
      <w:bookmarkEnd w:id="201"/>
      <w:bookmarkStart w:id="202" w:name="bookmark241"/>
      <w:bookmarkEnd w:id="202"/>
      <w:bookmarkStart w:id="203" w:name="bookmark240"/>
      <w:bookmarkEnd w:id="203"/>
      <w:r>
        <w:rPr>
          <w:rFonts w:ascii="Times New Roman" w:hAnsi="Times New Roman" w:eastAsia="Times New Roman" w:cs="Times New Roman"/>
          <w:b/>
          <w:bCs/>
          <w:color w:val="auto"/>
          <w:spacing w:val="-1"/>
          <w:sz w:val="24"/>
          <w:szCs w:val="24"/>
          <w:highlight w:val="none"/>
        </w:rPr>
        <w:t xml:space="preserve">7.9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提前竣工</w:t>
      </w:r>
    </w:p>
    <w:p>
      <w:pPr>
        <w:spacing w:before="139" w:line="352" w:lineRule="auto"/>
        <w:ind w:firstLine="41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7.9.1  </w:t>
      </w:r>
      <w:r>
        <w:rPr>
          <w:rFonts w:ascii="宋体" w:hAnsi="宋体" w:eastAsia="宋体" w:cs="宋体"/>
          <w:color w:val="auto"/>
          <w:spacing w:val="2"/>
          <w:sz w:val="21"/>
          <w:szCs w:val="21"/>
          <w:highlight w:val="none"/>
        </w:rPr>
        <w:t>发包人要求承包人提前竣工的，发包人应通过监理人向承包人下达提</w:t>
      </w:r>
      <w:r>
        <w:rPr>
          <w:rFonts w:ascii="宋体" w:hAnsi="宋体" w:eastAsia="宋体" w:cs="宋体"/>
          <w:color w:val="auto"/>
          <w:spacing w:val="1"/>
          <w:sz w:val="21"/>
          <w:szCs w:val="21"/>
          <w:highlight w:val="none"/>
        </w:rPr>
        <w:t>前竣工指示，承</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包人应向发包人和监理人提交提前竣工建议书，提前竣工建议书应包括实施的方案、缩短的时间、</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增加的合同价格等内容。发包人接受该提前竣工建议书的，监理</w:t>
      </w:r>
      <w:r>
        <w:rPr>
          <w:rFonts w:ascii="宋体" w:hAnsi="宋体" w:eastAsia="宋体" w:cs="宋体"/>
          <w:color w:val="auto"/>
          <w:spacing w:val="-1"/>
          <w:sz w:val="21"/>
          <w:szCs w:val="21"/>
          <w:highlight w:val="none"/>
        </w:rPr>
        <w:t xml:space="preserve">人应与发包人和承包人协商采取  </w:t>
      </w:r>
      <w:r>
        <w:rPr>
          <w:rFonts w:ascii="宋体" w:hAnsi="宋体" w:eastAsia="宋体" w:cs="宋体"/>
          <w:color w:val="auto"/>
          <w:spacing w:val="-3"/>
          <w:sz w:val="21"/>
          <w:szCs w:val="21"/>
          <w:highlight w:val="none"/>
        </w:rPr>
        <w:t>加快工程进度的措施，并修订施工进度计划， 由此增加的费用由发包人承担。承包人认为提前竣</w:t>
      </w:r>
      <w:r>
        <w:rPr>
          <w:rFonts w:ascii="宋体" w:hAnsi="宋体" w:eastAsia="宋体" w:cs="宋体"/>
          <w:color w:val="auto"/>
          <w:spacing w:val="-4"/>
          <w:sz w:val="21"/>
          <w:szCs w:val="21"/>
          <w:highlight w:val="none"/>
        </w:rPr>
        <w:t>工指示无法执行的，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应向监理人和发包人提出书面异议， 发</w:t>
      </w:r>
      <w:r>
        <w:rPr>
          <w:rFonts w:ascii="宋体" w:hAnsi="宋体" w:eastAsia="宋体" w:cs="宋体"/>
          <w:color w:val="auto"/>
          <w:spacing w:val="-5"/>
          <w:sz w:val="21"/>
          <w:szCs w:val="21"/>
          <w:highlight w:val="none"/>
        </w:rPr>
        <w:t>包人和监理人应在收到异议后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5"/>
          <w:sz w:val="21"/>
          <w:szCs w:val="21"/>
          <w:highlight w:val="none"/>
        </w:rPr>
        <w:t xml:space="preserve">7 </w:t>
      </w:r>
      <w:r>
        <w:rPr>
          <w:rFonts w:ascii="宋体" w:hAnsi="宋体" w:eastAsia="宋体" w:cs="宋体"/>
          <w:color w:val="auto"/>
          <w:spacing w:val="-5"/>
          <w:sz w:val="21"/>
          <w:szCs w:val="21"/>
          <w:highlight w:val="none"/>
        </w:rPr>
        <w:t>天内予以答复。任何情况下， 发包人不得压缩合理工期。</w:t>
      </w:r>
    </w:p>
    <w:p>
      <w:pPr>
        <w:spacing w:before="150" w:line="402"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7.9.2  </w:t>
      </w:r>
      <w:r>
        <w:rPr>
          <w:rFonts w:ascii="宋体" w:hAnsi="宋体" w:eastAsia="宋体" w:cs="宋体"/>
          <w:color w:val="auto"/>
          <w:spacing w:val="1"/>
          <w:position w:val="14"/>
          <w:sz w:val="21"/>
          <w:szCs w:val="21"/>
          <w:highlight w:val="none"/>
        </w:rPr>
        <w:t>发包人要求承包人提前竣工，或承包人提出提前竣工的建议能够给发包人带来效益的，</w:t>
      </w:r>
    </w:p>
    <w:p>
      <w:pPr>
        <w:spacing w:line="220"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合同当事人可以在专用合同条款中约定提前竣工的奖励。</w:t>
      </w:r>
    </w:p>
    <w:p>
      <w:pPr>
        <w:spacing w:before="189" w:line="219" w:lineRule="auto"/>
        <w:ind w:left="2"/>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sz w:val="28"/>
          <w:szCs w:val="28"/>
          <w:highlight w:val="none"/>
        </w:rPr>
        <w:t xml:space="preserve">8.  </w:t>
      </w:r>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材料与设备</w:t>
      </w:r>
    </w:p>
    <w:p>
      <w:pPr>
        <w:spacing w:before="103" w:line="218"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8.1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发包人供应材料与工程设备</w:t>
      </w:r>
    </w:p>
    <w:p>
      <w:pPr>
        <w:spacing w:before="139" w:line="352" w:lineRule="auto"/>
        <w:ind w:firstLine="419"/>
        <w:jc w:val="both"/>
        <w:rPr>
          <w:rFonts w:ascii="宋体" w:hAnsi="宋体" w:eastAsia="宋体" w:cs="宋体"/>
          <w:color w:val="auto"/>
          <w:spacing w:val="-3"/>
          <w:sz w:val="21"/>
          <w:szCs w:val="21"/>
          <w:highlight w:val="none"/>
        </w:rPr>
      </w:pPr>
      <w:r>
        <w:rPr>
          <w:rFonts w:ascii="宋体" w:hAnsi="宋体" w:eastAsia="宋体" w:cs="宋体"/>
          <w:color w:val="auto"/>
          <w:spacing w:val="-3"/>
          <w:sz w:val="21"/>
          <w:szCs w:val="21"/>
          <w:highlight w:val="none"/>
        </w:rPr>
        <w:t>发包人自行供应材料、工程设备的，应在签订合同时在专用合同条款的附件《发包人供应材料设备一览表》中明确材料、工程设备的品种、规格、型号、数量、单价、质量等级和送达地点。</w:t>
      </w:r>
    </w:p>
    <w:p>
      <w:pPr>
        <w:spacing w:before="139" w:line="352" w:lineRule="auto"/>
        <w:ind w:firstLine="419"/>
        <w:jc w:val="both"/>
        <w:rPr>
          <w:rFonts w:ascii="宋体" w:hAnsi="宋体" w:eastAsia="宋体" w:cs="宋体"/>
          <w:color w:val="auto"/>
          <w:spacing w:val="-3"/>
          <w:sz w:val="21"/>
          <w:szCs w:val="21"/>
          <w:highlight w:val="none"/>
        </w:rPr>
      </w:pPr>
      <w:r>
        <w:rPr>
          <w:rFonts w:ascii="宋体" w:hAnsi="宋体" w:eastAsia="宋体" w:cs="宋体"/>
          <w:color w:val="auto"/>
          <w:spacing w:val="-3"/>
          <w:sz w:val="21"/>
          <w:szCs w:val="21"/>
          <w:highlight w:val="none"/>
        </w:rPr>
        <w:t>承包人应提前 30  天通过监理人以书面形式通知发包人供应材料与工程设备进场。承包人按 照第 7.2.2  项〔施工进度计划的修订〕约定修订施工进度计划时， 需同时提交经修订后的发包人供应材料与工程设备的进场计划。</w:t>
      </w:r>
    </w:p>
    <w:p>
      <w:pPr>
        <w:spacing w:before="126"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8.2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承包人采购材料与工程设备</w:t>
      </w:r>
    </w:p>
    <w:p>
      <w:pPr>
        <w:spacing w:before="138" w:line="352" w:lineRule="auto"/>
        <w:ind w:right="177" w:firstLine="420"/>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承包人负责采购材料、工程设备的，</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应按照设计和有关标准要求采购， 并提供产品合格证明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及出厂证明，对材料、工程设备质量负责。合同约定由承包人采购的材料、工程设备，</w:t>
      </w:r>
      <w:r>
        <w:rPr>
          <w:rFonts w:ascii="宋体" w:hAnsi="宋体" w:eastAsia="宋体" w:cs="宋体"/>
          <w:color w:val="auto"/>
          <w:spacing w:val="-20"/>
          <w:sz w:val="21"/>
          <w:szCs w:val="21"/>
          <w:highlight w:val="none"/>
        </w:rPr>
        <w:t xml:space="preserve"> </w:t>
      </w:r>
      <w:r>
        <w:rPr>
          <w:rFonts w:ascii="宋体" w:hAnsi="宋体" w:eastAsia="宋体" w:cs="宋体"/>
          <w:color w:val="auto"/>
          <w:spacing w:val="-3"/>
          <w:sz w:val="21"/>
          <w:szCs w:val="21"/>
          <w:highlight w:val="none"/>
        </w:rPr>
        <w:t>发包人不</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得指定生产厂家或供应商，发包人违反本款约定指定生产厂家或供应商的，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承包人有权拒绝，并</w:t>
      </w:r>
      <w:r>
        <w:rPr>
          <w:rFonts w:ascii="宋体" w:hAnsi="宋体" w:eastAsia="宋体" w:cs="宋体"/>
          <w:color w:val="auto"/>
          <w:spacing w:val="-3"/>
          <w:sz w:val="21"/>
          <w:szCs w:val="21"/>
          <w:highlight w:val="none"/>
        </w:rPr>
        <w:t>由发包人承担相应责任。</w:t>
      </w:r>
    </w:p>
    <w:p>
      <w:pPr>
        <w:spacing w:before="124"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8.3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材料与工程设备的接收与拒收</w:t>
      </w:r>
    </w:p>
    <w:p>
      <w:pPr>
        <w:spacing w:before="141" w:line="352" w:lineRule="auto"/>
        <w:ind w:right="177"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8.3.1  </w:t>
      </w:r>
      <w:r>
        <w:rPr>
          <w:rFonts w:ascii="宋体" w:hAnsi="宋体" w:eastAsia="宋体" w:cs="宋体"/>
          <w:color w:val="auto"/>
          <w:spacing w:val="2"/>
          <w:sz w:val="21"/>
          <w:szCs w:val="21"/>
          <w:highlight w:val="none"/>
        </w:rPr>
        <w:t>发包人应按《发包人供应材料设备一览表》约定的内容提供材料和工程设备，并</w:t>
      </w:r>
      <w:r>
        <w:rPr>
          <w:rFonts w:ascii="宋体" w:hAnsi="宋体" w:eastAsia="宋体" w:cs="宋体"/>
          <w:color w:val="auto"/>
          <w:spacing w:val="1"/>
          <w:sz w:val="21"/>
          <w:szCs w:val="21"/>
          <w:highlight w:val="none"/>
        </w:rPr>
        <w:t>向承</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包人提供产品合格证明及出厂证明，</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 xml:space="preserve">对其质量负责。发包人应提前 </w:t>
      </w:r>
      <w:r>
        <w:rPr>
          <w:rFonts w:ascii="Times New Roman" w:hAnsi="Times New Roman" w:eastAsia="Times New Roman" w:cs="Times New Roman"/>
          <w:color w:val="auto"/>
          <w:spacing w:val="-2"/>
          <w:sz w:val="21"/>
          <w:szCs w:val="21"/>
          <w:highlight w:val="none"/>
        </w:rPr>
        <w:t xml:space="preserve">24  </w:t>
      </w:r>
      <w:r>
        <w:rPr>
          <w:rFonts w:ascii="宋体" w:hAnsi="宋体" w:eastAsia="宋体" w:cs="宋体"/>
          <w:color w:val="auto"/>
          <w:spacing w:val="-2"/>
          <w:sz w:val="21"/>
          <w:szCs w:val="21"/>
          <w:highlight w:val="none"/>
        </w:rPr>
        <w:t>小时以书面形式通知承包</w:t>
      </w:r>
      <w:r>
        <w:rPr>
          <w:rFonts w:ascii="宋体" w:hAnsi="宋体" w:eastAsia="宋体" w:cs="宋体"/>
          <w:color w:val="auto"/>
          <w:sz w:val="21"/>
          <w:szCs w:val="21"/>
          <w:highlight w:val="none"/>
        </w:rPr>
        <w:t>人、监理人材料和工程设备到货时间，承包人负责材料和工程设备的清点、检验和</w:t>
      </w:r>
      <w:r>
        <w:rPr>
          <w:rFonts w:ascii="宋体" w:hAnsi="宋体" w:eastAsia="宋体" w:cs="宋体"/>
          <w:color w:val="auto"/>
          <w:spacing w:val="-1"/>
          <w:sz w:val="21"/>
          <w:szCs w:val="21"/>
          <w:highlight w:val="none"/>
        </w:rPr>
        <w:t>接收。</w:t>
      </w:r>
    </w:p>
    <w:p>
      <w:pPr>
        <w:spacing w:before="151" w:line="399" w:lineRule="exact"/>
        <w:ind w:left="424"/>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发包人提供的材料和工程设备的规格、数量或质量不符合合同约定</w:t>
      </w:r>
      <w:r>
        <w:rPr>
          <w:rFonts w:ascii="宋体" w:hAnsi="宋体" w:eastAsia="宋体" w:cs="宋体"/>
          <w:color w:val="auto"/>
          <w:spacing w:val="-3"/>
          <w:position w:val="14"/>
          <w:sz w:val="21"/>
          <w:szCs w:val="21"/>
          <w:highlight w:val="none"/>
        </w:rPr>
        <w:t>的，</w:t>
      </w:r>
      <w:r>
        <w:rPr>
          <w:rFonts w:ascii="宋体" w:hAnsi="宋体" w:eastAsia="宋体" w:cs="宋体"/>
          <w:color w:val="auto"/>
          <w:spacing w:val="-20"/>
          <w:position w:val="14"/>
          <w:sz w:val="21"/>
          <w:szCs w:val="21"/>
          <w:highlight w:val="none"/>
        </w:rPr>
        <w:t xml:space="preserve"> </w:t>
      </w:r>
      <w:r>
        <w:rPr>
          <w:rFonts w:ascii="宋体" w:hAnsi="宋体" w:eastAsia="宋体" w:cs="宋体"/>
          <w:color w:val="auto"/>
          <w:spacing w:val="-3"/>
          <w:position w:val="14"/>
          <w:sz w:val="21"/>
          <w:szCs w:val="21"/>
          <w:highlight w:val="none"/>
        </w:rPr>
        <w:t>或因发包人原因导致</w:t>
      </w:r>
      <w:r>
        <w:rPr>
          <w:rFonts w:ascii="宋体" w:hAnsi="宋体" w:eastAsia="宋体" w:cs="宋体"/>
          <w:color w:val="auto"/>
          <w:spacing w:val="-4"/>
          <w:sz w:val="21"/>
          <w:szCs w:val="21"/>
          <w:highlight w:val="none"/>
        </w:rPr>
        <w:t>交货日期延误或交货地点变更等情况的，</w:t>
      </w:r>
      <w:r>
        <w:rPr>
          <w:rFonts w:ascii="宋体" w:hAnsi="宋体" w:eastAsia="宋体" w:cs="宋体"/>
          <w:color w:val="auto"/>
          <w:spacing w:val="-3"/>
          <w:sz w:val="21"/>
          <w:szCs w:val="21"/>
          <w:highlight w:val="none"/>
        </w:rPr>
        <w:t xml:space="preserve"> </w:t>
      </w:r>
      <w:r>
        <w:rPr>
          <w:rFonts w:ascii="宋体" w:hAnsi="宋体" w:eastAsia="宋体" w:cs="宋体"/>
          <w:color w:val="auto"/>
          <w:spacing w:val="-4"/>
          <w:sz w:val="21"/>
          <w:szCs w:val="21"/>
          <w:highlight w:val="none"/>
        </w:rPr>
        <w:t>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16.1 </w:t>
      </w:r>
      <w:r>
        <w:rPr>
          <w:rFonts w:ascii="宋体" w:hAnsi="宋体" w:eastAsia="宋体" w:cs="宋体"/>
          <w:color w:val="auto"/>
          <w:spacing w:val="-4"/>
          <w:sz w:val="21"/>
          <w:szCs w:val="21"/>
          <w:highlight w:val="none"/>
        </w:rPr>
        <w:t>款〔发包人违约〕约定办理。</w:t>
      </w:r>
    </w:p>
    <w:p>
      <w:pPr>
        <w:spacing w:before="149" w:line="352" w:lineRule="auto"/>
        <w:ind w:left="2" w:right="177"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8.3.2  </w:t>
      </w:r>
      <w:r>
        <w:rPr>
          <w:rFonts w:ascii="宋体" w:hAnsi="宋体" w:eastAsia="宋体" w:cs="宋体"/>
          <w:color w:val="auto"/>
          <w:spacing w:val="2"/>
          <w:sz w:val="21"/>
          <w:szCs w:val="21"/>
          <w:highlight w:val="none"/>
        </w:rPr>
        <w:t>承包人采购的材料和工程设备，应保证产品质量合格，承包人应在材料和工程设</w:t>
      </w:r>
      <w:r>
        <w:rPr>
          <w:rFonts w:ascii="宋体" w:hAnsi="宋体" w:eastAsia="宋体" w:cs="宋体"/>
          <w:color w:val="auto"/>
          <w:spacing w:val="1"/>
          <w:sz w:val="21"/>
          <w:szCs w:val="21"/>
          <w:highlight w:val="none"/>
        </w:rPr>
        <w:t>备到</w:t>
      </w:r>
      <w:r>
        <w:rPr>
          <w:rFonts w:ascii="宋体" w:hAnsi="宋体" w:eastAsia="宋体" w:cs="宋体"/>
          <w:color w:val="auto"/>
          <w:sz w:val="21"/>
          <w:szCs w:val="21"/>
          <w:highlight w:val="none"/>
        </w:rPr>
        <w:t xml:space="preserve"> 货前 </w:t>
      </w:r>
      <w:r>
        <w:rPr>
          <w:rFonts w:ascii="Times New Roman" w:hAnsi="Times New Roman" w:eastAsia="Times New Roman" w:cs="Times New Roman"/>
          <w:color w:val="auto"/>
          <w:sz w:val="21"/>
          <w:szCs w:val="21"/>
          <w:highlight w:val="none"/>
        </w:rPr>
        <w:t xml:space="preserve">24  </w:t>
      </w:r>
      <w:r>
        <w:rPr>
          <w:rFonts w:ascii="宋体" w:hAnsi="宋体" w:eastAsia="宋体" w:cs="宋体"/>
          <w:color w:val="auto"/>
          <w:sz w:val="21"/>
          <w:szCs w:val="21"/>
          <w:highlight w:val="none"/>
        </w:rPr>
        <w:t>小时通知监理人检验。承包人进行永久设备、材料的制造和生产的，应符合</w:t>
      </w:r>
      <w:r>
        <w:rPr>
          <w:rFonts w:ascii="宋体" w:hAnsi="宋体" w:eastAsia="宋体" w:cs="宋体"/>
          <w:color w:val="auto"/>
          <w:spacing w:val="-1"/>
          <w:sz w:val="21"/>
          <w:szCs w:val="21"/>
          <w:highlight w:val="none"/>
        </w:rPr>
        <w:t>相关质量标</w:t>
      </w:r>
      <w:r>
        <w:rPr>
          <w:rFonts w:ascii="宋体" w:hAnsi="宋体" w:eastAsia="宋体" w:cs="宋体"/>
          <w:color w:val="auto"/>
          <w:sz w:val="21"/>
          <w:szCs w:val="21"/>
          <w:highlight w:val="none"/>
        </w:rPr>
        <w:t xml:space="preserve"> 准，并向监理人提交材料的样本以及有关资料，并应在使用该材料或工程设备之前获</w:t>
      </w:r>
      <w:r>
        <w:rPr>
          <w:rFonts w:ascii="宋体" w:hAnsi="宋体" w:eastAsia="宋体" w:cs="宋体"/>
          <w:color w:val="auto"/>
          <w:spacing w:val="-1"/>
          <w:sz w:val="21"/>
          <w:szCs w:val="21"/>
          <w:highlight w:val="none"/>
        </w:rPr>
        <w:t>得监理人同</w:t>
      </w:r>
      <w:r>
        <w:rPr>
          <w:rFonts w:ascii="宋体" w:hAnsi="宋体" w:eastAsia="宋体" w:cs="宋体"/>
          <w:color w:val="auto"/>
          <w:spacing w:val="-11"/>
          <w:sz w:val="21"/>
          <w:szCs w:val="21"/>
          <w:highlight w:val="none"/>
        </w:rPr>
        <w:t>意。</w:t>
      </w:r>
    </w:p>
    <w:p>
      <w:pPr>
        <w:spacing w:before="142" w:line="351" w:lineRule="auto"/>
        <w:ind w:left="3" w:right="177" w:firstLine="5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承包人采购的材料和工程设备不符合设计或有关标准要求</w:t>
      </w:r>
      <w:r>
        <w:rPr>
          <w:rFonts w:ascii="宋体" w:hAnsi="宋体" w:eastAsia="宋体" w:cs="宋体"/>
          <w:color w:val="auto"/>
          <w:spacing w:val="-1"/>
          <w:sz w:val="21"/>
          <w:szCs w:val="21"/>
          <w:highlight w:val="none"/>
        </w:rPr>
        <w:t>时， 承包人应在监理人要求的合</w:t>
      </w:r>
      <w:r>
        <w:rPr>
          <w:rFonts w:ascii="宋体" w:hAnsi="宋体" w:eastAsia="宋体" w:cs="宋体"/>
          <w:color w:val="auto"/>
          <w:sz w:val="21"/>
          <w:szCs w:val="21"/>
          <w:highlight w:val="none"/>
        </w:rPr>
        <w:t xml:space="preserve"> 理期限内将不符合设计或有关标准要求的材料、工程设备运出施工现场，并重新采</w:t>
      </w:r>
      <w:r>
        <w:rPr>
          <w:rFonts w:ascii="宋体" w:hAnsi="宋体" w:eastAsia="宋体" w:cs="宋体"/>
          <w:color w:val="auto"/>
          <w:spacing w:val="-1"/>
          <w:sz w:val="21"/>
          <w:szCs w:val="21"/>
          <w:highlight w:val="none"/>
        </w:rPr>
        <w:t>购符合要求的</w:t>
      </w:r>
      <w:r>
        <w:rPr>
          <w:rFonts w:ascii="宋体" w:hAnsi="宋体" w:eastAsia="宋体" w:cs="宋体"/>
          <w:color w:val="auto"/>
          <w:spacing w:val="-4"/>
          <w:sz w:val="21"/>
          <w:szCs w:val="21"/>
          <w:highlight w:val="none"/>
        </w:rPr>
        <w:t>材料、工程设备，由此增加的费用和（或）延误的工期</w:t>
      </w:r>
      <w:r>
        <w:rPr>
          <w:rFonts w:ascii="宋体" w:hAnsi="宋体" w:eastAsia="宋体" w:cs="宋体"/>
          <w:color w:val="auto"/>
          <w:spacing w:val="-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5"/>
          <w:sz w:val="21"/>
          <w:szCs w:val="21"/>
          <w:highlight w:val="none"/>
        </w:rPr>
        <w:t>由承包人承担。</w:t>
      </w:r>
    </w:p>
    <w:p>
      <w:pPr>
        <w:spacing w:before="100" w:line="219" w:lineRule="auto"/>
        <w:ind w:left="1"/>
        <w:outlineLvl w:val="6"/>
        <w:rPr>
          <w:rFonts w:ascii="黑体" w:hAnsi="黑体" w:eastAsia="黑体" w:cs="黑体"/>
          <w:color w:val="auto"/>
          <w:sz w:val="24"/>
          <w:szCs w:val="24"/>
          <w:highlight w:val="none"/>
        </w:rPr>
      </w:pPr>
      <w:bookmarkStart w:id="204" w:name="bookmark245"/>
      <w:bookmarkEnd w:id="204"/>
      <w:bookmarkStart w:id="205" w:name="bookmark243"/>
      <w:bookmarkEnd w:id="205"/>
      <w:bookmarkStart w:id="206" w:name="bookmark244"/>
      <w:bookmarkEnd w:id="206"/>
      <w:bookmarkStart w:id="207" w:name="bookmark246"/>
      <w:bookmarkEnd w:id="207"/>
      <w:r>
        <w:rPr>
          <w:rFonts w:ascii="Times New Roman" w:hAnsi="Times New Roman" w:eastAsia="Times New Roman" w:cs="Times New Roman"/>
          <w:b/>
          <w:bCs/>
          <w:color w:val="auto"/>
          <w:sz w:val="24"/>
          <w:szCs w:val="24"/>
          <w:highlight w:val="none"/>
        </w:rPr>
        <w:t xml:space="preserve">8.4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材料与工程设备的保管与使用</w:t>
      </w:r>
    </w:p>
    <w:p>
      <w:pPr>
        <w:spacing w:before="140" w:line="220" w:lineRule="auto"/>
        <w:ind w:left="42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8.4.1  </w:t>
      </w:r>
      <w:r>
        <w:rPr>
          <w:rFonts w:ascii="宋体" w:hAnsi="宋体" w:eastAsia="宋体" w:cs="宋体"/>
          <w:color w:val="auto"/>
          <w:spacing w:val="-1"/>
          <w:sz w:val="21"/>
          <w:szCs w:val="21"/>
          <w:highlight w:val="none"/>
        </w:rPr>
        <w:t>发包人供应材料与工程设备的保管与使用</w:t>
      </w:r>
    </w:p>
    <w:p>
      <w:pPr>
        <w:spacing w:before="149" w:line="352" w:lineRule="auto"/>
        <w:ind w:firstLine="4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发包人供应的材料和工程设备， 承包人清点后由承包人妥善保管，</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保管费用由发包人承担，</w:t>
      </w:r>
      <w:r>
        <w:rPr>
          <w:rFonts w:ascii="宋体" w:hAnsi="宋体" w:eastAsia="宋体" w:cs="宋体"/>
          <w:color w:val="auto"/>
          <w:sz w:val="21"/>
          <w:szCs w:val="21"/>
          <w:highlight w:val="none"/>
        </w:rPr>
        <w:t xml:space="preserve"> 但已标价工程量清单或预算书已经列支或专用合同条款另有约定除外。因承包人原因发生丢</w:t>
      </w:r>
      <w:r>
        <w:rPr>
          <w:rFonts w:ascii="宋体" w:hAnsi="宋体" w:eastAsia="宋体" w:cs="宋体"/>
          <w:color w:val="auto"/>
          <w:spacing w:val="-1"/>
          <w:sz w:val="21"/>
          <w:szCs w:val="21"/>
          <w:highlight w:val="none"/>
        </w:rPr>
        <w:t>失毁</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损的，由承包人负责赔偿；监理人未通知承包人清点的， 承包人不负责材料和工程设备的保管，</w:t>
      </w:r>
      <w:r>
        <w:rPr>
          <w:rFonts w:ascii="宋体" w:hAnsi="宋体" w:eastAsia="宋体" w:cs="宋体"/>
          <w:color w:val="auto"/>
          <w:spacing w:val="-3"/>
          <w:sz w:val="21"/>
          <w:szCs w:val="21"/>
          <w:highlight w:val="none"/>
        </w:rPr>
        <w:t>由此导致丢失毁损的由发包人负责。</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发包人供应的材料和工程设备使用前，由承包人负责检验，检验费用由发包</w:t>
      </w:r>
      <w:r>
        <w:rPr>
          <w:rFonts w:ascii="宋体" w:hAnsi="宋体" w:eastAsia="宋体" w:cs="宋体"/>
          <w:color w:val="auto"/>
          <w:spacing w:val="-1"/>
          <w:position w:val="14"/>
          <w:sz w:val="21"/>
          <w:szCs w:val="21"/>
          <w:highlight w:val="none"/>
        </w:rPr>
        <w:t>人承担，不合格</w:t>
      </w:r>
    </w:p>
    <w:p>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的不得使用。</w:t>
      </w:r>
    </w:p>
    <w:p>
      <w:pPr>
        <w:spacing w:before="150" w:line="220" w:lineRule="auto"/>
        <w:ind w:left="42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8.4.2  </w:t>
      </w:r>
      <w:r>
        <w:rPr>
          <w:rFonts w:ascii="宋体" w:hAnsi="宋体" w:eastAsia="宋体" w:cs="宋体"/>
          <w:color w:val="auto"/>
          <w:spacing w:val="-1"/>
          <w:sz w:val="21"/>
          <w:szCs w:val="21"/>
          <w:highlight w:val="none"/>
        </w:rPr>
        <w:t>承包人采购材料与工程设备的保管与使用</w:t>
      </w:r>
    </w:p>
    <w:p>
      <w:pPr>
        <w:spacing w:before="149" w:line="352" w:lineRule="auto"/>
        <w:ind w:left="4"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承包人采购的材料和工程设备由承包人妥善保管，</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保管费用由承包人承担。</w:t>
      </w:r>
      <w:r>
        <w:rPr>
          <w:rFonts w:ascii="宋体" w:hAnsi="宋体" w:eastAsia="宋体" w:cs="宋体"/>
          <w:color w:val="auto"/>
          <w:spacing w:val="-3"/>
          <w:sz w:val="21"/>
          <w:szCs w:val="21"/>
          <w:highlight w:val="none"/>
        </w:rPr>
        <w:t>法律规定材料和</w:t>
      </w:r>
      <w:r>
        <w:rPr>
          <w:rFonts w:ascii="宋体" w:hAnsi="宋体" w:eastAsia="宋体" w:cs="宋体"/>
          <w:color w:val="auto"/>
          <w:spacing w:val="-2"/>
          <w:sz w:val="21"/>
          <w:szCs w:val="21"/>
          <w:highlight w:val="none"/>
        </w:rPr>
        <w:t>工程设备使用前必须进行检验或试验的，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承包人应按监理人的要求进行检验或试验，检</w:t>
      </w:r>
      <w:r>
        <w:rPr>
          <w:rFonts w:ascii="宋体" w:hAnsi="宋体" w:eastAsia="宋体" w:cs="宋体"/>
          <w:color w:val="auto"/>
          <w:spacing w:val="-3"/>
          <w:sz w:val="21"/>
          <w:szCs w:val="21"/>
          <w:highlight w:val="none"/>
        </w:rPr>
        <w:t>验或试验</w:t>
      </w:r>
      <w:r>
        <w:rPr>
          <w:rFonts w:ascii="宋体" w:hAnsi="宋体" w:eastAsia="宋体" w:cs="宋体"/>
          <w:color w:val="auto"/>
          <w:spacing w:val="-8"/>
          <w:sz w:val="21"/>
          <w:szCs w:val="21"/>
          <w:highlight w:val="none"/>
        </w:rPr>
        <w:t>费用由承包人承担， 不合格的不得使用。</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发包人或监理人发现承包人使用不符合设计或有关标准要求的材料和工程设备时， 有权要求</w:t>
      </w:r>
    </w:p>
    <w:p>
      <w:pPr>
        <w:spacing w:before="1" w:line="219" w:lineRule="auto"/>
        <w:ind w:left="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承包人进行修复、拆除或重新采购， 由此增加的费用和（或</w:t>
      </w:r>
      <w:r>
        <w:rPr>
          <w:rFonts w:ascii="宋体" w:hAnsi="宋体" w:eastAsia="宋体" w:cs="宋体"/>
          <w:color w:val="auto"/>
          <w:spacing w:val="-8"/>
          <w:sz w:val="21"/>
          <w:szCs w:val="21"/>
          <w:highlight w:val="none"/>
        </w:rPr>
        <w:t>）</w:t>
      </w:r>
      <w:r>
        <w:rPr>
          <w:rFonts w:ascii="宋体" w:hAnsi="宋体" w:eastAsia="宋体" w:cs="宋体"/>
          <w:color w:val="auto"/>
          <w:spacing w:val="-23"/>
          <w:sz w:val="21"/>
          <w:szCs w:val="21"/>
          <w:highlight w:val="none"/>
        </w:rPr>
        <w:t xml:space="preserve"> </w:t>
      </w:r>
      <w:r>
        <w:rPr>
          <w:rFonts w:ascii="宋体" w:hAnsi="宋体" w:eastAsia="宋体" w:cs="宋体"/>
          <w:color w:val="auto"/>
          <w:spacing w:val="-8"/>
          <w:sz w:val="21"/>
          <w:szCs w:val="21"/>
          <w:highlight w:val="none"/>
        </w:rPr>
        <w:t>延误的工期， 由承包人承担。</w:t>
      </w:r>
    </w:p>
    <w:p>
      <w:pPr>
        <w:spacing w:before="126"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8.5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禁止使用不合格的材料和工程设备</w:t>
      </w:r>
    </w:p>
    <w:p>
      <w:pPr>
        <w:spacing w:before="139" w:line="401" w:lineRule="exact"/>
        <w:ind w:right="29"/>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8.5.1  </w:t>
      </w:r>
      <w:r>
        <w:rPr>
          <w:rFonts w:ascii="宋体" w:hAnsi="宋体" w:eastAsia="宋体" w:cs="宋体"/>
          <w:color w:val="auto"/>
          <w:spacing w:val="2"/>
          <w:position w:val="14"/>
          <w:sz w:val="21"/>
          <w:szCs w:val="21"/>
          <w:highlight w:val="none"/>
        </w:rPr>
        <w:t>监理人有权拒绝承包人提供的不合格材</w:t>
      </w:r>
      <w:r>
        <w:rPr>
          <w:rFonts w:ascii="宋体" w:hAnsi="宋体" w:eastAsia="宋体" w:cs="宋体"/>
          <w:color w:val="auto"/>
          <w:spacing w:val="1"/>
          <w:position w:val="14"/>
          <w:sz w:val="21"/>
          <w:szCs w:val="21"/>
          <w:highlight w:val="none"/>
        </w:rPr>
        <w:t>料或工程设备，并要求承包人立即进行更换。</w:t>
      </w:r>
    </w:p>
    <w:p>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监理人应在更换后再次进行检查和检验， 由此</w:t>
      </w:r>
      <w:r>
        <w:rPr>
          <w:rFonts w:ascii="宋体" w:hAnsi="宋体" w:eastAsia="宋体" w:cs="宋体"/>
          <w:color w:val="auto"/>
          <w:spacing w:val="-5"/>
          <w:sz w:val="21"/>
          <w:szCs w:val="21"/>
          <w:highlight w:val="none"/>
        </w:rPr>
        <w:t>增加的费用和（或）</w:t>
      </w:r>
      <w:r>
        <w:rPr>
          <w:rFonts w:ascii="宋体" w:hAnsi="宋体" w:eastAsia="宋体" w:cs="宋体"/>
          <w:color w:val="auto"/>
          <w:spacing w:val="-23"/>
          <w:sz w:val="21"/>
          <w:szCs w:val="21"/>
          <w:highlight w:val="none"/>
        </w:rPr>
        <w:t xml:space="preserve"> </w:t>
      </w:r>
      <w:r>
        <w:rPr>
          <w:rFonts w:ascii="宋体" w:hAnsi="宋体" w:eastAsia="宋体" w:cs="宋体"/>
          <w:color w:val="auto"/>
          <w:spacing w:val="-5"/>
          <w:sz w:val="21"/>
          <w:szCs w:val="21"/>
          <w:highlight w:val="none"/>
        </w:rPr>
        <w:t>延误的工期由承包人承担。</w:t>
      </w:r>
    </w:p>
    <w:p>
      <w:pPr>
        <w:spacing w:before="149" w:line="399"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8.5.2  </w:t>
      </w:r>
      <w:r>
        <w:rPr>
          <w:rFonts w:ascii="宋体" w:hAnsi="宋体" w:eastAsia="宋体" w:cs="宋体"/>
          <w:color w:val="auto"/>
          <w:spacing w:val="2"/>
          <w:position w:val="14"/>
          <w:sz w:val="21"/>
          <w:szCs w:val="21"/>
          <w:highlight w:val="none"/>
        </w:rPr>
        <w:t>监理人发现承包人使用了不合格的材料和工程设备，承包人应按照监理人的指示</w:t>
      </w:r>
      <w:r>
        <w:rPr>
          <w:rFonts w:ascii="宋体" w:hAnsi="宋体" w:eastAsia="宋体" w:cs="宋体"/>
          <w:color w:val="auto"/>
          <w:spacing w:val="1"/>
          <w:position w:val="14"/>
          <w:sz w:val="21"/>
          <w:szCs w:val="21"/>
          <w:highlight w:val="none"/>
        </w:rPr>
        <w:t>立即</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改正， 并禁止在工程中继续使用不合格的材</w:t>
      </w:r>
      <w:r>
        <w:rPr>
          <w:rFonts w:ascii="宋体" w:hAnsi="宋体" w:eastAsia="宋体" w:cs="宋体"/>
          <w:color w:val="auto"/>
          <w:spacing w:val="-5"/>
          <w:sz w:val="21"/>
          <w:szCs w:val="21"/>
          <w:highlight w:val="none"/>
        </w:rPr>
        <w:t>料和工程设备。</w:t>
      </w:r>
    </w:p>
    <w:p>
      <w:pPr>
        <w:spacing w:before="150" w:line="401"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 xml:space="preserve">8.5.3  </w:t>
      </w:r>
      <w:r>
        <w:rPr>
          <w:rFonts w:ascii="宋体" w:hAnsi="宋体" w:eastAsia="宋体" w:cs="宋体"/>
          <w:color w:val="auto"/>
          <w:position w:val="14"/>
          <w:sz w:val="21"/>
          <w:szCs w:val="21"/>
          <w:highlight w:val="none"/>
        </w:rPr>
        <w:t>发包人提供的材料或工程设备不符合合同要</w:t>
      </w:r>
      <w:r>
        <w:rPr>
          <w:rFonts w:ascii="宋体" w:hAnsi="宋体" w:eastAsia="宋体" w:cs="宋体"/>
          <w:color w:val="auto"/>
          <w:spacing w:val="-1"/>
          <w:position w:val="14"/>
          <w:sz w:val="21"/>
          <w:szCs w:val="21"/>
          <w:highlight w:val="none"/>
        </w:rPr>
        <w:t>求的，承包人有权拒绝， 并可要求发包人</w:t>
      </w:r>
    </w:p>
    <w:p>
      <w:pPr>
        <w:spacing w:before="1" w:line="220" w:lineRule="auto"/>
        <w:ind w:left="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更换，由此增加的费用和（或） 延误的工期由发包人承担，并支付承包</w:t>
      </w:r>
      <w:r>
        <w:rPr>
          <w:rFonts w:ascii="宋体" w:hAnsi="宋体" w:eastAsia="宋体" w:cs="宋体"/>
          <w:color w:val="auto"/>
          <w:spacing w:val="-7"/>
          <w:sz w:val="21"/>
          <w:szCs w:val="21"/>
          <w:highlight w:val="none"/>
        </w:rPr>
        <w:t>人合理的利润。</w:t>
      </w:r>
    </w:p>
    <w:p>
      <w:pPr>
        <w:spacing w:before="123" w:line="221"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8.6</w:t>
      </w:r>
      <w:r>
        <w:rPr>
          <w:rFonts w:ascii="Times New Roman" w:hAnsi="Times New Roman" w:eastAsia="Times New Roman" w:cs="Times New Roman"/>
          <w:b/>
          <w:bCs/>
          <w:color w:val="auto"/>
          <w:spacing w:val="5"/>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样品</w:t>
      </w:r>
    </w:p>
    <w:p>
      <w:pPr>
        <w:spacing w:before="137" w:line="221" w:lineRule="auto"/>
        <w:ind w:left="42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8.6.1 </w:t>
      </w:r>
      <w:r>
        <w:rPr>
          <w:rFonts w:ascii="宋体" w:hAnsi="宋体" w:eastAsia="宋体" w:cs="宋体"/>
          <w:color w:val="auto"/>
          <w:spacing w:val="-1"/>
          <w:sz w:val="21"/>
          <w:szCs w:val="21"/>
          <w:highlight w:val="none"/>
        </w:rPr>
        <w:t>样品的报送与封存</w:t>
      </w:r>
    </w:p>
    <w:p>
      <w:pPr>
        <w:spacing w:before="150" w:line="399"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需要承包人报送样品的材料或工程设备，</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2"/>
          <w:position w:val="14"/>
          <w:sz w:val="21"/>
          <w:szCs w:val="21"/>
          <w:highlight w:val="none"/>
        </w:rPr>
        <w:t>样品的种类</w:t>
      </w:r>
      <w:r>
        <w:rPr>
          <w:rFonts w:ascii="宋体" w:hAnsi="宋体" w:eastAsia="宋体" w:cs="宋体"/>
          <w:color w:val="auto"/>
          <w:spacing w:val="-3"/>
          <w:position w:val="14"/>
          <w:sz w:val="21"/>
          <w:szCs w:val="21"/>
          <w:highlight w:val="none"/>
        </w:rPr>
        <w:t>、名称、规格、数量等要求均应在专用</w:t>
      </w:r>
    </w:p>
    <w:p>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合同条款中约定。样品的报送程序如下：</w:t>
      </w:r>
    </w:p>
    <w:p>
      <w:pPr>
        <w:spacing w:before="151" w:line="351" w:lineRule="auto"/>
        <w:ind w:left="19" w:firstLine="40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）承包人应在计划采购前</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天向监理人报送样品。承</w:t>
      </w:r>
      <w:r>
        <w:rPr>
          <w:rFonts w:ascii="宋体" w:hAnsi="宋体" w:eastAsia="宋体" w:cs="宋体"/>
          <w:color w:val="auto"/>
          <w:spacing w:val="-1"/>
          <w:sz w:val="21"/>
          <w:szCs w:val="21"/>
          <w:highlight w:val="none"/>
        </w:rPr>
        <w:t>包人报送的样品均应来自供应材料</w:t>
      </w:r>
      <w:r>
        <w:rPr>
          <w:rFonts w:ascii="宋体" w:hAnsi="宋体" w:eastAsia="宋体" w:cs="宋体"/>
          <w:color w:val="auto"/>
          <w:spacing w:val="-2"/>
          <w:sz w:val="21"/>
          <w:szCs w:val="21"/>
          <w:highlight w:val="none"/>
        </w:rPr>
        <w:t>的实际生产地，</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且提供的样品的规格、数量足以表明</w:t>
      </w:r>
      <w:r>
        <w:rPr>
          <w:rFonts w:ascii="宋体" w:hAnsi="宋体" w:eastAsia="宋体" w:cs="宋体"/>
          <w:color w:val="auto"/>
          <w:spacing w:val="-3"/>
          <w:sz w:val="21"/>
          <w:szCs w:val="21"/>
          <w:highlight w:val="none"/>
        </w:rPr>
        <w:t>材料或工程设备的质量、型号、颜色、表面</w:t>
      </w:r>
      <w:r>
        <w:rPr>
          <w:rFonts w:ascii="宋体" w:hAnsi="宋体" w:eastAsia="宋体" w:cs="宋体"/>
          <w:color w:val="auto"/>
          <w:spacing w:val="-1"/>
          <w:sz w:val="21"/>
          <w:szCs w:val="21"/>
          <w:highlight w:val="none"/>
        </w:rPr>
        <w:t>处理、质地、误差和其他要求的特征。</w:t>
      </w:r>
    </w:p>
    <w:p>
      <w:pPr>
        <w:spacing w:before="151" w:line="351" w:lineRule="auto"/>
        <w:ind w:firstLine="210" w:firstLineChars="10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）承包人每次报送样品时应随附申报单，申报单</w:t>
      </w:r>
      <w:r>
        <w:rPr>
          <w:rFonts w:ascii="宋体" w:hAnsi="宋体" w:eastAsia="宋体" w:cs="宋体"/>
          <w:color w:val="auto"/>
          <w:spacing w:val="-1"/>
          <w:sz w:val="21"/>
          <w:szCs w:val="21"/>
          <w:highlight w:val="none"/>
        </w:rPr>
        <w:t>应载明报送样品的相关数据和资料， 并</w:t>
      </w:r>
      <w:r>
        <w:rPr>
          <w:rFonts w:ascii="宋体" w:hAnsi="宋体" w:eastAsia="宋体" w:cs="宋体"/>
          <w:color w:val="auto"/>
          <w:sz w:val="21"/>
          <w:szCs w:val="21"/>
          <w:highlight w:val="none"/>
        </w:rPr>
        <w:t xml:space="preserve"> 标明每件样品对应的图纸号，预留监理人批复意见栏。监理人应在收到承包</w:t>
      </w:r>
      <w:r>
        <w:rPr>
          <w:rFonts w:ascii="宋体" w:hAnsi="宋体" w:eastAsia="宋体" w:cs="宋体"/>
          <w:color w:val="auto"/>
          <w:spacing w:val="-1"/>
          <w:sz w:val="21"/>
          <w:szCs w:val="21"/>
          <w:highlight w:val="none"/>
        </w:rPr>
        <w:t>人报送的样品后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w:t>
      </w:r>
      <w:r>
        <w:rPr>
          <w:rFonts w:ascii="宋体" w:hAnsi="宋体" w:eastAsia="宋体" w:cs="宋体"/>
          <w:color w:val="auto"/>
          <w:spacing w:val="-3"/>
          <w:sz w:val="21"/>
          <w:szCs w:val="21"/>
          <w:highlight w:val="none"/>
        </w:rPr>
        <w:t>向承包人回复经发包人签认的样品审批意见。</w:t>
      </w:r>
    </w:p>
    <w:p>
      <w:pPr>
        <w:spacing w:before="150" w:line="401" w:lineRule="exact"/>
        <w:ind w:right="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）经发包人和监理人审批确认的样品应按约定的方法封样， 封</w:t>
      </w:r>
      <w:r>
        <w:rPr>
          <w:rFonts w:ascii="宋体" w:hAnsi="宋体" w:eastAsia="宋体" w:cs="宋体"/>
          <w:color w:val="auto"/>
          <w:spacing w:val="-1"/>
          <w:position w:val="14"/>
          <w:sz w:val="21"/>
          <w:szCs w:val="21"/>
          <w:highlight w:val="none"/>
        </w:rPr>
        <w:t>存的样品作为检验工程相</w:t>
      </w:r>
    </w:p>
    <w:p>
      <w:pPr>
        <w:spacing w:before="1" w:line="219"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关部分的标准之一。承包人在施工过程中不得使用与样品不符的材料或工程设备。</w:t>
      </w:r>
    </w:p>
    <w:p>
      <w:pPr>
        <w:spacing w:before="151" w:line="351" w:lineRule="auto"/>
        <w:ind w:firstLine="210" w:firstLineChars="100"/>
        <w:rPr>
          <w:rFonts w:ascii="宋体" w:hAnsi="宋体" w:eastAsia="宋体" w:cs="宋体"/>
          <w:color w:val="auto"/>
          <w:sz w:val="21"/>
          <w:szCs w:val="21"/>
          <w:highlight w:val="none"/>
        </w:rPr>
      </w:pPr>
      <w:r>
        <w:rPr>
          <w:rFonts w:ascii="宋体" w:hAnsi="宋体" w:eastAsia="宋体" w:cs="宋体"/>
          <w:color w:val="auto"/>
          <w:sz w:val="21"/>
          <w:szCs w:val="21"/>
          <w:highlight w:val="none"/>
        </w:rPr>
        <w:t>（4）发包人和监理人对样品的审批确认仅为确认相关材料或工程设备的特征或用途，不得</w:t>
      </w:r>
    </w:p>
    <w:p>
      <w:pPr>
        <w:spacing w:before="151" w:line="351" w:lineRule="auto"/>
        <w:ind w:firstLine="210" w:firstLineChars="100"/>
        <w:rPr>
          <w:rFonts w:ascii="宋体" w:hAnsi="宋体" w:eastAsia="宋体" w:cs="宋体"/>
          <w:color w:val="auto"/>
          <w:sz w:val="21"/>
          <w:szCs w:val="21"/>
          <w:highlight w:val="none"/>
        </w:rPr>
      </w:pPr>
      <w:r>
        <w:rPr>
          <w:rFonts w:ascii="宋体" w:hAnsi="宋体" w:eastAsia="宋体" w:cs="宋体"/>
          <w:color w:val="auto"/>
          <w:sz w:val="21"/>
          <w:szCs w:val="21"/>
          <w:highlight w:val="none"/>
        </w:rPr>
        <w:t>被理解为对合同的修改或改变， 也并不减轻或免除承包人任何的责任和义务。如果封存的样品修</w:t>
      </w:r>
      <w:r>
        <w:rPr>
          <w:rFonts w:ascii="宋体" w:hAnsi="宋体" w:eastAsia="宋体" w:cs="宋体"/>
          <w:color w:val="auto"/>
          <w:spacing w:val="-1"/>
          <w:sz w:val="21"/>
          <w:szCs w:val="21"/>
          <w:highlight w:val="none"/>
        </w:rPr>
        <w:t>改或改变了合同约定，合同当事人应当以书面协议予以确认。</w:t>
      </w:r>
    </w:p>
    <w:p>
      <w:pPr>
        <w:spacing w:before="149" w:line="399" w:lineRule="exact"/>
        <w:ind w:left="422"/>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8.6.2  样品的保管</w:t>
      </w:r>
    </w:p>
    <w:p>
      <w:pPr>
        <w:spacing w:before="149" w:line="399" w:lineRule="exact"/>
        <w:ind w:left="422"/>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经批准的样品应由监理人负责封存于现场，承包人应在现场为保存样品提供适当和固定的场所并保持适当和良好的存储环境条件。</w:t>
      </w:r>
    </w:p>
    <w:p>
      <w:pPr>
        <w:spacing w:before="124" w:line="219" w:lineRule="auto"/>
        <w:ind w:left="1"/>
        <w:outlineLvl w:val="6"/>
        <w:rPr>
          <w:rFonts w:ascii="黑体" w:hAnsi="黑体" w:eastAsia="黑体" w:cs="黑体"/>
          <w:color w:val="auto"/>
          <w:sz w:val="24"/>
          <w:szCs w:val="24"/>
          <w:highlight w:val="none"/>
        </w:rPr>
      </w:pPr>
      <w:bookmarkStart w:id="208" w:name="bookmark247"/>
      <w:bookmarkEnd w:id="208"/>
      <w:bookmarkStart w:id="209" w:name="bookmark250"/>
      <w:bookmarkEnd w:id="209"/>
      <w:bookmarkStart w:id="210" w:name="bookmark248"/>
      <w:bookmarkEnd w:id="210"/>
      <w:bookmarkStart w:id="211" w:name="bookmark249"/>
      <w:bookmarkEnd w:id="211"/>
      <w:r>
        <w:rPr>
          <w:rFonts w:ascii="Times New Roman" w:hAnsi="Times New Roman" w:eastAsia="Times New Roman" w:cs="Times New Roman"/>
          <w:b/>
          <w:bCs/>
          <w:color w:val="auto"/>
          <w:sz w:val="24"/>
          <w:szCs w:val="24"/>
          <w:highlight w:val="none"/>
        </w:rPr>
        <w:t xml:space="preserve">8.7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材料与工程设备的替代</w:t>
      </w:r>
    </w:p>
    <w:p>
      <w:pPr>
        <w:spacing w:before="141" w:line="398" w:lineRule="exact"/>
        <w:ind w:left="425"/>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8.7.1  出现下列情况需要使用替代材料和工程设备的，承包人应按照第 8.7.2 项约定的程序执行：</w:t>
      </w:r>
    </w:p>
    <w:p>
      <w:pPr>
        <w:spacing w:before="148"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）基准日期后生效的法律规定禁止使用的；</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）发包人要求使用替代品的；</w:t>
      </w:r>
    </w:p>
    <w:p>
      <w:pPr>
        <w:spacing w:before="147"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）因其他原因必须使用替代品的。</w:t>
      </w:r>
    </w:p>
    <w:p>
      <w:pPr>
        <w:spacing w:before="150" w:line="220" w:lineRule="auto"/>
        <w:ind w:left="425"/>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8.7.2  </w:t>
      </w:r>
      <w:r>
        <w:rPr>
          <w:rFonts w:ascii="宋体" w:hAnsi="宋体" w:eastAsia="宋体" w:cs="宋体"/>
          <w:color w:val="auto"/>
          <w:spacing w:val="-3"/>
          <w:sz w:val="21"/>
          <w:szCs w:val="21"/>
          <w:highlight w:val="none"/>
        </w:rPr>
        <w:t>承包人应在使用替代材料和工程设备</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28 </w:t>
      </w:r>
      <w:r>
        <w:rPr>
          <w:rFonts w:ascii="宋体" w:hAnsi="宋体" w:eastAsia="宋体" w:cs="宋体"/>
          <w:color w:val="auto"/>
          <w:spacing w:val="-4"/>
          <w:sz w:val="21"/>
          <w:szCs w:val="21"/>
          <w:highlight w:val="none"/>
        </w:rPr>
        <w:t>天前书面通知监理人， 并附下列文件：</w:t>
      </w:r>
    </w:p>
    <w:p>
      <w:pPr>
        <w:spacing w:before="151" w:line="398" w:lineRule="exact"/>
        <w:ind w:left="42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）被替代的材料和工程设备的名称、数量、规格、型号、品牌、性能、价格及其他相关</w:t>
      </w:r>
    </w:p>
    <w:p>
      <w:pPr>
        <w:spacing w:line="221" w:lineRule="auto"/>
        <w:ind w:left="9"/>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资料；</w:t>
      </w:r>
    </w:p>
    <w:p>
      <w:pPr>
        <w:spacing w:before="149" w:line="401" w:lineRule="exact"/>
        <w:ind w:left="42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）替代品的名称、数量、规格、型号、品牌、性能</w:t>
      </w:r>
      <w:r>
        <w:rPr>
          <w:rFonts w:ascii="宋体" w:hAnsi="宋体" w:eastAsia="宋体" w:cs="宋体"/>
          <w:color w:val="auto"/>
          <w:spacing w:val="-1"/>
          <w:position w:val="14"/>
          <w:sz w:val="21"/>
          <w:szCs w:val="21"/>
          <w:highlight w:val="none"/>
        </w:rPr>
        <w:t>、价格及其他相关资料；</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）替代品与被替代产品之间的差异以及使用替代品</w:t>
      </w:r>
      <w:r>
        <w:rPr>
          <w:rFonts w:ascii="宋体" w:hAnsi="宋体" w:eastAsia="宋体" w:cs="宋体"/>
          <w:color w:val="auto"/>
          <w:spacing w:val="-1"/>
          <w:sz w:val="21"/>
          <w:szCs w:val="21"/>
          <w:highlight w:val="none"/>
        </w:rPr>
        <w:t>可能对工程产生的影响；</w:t>
      </w:r>
    </w:p>
    <w:p>
      <w:pPr>
        <w:spacing w:before="147" w:line="402" w:lineRule="exact"/>
        <w:ind w:left="42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）替代品与被替代产品的价格差异；</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）使用替代品的理由和原因说明；</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）监理人要求的其他文件。</w:t>
      </w:r>
    </w:p>
    <w:p>
      <w:pPr>
        <w:spacing w:before="147" w:line="401" w:lineRule="exact"/>
        <w:ind w:left="421"/>
        <w:rPr>
          <w:rFonts w:ascii="宋体" w:hAnsi="宋体" w:eastAsia="宋体" w:cs="宋体"/>
          <w:color w:val="auto"/>
          <w:position w:val="14"/>
          <w:sz w:val="21"/>
          <w:szCs w:val="21"/>
          <w:highlight w:val="none"/>
        </w:rPr>
      </w:pPr>
      <w:r>
        <w:rPr>
          <w:rFonts w:ascii="宋体" w:hAnsi="宋体" w:eastAsia="宋体" w:cs="宋体"/>
          <w:color w:val="auto"/>
          <w:position w:val="14"/>
          <w:sz w:val="21"/>
          <w:szCs w:val="21"/>
          <w:highlight w:val="none"/>
        </w:rPr>
        <w:t xml:space="preserve">监理人应在收到通知后 </w:t>
      </w:r>
      <w:r>
        <w:rPr>
          <w:rFonts w:ascii="Times New Roman" w:hAnsi="Times New Roman" w:eastAsia="Times New Roman" w:cs="Times New Roman"/>
          <w:color w:val="auto"/>
          <w:position w:val="14"/>
          <w:sz w:val="21"/>
          <w:szCs w:val="21"/>
          <w:highlight w:val="none"/>
        </w:rPr>
        <w:t xml:space="preserve">14  </w:t>
      </w:r>
      <w:r>
        <w:rPr>
          <w:rFonts w:ascii="宋体" w:hAnsi="宋体" w:eastAsia="宋体" w:cs="宋体"/>
          <w:color w:val="auto"/>
          <w:position w:val="14"/>
          <w:sz w:val="21"/>
          <w:szCs w:val="21"/>
          <w:highlight w:val="none"/>
        </w:rPr>
        <w:t>天内向承包人发出经发包人签认的书面指示；监理人逾期</w:t>
      </w:r>
      <w:r>
        <w:rPr>
          <w:rFonts w:ascii="宋体" w:hAnsi="宋体" w:eastAsia="宋体" w:cs="宋体"/>
          <w:color w:val="auto"/>
          <w:spacing w:val="-1"/>
          <w:position w:val="14"/>
          <w:sz w:val="21"/>
          <w:szCs w:val="21"/>
          <w:highlight w:val="none"/>
        </w:rPr>
        <w:t>发出</w:t>
      </w:r>
      <w:r>
        <w:rPr>
          <w:rFonts w:ascii="宋体" w:hAnsi="宋体" w:eastAsia="宋体" w:cs="宋体"/>
          <w:color w:val="auto"/>
          <w:position w:val="14"/>
          <w:sz w:val="21"/>
          <w:szCs w:val="21"/>
          <w:highlight w:val="none"/>
        </w:rPr>
        <w:t>书面指示的， 视为发包人和监理人同意使用替代品。</w:t>
      </w:r>
    </w:p>
    <w:p>
      <w:pPr>
        <w:spacing w:before="148" w:line="352" w:lineRule="auto"/>
        <w:ind w:right="3"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8.7.3  </w:t>
      </w:r>
      <w:r>
        <w:rPr>
          <w:rFonts w:ascii="宋体" w:hAnsi="宋体" w:eastAsia="宋体" w:cs="宋体"/>
          <w:color w:val="auto"/>
          <w:spacing w:val="2"/>
          <w:sz w:val="21"/>
          <w:szCs w:val="21"/>
          <w:highlight w:val="none"/>
        </w:rPr>
        <w:t>发包人认可使用替代材料和工程设备的，替代材料和工程设备的</w:t>
      </w:r>
      <w:r>
        <w:rPr>
          <w:rFonts w:ascii="宋体" w:hAnsi="宋体" w:eastAsia="宋体" w:cs="宋体"/>
          <w:color w:val="auto"/>
          <w:spacing w:val="1"/>
          <w:sz w:val="21"/>
          <w:szCs w:val="21"/>
          <w:highlight w:val="none"/>
        </w:rPr>
        <w:t xml:space="preserve">价格，按照已标价工  </w:t>
      </w:r>
      <w:r>
        <w:rPr>
          <w:rFonts w:ascii="宋体" w:hAnsi="宋体" w:eastAsia="宋体" w:cs="宋体"/>
          <w:color w:val="auto"/>
          <w:spacing w:val="-7"/>
          <w:sz w:val="21"/>
          <w:szCs w:val="21"/>
          <w:highlight w:val="none"/>
        </w:rPr>
        <w:t>程量清单或预算书相同项目的价格认定； 无相同项目的， 参考相似项目价格认定； 既无相</w:t>
      </w:r>
      <w:r>
        <w:rPr>
          <w:rFonts w:ascii="宋体" w:hAnsi="宋体" w:eastAsia="宋体" w:cs="宋体"/>
          <w:color w:val="auto"/>
          <w:spacing w:val="-8"/>
          <w:sz w:val="21"/>
          <w:szCs w:val="21"/>
          <w:highlight w:val="none"/>
        </w:rPr>
        <w:t xml:space="preserve">同项目  </w:t>
      </w:r>
      <w:r>
        <w:rPr>
          <w:rFonts w:ascii="宋体" w:hAnsi="宋体" w:eastAsia="宋体" w:cs="宋体"/>
          <w:color w:val="auto"/>
          <w:spacing w:val="-3"/>
          <w:sz w:val="21"/>
          <w:szCs w:val="21"/>
          <w:highlight w:val="none"/>
        </w:rPr>
        <w:t xml:space="preserve">也无相似项目的，按照合理的成本与利润构成的原则， </w:t>
      </w:r>
      <w:r>
        <w:rPr>
          <w:rFonts w:ascii="宋体" w:hAnsi="宋体" w:eastAsia="宋体" w:cs="宋体"/>
          <w:color w:val="auto"/>
          <w:spacing w:val="-4"/>
          <w:sz w:val="21"/>
          <w:szCs w:val="21"/>
          <w:highlight w:val="none"/>
        </w:rPr>
        <w:t>由合同当事人按照第</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4.4</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4"/>
          <w:sz w:val="21"/>
          <w:szCs w:val="21"/>
          <w:highlight w:val="none"/>
        </w:rPr>
        <w:t>款〔商定或确定〕</w:t>
      </w:r>
      <w:r>
        <w:rPr>
          <w:rFonts w:ascii="宋体" w:hAnsi="宋体" w:eastAsia="宋体" w:cs="宋体"/>
          <w:color w:val="auto"/>
          <w:spacing w:val="-5"/>
          <w:sz w:val="21"/>
          <w:szCs w:val="21"/>
          <w:highlight w:val="none"/>
        </w:rPr>
        <w:t>确定价格。</w:t>
      </w:r>
    </w:p>
    <w:p>
      <w:pPr>
        <w:spacing w:before="125"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8.8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施工设备和临时设施</w:t>
      </w:r>
    </w:p>
    <w:p>
      <w:pPr>
        <w:spacing w:before="141" w:line="220" w:lineRule="auto"/>
        <w:ind w:left="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8.8.1  </w:t>
      </w:r>
      <w:r>
        <w:rPr>
          <w:rFonts w:ascii="宋体" w:hAnsi="宋体" w:eastAsia="宋体" w:cs="宋体"/>
          <w:color w:val="auto"/>
          <w:spacing w:val="-1"/>
          <w:sz w:val="21"/>
          <w:szCs w:val="21"/>
          <w:highlight w:val="none"/>
        </w:rPr>
        <w:t>承包人提供的施工设备和临时设施</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除专用合同条款另有约定外，承包人应自行承担修建临时设施的费用， 需要临时占地的，应</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由发包人办理申请手续并承担相应费用。</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8.8.2 发包人提供的施工设备和临时设施</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发包人提供的施工设备或临时设施在专用合同条款中约定。</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8.8.3 要求承包人增加或更换施工设备</w:t>
      </w:r>
    </w:p>
    <w:p>
      <w:pPr>
        <w:spacing w:before="148" w:line="352" w:lineRule="auto"/>
        <w:ind w:right="3" w:firstLine="42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承包人使用的施工设备不能满足合同进度计划和（或）质量要求时，监理人有权要求承包人</w:t>
      </w:r>
    </w:p>
    <w:p>
      <w:pPr>
        <w:spacing w:before="148" w:line="352" w:lineRule="auto"/>
        <w:ind w:right="3" w:firstLine="42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增加或更换施工设备，承包人应及时增加或更换， 由此增加的费用和（或） 延误的工期由承包人</w:t>
      </w:r>
      <w:r>
        <w:rPr>
          <w:rFonts w:ascii="宋体" w:hAnsi="宋体" w:eastAsia="宋体" w:cs="宋体"/>
          <w:color w:val="auto"/>
          <w:spacing w:val="-8"/>
          <w:sz w:val="21"/>
          <w:szCs w:val="21"/>
          <w:highlight w:val="none"/>
        </w:rPr>
        <w:t>承担。</w:t>
      </w:r>
    </w:p>
    <w:p>
      <w:pPr>
        <w:spacing w:before="124"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8.9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材料与设备专用要求</w:t>
      </w:r>
    </w:p>
    <w:p>
      <w:pPr>
        <w:spacing w:before="141" w:line="351" w:lineRule="auto"/>
        <w:ind w:left="18" w:right="177"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承包人运入施工现场的材料、工程设备、施工设备以及在施工场地建设的临时设施</w:t>
      </w:r>
      <w:r>
        <w:rPr>
          <w:rFonts w:ascii="宋体" w:hAnsi="宋体" w:eastAsia="宋体" w:cs="宋体"/>
          <w:color w:val="auto"/>
          <w:spacing w:val="-1"/>
          <w:sz w:val="21"/>
          <w:szCs w:val="21"/>
          <w:highlight w:val="none"/>
        </w:rPr>
        <w:t>，包括备</w:t>
      </w:r>
      <w:r>
        <w:rPr>
          <w:rFonts w:ascii="宋体" w:hAnsi="宋体" w:eastAsia="宋体" w:cs="宋体"/>
          <w:color w:val="auto"/>
          <w:sz w:val="21"/>
          <w:szCs w:val="21"/>
          <w:highlight w:val="none"/>
        </w:rPr>
        <w:t>品备件、安装工具与资料，必须专用于工程。未</w:t>
      </w:r>
      <w:r>
        <w:rPr>
          <w:rFonts w:ascii="宋体" w:hAnsi="宋体" w:eastAsia="宋体" w:cs="宋体"/>
          <w:color w:val="auto"/>
          <w:spacing w:val="-1"/>
          <w:sz w:val="21"/>
          <w:szCs w:val="21"/>
          <w:highlight w:val="none"/>
        </w:rPr>
        <w:t>经发包人批准，承包人不得运出施工现场或挪作</w:t>
      </w:r>
      <w:r>
        <w:rPr>
          <w:rFonts w:ascii="宋体" w:hAnsi="宋体" w:eastAsia="宋体" w:cs="宋体"/>
          <w:color w:val="auto"/>
          <w:spacing w:val="-3"/>
          <w:sz w:val="21"/>
          <w:szCs w:val="21"/>
          <w:highlight w:val="none"/>
        </w:rPr>
        <w:t>他用； 经发包人批准，承包人可以根据施工进度计划撤走闲置的施工设备和</w:t>
      </w:r>
      <w:r>
        <w:rPr>
          <w:rFonts w:ascii="宋体" w:hAnsi="宋体" w:eastAsia="宋体" w:cs="宋体"/>
          <w:color w:val="auto"/>
          <w:spacing w:val="-4"/>
          <w:sz w:val="21"/>
          <w:szCs w:val="21"/>
          <w:highlight w:val="none"/>
        </w:rPr>
        <w:t>其他物品。</w:t>
      </w:r>
    </w:p>
    <w:p>
      <w:pPr>
        <w:spacing w:before="188" w:line="219" w:lineRule="auto"/>
        <w:ind w:left="1"/>
        <w:outlineLvl w:val="6"/>
        <w:rPr>
          <w:rFonts w:ascii="黑体" w:hAnsi="黑体" w:eastAsia="黑体" w:cs="黑体"/>
          <w:color w:val="auto"/>
          <w:sz w:val="28"/>
          <w:szCs w:val="28"/>
          <w:highlight w:val="none"/>
        </w:rPr>
      </w:pPr>
      <w:bookmarkStart w:id="212" w:name="bookmark251"/>
      <w:bookmarkEnd w:id="212"/>
      <w:r>
        <w:rPr>
          <w:rFonts w:ascii="Times New Roman" w:hAnsi="Times New Roman" w:eastAsia="Times New Roman" w:cs="Times New Roman"/>
          <w:b/>
          <w:bCs/>
          <w:color w:val="auto"/>
          <w:spacing w:val="-1"/>
          <w:sz w:val="28"/>
          <w:szCs w:val="28"/>
          <w:highlight w:val="none"/>
        </w:rPr>
        <w:t xml:space="preserve">9.  </w:t>
      </w:r>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试验与检验</w:t>
      </w:r>
    </w:p>
    <w:p>
      <w:pPr>
        <w:spacing w:before="104"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试验设备与试验人员</w:t>
      </w:r>
    </w:p>
    <w:p>
      <w:pPr>
        <w:spacing w:before="141" w:line="351" w:lineRule="auto"/>
        <w:ind w:left="18" w:right="177"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9.1.1  承包人根据合同约定或监理人指示进行的现场材料试验，应由承包人提供试验场所、试验人员、试验设备以及其他必要的试验条件。监理人在必要时可以使用承包人提供的试验场、试验设备以及其他试验条件，进行以工程质量检查为目的的材料复核试验， 承包人应予以协助。</w:t>
      </w:r>
    </w:p>
    <w:p>
      <w:pPr>
        <w:spacing w:before="141" w:line="351" w:lineRule="auto"/>
        <w:ind w:left="18" w:right="177"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9.1.2  承包人应按专用合同条款的约定提供试验设备、取样装置、试验场所和试验条件，并向监理人提交相应进场计划表。</w:t>
      </w:r>
    </w:p>
    <w:p>
      <w:pPr>
        <w:spacing w:before="141" w:line="351" w:lineRule="auto"/>
        <w:ind w:left="18" w:right="177"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承包人配置的试验设备要符合相应试验规程的要求并经过具有资质的检测单位检测，且在正式使用该试验设备前，需要经过监理人与承包人共同校定。</w:t>
      </w:r>
    </w:p>
    <w:p>
      <w:pPr>
        <w:spacing w:before="141" w:line="351" w:lineRule="auto"/>
        <w:ind w:left="18" w:right="177"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9.1.3  承包人应向监理人提交试验人员的名单及其岗位、资格等证明资料， 试验人员必须能够熟练进行相应的检测试验，承包人对试验人员的试验程序和试验结果的正确性负责。</w:t>
      </w:r>
    </w:p>
    <w:p>
      <w:pPr>
        <w:spacing w:before="126"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9.2</w:t>
      </w:r>
      <w:r>
        <w:rPr>
          <w:rFonts w:ascii="Times New Roman" w:hAnsi="Times New Roman" w:eastAsia="Times New Roman" w:cs="Times New Roman"/>
          <w:b/>
          <w:bCs/>
          <w:color w:val="auto"/>
          <w:spacing w:val="14"/>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取样</w:t>
      </w:r>
    </w:p>
    <w:p>
      <w:pPr>
        <w:spacing w:before="140" w:line="401"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试验属于自检性质的，承包人可以单独取样。试验属于监理人</w:t>
      </w:r>
      <w:r>
        <w:rPr>
          <w:rFonts w:ascii="宋体" w:hAnsi="宋体" w:eastAsia="宋体" w:cs="宋体"/>
          <w:color w:val="auto"/>
          <w:spacing w:val="-4"/>
          <w:position w:val="14"/>
          <w:sz w:val="21"/>
          <w:szCs w:val="21"/>
          <w:highlight w:val="none"/>
        </w:rPr>
        <w:t>抽检性质的，</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4"/>
          <w:position w:val="14"/>
          <w:sz w:val="21"/>
          <w:szCs w:val="21"/>
          <w:highlight w:val="none"/>
        </w:rPr>
        <w:t>可由监理人取样，</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也可由承包人的试验人员在监理人的监督下取</w:t>
      </w:r>
      <w:r>
        <w:rPr>
          <w:rFonts w:ascii="宋体" w:hAnsi="宋体" w:eastAsia="宋体" w:cs="宋体"/>
          <w:color w:val="auto"/>
          <w:spacing w:val="-2"/>
          <w:sz w:val="21"/>
          <w:szCs w:val="21"/>
          <w:highlight w:val="none"/>
        </w:rPr>
        <w:t>样。</w:t>
      </w:r>
    </w:p>
    <w:p>
      <w:pPr>
        <w:spacing w:before="125"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9.3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材料、工程设备和工程的试验和检验</w:t>
      </w:r>
    </w:p>
    <w:p>
      <w:pPr>
        <w:spacing w:before="141" w:line="352" w:lineRule="auto"/>
        <w:ind w:right="17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9.3.1  </w:t>
      </w:r>
      <w:r>
        <w:rPr>
          <w:rFonts w:ascii="宋体" w:hAnsi="宋体" w:eastAsia="宋体" w:cs="宋体"/>
          <w:color w:val="auto"/>
          <w:spacing w:val="2"/>
          <w:sz w:val="21"/>
          <w:szCs w:val="21"/>
          <w:highlight w:val="none"/>
        </w:rPr>
        <w:t xml:space="preserve">承包人应按合同约定进行材料、工程设备和工程的试验和检验，并为监理人对上述材 </w:t>
      </w:r>
      <w:r>
        <w:rPr>
          <w:rFonts w:ascii="宋体" w:hAnsi="宋体" w:eastAsia="宋体" w:cs="宋体"/>
          <w:color w:val="auto"/>
          <w:sz w:val="21"/>
          <w:szCs w:val="21"/>
          <w:highlight w:val="none"/>
        </w:rPr>
        <w:t>料、工程设备和工程的质量检查提供必要的试验资料和原始记录。按合同约定应由监理人</w:t>
      </w:r>
      <w:r>
        <w:rPr>
          <w:rFonts w:ascii="宋体" w:hAnsi="宋体" w:eastAsia="宋体" w:cs="宋体"/>
          <w:color w:val="auto"/>
          <w:spacing w:val="-1"/>
          <w:sz w:val="21"/>
          <w:szCs w:val="21"/>
          <w:highlight w:val="none"/>
        </w:rPr>
        <w:t>与承包人共同进行试验和检验的，由承包人负责提供必要的试验资料和原始记录。</w:t>
      </w:r>
    </w:p>
    <w:p>
      <w:pPr>
        <w:spacing w:before="148" w:line="352" w:lineRule="auto"/>
        <w:ind w:left="1" w:right="177" w:firstLine="41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9.3.2  </w:t>
      </w:r>
      <w:r>
        <w:rPr>
          <w:rFonts w:ascii="宋体" w:hAnsi="宋体" w:eastAsia="宋体" w:cs="宋体"/>
          <w:color w:val="auto"/>
          <w:sz w:val="21"/>
          <w:szCs w:val="21"/>
          <w:highlight w:val="none"/>
        </w:rPr>
        <w:t>试验属于自检性质的， 承包人可以单独进行试验。</w:t>
      </w:r>
      <w:r>
        <w:rPr>
          <w:rFonts w:ascii="宋体" w:hAnsi="宋体" w:eastAsia="宋体" w:cs="宋体"/>
          <w:color w:val="auto"/>
          <w:spacing w:val="-1"/>
          <w:sz w:val="21"/>
          <w:szCs w:val="21"/>
          <w:highlight w:val="none"/>
        </w:rPr>
        <w:t>试验属于监理人抽检性质的，监理</w:t>
      </w:r>
      <w:r>
        <w:rPr>
          <w:rFonts w:ascii="宋体" w:hAnsi="宋体" w:eastAsia="宋体" w:cs="宋体"/>
          <w:color w:val="auto"/>
          <w:sz w:val="21"/>
          <w:szCs w:val="21"/>
          <w:highlight w:val="none"/>
        </w:rPr>
        <w:t xml:space="preserve"> 人可以单独进行试验，也可由承包人与监理人共同进行。承包人对由监理人单独进行的</w:t>
      </w:r>
      <w:r>
        <w:rPr>
          <w:rFonts w:ascii="宋体" w:hAnsi="宋体" w:eastAsia="宋体" w:cs="宋体"/>
          <w:color w:val="auto"/>
          <w:spacing w:val="-1"/>
          <w:sz w:val="21"/>
          <w:szCs w:val="21"/>
          <w:highlight w:val="none"/>
        </w:rPr>
        <w:t>试验结果</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有异议的，</w:t>
      </w:r>
      <w:r>
        <w:rPr>
          <w:rFonts w:ascii="宋体" w:hAnsi="宋体" w:eastAsia="宋体" w:cs="宋体"/>
          <w:color w:val="auto"/>
          <w:spacing w:val="-21"/>
          <w:sz w:val="21"/>
          <w:szCs w:val="21"/>
          <w:highlight w:val="none"/>
        </w:rPr>
        <w:t xml:space="preserve"> </w:t>
      </w:r>
      <w:r>
        <w:rPr>
          <w:rFonts w:ascii="宋体" w:hAnsi="宋体" w:eastAsia="宋体" w:cs="宋体"/>
          <w:color w:val="auto"/>
          <w:spacing w:val="-3"/>
          <w:sz w:val="21"/>
          <w:szCs w:val="21"/>
          <w:highlight w:val="none"/>
        </w:rPr>
        <w:t>可以申请重新共同进行试验。约定共同进行试验的，监理人未</w:t>
      </w:r>
      <w:r>
        <w:rPr>
          <w:rFonts w:ascii="宋体" w:hAnsi="宋体" w:eastAsia="宋体" w:cs="宋体"/>
          <w:color w:val="auto"/>
          <w:spacing w:val="-4"/>
          <w:sz w:val="21"/>
          <w:szCs w:val="21"/>
          <w:highlight w:val="none"/>
        </w:rPr>
        <w:t>按照约定参加试验的</w:t>
      </w:r>
      <w:r>
        <w:rPr>
          <w:rFonts w:hint="eastAsia" w:ascii="宋体" w:hAnsi="宋体" w:eastAsia="宋体" w:cs="宋体"/>
          <w:color w:val="auto"/>
          <w:spacing w:val="-4"/>
          <w:sz w:val="21"/>
          <w:szCs w:val="21"/>
          <w:highlight w:val="none"/>
          <w:lang w:eastAsia="zh-CN"/>
        </w:rPr>
        <w:t>，</w:t>
      </w:r>
      <w:r>
        <w:rPr>
          <w:rFonts w:ascii="宋体" w:hAnsi="宋体" w:eastAsia="宋体" w:cs="宋体"/>
          <w:color w:val="auto"/>
          <w:spacing w:val="-4"/>
          <w:sz w:val="21"/>
          <w:szCs w:val="21"/>
          <w:highlight w:val="none"/>
        </w:rPr>
        <w:t>承包人可自行试验， 并将试验结果报送监理人，监理人应承认该试验结果。</w:t>
      </w:r>
    </w:p>
    <w:p>
      <w:pPr>
        <w:spacing w:before="149" w:line="352" w:lineRule="auto"/>
        <w:ind w:left="2" w:right="177"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9.3.3  </w:t>
      </w:r>
      <w:r>
        <w:rPr>
          <w:rFonts w:ascii="宋体" w:hAnsi="宋体" w:eastAsia="宋体" w:cs="宋体"/>
          <w:color w:val="auto"/>
          <w:spacing w:val="2"/>
          <w:sz w:val="21"/>
          <w:szCs w:val="21"/>
          <w:highlight w:val="none"/>
        </w:rPr>
        <w:t xml:space="preserve">监理人对承包人的试验和检验结果有异议的，或为查清承包人试验和检验成果的可靠 </w:t>
      </w:r>
      <w:r>
        <w:rPr>
          <w:rFonts w:ascii="宋体" w:hAnsi="宋体" w:eastAsia="宋体" w:cs="宋体"/>
          <w:color w:val="auto"/>
          <w:sz w:val="21"/>
          <w:szCs w:val="21"/>
          <w:highlight w:val="none"/>
        </w:rPr>
        <w:t>性要求承包人重新试验和检验的，可由监理人与承包人共同进行。重新试验和检验的</w:t>
      </w:r>
      <w:r>
        <w:rPr>
          <w:rFonts w:ascii="宋体" w:hAnsi="宋体" w:eastAsia="宋体" w:cs="宋体"/>
          <w:color w:val="auto"/>
          <w:spacing w:val="-1"/>
          <w:sz w:val="21"/>
          <w:szCs w:val="21"/>
          <w:highlight w:val="none"/>
        </w:rPr>
        <w:t>结果证明该</w:t>
      </w:r>
      <w:r>
        <w:rPr>
          <w:rFonts w:ascii="宋体" w:hAnsi="宋体" w:eastAsia="宋体" w:cs="宋体"/>
          <w:color w:val="auto"/>
          <w:sz w:val="21"/>
          <w:szCs w:val="21"/>
          <w:highlight w:val="none"/>
        </w:rPr>
        <w:t xml:space="preserve"> 项材料、工程设备或工程的质量不符合合同要求的，由此增加的费用和（或）延误的</w:t>
      </w:r>
      <w:r>
        <w:rPr>
          <w:rFonts w:ascii="宋体" w:hAnsi="宋体" w:eastAsia="宋体" w:cs="宋体"/>
          <w:color w:val="auto"/>
          <w:spacing w:val="-1"/>
          <w:sz w:val="21"/>
          <w:szCs w:val="21"/>
          <w:highlight w:val="none"/>
        </w:rPr>
        <w:t>工期由承包</w:t>
      </w:r>
      <w:r>
        <w:rPr>
          <w:rFonts w:ascii="宋体" w:hAnsi="宋体" w:eastAsia="宋体" w:cs="宋体"/>
          <w:color w:val="auto"/>
          <w:sz w:val="21"/>
          <w:szCs w:val="21"/>
          <w:highlight w:val="none"/>
        </w:rPr>
        <w:t xml:space="preserve"> 人承担；重新试验和检验结果证明该项材料、工程设备和工程符合合同要求的，由此</w:t>
      </w:r>
      <w:r>
        <w:rPr>
          <w:rFonts w:ascii="宋体" w:hAnsi="宋体" w:eastAsia="宋体" w:cs="宋体"/>
          <w:color w:val="auto"/>
          <w:spacing w:val="-1"/>
          <w:sz w:val="21"/>
          <w:szCs w:val="21"/>
          <w:highlight w:val="none"/>
        </w:rPr>
        <w:t>增加的费用</w:t>
      </w:r>
      <w:r>
        <w:rPr>
          <w:rFonts w:ascii="宋体" w:hAnsi="宋体" w:eastAsia="宋体" w:cs="宋体"/>
          <w:color w:val="auto"/>
          <w:spacing w:val="-2"/>
          <w:sz w:val="21"/>
          <w:szCs w:val="21"/>
          <w:highlight w:val="none"/>
        </w:rPr>
        <w:t>和（或）延误的工期由发包人承担。</w:t>
      </w:r>
    </w:p>
    <w:p>
      <w:pPr>
        <w:spacing w:before="123"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现场工艺试验</w:t>
      </w:r>
    </w:p>
    <w:p>
      <w:pPr>
        <w:spacing w:before="149" w:line="352" w:lineRule="auto"/>
        <w:ind w:left="2" w:right="177" w:firstLine="418"/>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pPr>
        <w:spacing w:before="189" w:line="219" w:lineRule="auto"/>
        <w:ind w:left="10"/>
        <w:outlineLvl w:val="6"/>
        <w:rPr>
          <w:rFonts w:ascii="黑体" w:hAnsi="黑体" w:eastAsia="黑体" w:cs="黑体"/>
          <w:color w:val="auto"/>
          <w:sz w:val="28"/>
          <w:szCs w:val="28"/>
          <w:highlight w:val="none"/>
        </w:rPr>
      </w:pPr>
      <w:bookmarkStart w:id="213" w:name="bookmark252"/>
      <w:bookmarkEnd w:id="213"/>
      <w:bookmarkStart w:id="214" w:name="bookmark253"/>
      <w:bookmarkEnd w:id="214"/>
      <w:bookmarkStart w:id="215" w:name="bookmark254"/>
      <w:bookmarkEnd w:id="215"/>
      <w:r>
        <w:rPr>
          <w:rFonts w:ascii="Times New Roman" w:hAnsi="Times New Roman" w:eastAsia="Times New Roman" w:cs="Times New Roman"/>
          <w:b/>
          <w:bCs/>
          <w:color w:val="auto"/>
          <w:spacing w:val="-5"/>
          <w:sz w:val="28"/>
          <w:szCs w:val="28"/>
          <w:highlight w:val="none"/>
        </w:rPr>
        <w:t>10.</w:t>
      </w:r>
      <w:r>
        <w:rPr>
          <w:rFonts w:ascii="Times New Roman" w:hAnsi="Times New Roman" w:eastAsia="Times New Roman" w:cs="Times New Roman"/>
          <w:b/>
          <w:bCs/>
          <w:color w:val="auto"/>
          <w:spacing w:val="8"/>
          <w:sz w:val="28"/>
          <w:szCs w:val="28"/>
          <w:highlight w:val="none"/>
        </w:rPr>
        <w:t xml:space="preserve">  </w:t>
      </w:r>
      <w:r>
        <w:rPr>
          <w:rFonts w:ascii="黑体" w:hAnsi="黑体" w:eastAsia="黑体" w:cs="黑体"/>
          <w:color w:val="auto"/>
          <w:spacing w:val="-5"/>
          <w:sz w:val="28"/>
          <w:szCs w:val="28"/>
          <w:highlight w:val="none"/>
          <w14:textOutline w14:w="5094" w14:cap="flat" w14:cmpd="sng">
            <w14:solidFill>
              <w14:srgbClr w14:val="000000"/>
            </w14:solidFill>
            <w14:prstDash w14:val="solid"/>
            <w14:miter w14:val="0"/>
          </w14:textOutline>
        </w:rPr>
        <w:t>变更</w:t>
      </w:r>
    </w:p>
    <w:p>
      <w:pPr>
        <w:spacing w:before="102"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10.1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变更的范围</w:t>
      </w:r>
    </w:p>
    <w:p>
      <w:pPr>
        <w:spacing w:before="141" w:line="400"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除专用合同条款另有约定外，合同履行过程中发生以下情形的，应按照本条约定进行变更：</w:t>
      </w:r>
    </w:p>
    <w:p>
      <w:pPr>
        <w:spacing w:before="1" w:line="220" w:lineRule="auto"/>
        <w:ind w:left="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）增加或减少合同中任何工作，或追加额外的工作；</w:t>
      </w:r>
    </w:p>
    <w:p>
      <w:pPr>
        <w:spacing w:before="147" w:line="401" w:lineRule="exact"/>
        <w:ind w:left="426"/>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）取消合同中任何工作，但转由他人实施的工作除外；</w:t>
      </w:r>
    </w:p>
    <w:p>
      <w:pPr>
        <w:spacing w:before="1" w:line="220" w:lineRule="auto"/>
        <w:ind w:left="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）改变合同中任何工作的质量标准或其他特性；</w:t>
      </w:r>
    </w:p>
    <w:p>
      <w:pPr>
        <w:spacing w:before="150" w:line="399" w:lineRule="exact"/>
        <w:ind w:left="426"/>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）改变工程的基线、标高、位置和尺寸；</w:t>
      </w:r>
    </w:p>
    <w:p>
      <w:pPr>
        <w:spacing w:line="220"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）改变工程的时间安排或实施顺序。</w:t>
      </w:r>
    </w:p>
    <w:p>
      <w:pPr>
        <w:spacing w:before="125"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10.2</w:t>
      </w:r>
      <w:r>
        <w:rPr>
          <w:rFonts w:ascii="Times New Roman" w:hAnsi="Times New Roman" w:eastAsia="Times New Roman" w:cs="Times New Roman"/>
          <w:b/>
          <w:bCs/>
          <w:color w:val="auto"/>
          <w:spacing w:val="14"/>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变更权</w:t>
      </w:r>
    </w:p>
    <w:p>
      <w:pPr>
        <w:spacing w:before="142" w:line="351" w:lineRule="auto"/>
        <w:ind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发包人和监理人均可以提出变更。变更指示均通过监理人发出，监理人发出</w:t>
      </w:r>
      <w:r>
        <w:rPr>
          <w:rFonts w:ascii="宋体" w:hAnsi="宋体" w:eastAsia="宋体" w:cs="宋体"/>
          <w:color w:val="auto"/>
          <w:spacing w:val="-1"/>
          <w:sz w:val="21"/>
          <w:szCs w:val="21"/>
          <w:highlight w:val="none"/>
        </w:rPr>
        <w:t>变更指示前应征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得发包人同意。承包人收到经发包人签认的变</w:t>
      </w:r>
      <w:r>
        <w:rPr>
          <w:rFonts w:ascii="宋体" w:hAnsi="宋体" w:eastAsia="宋体" w:cs="宋体"/>
          <w:color w:val="auto"/>
          <w:spacing w:val="-3"/>
          <w:sz w:val="21"/>
          <w:szCs w:val="21"/>
          <w:highlight w:val="none"/>
        </w:rPr>
        <w:t>更指示后， 方可实施变更。未经许可，承包人不得</w:t>
      </w:r>
      <w:r>
        <w:rPr>
          <w:rFonts w:ascii="宋体" w:hAnsi="宋体" w:eastAsia="宋体" w:cs="宋体"/>
          <w:color w:val="auto"/>
          <w:spacing w:val="-1"/>
          <w:sz w:val="21"/>
          <w:szCs w:val="21"/>
          <w:highlight w:val="none"/>
        </w:rPr>
        <w:t>擅自对工程的任何部分进行变更。</w:t>
      </w:r>
    </w:p>
    <w:p>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涉及设计变更的，应由设计人提供变更后的图纸和说明。如变更超过原设计标准</w:t>
      </w:r>
      <w:r>
        <w:rPr>
          <w:rFonts w:ascii="宋体" w:hAnsi="宋体" w:eastAsia="宋体" w:cs="宋体"/>
          <w:color w:val="auto"/>
          <w:spacing w:val="-1"/>
          <w:position w:val="14"/>
          <w:sz w:val="21"/>
          <w:szCs w:val="21"/>
          <w:highlight w:val="none"/>
        </w:rPr>
        <w:t>或批准的建</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设规模时，</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发包人应及时办理规划、设计变更等审批手续。</w:t>
      </w:r>
    </w:p>
    <w:p>
      <w:pPr>
        <w:spacing w:before="125"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10.3</w:t>
      </w:r>
      <w:r>
        <w:rPr>
          <w:rFonts w:ascii="Times New Roman" w:hAnsi="Times New Roman" w:eastAsia="Times New Roman" w:cs="Times New Roman"/>
          <w:b/>
          <w:bCs/>
          <w:color w:val="auto"/>
          <w:spacing w:val="1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变更程序</w:t>
      </w:r>
    </w:p>
    <w:p>
      <w:pPr>
        <w:spacing w:before="141"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10.3.1  </w:t>
      </w:r>
      <w:r>
        <w:rPr>
          <w:rFonts w:ascii="宋体" w:hAnsi="宋体" w:eastAsia="宋体" w:cs="宋体"/>
          <w:color w:val="auto"/>
          <w:spacing w:val="-2"/>
          <w:sz w:val="21"/>
          <w:szCs w:val="21"/>
          <w:highlight w:val="none"/>
        </w:rPr>
        <w:t>发包人提出变更</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发包人提出变更的，</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2"/>
          <w:position w:val="14"/>
          <w:sz w:val="21"/>
          <w:szCs w:val="21"/>
          <w:highlight w:val="none"/>
        </w:rPr>
        <w:t>应通过监理人向承包人发出变更指示，变更指示应</w:t>
      </w:r>
      <w:r>
        <w:rPr>
          <w:rFonts w:ascii="宋体" w:hAnsi="宋体" w:eastAsia="宋体" w:cs="宋体"/>
          <w:color w:val="auto"/>
          <w:spacing w:val="-3"/>
          <w:position w:val="14"/>
          <w:sz w:val="21"/>
          <w:szCs w:val="21"/>
          <w:highlight w:val="none"/>
        </w:rPr>
        <w:t>说明计划变更的工程</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范围和变更的内容。</w:t>
      </w:r>
    </w:p>
    <w:p>
      <w:pPr>
        <w:spacing w:before="151"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10.3.2  </w:t>
      </w:r>
      <w:r>
        <w:rPr>
          <w:rFonts w:ascii="宋体" w:hAnsi="宋体" w:eastAsia="宋体" w:cs="宋体"/>
          <w:color w:val="auto"/>
          <w:spacing w:val="-2"/>
          <w:sz w:val="21"/>
          <w:szCs w:val="21"/>
          <w:highlight w:val="none"/>
        </w:rPr>
        <w:t>监理人提出变更建议</w:t>
      </w:r>
    </w:p>
    <w:p>
      <w:pPr>
        <w:spacing w:before="147" w:line="352" w:lineRule="auto"/>
        <w:ind w:firstLine="4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监理人提出变更建议的， 需要向发包人以书面形式提出变更计划，</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说明计划变更工程范围和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变更的内容、理由， 以及实施该变更对合同价</w:t>
      </w:r>
      <w:r>
        <w:rPr>
          <w:rFonts w:ascii="宋体" w:hAnsi="宋体" w:eastAsia="宋体" w:cs="宋体"/>
          <w:color w:val="auto"/>
          <w:spacing w:val="-3"/>
          <w:sz w:val="21"/>
          <w:szCs w:val="21"/>
          <w:highlight w:val="none"/>
        </w:rPr>
        <w:t>格和工期的影响。发包人同意变更的，由监理人向承包人发出变更指示。发包人不同意变更的，</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监理人无权擅自发出变更指示。</w:t>
      </w:r>
    </w:p>
    <w:p>
      <w:pPr>
        <w:spacing w:before="14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10.3.3  </w:t>
      </w:r>
      <w:r>
        <w:rPr>
          <w:rFonts w:ascii="宋体" w:hAnsi="宋体" w:eastAsia="宋体" w:cs="宋体"/>
          <w:color w:val="auto"/>
          <w:spacing w:val="-2"/>
          <w:sz w:val="21"/>
          <w:szCs w:val="21"/>
          <w:highlight w:val="none"/>
        </w:rPr>
        <w:t>变更执行</w:t>
      </w:r>
    </w:p>
    <w:p>
      <w:pPr>
        <w:spacing w:before="151" w:line="351" w:lineRule="auto"/>
        <w:ind w:left="25" w:firstLine="39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承包人收到监理人下达的变更指示后，认为不能执行，应立即提出不能执行该变更</w:t>
      </w:r>
      <w:r>
        <w:rPr>
          <w:rFonts w:ascii="宋体" w:hAnsi="宋体" w:eastAsia="宋体" w:cs="宋体"/>
          <w:color w:val="auto"/>
          <w:spacing w:val="-1"/>
          <w:sz w:val="21"/>
          <w:szCs w:val="21"/>
          <w:highlight w:val="none"/>
        </w:rPr>
        <w:t>指示的理</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由。承包人认为可以执行变更的，应当书面说明实施该变更指示对合同价格和工期的影响，</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且</w:t>
      </w:r>
      <w:r>
        <w:rPr>
          <w:rFonts w:ascii="宋体" w:hAnsi="宋体" w:eastAsia="宋体" w:cs="宋体"/>
          <w:color w:val="auto"/>
          <w:spacing w:val="-2"/>
          <w:sz w:val="21"/>
          <w:szCs w:val="21"/>
          <w:highlight w:val="none"/>
        </w:rPr>
        <w:t>同当事人应当按照第</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10.4 </w:t>
      </w:r>
      <w:r>
        <w:rPr>
          <w:rFonts w:ascii="宋体" w:hAnsi="宋体" w:eastAsia="宋体" w:cs="宋体"/>
          <w:color w:val="auto"/>
          <w:spacing w:val="-2"/>
          <w:sz w:val="21"/>
          <w:szCs w:val="21"/>
          <w:highlight w:val="none"/>
        </w:rPr>
        <w:t>款〔变更估价〕约定确定变更估价。</w:t>
      </w:r>
    </w:p>
    <w:p>
      <w:pPr>
        <w:spacing w:before="127"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10.4</w:t>
      </w:r>
      <w:r>
        <w:rPr>
          <w:rFonts w:ascii="Times New Roman" w:hAnsi="Times New Roman" w:eastAsia="Times New Roman" w:cs="Times New Roman"/>
          <w:b/>
          <w:bCs/>
          <w:color w:val="auto"/>
          <w:spacing w:val="1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变更估价</w:t>
      </w:r>
    </w:p>
    <w:p>
      <w:pPr>
        <w:spacing w:before="141" w:line="219"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10.4.1  </w:t>
      </w:r>
      <w:r>
        <w:rPr>
          <w:rFonts w:ascii="宋体" w:hAnsi="宋体" w:eastAsia="宋体" w:cs="宋体"/>
          <w:color w:val="auto"/>
          <w:spacing w:val="-2"/>
          <w:sz w:val="21"/>
          <w:szCs w:val="21"/>
          <w:highlight w:val="none"/>
        </w:rPr>
        <w:t>变更估价原则</w:t>
      </w:r>
    </w:p>
    <w:p>
      <w:pPr>
        <w:spacing w:before="151" w:line="351" w:lineRule="auto"/>
        <w:ind w:left="25" w:firstLine="394"/>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除专用合同条款另有约定外，变更估价按照本款约定处理：</w:t>
      </w:r>
    </w:p>
    <w:p>
      <w:pPr>
        <w:spacing w:before="151" w:line="351" w:lineRule="auto"/>
        <w:ind w:left="25" w:firstLine="394"/>
        <w:rPr>
          <w:rFonts w:ascii="宋体" w:hAnsi="宋体" w:eastAsia="宋体" w:cs="宋体"/>
          <w:color w:val="auto"/>
          <w:sz w:val="21"/>
          <w:szCs w:val="21"/>
          <w:highlight w:val="none"/>
        </w:rPr>
      </w:pPr>
      <w:r>
        <w:rPr>
          <w:rFonts w:ascii="宋体" w:hAnsi="宋体" w:eastAsia="宋体" w:cs="宋体"/>
          <w:color w:val="auto"/>
          <w:sz w:val="21"/>
          <w:szCs w:val="21"/>
          <w:highlight w:val="none"/>
        </w:rPr>
        <w:t>（1）已标价工程量清单或预算书有相同项目的，按照相同项目单价认定；</w:t>
      </w:r>
    </w:p>
    <w:p>
      <w:pPr>
        <w:spacing w:before="151" w:line="351" w:lineRule="auto"/>
        <w:ind w:left="25" w:firstLine="394"/>
        <w:rPr>
          <w:rFonts w:ascii="宋体" w:hAnsi="宋体" w:eastAsia="宋体" w:cs="宋体"/>
          <w:color w:val="auto"/>
          <w:sz w:val="21"/>
          <w:szCs w:val="21"/>
          <w:highlight w:val="none"/>
        </w:rPr>
      </w:pPr>
      <w:r>
        <w:rPr>
          <w:rFonts w:ascii="宋体" w:hAnsi="宋体" w:eastAsia="宋体" w:cs="宋体"/>
          <w:color w:val="auto"/>
          <w:sz w:val="21"/>
          <w:szCs w:val="21"/>
          <w:highlight w:val="none"/>
        </w:rPr>
        <w:t>（2）已标价工程量清单或预算书中无相同项目， 但有类似项目的， 参照类似项目的单价认定；</w:t>
      </w:r>
    </w:p>
    <w:p>
      <w:pPr>
        <w:spacing w:before="151" w:line="351" w:lineRule="auto"/>
        <w:ind w:left="25" w:firstLine="394"/>
        <w:rPr>
          <w:rFonts w:ascii="宋体" w:hAnsi="宋体" w:eastAsia="宋体" w:cs="宋体"/>
          <w:color w:val="auto"/>
          <w:sz w:val="21"/>
          <w:szCs w:val="21"/>
          <w:highlight w:val="none"/>
        </w:rPr>
      </w:pPr>
      <w:r>
        <w:rPr>
          <w:rFonts w:ascii="宋体" w:hAnsi="宋体" w:eastAsia="宋体" w:cs="宋体"/>
          <w:color w:val="auto"/>
          <w:sz w:val="21"/>
          <w:szCs w:val="21"/>
          <w:highlight w:val="none"/>
        </w:rPr>
        <w:t>（3）变更导致实际完成的变更工程量与已标价工程量清单或预算书中列明的该项目工程量的变化幅度超过 15%的， 或已标价工程量清单或预算书中无相同项目及类似项目单价的，按照合理的成本与利润构成的原则，由合同当事人按照第 4.4 款〔商定或确定〕确定变更工作的单价。</w:t>
      </w:r>
    </w:p>
    <w:p>
      <w:pPr>
        <w:spacing w:before="149" w:line="219" w:lineRule="auto"/>
        <w:ind w:left="0" w:leftChars="0" w:firstLine="0" w:firstLineChars="0"/>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10.4.2  变更估价程序</w:t>
      </w:r>
    </w:p>
    <w:p>
      <w:pPr>
        <w:spacing w:before="147" w:line="352" w:lineRule="auto"/>
        <w:ind w:left="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承包人应在收到变更指示后 </w:t>
      </w:r>
      <w:r>
        <w:rPr>
          <w:rFonts w:ascii="Times New Roman" w:hAnsi="Times New Roman" w:eastAsia="Times New Roman" w:cs="Times New Roman"/>
          <w:color w:val="auto"/>
          <w:sz w:val="21"/>
          <w:szCs w:val="21"/>
          <w:highlight w:val="none"/>
        </w:rPr>
        <w:t xml:space="preserve">14  </w:t>
      </w:r>
      <w:r>
        <w:rPr>
          <w:rFonts w:ascii="宋体" w:hAnsi="宋体" w:eastAsia="宋体" w:cs="宋体"/>
          <w:color w:val="auto"/>
          <w:sz w:val="21"/>
          <w:szCs w:val="21"/>
          <w:highlight w:val="none"/>
        </w:rPr>
        <w:t>天内，向监理人提交变更估价申请。监理人应在收到</w:t>
      </w:r>
      <w:r>
        <w:rPr>
          <w:rFonts w:ascii="宋体" w:hAnsi="宋体" w:eastAsia="宋体" w:cs="宋体"/>
          <w:color w:val="auto"/>
          <w:spacing w:val="-1"/>
          <w:sz w:val="21"/>
          <w:szCs w:val="21"/>
          <w:highlight w:val="none"/>
        </w:rPr>
        <w:t>承包人</w:t>
      </w:r>
      <w:r>
        <w:rPr>
          <w:rFonts w:ascii="宋体" w:hAnsi="宋体" w:eastAsia="宋体" w:cs="宋体"/>
          <w:color w:val="auto"/>
          <w:sz w:val="21"/>
          <w:szCs w:val="21"/>
          <w:highlight w:val="none"/>
        </w:rPr>
        <w:t xml:space="preserve"> 提交的变更估价申请后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天内审查完毕并报送发包人，监理人对变更</w:t>
      </w:r>
      <w:r>
        <w:rPr>
          <w:rFonts w:ascii="宋体" w:hAnsi="宋体" w:eastAsia="宋体" w:cs="宋体"/>
          <w:color w:val="auto"/>
          <w:spacing w:val="-1"/>
          <w:sz w:val="21"/>
          <w:szCs w:val="21"/>
          <w:highlight w:val="none"/>
        </w:rPr>
        <w:t>估价申请有异议，通知承包</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人修改后重新提交。发包人应在承包人提交变更估价</w:t>
      </w:r>
      <w:r>
        <w:rPr>
          <w:rFonts w:ascii="宋体" w:hAnsi="宋体" w:eastAsia="宋体" w:cs="宋体"/>
          <w:color w:val="auto"/>
          <w:spacing w:val="-3"/>
          <w:sz w:val="21"/>
          <w:szCs w:val="21"/>
          <w:highlight w:val="none"/>
        </w:rPr>
        <w:t>申请后</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天内审批完毕。</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发包人逾期未完成审批或未提出异议的，</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视为认可承包人提交的变更估价申</w:t>
      </w:r>
      <w:r>
        <w:rPr>
          <w:rFonts w:ascii="宋体" w:hAnsi="宋体" w:eastAsia="宋体" w:cs="宋体"/>
          <w:color w:val="auto"/>
          <w:spacing w:val="-4"/>
          <w:sz w:val="21"/>
          <w:szCs w:val="21"/>
          <w:highlight w:val="none"/>
        </w:rPr>
        <w:t>请。</w:t>
      </w:r>
    </w:p>
    <w:p>
      <w:pPr>
        <w:spacing w:before="151" w:line="219" w:lineRule="auto"/>
        <w:ind w:left="4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因变更引起的价格调整应计入最近一期的进度款中支付。</w:t>
      </w:r>
    </w:p>
    <w:p>
      <w:pPr>
        <w:spacing w:before="127"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10.5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承包人的合理化建议</w:t>
      </w:r>
    </w:p>
    <w:p>
      <w:pPr>
        <w:spacing w:before="139" w:line="401" w:lineRule="exact"/>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承包人提出合理化建议的，应向监理人提交合理化建议说明，</w:t>
      </w:r>
      <w:r>
        <w:rPr>
          <w:rFonts w:ascii="宋体" w:hAnsi="宋体" w:eastAsia="宋体" w:cs="宋体"/>
          <w:color w:val="auto"/>
          <w:spacing w:val="-9"/>
          <w:position w:val="14"/>
          <w:sz w:val="21"/>
          <w:szCs w:val="21"/>
          <w:highlight w:val="none"/>
        </w:rPr>
        <w:t xml:space="preserve"> </w:t>
      </w:r>
      <w:r>
        <w:rPr>
          <w:rFonts w:ascii="宋体" w:hAnsi="宋体" w:eastAsia="宋体" w:cs="宋体"/>
          <w:color w:val="auto"/>
          <w:spacing w:val="-5"/>
          <w:position w:val="14"/>
          <w:sz w:val="21"/>
          <w:szCs w:val="21"/>
          <w:highlight w:val="none"/>
        </w:rPr>
        <w:t>说明建议的内容和理由， 以及</w:t>
      </w:r>
    </w:p>
    <w:p>
      <w:pPr>
        <w:spacing w:line="219" w:lineRule="auto"/>
        <w:ind w:left="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实施该建议对合同价格和工期的影响。</w:t>
      </w:r>
    </w:p>
    <w:p>
      <w:pPr>
        <w:spacing w:before="153" w:line="351" w:lineRule="auto"/>
        <w:ind w:firstLine="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除专用合同条款另有约定外，监理人应在收到承包人提交的合理化建议后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天内审查完毕并</w:t>
      </w:r>
      <w:r>
        <w:rPr>
          <w:rFonts w:ascii="宋体" w:hAnsi="宋体" w:eastAsia="宋体" w:cs="宋体"/>
          <w:color w:val="auto"/>
          <w:sz w:val="21"/>
          <w:szCs w:val="21"/>
          <w:highlight w:val="none"/>
        </w:rPr>
        <w:t xml:space="preserve"> 报送发包人，发现其中存在技术上的缺陷，应通知承包人修改。发包人应在收到监理人报送</w:t>
      </w:r>
      <w:r>
        <w:rPr>
          <w:rFonts w:ascii="宋体" w:hAnsi="宋体" w:eastAsia="宋体" w:cs="宋体"/>
          <w:color w:val="auto"/>
          <w:spacing w:val="-1"/>
          <w:sz w:val="21"/>
          <w:szCs w:val="21"/>
          <w:highlight w:val="none"/>
        </w:rPr>
        <w:t>的合</w:t>
      </w:r>
      <w:r>
        <w:rPr>
          <w:rFonts w:ascii="宋体" w:hAnsi="宋体" w:eastAsia="宋体" w:cs="宋体"/>
          <w:color w:val="auto"/>
          <w:sz w:val="21"/>
          <w:szCs w:val="21"/>
          <w:highlight w:val="none"/>
        </w:rPr>
        <w:t xml:space="preserve"> 理化建议后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天内审批完毕。合理化建议经发包人批准的，监理人应及时发出</w:t>
      </w:r>
      <w:r>
        <w:rPr>
          <w:rFonts w:ascii="宋体" w:hAnsi="宋体" w:eastAsia="宋体" w:cs="宋体"/>
          <w:color w:val="auto"/>
          <w:spacing w:val="-1"/>
          <w:sz w:val="21"/>
          <w:szCs w:val="21"/>
          <w:highlight w:val="none"/>
        </w:rPr>
        <w:t>变更指示，由此引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起的合同价格调整按照第 </w:t>
      </w:r>
      <w:r>
        <w:rPr>
          <w:rFonts w:ascii="Times New Roman" w:hAnsi="Times New Roman" w:eastAsia="Times New Roman" w:cs="Times New Roman"/>
          <w:color w:val="auto"/>
          <w:spacing w:val="1"/>
          <w:sz w:val="21"/>
          <w:szCs w:val="21"/>
          <w:highlight w:val="none"/>
        </w:rPr>
        <w:t xml:space="preserve">10.4  </w:t>
      </w:r>
      <w:r>
        <w:rPr>
          <w:rFonts w:ascii="宋体" w:hAnsi="宋体" w:eastAsia="宋体" w:cs="宋体"/>
          <w:color w:val="auto"/>
          <w:spacing w:val="1"/>
          <w:sz w:val="21"/>
          <w:szCs w:val="21"/>
          <w:highlight w:val="none"/>
        </w:rPr>
        <w:t>款〔变更估价〕约定执行。发包人不同意变更的，监理人应书面</w:t>
      </w:r>
      <w:r>
        <w:rPr>
          <w:rFonts w:ascii="宋体" w:hAnsi="宋体" w:eastAsia="宋体" w:cs="宋体"/>
          <w:color w:val="auto"/>
          <w:spacing w:val="-1"/>
          <w:sz w:val="21"/>
          <w:szCs w:val="21"/>
          <w:highlight w:val="none"/>
        </w:rPr>
        <w:t>通知承包人。</w:t>
      </w:r>
    </w:p>
    <w:p>
      <w:pPr>
        <w:spacing w:before="150" w:line="401" w:lineRule="exact"/>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合理化建议降低了合同价格或者提高了工程经济效益的， 发包人可对承包人给予奖励，</w:t>
      </w:r>
      <w:r>
        <w:rPr>
          <w:rFonts w:ascii="宋体" w:hAnsi="宋体" w:eastAsia="宋体" w:cs="宋体"/>
          <w:color w:val="auto"/>
          <w:spacing w:val="-9"/>
          <w:position w:val="14"/>
          <w:sz w:val="21"/>
          <w:szCs w:val="21"/>
          <w:highlight w:val="none"/>
        </w:rPr>
        <w:t xml:space="preserve"> </w:t>
      </w:r>
      <w:r>
        <w:rPr>
          <w:rFonts w:ascii="宋体" w:hAnsi="宋体" w:eastAsia="宋体" w:cs="宋体"/>
          <w:color w:val="auto"/>
          <w:spacing w:val="-5"/>
          <w:position w:val="14"/>
          <w:sz w:val="21"/>
          <w:szCs w:val="21"/>
          <w:highlight w:val="none"/>
        </w:rPr>
        <w:t>奖励</w:t>
      </w:r>
    </w:p>
    <w:p>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的方法和金额在专用合同条款中约定。</w:t>
      </w:r>
    </w:p>
    <w:p>
      <w:pPr>
        <w:spacing w:before="123"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10.6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变更引起的工期调整</w:t>
      </w:r>
    </w:p>
    <w:p>
      <w:pPr>
        <w:spacing w:before="141" w:line="401"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 xml:space="preserve">因变更引起工期变化的，合同当事人均可要求调整合同工期，由合同当事人按照第 </w:t>
      </w:r>
      <w:r>
        <w:rPr>
          <w:rFonts w:ascii="Times New Roman" w:hAnsi="Times New Roman" w:eastAsia="Times New Roman" w:cs="Times New Roman"/>
          <w:color w:val="auto"/>
          <w:spacing w:val="3"/>
          <w:position w:val="14"/>
          <w:sz w:val="21"/>
          <w:szCs w:val="21"/>
          <w:highlight w:val="none"/>
        </w:rPr>
        <w:t xml:space="preserve">4.4  </w:t>
      </w:r>
      <w:r>
        <w:rPr>
          <w:rFonts w:ascii="宋体" w:hAnsi="宋体" w:eastAsia="宋体" w:cs="宋体"/>
          <w:color w:val="auto"/>
          <w:spacing w:val="3"/>
          <w:position w:val="14"/>
          <w:sz w:val="21"/>
          <w:szCs w:val="21"/>
          <w:highlight w:val="none"/>
        </w:rPr>
        <w:t>款</w:t>
      </w:r>
    </w:p>
    <w:p>
      <w:pPr>
        <w:spacing w:line="220"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〔商定或确定〕并参考工程所在地的工期定</w:t>
      </w:r>
      <w:r>
        <w:rPr>
          <w:rFonts w:ascii="宋体" w:hAnsi="宋体" w:eastAsia="宋体" w:cs="宋体"/>
          <w:color w:val="auto"/>
          <w:spacing w:val="-2"/>
          <w:sz w:val="21"/>
          <w:szCs w:val="21"/>
          <w:highlight w:val="none"/>
        </w:rPr>
        <w:t>额标准确定增减工期天数。</w:t>
      </w:r>
    </w:p>
    <w:p>
      <w:pPr>
        <w:spacing w:before="123"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5"/>
          <w:sz w:val="24"/>
          <w:szCs w:val="24"/>
          <w:highlight w:val="none"/>
        </w:rPr>
        <w:t>10.7</w:t>
      </w:r>
      <w:r>
        <w:rPr>
          <w:rFonts w:ascii="Times New Roman" w:hAnsi="Times New Roman" w:eastAsia="Times New Roman" w:cs="Times New Roman"/>
          <w:b/>
          <w:bCs/>
          <w:color w:val="auto"/>
          <w:spacing w:val="20"/>
          <w:sz w:val="24"/>
          <w:szCs w:val="24"/>
          <w:highlight w:val="none"/>
        </w:rPr>
        <w:t xml:space="preserve"> </w:t>
      </w:r>
      <w:r>
        <w:rPr>
          <w:rFonts w:ascii="黑体" w:hAnsi="黑体" w:eastAsia="黑体" w:cs="黑体"/>
          <w:color w:val="auto"/>
          <w:spacing w:val="-5"/>
          <w:sz w:val="24"/>
          <w:szCs w:val="24"/>
          <w:highlight w:val="none"/>
          <w14:textOutline w14:w="4354" w14:cap="flat" w14:cmpd="sng">
            <w14:solidFill>
              <w14:srgbClr w14:val="000000"/>
            </w14:solidFill>
            <w14:prstDash w14:val="solid"/>
            <w14:miter w14:val="0"/>
          </w14:textOutline>
        </w:rPr>
        <w:t>暂估价</w:t>
      </w:r>
    </w:p>
    <w:p>
      <w:pPr>
        <w:spacing w:before="141" w:line="219"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暂估价专业分包工程、服务、</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材料和工程设备的明细由合同当事人在专用合同条款中约定。</w:t>
      </w:r>
    </w:p>
    <w:p>
      <w:pPr>
        <w:spacing w:before="152" w:line="219"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10.7.1  </w:t>
      </w:r>
      <w:r>
        <w:rPr>
          <w:rFonts w:ascii="宋体" w:hAnsi="宋体" w:eastAsia="宋体" w:cs="宋体"/>
          <w:color w:val="auto"/>
          <w:spacing w:val="-1"/>
          <w:sz w:val="21"/>
          <w:szCs w:val="21"/>
          <w:highlight w:val="none"/>
        </w:rPr>
        <w:t>依法必须招标的暂估价项目</w:t>
      </w:r>
    </w:p>
    <w:p>
      <w:pPr>
        <w:spacing w:before="150" w:line="400"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对于依法必须招标的暂估价项目，采取以下第</w:t>
      </w:r>
      <w:r>
        <w:rPr>
          <w:rFonts w:ascii="宋体" w:hAnsi="宋体" w:eastAsia="宋体" w:cs="宋体"/>
          <w:color w:val="auto"/>
          <w:spacing w:val="-14"/>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1 </w:t>
      </w:r>
      <w:r>
        <w:rPr>
          <w:rFonts w:ascii="宋体" w:hAnsi="宋体" w:eastAsia="宋体" w:cs="宋体"/>
          <w:color w:val="auto"/>
          <w:spacing w:val="-1"/>
          <w:position w:val="14"/>
          <w:sz w:val="21"/>
          <w:szCs w:val="21"/>
          <w:highlight w:val="none"/>
        </w:rPr>
        <w:t>种方式确定。合同当事人也可以在专用合同</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条款中选择其他招标方式。</w:t>
      </w:r>
    </w:p>
    <w:p>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第</w:t>
      </w:r>
      <w:r>
        <w:rPr>
          <w:rFonts w:ascii="宋体" w:hAnsi="宋体" w:eastAsia="宋体" w:cs="宋体"/>
          <w:color w:val="auto"/>
          <w:spacing w:val="-15"/>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1 </w:t>
      </w:r>
      <w:r>
        <w:rPr>
          <w:rFonts w:ascii="宋体" w:hAnsi="宋体" w:eastAsia="宋体" w:cs="宋体"/>
          <w:color w:val="auto"/>
          <w:spacing w:val="-1"/>
          <w:position w:val="14"/>
          <w:sz w:val="21"/>
          <w:szCs w:val="21"/>
          <w:highlight w:val="none"/>
        </w:rPr>
        <w:t>种方式：对于依法必须招标的暂估价项目，由承包人招标，对该暂估价项目的确认和批</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准按照以下约定执行：</w:t>
      </w:r>
    </w:p>
    <w:p>
      <w:pPr>
        <w:spacing w:before="151" w:line="351" w:lineRule="auto"/>
        <w:ind w:left="1"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）承包人应当根据施工进度计划，</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在招标工作启动前</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天将招标方案通过监理人报送发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包人审查，</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发包人应当在收到承包人报送的招标方案后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天内批准或提</w:t>
      </w:r>
      <w:r>
        <w:rPr>
          <w:rFonts w:ascii="宋体" w:hAnsi="宋体" w:eastAsia="宋体" w:cs="宋体"/>
          <w:color w:val="auto"/>
          <w:spacing w:val="-3"/>
          <w:sz w:val="21"/>
          <w:szCs w:val="21"/>
          <w:highlight w:val="none"/>
        </w:rPr>
        <w:t>出修改意见。承包人应当</w:t>
      </w:r>
      <w:r>
        <w:rPr>
          <w:rFonts w:ascii="宋体" w:hAnsi="宋体" w:eastAsia="宋体" w:cs="宋体"/>
          <w:color w:val="auto"/>
          <w:spacing w:val="-1"/>
          <w:sz w:val="21"/>
          <w:szCs w:val="21"/>
          <w:highlight w:val="none"/>
        </w:rPr>
        <w:t>按照经过发包人批准的招标方案开展招标工作；</w:t>
      </w:r>
    </w:p>
    <w:p>
      <w:pPr>
        <w:spacing w:before="151" w:line="351" w:lineRule="auto"/>
        <w:ind w:left="1" w:firstLine="426"/>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）承包人应当根据施工进度计划，</w:t>
      </w:r>
      <w:r>
        <w:rPr>
          <w:rFonts w:ascii="宋体" w:hAnsi="宋体" w:eastAsia="宋体" w:cs="宋体"/>
          <w:color w:val="auto"/>
          <w:spacing w:val="-3"/>
          <w:sz w:val="21"/>
          <w:szCs w:val="21"/>
          <w:highlight w:val="none"/>
        </w:rPr>
        <w:t xml:space="preserve"> </w:t>
      </w:r>
      <w:r>
        <w:rPr>
          <w:rFonts w:ascii="宋体" w:hAnsi="宋体" w:eastAsia="宋体" w:cs="宋体"/>
          <w:color w:val="auto"/>
          <w:spacing w:val="-6"/>
          <w:sz w:val="21"/>
          <w:szCs w:val="21"/>
          <w:highlight w:val="none"/>
        </w:rPr>
        <w:t>提前</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6"/>
          <w:sz w:val="21"/>
          <w:szCs w:val="21"/>
          <w:highlight w:val="none"/>
        </w:rPr>
        <w:t>14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6"/>
          <w:sz w:val="21"/>
          <w:szCs w:val="21"/>
          <w:highlight w:val="none"/>
        </w:rPr>
        <w:t>天将招标文件通过监理人报送发包人审批， 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包人应当在收到承包人报送的相关文件后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天内完成审批或提出修改意见； 发包人有权确定招标</w:t>
      </w:r>
    </w:p>
    <w:p>
      <w:pPr>
        <w:spacing w:line="219"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控制价并按照法律规定参加评标；</w:t>
      </w:r>
    </w:p>
    <w:p>
      <w:pPr>
        <w:spacing w:before="152" w:line="219"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 xml:space="preserve">）承包人与供应商、分包人在签订暂估价合同前，应当提前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pacing w:val="-1"/>
          <w:sz w:val="21"/>
          <w:szCs w:val="21"/>
          <w:highlight w:val="none"/>
        </w:rPr>
        <w:t>天将确定的中标候选供应</w:t>
      </w:r>
    </w:p>
    <w:p>
      <w:pPr>
        <w:spacing w:before="125" w:line="401" w:lineRule="exact"/>
        <w:jc w:val="right"/>
        <w:rPr>
          <w:rFonts w:ascii="宋体" w:hAnsi="宋体" w:eastAsia="宋体" w:cs="宋体"/>
          <w:color w:val="auto"/>
          <w:spacing w:val="-4"/>
          <w:position w:val="14"/>
          <w:sz w:val="21"/>
          <w:szCs w:val="21"/>
          <w:highlight w:val="none"/>
        </w:rPr>
      </w:pPr>
      <w:bookmarkStart w:id="216" w:name="bookmark255"/>
      <w:bookmarkEnd w:id="216"/>
      <w:r>
        <w:rPr>
          <w:rFonts w:ascii="宋体" w:hAnsi="宋体" w:eastAsia="宋体" w:cs="宋体"/>
          <w:color w:val="auto"/>
          <w:spacing w:val="-3"/>
          <w:position w:val="14"/>
          <w:sz w:val="21"/>
          <w:szCs w:val="21"/>
          <w:highlight w:val="none"/>
        </w:rPr>
        <w:t>商或中标候选分包人的资料报送发包人，</w:t>
      </w:r>
      <w:r>
        <w:rPr>
          <w:rFonts w:ascii="宋体" w:hAnsi="宋体" w:eastAsia="宋体" w:cs="宋体"/>
          <w:color w:val="auto"/>
          <w:spacing w:val="-19"/>
          <w:position w:val="14"/>
          <w:sz w:val="21"/>
          <w:szCs w:val="21"/>
          <w:highlight w:val="none"/>
        </w:rPr>
        <w:t xml:space="preserve"> </w:t>
      </w:r>
      <w:r>
        <w:rPr>
          <w:rFonts w:ascii="宋体" w:hAnsi="宋体" w:eastAsia="宋体" w:cs="宋体"/>
          <w:color w:val="auto"/>
          <w:spacing w:val="-3"/>
          <w:position w:val="14"/>
          <w:sz w:val="21"/>
          <w:szCs w:val="21"/>
          <w:highlight w:val="none"/>
        </w:rPr>
        <w:t>发包人应</w:t>
      </w:r>
      <w:r>
        <w:rPr>
          <w:rFonts w:ascii="宋体" w:hAnsi="宋体" w:eastAsia="宋体" w:cs="宋体"/>
          <w:color w:val="auto"/>
          <w:spacing w:val="-4"/>
          <w:position w:val="14"/>
          <w:sz w:val="21"/>
          <w:szCs w:val="21"/>
          <w:highlight w:val="none"/>
        </w:rPr>
        <w:t>在收到资料后</w:t>
      </w:r>
      <w:r>
        <w:rPr>
          <w:rFonts w:ascii="宋体" w:hAnsi="宋体" w:eastAsia="宋体" w:cs="宋体"/>
          <w:color w:val="auto"/>
          <w:spacing w:val="-44"/>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 xml:space="preserve">3 </w:t>
      </w:r>
      <w:r>
        <w:rPr>
          <w:rFonts w:ascii="宋体" w:hAnsi="宋体" w:eastAsia="宋体" w:cs="宋体"/>
          <w:color w:val="auto"/>
          <w:spacing w:val="-4"/>
          <w:position w:val="14"/>
          <w:sz w:val="21"/>
          <w:szCs w:val="21"/>
          <w:highlight w:val="none"/>
        </w:rPr>
        <w:t>天内与承包人共同确定中标</w:t>
      </w:r>
      <w:r>
        <w:rPr>
          <w:rFonts w:hint="eastAsia" w:ascii="宋体" w:hAnsi="宋体" w:eastAsia="宋体" w:cs="宋体"/>
          <w:color w:val="auto"/>
          <w:spacing w:val="-4"/>
          <w:position w:val="14"/>
          <w:sz w:val="21"/>
          <w:szCs w:val="21"/>
          <w:highlight w:val="none"/>
          <w:lang w:eastAsia="zh-CN"/>
        </w:rPr>
        <w:t>人</w:t>
      </w:r>
    </w:p>
    <w:p>
      <w:pPr>
        <w:spacing w:line="219" w:lineRule="auto"/>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w:t>
      </w:r>
      <w:r>
        <w:rPr>
          <w:rFonts w:ascii="宋体" w:hAnsi="宋体" w:eastAsia="宋体" w:cs="宋体"/>
          <w:color w:val="auto"/>
          <w:spacing w:val="-1"/>
          <w:sz w:val="21"/>
          <w:szCs w:val="21"/>
          <w:highlight w:val="none"/>
        </w:rPr>
        <w:t>承包人应当在签订合同后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天内，将暂估价合同副本报送发包人留存。</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种方式：对于依法必须招标的暂估价项目，由发包人和承包人共同招</w:t>
      </w:r>
      <w:r>
        <w:rPr>
          <w:rFonts w:ascii="宋体" w:hAnsi="宋体" w:eastAsia="宋体" w:cs="宋体"/>
          <w:color w:val="auto"/>
          <w:spacing w:val="-1"/>
          <w:sz w:val="21"/>
          <w:szCs w:val="21"/>
          <w:highlight w:val="none"/>
        </w:rPr>
        <w:t>标确定暂估价供应</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商或分包人的，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4"/>
          <w:sz w:val="21"/>
          <w:szCs w:val="21"/>
          <w:highlight w:val="none"/>
        </w:rPr>
        <w:t>承包人应按照施工进度计划，</w:t>
      </w:r>
      <w:r>
        <w:rPr>
          <w:rFonts w:ascii="宋体" w:hAnsi="宋体" w:eastAsia="宋体" w:cs="宋体"/>
          <w:color w:val="auto"/>
          <w:spacing w:val="-24"/>
          <w:sz w:val="21"/>
          <w:szCs w:val="21"/>
          <w:highlight w:val="none"/>
        </w:rPr>
        <w:t xml:space="preserve"> </w:t>
      </w:r>
      <w:r>
        <w:rPr>
          <w:rFonts w:ascii="宋体" w:hAnsi="宋体" w:eastAsia="宋体" w:cs="宋体"/>
          <w:color w:val="auto"/>
          <w:spacing w:val="-4"/>
          <w:sz w:val="21"/>
          <w:szCs w:val="21"/>
          <w:highlight w:val="none"/>
        </w:rPr>
        <w:t>在招标工作启动</w:t>
      </w:r>
      <w:r>
        <w:rPr>
          <w:rFonts w:ascii="宋体" w:hAnsi="宋体" w:eastAsia="宋体" w:cs="宋体"/>
          <w:color w:val="auto"/>
          <w:spacing w:val="-5"/>
          <w:sz w:val="21"/>
          <w:szCs w:val="21"/>
          <w:highlight w:val="none"/>
        </w:rPr>
        <w:t>前</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5"/>
          <w:sz w:val="21"/>
          <w:szCs w:val="21"/>
          <w:highlight w:val="none"/>
        </w:rPr>
        <w:t xml:space="preserve">14  </w:t>
      </w:r>
      <w:r>
        <w:rPr>
          <w:rFonts w:ascii="宋体" w:hAnsi="宋体" w:eastAsia="宋体" w:cs="宋体"/>
          <w:color w:val="auto"/>
          <w:spacing w:val="-5"/>
          <w:sz w:val="21"/>
          <w:szCs w:val="21"/>
          <w:highlight w:val="none"/>
        </w:rPr>
        <w:t>天通知发包人，并提交暂估</w:t>
      </w:r>
      <w:r>
        <w:rPr>
          <w:rFonts w:ascii="宋体" w:hAnsi="宋体" w:eastAsia="宋体" w:cs="宋体"/>
          <w:color w:val="auto"/>
          <w:sz w:val="21"/>
          <w:szCs w:val="21"/>
          <w:highlight w:val="none"/>
        </w:rPr>
        <w:t xml:space="preserve"> 价招标方案和工作分工。发包人应在收到后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天内确认。确定中标</w:t>
      </w:r>
      <w:r>
        <w:rPr>
          <w:rFonts w:ascii="宋体" w:hAnsi="宋体" w:eastAsia="宋体" w:cs="宋体"/>
          <w:color w:val="auto"/>
          <w:spacing w:val="-1"/>
          <w:sz w:val="21"/>
          <w:szCs w:val="21"/>
          <w:highlight w:val="none"/>
        </w:rPr>
        <w:t>人后，由发包人、承包人与中标人共同签订暂估价合同。</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10.7.2 不属于依法必须招标的暂估价项目</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除专用合同条款另有约定外，对于不属于依法必须招标的暂估价项目， 采取以下第 1 种方式确定：</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第 1 种方式：对于不属于依法必须招标的暂估价项目，按本项约定确认和批准：</w:t>
      </w:r>
    </w:p>
    <w:p>
      <w:pPr>
        <w:spacing w:before="150" w:line="352" w:lineRule="auto"/>
        <w:ind w:right="158" w:firstLine="419"/>
        <w:rPr>
          <w:rFonts w:ascii="宋体" w:hAnsi="宋体" w:eastAsia="宋体" w:cs="宋体"/>
          <w:color w:val="auto"/>
          <w:spacing w:val="-4"/>
          <w:sz w:val="21"/>
          <w:szCs w:val="21"/>
          <w:highlight w:val="none"/>
        </w:rPr>
      </w:pPr>
      <w:r>
        <w:rPr>
          <w:rFonts w:ascii="宋体" w:hAnsi="宋体" w:eastAsia="宋体" w:cs="宋体"/>
          <w:color w:val="auto"/>
          <w:sz w:val="21"/>
          <w:szCs w:val="21"/>
          <w:highlight w:val="none"/>
        </w:rPr>
        <w:t>（1）承包人应根据施工进度计划，在签订暂估价项目的采购合同、分包合同前 28 天向监理 人提出书面申请。监理人应当在收到申请后 3 天内报送发包人，发包人应当在收到申请后 14 天 内给</w:t>
      </w:r>
      <w:r>
        <w:rPr>
          <w:rFonts w:ascii="宋体" w:hAnsi="宋体" w:eastAsia="宋体" w:cs="宋体"/>
          <w:color w:val="auto"/>
          <w:spacing w:val="-1"/>
          <w:sz w:val="21"/>
          <w:szCs w:val="21"/>
          <w:highlight w:val="none"/>
        </w:rPr>
        <w:t>予批准或提出修改意见，发包人逾期未予批准或提出修改意见的， 视为该书面申请已获得同</w:t>
      </w:r>
      <w:r>
        <w:rPr>
          <w:rFonts w:ascii="宋体" w:hAnsi="宋体" w:eastAsia="宋体" w:cs="宋体"/>
          <w:color w:val="auto"/>
          <w:spacing w:val="-4"/>
          <w:sz w:val="21"/>
          <w:szCs w:val="21"/>
          <w:highlight w:val="none"/>
        </w:rPr>
        <w:t>意；</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（2）发包人认为承包人确定的供应商、分包人无法满足工程质量或合同要求的，发包人可以要求承包人重新确定暂估价项目的供应商、分包人;</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（3）承包人应当在签订暂估价合同后 7 天内， 将暂估价合同副本报送发包人留存。</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第 2 种方式：承包人按照第 10.7.1 项〔依法必须招标的暂估价项目〕约定的第 1 种方式确定暂估价项目。</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第 3 种方式：承包人直接实施的暂估价项目</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承包人具备实施暂估价项目的资格和条件的， 经发包人和承包人协商一致后，可由承包人自行实施暂估价项目， 合同当事人可以在专用合同条款约定具体事项。</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10.7.3  因发包人原因导致暂估价合同订立和履行迟延的， 由此增加的费用和（或） 延误的工 期由发包人承担，并支付承包人合理的利润。因承包人原因导致暂估价合同订立和履行迟延的，</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由此增加的费用和（或） 延误的工期由承包人承担。</w:t>
      </w:r>
    </w:p>
    <w:p>
      <w:pPr>
        <w:spacing w:before="124"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10.8</w:t>
      </w:r>
      <w:r>
        <w:rPr>
          <w:rFonts w:ascii="Times New Roman" w:hAnsi="Times New Roman" w:eastAsia="Times New Roman" w:cs="Times New Roman"/>
          <w:b/>
          <w:bCs/>
          <w:color w:val="auto"/>
          <w:spacing w:val="1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暂列金额</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暂列金额应按照发包人的要求使用， 发包人的要求应通过监理人发出。 合同当事人可以在专用合同条款中协商确定有关事项。</w:t>
      </w:r>
    </w:p>
    <w:p>
      <w:pPr>
        <w:spacing w:before="124" w:line="222"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10.9</w:t>
      </w:r>
      <w:r>
        <w:rPr>
          <w:rFonts w:ascii="Times New Roman" w:hAnsi="Times New Roman" w:eastAsia="Times New Roman" w:cs="Times New Roman"/>
          <w:b/>
          <w:bCs/>
          <w:color w:val="auto"/>
          <w:spacing w:val="13"/>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计日工</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需要采用计日工方式的， 经发包人同意后，由监理人通知承包人以计日工计价方式实施相应 的工作，其价款按列入已标价工程量清单或预算书中的计日工计价项目及其单价进行计算； 已标价工程量清单或预算书中无相应的计日工单价的， 按照合理的成本与利润构成的原则，由合同当事人按照第 4.4 款〔商定或确定〕确定计日工的单价。</w:t>
      </w:r>
    </w:p>
    <w:p>
      <w:pPr>
        <w:spacing w:before="150" w:line="352" w:lineRule="auto"/>
        <w:ind w:right="158"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采用计日工计价的任何一项工作，承包人应在该项工作实施过程中，每天提交以下报表和有关凭证报送监理人审查：</w:t>
      </w:r>
    </w:p>
    <w:p>
      <w:pPr>
        <w:spacing w:before="124" w:line="221"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）工作名称、内容和数量；</w:t>
      </w:r>
    </w:p>
    <w:p>
      <w:pPr>
        <w:spacing w:before="149" w:line="401" w:lineRule="exact"/>
        <w:ind w:left="425"/>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）投入该工作的所有人员的姓名、专业、</w:t>
      </w:r>
      <w:r>
        <w:rPr>
          <w:rFonts w:ascii="宋体" w:hAnsi="宋体" w:eastAsia="宋体" w:cs="宋体"/>
          <w:color w:val="auto"/>
          <w:spacing w:val="-1"/>
          <w:position w:val="14"/>
          <w:sz w:val="21"/>
          <w:szCs w:val="21"/>
          <w:highlight w:val="none"/>
        </w:rPr>
        <w:t>工种、级别和耗用工时；</w:t>
      </w:r>
    </w:p>
    <w:p>
      <w:pPr>
        <w:spacing w:line="219"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）投入该工作的材料类别和数量；</w:t>
      </w:r>
    </w:p>
    <w:p>
      <w:pPr>
        <w:spacing w:before="148" w:line="401" w:lineRule="exact"/>
        <w:ind w:left="425"/>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）投入该工作的施工设备型号、台数和耗用台时；</w:t>
      </w:r>
    </w:p>
    <w:p>
      <w:pPr>
        <w:spacing w:before="1" w:line="220" w:lineRule="auto"/>
        <w:ind w:left="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）其他有关资料和凭证。</w:t>
      </w:r>
    </w:p>
    <w:p>
      <w:pPr>
        <w:spacing w:before="150" w:line="398" w:lineRule="exact"/>
        <w:ind w:left="524"/>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计日工由承包人汇总后，列入最近一期进度付款申请单，由监理人审查并经发包人批准后</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列入进度付款。</w:t>
      </w:r>
    </w:p>
    <w:p>
      <w:pPr>
        <w:spacing w:before="189" w:line="219" w:lineRule="auto"/>
        <w:ind w:left="9"/>
        <w:outlineLvl w:val="6"/>
        <w:rPr>
          <w:rFonts w:ascii="黑体" w:hAnsi="黑体" w:eastAsia="黑体" w:cs="黑体"/>
          <w:color w:val="auto"/>
          <w:sz w:val="28"/>
          <w:szCs w:val="28"/>
          <w:highlight w:val="none"/>
        </w:rPr>
      </w:pPr>
      <w:bookmarkStart w:id="217" w:name="bookmark257"/>
      <w:bookmarkEnd w:id="217"/>
      <w:bookmarkStart w:id="218" w:name="bookmark259"/>
      <w:bookmarkEnd w:id="218"/>
      <w:bookmarkStart w:id="219" w:name="bookmark258"/>
      <w:bookmarkEnd w:id="219"/>
      <w:bookmarkStart w:id="220" w:name="bookmark256"/>
      <w:bookmarkEnd w:id="220"/>
      <w:bookmarkStart w:id="221" w:name="bookmark260"/>
      <w:bookmarkEnd w:id="221"/>
      <w:r>
        <w:rPr>
          <w:rFonts w:ascii="Times New Roman" w:hAnsi="Times New Roman" w:eastAsia="Times New Roman" w:cs="Times New Roman"/>
          <w:b/>
          <w:bCs/>
          <w:color w:val="auto"/>
          <w:spacing w:val="-4"/>
          <w:sz w:val="28"/>
          <w:szCs w:val="28"/>
          <w:highlight w:val="none"/>
        </w:rPr>
        <w:t xml:space="preserve">11.  </w:t>
      </w:r>
      <w:r>
        <w:rPr>
          <w:rFonts w:ascii="黑体" w:hAnsi="黑体" w:eastAsia="黑体" w:cs="黑体"/>
          <w:color w:val="auto"/>
          <w:spacing w:val="-4"/>
          <w:sz w:val="28"/>
          <w:szCs w:val="28"/>
          <w:highlight w:val="none"/>
          <w14:textOutline w14:w="5094" w14:cap="flat" w14:cmpd="sng">
            <w14:solidFill>
              <w14:srgbClr w14:val="000000"/>
            </w14:solidFill>
            <w14:prstDash w14:val="solid"/>
            <w14:miter w14:val="0"/>
          </w14:textOutline>
        </w:rPr>
        <w:t>价格调整</w:t>
      </w:r>
    </w:p>
    <w:p>
      <w:pPr>
        <w:spacing w:before="103" w:line="219" w:lineRule="auto"/>
        <w:ind w:left="6"/>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市场价格波动引起的调整</w:t>
      </w:r>
    </w:p>
    <w:p>
      <w:pPr>
        <w:spacing w:before="141" w:line="401"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除专用合同条款另有约定外，市场价格波动超过合同当事人约定的范围，合</w:t>
      </w:r>
      <w:r>
        <w:rPr>
          <w:rFonts w:ascii="宋体" w:hAnsi="宋体" w:eastAsia="宋体" w:cs="宋体"/>
          <w:color w:val="auto"/>
          <w:spacing w:val="-2"/>
          <w:position w:val="14"/>
          <w:sz w:val="21"/>
          <w:szCs w:val="21"/>
          <w:highlight w:val="none"/>
        </w:rPr>
        <w:t>同价格应当调整。</w:t>
      </w:r>
    </w:p>
    <w:p>
      <w:pPr>
        <w:spacing w:line="219"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合同当事人可以在专用合同条款中约定选择以下一种方式对合同价格进行调整：</w:t>
      </w:r>
    </w:p>
    <w:p>
      <w:pPr>
        <w:spacing w:before="149" w:line="401" w:lineRule="exact"/>
        <w:ind w:left="419"/>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第</w:t>
      </w:r>
      <w:r>
        <w:rPr>
          <w:rFonts w:ascii="宋体" w:hAnsi="宋体" w:eastAsia="宋体" w:cs="宋体"/>
          <w:color w:val="auto"/>
          <w:spacing w:val="-1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 </w:t>
      </w:r>
      <w:r>
        <w:rPr>
          <w:rFonts w:ascii="宋体" w:hAnsi="宋体" w:eastAsia="宋体" w:cs="宋体"/>
          <w:color w:val="auto"/>
          <w:spacing w:val="-2"/>
          <w:position w:val="14"/>
          <w:sz w:val="21"/>
          <w:szCs w:val="21"/>
          <w:highlight w:val="none"/>
        </w:rPr>
        <w:t>种方式：采用价格指数进行价格调整。</w:t>
      </w:r>
    </w:p>
    <w:p>
      <w:pPr>
        <w:spacing w:line="219" w:lineRule="auto"/>
        <w:ind w:left="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）价格调整公式</w:t>
      </w:r>
    </w:p>
    <w:p>
      <w:pPr>
        <w:spacing w:before="152" w:line="398" w:lineRule="exact"/>
        <w:ind w:left="435"/>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因人工、材料和设备等价格波动影响合同价</w:t>
      </w:r>
      <w:r>
        <w:rPr>
          <w:rFonts w:ascii="宋体" w:hAnsi="宋体" w:eastAsia="宋体" w:cs="宋体"/>
          <w:color w:val="auto"/>
          <w:spacing w:val="-3"/>
          <w:position w:val="14"/>
          <w:sz w:val="21"/>
          <w:szCs w:val="21"/>
          <w:highlight w:val="none"/>
        </w:rPr>
        <w:t>格时，</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3"/>
          <w:position w:val="14"/>
          <w:sz w:val="21"/>
          <w:szCs w:val="21"/>
          <w:highlight w:val="none"/>
        </w:rPr>
        <w:t>根据专用合同条款中约定的数据，按以下</w:t>
      </w:r>
    </w:p>
    <w:p>
      <w:pPr>
        <w:spacing w:line="219" w:lineRule="auto"/>
        <w:ind w:left="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公式计算差额并调整合同价格：</w:t>
      </w:r>
    </w:p>
    <w:p>
      <w:pPr>
        <w:spacing w:before="298" w:line="539" w:lineRule="exact"/>
        <w:ind w:left="1082"/>
        <w:rPr>
          <w:color w:val="auto"/>
          <w:sz w:val="24"/>
          <w:szCs w:val="24"/>
          <w:highlight w:val="none"/>
        </w:rPr>
      </w:pPr>
      <w:r>
        <w:rPr>
          <w:color w:val="auto"/>
          <w:highlight w:val="none"/>
        </w:rPr>
        <w:pict>
          <v:shape id="_x0000_s1028" o:spid="_x0000_s1028" o:spt="202" type="#_x0000_t202" style="position:absolute;left:0pt;margin-left:85.8pt;margin-top:4.85pt;height:15.6pt;width:273.85pt;z-index:251660288;mso-width-relative:page;mso-height-relative:page;" filled="f" stroked="f" coordsize="21600,21600">
            <v:path/>
            <v:fill on="f" focussize="0,0"/>
            <v:stroke on="f"/>
            <v:imagedata o:title=""/>
            <o:lock v:ext="edit" aspectratio="f"/>
            <v:textbox inset="0mm,0mm,0mm,0mm">
              <w:txbxContent>
                <w:p>
                  <w:pPr>
                    <w:spacing w:before="20" w:line="271" w:lineRule="exact"/>
                    <w:ind w:left="20"/>
                    <w:rPr>
                      <w:rFonts w:ascii="微软雅黑" w:hAnsi="微软雅黑" w:eastAsia="微软雅黑" w:cs="微软雅黑"/>
                      <w:sz w:val="24"/>
                      <w:szCs w:val="24"/>
                    </w:rPr>
                  </w:pPr>
                  <w:r>
                    <w:rPr>
                      <w:rFonts w:ascii="微软雅黑" w:hAnsi="微软雅黑" w:eastAsia="微软雅黑" w:cs="微软雅黑"/>
                      <w:spacing w:val="15"/>
                      <w:position w:val="1"/>
                      <w:sz w:val="24"/>
                      <w:szCs w:val="24"/>
                    </w:rPr>
                    <w:t>「</w:t>
                  </w:r>
                  <w:r>
                    <w:rPr>
                      <w:rFonts w:ascii="微软雅黑" w:hAnsi="微软雅黑" w:eastAsia="微软雅黑" w:cs="微软雅黑"/>
                      <w:spacing w:val="4"/>
                      <w:position w:val="1"/>
                      <w:sz w:val="24"/>
                      <w:szCs w:val="24"/>
                    </w:rPr>
                    <w:t xml:space="preserve">     </w:t>
                  </w:r>
                  <w:r>
                    <w:rPr>
                      <w:rFonts w:ascii="微软雅黑" w:hAnsi="微软雅黑" w:eastAsia="微软雅黑" w:cs="微软雅黑"/>
                      <w:spacing w:val="15"/>
                      <w:sz w:val="24"/>
                      <w:szCs w:val="24"/>
                    </w:rPr>
                    <w:t xml:space="preserve">(      </w:t>
                  </w:r>
                  <w:r>
                    <w:rPr>
                      <w:rFonts w:ascii="Times New Roman" w:hAnsi="Times New Roman" w:eastAsia="Times New Roman" w:cs="Times New Roman"/>
                      <w:i/>
                      <w:iCs/>
                      <w:position w:val="-1"/>
                      <w:sz w:val="24"/>
                      <w:szCs w:val="24"/>
                    </w:rPr>
                    <w:t>F</w:t>
                  </w:r>
                  <w:r>
                    <w:rPr>
                      <w:rFonts w:ascii="Times New Roman" w:hAnsi="Times New Roman" w:eastAsia="Times New Roman" w:cs="Times New Roman"/>
                      <w:i/>
                      <w:iCs/>
                      <w:spacing w:val="4"/>
                      <w:position w:val="-1"/>
                      <w:sz w:val="24"/>
                      <w:szCs w:val="24"/>
                    </w:rPr>
                    <w:t xml:space="preserve">             </w:t>
                  </w:r>
                  <w:r>
                    <w:rPr>
                      <w:rFonts w:ascii="Times New Roman" w:hAnsi="Times New Roman" w:eastAsia="Times New Roman" w:cs="Times New Roman"/>
                      <w:i/>
                      <w:iCs/>
                      <w:position w:val="-1"/>
                      <w:sz w:val="24"/>
                      <w:szCs w:val="24"/>
                    </w:rPr>
                    <w:t>F              F</w:t>
                  </w:r>
                  <w:r>
                    <w:rPr>
                      <w:rFonts w:ascii="Times New Roman" w:hAnsi="Times New Roman" w:eastAsia="Times New Roman" w:cs="Times New Roman"/>
                      <w:i/>
                      <w:iCs/>
                      <w:spacing w:val="1"/>
                      <w:position w:val="-1"/>
                      <w:sz w:val="24"/>
                      <w:szCs w:val="24"/>
                    </w:rPr>
                    <w:t xml:space="preserve">                     </w:t>
                  </w:r>
                  <w:r>
                    <w:rPr>
                      <w:rFonts w:ascii="Times New Roman" w:hAnsi="Times New Roman" w:eastAsia="Times New Roman" w:cs="Times New Roman"/>
                      <w:i/>
                      <w:iCs/>
                      <w:position w:val="-1"/>
                      <w:sz w:val="24"/>
                      <w:szCs w:val="24"/>
                    </w:rPr>
                    <w:t>F</w:t>
                  </w:r>
                  <w:r>
                    <w:rPr>
                      <w:rFonts w:ascii="Times New Roman" w:hAnsi="Times New Roman" w:eastAsia="Times New Roman" w:cs="Times New Roman"/>
                      <w:i/>
                      <w:iCs/>
                      <w:spacing w:val="21"/>
                      <w:position w:val="-1"/>
                      <w:sz w:val="24"/>
                      <w:szCs w:val="24"/>
                    </w:rPr>
                    <w:t xml:space="preserve">  </w:t>
                  </w:r>
                  <w:r>
                    <w:rPr>
                      <w:rFonts w:ascii="微软雅黑" w:hAnsi="微软雅黑" w:eastAsia="微软雅黑" w:cs="微软雅黑"/>
                      <w:spacing w:val="15"/>
                      <w:sz w:val="24"/>
                      <w:szCs w:val="24"/>
                    </w:rPr>
                    <w:t>)</w:t>
                  </w:r>
                  <w:r>
                    <w:rPr>
                      <w:rFonts w:ascii="微软雅黑" w:hAnsi="微软雅黑" w:eastAsia="微软雅黑" w:cs="微软雅黑"/>
                      <w:spacing w:val="4"/>
                      <w:sz w:val="24"/>
                      <w:szCs w:val="24"/>
                    </w:rPr>
                    <w:t xml:space="preserve">    </w:t>
                  </w:r>
                  <w:r>
                    <w:rPr>
                      <w:rFonts w:ascii="微软雅黑" w:hAnsi="微软雅黑" w:eastAsia="微软雅黑" w:cs="微软雅黑"/>
                      <w:spacing w:val="15"/>
                      <w:position w:val="1"/>
                      <w:sz w:val="24"/>
                      <w:szCs w:val="24"/>
                    </w:rPr>
                    <w:t>]</w:t>
                  </w:r>
                </w:p>
              </w:txbxContent>
            </v:textbox>
          </v:shape>
        </w:pict>
      </w:r>
      <w:r>
        <w:rPr>
          <w:rFonts w:ascii="微软雅黑" w:hAnsi="微软雅黑" w:eastAsia="微软雅黑" w:cs="微软雅黑"/>
          <w:color w:val="auto"/>
          <w:spacing w:val="-10"/>
          <w:w w:val="93"/>
          <w:position w:val="21"/>
          <w:sz w:val="24"/>
          <w:szCs w:val="24"/>
          <w:highlight w:val="none"/>
        </w:rPr>
        <w:t>Δ</w:t>
      </w:r>
      <w:r>
        <w:rPr>
          <w:rFonts w:ascii="Times New Roman" w:hAnsi="Times New Roman" w:eastAsia="Times New Roman" w:cs="Times New Roman"/>
          <w:i/>
          <w:iCs/>
          <w:color w:val="auto"/>
          <w:spacing w:val="-10"/>
          <w:w w:val="93"/>
          <w:position w:val="21"/>
          <w:sz w:val="24"/>
          <w:szCs w:val="24"/>
          <w:highlight w:val="none"/>
        </w:rPr>
        <w:t>P</w:t>
      </w:r>
      <w:r>
        <w:rPr>
          <w:rFonts w:ascii="Times New Roman" w:hAnsi="Times New Roman" w:eastAsia="Times New Roman" w:cs="Times New Roman"/>
          <w:i/>
          <w:iCs/>
          <w:color w:val="auto"/>
          <w:spacing w:val="6"/>
          <w:position w:val="21"/>
          <w:sz w:val="24"/>
          <w:szCs w:val="24"/>
          <w:highlight w:val="none"/>
        </w:rPr>
        <w:t xml:space="preserve"> </w:t>
      </w:r>
      <w:r>
        <w:rPr>
          <w:rFonts w:ascii="微软雅黑" w:hAnsi="微软雅黑" w:eastAsia="微软雅黑" w:cs="微软雅黑"/>
          <w:color w:val="auto"/>
          <w:spacing w:val="-10"/>
          <w:w w:val="93"/>
          <w:position w:val="19"/>
          <w:sz w:val="24"/>
          <w:szCs w:val="24"/>
          <w:highlight w:val="none"/>
        </w:rPr>
        <w:t>=</w:t>
      </w:r>
      <w:r>
        <w:rPr>
          <w:rFonts w:ascii="微软雅黑" w:hAnsi="微软雅黑" w:eastAsia="微软雅黑" w:cs="微软雅黑"/>
          <w:color w:val="auto"/>
          <w:spacing w:val="-11"/>
          <w:position w:val="19"/>
          <w:sz w:val="24"/>
          <w:szCs w:val="24"/>
          <w:highlight w:val="none"/>
        </w:rPr>
        <w:t xml:space="preserve"> </w:t>
      </w:r>
      <w:r>
        <w:rPr>
          <w:rFonts w:ascii="Times New Roman" w:hAnsi="Times New Roman" w:eastAsia="Times New Roman" w:cs="Times New Roman"/>
          <w:i/>
          <w:iCs/>
          <w:color w:val="auto"/>
          <w:spacing w:val="-10"/>
          <w:w w:val="93"/>
          <w:position w:val="21"/>
          <w:sz w:val="24"/>
          <w:szCs w:val="24"/>
          <w:highlight w:val="none"/>
        </w:rPr>
        <w:t>P</w:t>
      </w:r>
      <w:r>
        <w:rPr>
          <w:rFonts w:ascii="Times New Roman" w:hAnsi="Times New Roman" w:eastAsia="Times New Roman" w:cs="Times New Roman"/>
          <w:color w:val="auto"/>
          <w:spacing w:val="-10"/>
          <w:w w:val="93"/>
          <w:position w:val="11"/>
          <w:sz w:val="14"/>
          <w:szCs w:val="14"/>
          <w:highlight w:val="none"/>
        </w:rPr>
        <w:t>0</w:t>
      </w:r>
      <w:r>
        <w:rPr>
          <w:rFonts w:ascii="Times New Roman" w:hAnsi="Times New Roman" w:eastAsia="Times New Roman" w:cs="Times New Roman"/>
          <w:color w:val="auto"/>
          <w:spacing w:val="2"/>
          <w:position w:val="11"/>
          <w:sz w:val="14"/>
          <w:szCs w:val="14"/>
          <w:highlight w:val="none"/>
        </w:rPr>
        <w:t xml:space="preserve"> </w:t>
      </w:r>
      <w:r>
        <w:rPr>
          <w:color w:val="auto"/>
          <w:highlight w:val="none"/>
        </w:rPr>
        <w:fldChar w:fldCharType="begin"/>
      </w:r>
      <w:r>
        <w:rPr>
          <w:color w:val="auto"/>
          <w:highlight w:val="none"/>
        </w:rPr>
        <w:instrText xml:space="preserve">EQ \* jc3 \* hps24 \o\al(\s\up 4(</w:instrText>
      </w:r>
      <w:r>
        <w:rPr>
          <w:rFonts w:ascii="微软雅黑" w:hAnsi="微软雅黑" w:eastAsia="微软雅黑" w:cs="微软雅黑"/>
          <w:color w:val="auto"/>
          <w:w w:val="142"/>
          <w:position w:val="10"/>
          <w:sz w:val="24"/>
          <w:szCs w:val="24"/>
          <w:highlight w:val="none"/>
        </w:rPr>
        <w:instrText xml:space="preserve">|</w:instrText>
      </w:r>
      <w:r>
        <w:rPr>
          <w:color w:val="auto"/>
          <w:highlight w:val="none"/>
        </w:rPr>
        <w:instrText xml:space="preserve">),</w:instrText>
      </w:r>
      <w:r>
        <w:rPr>
          <w:rFonts w:ascii="微软雅黑" w:hAnsi="微软雅黑" w:eastAsia="微软雅黑" w:cs="微软雅黑"/>
          <w:color w:val="auto"/>
          <w:w w:val="74"/>
          <w:position w:val="-4"/>
          <w:sz w:val="24"/>
          <w:szCs w:val="24"/>
          <w:highlight w:val="none"/>
        </w:rPr>
        <w:instrText xml:space="preserve">L</w:instrText>
      </w:r>
      <w:r>
        <w:rPr>
          <w:color w:val="auto"/>
          <w:highlight w:val="none"/>
        </w:rPr>
        <w:instrText xml:space="preserve">)</w:instrText>
      </w:r>
      <w:r>
        <w:rPr>
          <w:color w:val="auto"/>
          <w:highlight w:val="none"/>
        </w:rPr>
        <w:fldChar w:fldCharType="end"/>
      </w:r>
      <w:r>
        <w:rPr>
          <w:rFonts w:ascii="Times New Roman" w:hAnsi="Times New Roman" w:eastAsia="Times New Roman" w:cs="Times New Roman"/>
          <w:i/>
          <w:iCs/>
          <w:color w:val="auto"/>
          <w:spacing w:val="-22"/>
          <w:w w:val="86"/>
          <w:position w:val="18"/>
          <w:sz w:val="24"/>
          <w:szCs w:val="24"/>
          <w:highlight w:val="none"/>
        </w:rPr>
        <w:t>A</w:t>
      </w:r>
      <w:r>
        <w:rPr>
          <w:rFonts w:ascii="微软雅黑" w:hAnsi="微软雅黑" w:eastAsia="微软雅黑" w:cs="微软雅黑"/>
          <w:color w:val="auto"/>
          <w:spacing w:val="-22"/>
          <w:w w:val="86"/>
          <w:position w:val="18"/>
          <w:sz w:val="24"/>
          <w:szCs w:val="24"/>
          <w:highlight w:val="none"/>
        </w:rPr>
        <w:t>+</w:t>
      </w:r>
      <w:r>
        <w:rPr>
          <w:rFonts w:ascii="微软雅黑" w:hAnsi="微软雅黑" w:eastAsia="微软雅黑" w:cs="微软雅黑"/>
          <w:color w:val="auto"/>
          <w:spacing w:val="-21"/>
          <w:position w:val="18"/>
          <w:sz w:val="24"/>
          <w:szCs w:val="24"/>
          <w:highlight w:val="none"/>
        </w:rPr>
        <w:t xml:space="preserve"> </w:t>
      </w:r>
      <w:r>
        <w:rPr>
          <w:rFonts w:ascii="微软雅黑" w:hAnsi="微软雅黑" w:eastAsia="微软雅黑" w:cs="微软雅黑"/>
          <w:color w:val="auto"/>
          <w:spacing w:val="-22"/>
          <w:w w:val="86"/>
          <w:position w:val="11"/>
          <w:sz w:val="24"/>
          <w:szCs w:val="24"/>
          <w:highlight w:val="none"/>
        </w:rPr>
        <w:t>||（</w:t>
      </w:r>
      <w:r>
        <w:rPr>
          <w:rFonts w:ascii="Times New Roman" w:hAnsi="Times New Roman" w:eastAsia="Times New Roman" w:cs="Times New Roman"/>
          <w:i/>
          <w:iCs/>
          <w:color w:val="auto"/>
          <w:spacing w:val="-22"/>
          <w:w w:val="86"/>
          <w:position w:val="21"/>
          <w:sz w:val="24"/>
          <w:szCs w:val="24"/>
          <w:highlight w:val="none"/>
        </w:rPr>
        <w:t>B</w:t>
      </w:r>
      <w:r>
        <w:rPr>
          <w:rFonts w:ascii="Times New Roman" w:hAnsi="Times New Roman" w:eastAsia="Times New Roman" w:cs="Times New Roman"/>
          <w:color w:val="auto"/>
          <w:spacing w:val="-6"/>
          <w:position w:val="11"/>
          <w:sz w:val="14"/>
          <w:szCs w:val="14"/>
          <w:highlight w:val="none"/>
        </w:rPr>
        <w:t>1</w:t>
      </w:r>
      <w:r>
        <w:rPr>
          <w:rFonts w:ascii="Times New Roman" w:hAnsi="Times New Roman" w:eastAsia="Times New Roman" w:cs="Times New Roman"/>
          <w:color w:val="auto"/>
          <w:spacing w:val="30"/>
          <w:position w:val="11"/>
          <w:sz w:val="14"/>
          <w:szCs w:val="14"/>
          <w:highlight w:val="none"/>
        </w:rPr>
        <w:t xml:space="preserve"> </w:t>
      </w:r>
      <w:r>
        <w:rPr>
          <w:rFonts w:ascii="微软雅黑" w:hAnsi="微软雅黑" w:eastAsia="微软雅黑" w:cs="微软雅黑"/>
          <w:color w:val="auto"/>
          <w:spacing w:val="-4"/>
          <w:w w:val="81"/>
          <w:position w:val="19"/>
          <w:sz w:val="24"/>
          <w:szCs w:val="24"/>
          <w:highlight w:val="none"/>
        </w:rPr>
        <w:t>根</w:t>
      </w:r>
      <w:r>
        <w:rPr>
          <w:rFonts w:ascii="微软雅黑" w:hAnsi="微软雅黑" w:eastAsia="微软雅黑" w:cs="微软雅黑"/>
          <w:color w:val="auto"/>
          <w:spacing w:val="-17"/>
          <w:position w:val="19"/>
          <w:sz w:val="24"/>
          <w:szCs w:val="24"/>
          <w:highlight w:val="none"/>
        </w:rPr>
        <w:t xml:space="preserve"> </w:t>
      </w:r>
      <w:r>
        <w:rPr>
          <w:rFonts w:ascii="Times New Roman" w:hAnsi="Times New Roman" w:eastAsia="Times New Roman" w:cs="Times New Roman"/>
          <w:i/>
          <w:iCs/>
          <w:color w:val="auto"/>
          <w:spacing w:val="-4"/>
          <w:w w:val="81"/>
          <w:position w:val="2"/>
          <w:sz w:val="24"/>
          <w:szCs w:val="24"/>
          <w:highlight w:val="none"/>
        </w:rPr>
        <w:t>F</w:t>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i/>
          <w:iCs/>
          <w:color w:val="auto"/>
          <w:w w:val="72"/>
          <w:position w:val="10"/>
          <w:sz w:val="14"/>
          <w:szCs w:val="14"/>
          <w:highlight w:val="none"/>
        </w:rPr>
        <w:instrText xml:space="preserve">t</w:instrText>
      </w:r>
      <w:r>
        <w:rPr>
          <w:color w:val="auto"/>
          <w:highlight w:val="none"/>
        </w:rPr>
        <w:instrText xml:space="preserve">),</w:instrText>
      </w:r>
      <w:r>
        <w:rPr>
          <w:rFonts w:ascii="Times New Roman" w:hAnsi="Times New Roman" w:eastAsia="Times New Roman" w:cs="Times New Roman"/>
          <w:color w:val="auto"/>
          <w:w w:val="61"/>
          <w:position w:val="-7"/>
          <w:sz w:val="14"/>
          <w:szCs w:val="14"/>
          <w:highlight w:val="none"/>
        </w:rPr>
        <w:instrText xml:space="preserve">0</w:instrText>
      </w:r>
      <w:r>
        <w:rPr>
          <w:color w:val="auto"/>
          <w:highlight w:val="none"/>
        </w:rPr>
        <w:instrText xml:space="preserve">)</w:instrText>
      </w:r>
      <w:r>
        <w:rPr>
          <w:color w:val="auto"/>
          <w:highlight w:val="none"/>
        </w:rPr>
        <w:fldChar w:fldCharType="end"/>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color w:val="auto"/>
          <w:w w:val="80"/>
          <w:position w:val="10"/>
          <w:sz w:val="14"/>
          <w:szCs w:val="14"/>
          <w:highlight w:val="none"/>
        </w:rPr>
        <w:instrText xml:space="preserve">1</w:instrText>
      </w:r>
      <w:r>
        <w:rPr>
          <w:color w:val="auto"/>
          <w:highlight w:val="none"/>
        </w:rPr>
        <w:instrText xml:space="preserve">),</w:instrText>
      </w:r>
      <w:r>
        <w:rPr>
          <w:rFonts w:ascii="Times New Roman" w:hAnsi="Times New Roman" w:eastAsia="Times New Roman" w:cs="Times New Roman"/>
          <w:color w:val="auto"/>
          <w:w w:val="111"/>
          <w:position w:val="-7"/>
          <w:sz w:val="14"/>
          <w:szCs w:val="14"/>
          <w:highlight w:val="none"/>
        </w:rPr>
        <w:instrText xml:space="preserve">1</w:instrText>
      </w:r>
      <w:r>
        <w:rPr>
          <w:color w:val="auto"/>
          <w:highlight w:val="none"/>
        </w:rPr>
        <w:instrText xml:space="preserve">)</w:instrText>
      </w:r>
      <w:r>
        <w:rPr>
          <w:color w:val="auto"/>
          <w:highlight w:val="none"/>
        </w:rPr>
        <w:fldChar w:fldCharType="end"/>
      </w:r>
      <w:r>
        <w:rPr>
          <w:rFonts w:ascii="Times New Roman" w:hAnsi="Times New Roman" w:eastAsia="Times New Roman" w:cs="Times New Roman"/>
          <w:color w:val="auto"/>
          <w:spacing w:val="16"/>
          <w:position w:val="-7"/>
          <w:sz w:val="24"/>
          <w:szCs w:val="24"/>
          <w:highlight w:val="none"/>
        </w:rPr>
        <w:t xml:space="preserve"> </w:t>
      </w:r>
      <w:r>
        <w:rPr>
          <w:rFonts w:ascii="微软雅黑" w:hAnsi="微软雅黑" w:eastAsia="微软雅黑" w:cs="微软雅黑"/>
          <w:color w:val="auto"/>
          <w:spacing w:val="-4"/>
          <w:w w:val="81"/>
          <w:position w:val="18"/>
          <w:sz w:val="24"/>
          <w:szCs w:val="24"/>
          <w:highlight w:val="none"/>
        </w:rPr>
        <w:t>+</w:t>
      </w:r>
      <w:r>
        <w:rPr>
          <w:rFonts w:ascii="微软雅黑" w:hAnsi="微软雅黑" w:eastAsia="微软雅黑" w:cs="微软雅黑"/>
          <w:color w:val="auto"/>
          <w:spacing w:val="-25"/>
          <w:position w:val="18"/>
          <w:sz w:val="24"/>
          <w:szCs w:val="24"/>
          <w:highlight w:val="none"/>
        </w:rPr>
        <w:t xml:space="preserve"> </w:t>
      </w:r>
      <w:r>
        <w:rPr>
          <w:rFonts w:ascii="Times New Roman" w:hAnsi="Times New Roman" w:eastAsia="Times New Roman" w:cs="Times New Roman"/>
          <w:i/>
          <w:iCs/>
          <w:color w:val="auto"/>
          <w:spacing w:val="-4"/>
          <w:w w:val="81"/>
          <w:position w:val="18"/>
          <w:sz w:val="24"/>
          <w:szCs w:val="24"/>
          <w:highlight w:val="none"/>
        </w:rPr>
        <w:t>B</w:t>
      </w:r>
      <w:r>
        <w:rPr>
          <w:rFonts w:ascii="Times New Roman" w:hAnsi="Times New Roman" w:eastAsia="Times New Roman" w:cs="Times New Roman"/>
          <w:color w:val="auto"/>
          <w:spacing w:val="3"/>
          <w:position w:val="11"/>
          <w:sz w:val="14"/>
          <w:szCs w:val="14"/>
          <w:highlight w:val="none"/>
        </w:rPr>
        <w:t>2</w:t>
      </w:r>
      <w:r>
        <w:rPr>
          <w:rFonts w:ascii="Times New Roman" w:hAnsi="Times New Roman" w:eastAsia="Times New Roman" w:cs="Times New Roman"/>
          <w:color w:val="auto"/>
          <w:spacing w:val="2"/>
          <w:position w:val="11"/>
          <w:sz w:val="14"/>
          <w:szCs w:val="14"/>
          <w:highlight w:val="none"/>
        </w:rPr>
        <w:t xml:space="preserve">  </w:t>
      </w:r>
      <w:r>
        <w:rPr>
          <w:rFonts w:ascii="微软雅黑" w:hAnsi="微软雅黑" w:eastAsia="微软雅黑" w:cs="微软雅黑"/>
          <w:color w:val="auto"/>
          <w:spacing w:val="-4"/>
          <w:w w:val="81"/>
          <w:position w:val="19"/>
          <w:sz w:val="24"/>
          <w:szCs w:val="24"/>
          <w:highlight w:val="none"/>
        </w:rPr>
        <w:t>根</w:t>
      </w:r>
      <w:r>
        <w:rPr>
          <w:rFonts w:ascii="微软雅黑" w:hAnsi="微软雅黑" w:eastAsia="微软雅黑" w:cs="微软雅黑"/>
          <w:color w:val="auto"/>
          <w:spacing w:val="-16"/>
          <w:position w:val="19"/>
          <w:sz w:val="24"/>
          <w:szCs w:val="24"/>
          <w:highlight w:val="none"/>
        </w:rPr>
        <w:t xml:space="preserve"> </w:t>
      </w:r>
      <w:r>
        <w:rPr>
          <w:rFonts w:ascii="Times New Roman" w:hAnsi="Times New Roman" w:eastAsia="Times New Roman" w:cs="Times New Roman"/>
          <w:i/>
          <w:iCs/>
          <w:color w:val="auto"/>
          <w:spacing w:val="-4"/>
          <w:w w:val="81"/>
          <w:position w:val="2"/>
          <w:sz w:val="24"/>
          <w:szCs w:val="24"/>
          <w:highlight w:val="none"/>
        </w:rPr>
        <w:t>F</w:t>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i/>
          <w:iCs/>
          <w:color w:val="auto"/>
          <w:w w:val="55"/>
          <w:position w:val="10"/>
          <w:sz w:val="14"/>
          <w:szCs w:val="14"/>
          <w:highlight w:val="none"/>
        </w:rPr>
        <w:instrText xml:space="preserve">t</w:instrText>
      </w:r>
      <w:r>
        <w:rPr>
          <w:color w:val="auto"/>
          <w:highlight w:val="none"/>
        </w:rPr>
        <w:instrText xml:space="preserve">),</w:instrText>
      </w:r>
      <w:r>
        <w:rPr>
          <w:rFonts w:ascii="Times New Roman" w:hAnsi="Times New Roman" w:eastAsia="Times New Roman" w:cs="Times New Roman"/>
          <w:color w:val="auto"/>
          <w:w w:val="61"/>
          <w:position w:val="-7"/>
          <w:sz w:val="14"/>
          <w:szCs w:val="14"/>
          <w:highlight w:val="none"/>
        </w:rPr>
        <w:instrText xml:space="preserve">0</w:instrText>
      </w:r>
      <w:r>
        <w:rPr>
          <w:color w:val="auto"/>
          <w:highlight w:val="none"/>
        </w:rPr>
        <w:instrText xml:space="preserve">)</w:instrText>
      </w:r>
      <w:r>
        <w:rPr>
          <w:color w:val="auto"/>
          <w:highlight w:val="none"/>
        </w:rPr>
        <w:fldChar w:fldCharType="end"/>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color w:val="auto"/>
          <w:w w:val="89"/>
          <w:position w:val="10"/>
          <w:sz w:val="14"/>
          <w:szCs w:val="14"/>
          <w:highlight w:val="none"/>
        </w:rPr>
        <w:instrText xml:space="preserve">2</w:instrText>
      </w:r>
      <w:r>
        <w:rPr>
          <w:color w:val="auto"/>
          <w:highlight w:val="none"/>
        </w:rPr>
        <w:instrText xml:space="preserve">),</w:instrText>
      </w:r>
      <w:r>
        <w:rPr>
          <w:rFonts w:ascii="Times New Roman" w:hAnsi="Times New Roman" w:eastAsia="Times New Roman" w:cs="Times New Roman"/>
          <w:color w:val="auto"/>
          <w:w w:val="111"/>
          <w:position w:val="-7"/>
          <w:sz w:val="14"/>
          <w:szCs w:val="14"/>
          <w:highlight w:val="none"/>
        </w:rPr>
        <w:instrText xml:space="preserve">2</w:instrText>
      </w:r>
      <w:r>
        <w:rPr>
          <w:color w:val="auto"/>
          <w:highlight w:val="none"/>
        </w:rPr>
        <w:instrText xml:space="preserve">)</w:instrText>
      </w:r>
      <w:r>
        <w:rPr>
          <w:color w:val="auto"/>
          <w:highlight w:val="none"/>
        </w:rPr>
        <w:fldChar w:fldCharType="end"/>
      </w:r>
      <w:r>
        <w:rPr>
          <w:rFonts w:ascii="Times New Roman" w:hAnsi="Times New Roman" w:eastAsia="Times New Roman" w:cs="Times New Roman"/>
          <w:color w:val="auto"/>
          <w:spacing w:val="26"/>
          <w:position w:val="-7"/>
          <w:sz w:val="24"/>
          <w:szCs w:val="24"/>
          <w:highlight w:val="none"/>
        </w:rPr>
        <w:t xml:space="preserve"> </w:t>
      </w:r>
      <w:r>
        <w:rPr>
          <w:rFonts w:ascii="微软雅黑" w:hAnsi="微软雅黑" w:eastAsia="微软雅黑" w:cs="微软雅黑"/>
          <w:color w:val="auto"/>
          <w:spacing w:val="-4"/>
          <w:w w:val="81"/>
          <w:position w:val="18"/>
          <w:sz w:val="24"/>
          <w:szCs w:val="24"/>
          <w:highlight w:val="none"/>
        </w:rPr>
        <w:t>+</w:t>
      </w:r>
      <w:r>
        <w:rPr>
          <w:rFonts w:ascii="微软雅黑" w:hAnsi="微软雅黑" w:eastAsia="微软雅黑" w:cs="微软雅黑"/>
          <w:color w:val="auto"/>
          <w:spacing w:val="-25"/>
          <w:position w:val="18"/>
          <w:sz w:val="24"/>
          <w:szCs w:val="24"/>
          <w:highlight w:val="none"/>
        </w:rPr>
        <w:t xml:space="preserve"> </w:t>
      </w:r>
      <w:r>
        <w:rPr>
          <w:rFonts w:ascii="Times New Roman" w:hAnsi="Times New Roman" w:eastAsia="Times New Roman" w:cs="Times New Roman"/>
          <w:i/>
          <w:iCs/>
          <w:color w:val="auto"/>
          <w:spacing w:val="-4"/>
          <w:w w:val="81"/>
          <w:position w:val="18"/>
          <w:sz w:val="24"/>
          <w:szCs w:val="24"/>
          <w:highlight w:val="none"/>
        </w:rPr>
        <w:t>B</w:t>
      </w:r>
      <w:r>
        <w:rPr>
          <w:rFonts w:ascii="Times New Roman" w:hAnsi="Times New Roman" w:eastAsia="Times New Roman" w:cs="Times New Roman"/>
          <w:color w:val="auto"/>
          <w:spacing w:val="2"/>
          <w:position w:val="11"/>
          <w:sz w:val="14"/>
          <w:szCs w:val="14"/>
          <w:highlight w:val="none"/>
        </w:rPr>
        <w:t>3</w:t>
      </w:r>
      <w:r>
        <w:rPr>
          <w:rFonts w:ascii="Times New Roman" w:hAnsi="Times New Roman" w:eastAsia="Times New Roman" w:cs="Times New Roman"/>
          <w:color w:val="auto"/>
          <w:spacing w:val="33"/>
          <w:w w:val="102"/>
          <w:position w:val="11"/>
          <w:sz w:val="14"/>
          <w:szCs w:val="14"/>
          <w:highlight w:val="none"/>
        </w:rPr>
        <w:t xml:space="preserve"> </w:t>
      </w:r>
      <w:r>
        <w:rPr>
          <w:rFonts w:ascii="微软雅黑" w:hAnsi="微软雅黑" w:eastAsia="微软雅黑" w:cs="微软雅黑"/>
          <w:color w:val="auto"/>
          <w:spacing w:val="-20"/>
          <w:w w:val="92"/>
          <w:position w:val="19"/>
          <w:sz w:val="24"/>
          <w:szCs w:val="24"/>
          <w:highlight w:val="none"/>
        </w:rPr>
        <w:t>根</w:t>
      </w:r>
      <w:r>
        <w:rPr>
          <w:rFonts w:ascii="微软雅黑" w:hAnsi="微软雅黑" w:eastAsia="微软雅黑" w:cs="微软雅黑"/>
          <w:color w:val="auto"/>
          <w:spacing w:val="-17"/>
          <w:position w:val="19"/>
          <w:sz w:val="24"/>
          <w:szCs w:val="24"/>
          <w:highlight w:val="none"/>
        </w:rPr>
        <w:t xml:space="preserve"> </w:t>
      </w:r>
      <w:r>
        <w:rPr>
          <w:rFonts w:ascii="Times New Roman" w:hAnsi="Times New Roman" w:eastAsia="Times New Roman" w:cs="Times New Roman"/>
          <w:i/>
          <w:iCs/>
          <w:color w:val="auto"/>
          <w:spacing w:val="-20"/>
          <w:w w:val="92"/>
          <w:position w:val="2"/>
          <w:sz w:val="24"/>
          <w:szCs w:val="24"/>
          <w:highlight w:val="none"/>
        </w:rPr>
        <w:t>F</w:t>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i/>
          <w:iCs/>
          <w:color w:val="auto"/>
          <w:w w:val="58"/>
          <w:position w:val="10"/>
          <w:sz w:val="14"/>
          <w:szCs w:val="14"/>
          <w:highlight w:val="none"/>
        </w:rPr>
        <w:instrText xml:space="preserve">t</w:instrText>
      </w:r>
      <w:r>
        <w:rPr>
          <w:color w:val="auto"/>
          <w:highlight w:val="none"/>
        </w:rPr>
        <w:instrText xml:space="preserve">),</w:instrText>
      </w:r>
      <w:r>
        <w:rPr>
          <w:rFonts w:ascii="Times New Roman" w:hAnsi="Times New Roman" w:eastAsia="Times New Roman" w:cs="Times New Roman"/>
          <w:color w:val="auto"/>
          <w:w w:val="61"/>
          <w:position w:val="-7"/>
          <w:sz w:val="14"/>
          <w:szCs w:val="14"/>
          <w:highlight w:val="none"/>
        </w:rPr>
        <w:instrText xml:space="preserve">0</w:instrText>
      </w:r>
      <w:r>
        <w:rPr>
          <w:color w:val="auto"/>
          <w:highlight w:val="none"/>
        </w:rPr>
        <w:instrText xml:space="preserve">)</w:instrText>
      </w:r>
      <w:r>
        <w:rPr>
          <w:color w:val="auto"/>
          <w:highlight w:val="none"/>
        </w:rPr>
        <w:fldChar w:fldCharType="end"/>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color w:val="auto"/>
          <w:w w:val="88"/>
          <w:position w:val="10"/>
          <w:sz w:val="14"/>
          <w:szCs w:val="14"/>
          <w:highlight w:val="none"/>
        </w:rPr>
        <w:instrText xml:space="preserve">3</w:instrText>
      </w:r>
      <w:r>
        <w:rPr>
          <w:color w:val="auto"/>
          <w:highlight w:val="none"/>
        </w:rPr>
        <w:instrText xml:space="preserve">),</w:instrText>
      </w:r>
      <w:r>
        <w:rPr>
          <w:rFonts w:ascii="Times New Roman" w:hAnsi="Times New Roman" w:eastAsia="Times New Roman" w:cs="Times New Roman"/>
          <w:color w:val="auto"/>
          <w:w w:val="111"/>
          <w:position w:val="-7"/>
          <w:sz w:val="14"/>
          <w:szCs w:val="14"/>
          <w:highlight w:val="none"/>
        </w:rPr>
        <w:instrText xml:space="preserve">3</w:instrText>
      </w:r>
      <w:r>
        <w:rPr>
          <w:color w:val="auto"/>
          <w:highlight w:val="none"/>
        </w:rPr>
        <w:instrText xml:space="preserve">)</w:instrText>
      </w:r>
      <w:r>
        <w:rPr>
          <w:color w:val="auto"/>
          <w:highlight w:val="none"/>
        </w:rPr>
        <w:fldChar w:fldCharType="end"/>
      </w:r>
      <w:r>
        <w:rPr>
          <w:rFonts w:ascii="Times New Roman" w:hAnsi="Times New Roman" w:eastAsia="Times New Roman" w:cs="Times New Roman"/>
          <w:color w:val="auto"/>
          <w:spacing w:val="19"/>
          <w:position w:val="-7"/>
          <w:sz w:val="24"/>
          <w:szCs w:val="24"/>
          <w:highlight w:val="none"/>
        </w:rPr>
        <w:t xml:space="preserve"> </w:t>
      </w:r>
      <w:r>
        <w:rPr>
          <w:rFonts w:ascii="微软雅黑" w:hAnsi="微软雅黑" w:eastAsia="微软雅黑" w:cs="微软雅黑"/>
          <w:color w:val="auto"/>
          <w:spacing w:val="-20"/>
          <w:w w:val="92"/>
          <w:position w:val="18"/>
          <w:sz w:val="24"/>
          <w:szCs w:val="24"/>
          <w:highlight w:val="none"/>
        </w:rPr>
        <w:t>+</w:t>
      </w:r>
      <w:r>
        <w:rPr>
          <w:rFonts w:ascii="微软雅黑" w:hAnsi="微软雅黑" w:eastAsia="微软雅黑" w:cs="微软雅黑"/>
          <w:color w:val="auto"/>
          <w:spacing w:val="-20"/>
          <w:position w:val="18"/>
          <w:sz w:val="24"/>
          <w:szCs w:val="24"/>
          <w:highlight w:val="none"/>
        </w:rPr>
        <w:t xml:space="preserve"> </w:t>
      </w:r>
      <w:r>
        <w:rPr>
          <w:rFonts w:ascii="微软雅黑" w:hAnsi="微软雅黑" w:eastAsia="微软雅黑" w:cs="微软雅黑"/>
          <w:color w:val="auto"/>
          <w:spacing w:val="-20"/>
          <w:w w:val="92"/>
          <w:position w:val="19"/>
          <w:sz w:val="24"/>
          <w:szCs w:val="24"/>
          <w:highlight w:val="none"/>
        </w:rPr>
        <w:t>.</w:t>
      </w:r>
      <w:r>
        <w:rPr>
          <w:rFonts w:ascii="微软雅黑" w:hAnsi="微软雅黑" w:eastAsia="微软雅黑" w:cs="微软雅黑"/>
          <w:color w:val="auto"/>
          <w:spacing w:val="-35"/>
          <w:position w:val="19"/>
          <w:sz w:val="24"/>
          <w:szCs w:val="24"/>
          <w:highlight w:val="none"/>
        </w:rPr>
        <w:t xml:space="preserve"> </w:t>
      </w:r>
      <w:r>
        <w:rPr>
          <w:rFonts w:ascii="微软雅黑" w:hAnsi="微软雅黑" w:eastAsia="微软雅黑" w:cs="微软雅黑"/>
          <w:color w:val="auto"/>
          <w:spacing w:val="-20"/>
          <w:w w:val="92"/>
          <w:position w:val="19"/>
          <w:sz w:val="24"/>
          <w:szCs w:val="24"/>
          <w:highlight w:val="none"/>
        </w:rPr>
        <w:t>.</w:t>
      </w:r>
      <w:r>
        <w:rPr>
          <w:rFonts w:ascii="微软雅黑" w:hAnsi="微软雅黑" w:eastAsia="微软雅黑" w:cs="微软雅黑"/>
          <w:color w:val="auto"/>
          <w:spacing w:val="-34"/>
          <w:position w:val="19"/>
          <w:sz w:val="24"/>
          <w:szCs w:val="24"/>
          <w:highlight w:val="none"/>
        </w:rPr>
        <w:t xml:space="preserve"> </w:t>
      </w:r>
      <w:r>
        <w:rPr>
          <w:rFonts w:ascii="微软雅黑" w:hAnsi="微软雅黑" w:eastAsia="微软雅黑" w:cs="微软雅黑"/>
          <w:color w:val="auto"/>
          <w:spacing w:val="-20"/>
          <w:w w:val="92"/>
          <w:position w:val="19"/>
          <w:sz w:val="24"/>
          <w:szCs w:val="24"/>
          <w:highlight w:val="none"/>
        </w:rPr>
        <w:t>.</w:t>
      </w:r>
      <w:r>
        <w:rPr>
          <w:rFonts w:ascii="微软雅黑" w:hAnsi="微软雅黑" w:eastAsia="微软雅黑" w:cs="微软雅黑"/>
          <w:color w:val="auto"/>
          <w:spacing w:val="-35"/>
          <w:position w:val="19"/>
          <w:sz w:val="24"/>
          <w:szCs w:val="24"/>
          <w:highlight w:val="none"/>
        </w:rPr>
        <w:t xml:space="preserve"> </w:t>
      </w:r>
      <w:r>
        <w:rPr>
          <w:rFonts w:ascii="微软雅黑" w:hAnsi="微软雅黑" w:eastAsia="微软雅黑" w:cs="微软雅黑"/>
          <w:color w:val="auto"/>
          <w:spacing w:val="-20"/>
          <w:w w:val="92"/>
          <w:position w:val="18"/>
          <w:sz w:val="24"/>
          <w:szCs w:val="24"/>
          <w:highlight w:val="none"/>
        </w:rPr>
        <w:t>+</w:t>
      </w:r>
      <w:r>
        <w:rPr>
          <w:rFonts w:ascii="微软雅黑" w:hAnsi="微软雅黑" w:eastAsia="微软雅黑" w:cs="微软雅黑"/>
          <w:color w:val="auto"/>
          <w:spacing w:val="-25"/>
          <w:position w:val="18"/>
          <w:sz w:val="24"/>
          <w:szCs w:val="24"/>
          <w:highlight w:val="none"/>
        </w:rPr>
        <w:t xml:space="preserve"> </w:t>
      </w:r>
      <w:r>
        <w:rPr>
          <w:rFonts w:ascii="Times New Roman" w:hAnsi="Times New Roman" w:eastAsia="Times New Roman" w:cs="Times New Roman"/>
          <w:i/>
          <w:iCs/>
          <w:color w:val="auto"/>
          <w:spacing w:val="-20"/>
          <w:w w:val="92"/>
          <w:position w:val="18"/>
          <w:sz w:val="24"/>
          <w:szCs w:val="24"/>
          <w:highlight w:val="none"/>
        </w:rPr>
        <w:t>B</w:t>
      </w:r>
      <w:r>
        <w:rPr>
          <w:rFonts w:ascii="Times New Roman" w:hAnsi="Times New Roman" w:eastAsia="Times New Roman" w:cs="Times New Roman"/>
          <w:i/>
          <w:iCs/>
          <w:color w:val="auto"/>
          <w:spacing w:val="1"/>
          <w:position w:val="10"/>
          <w:sz w:val="14"/>
          <w:szCs w:val="14"/>
          <w:highlight w:val="none"/>
        </w:rPr>
        <w:t>n</w:t>
      </w:r>
      <w:r>
        <w:rPr>
          <w:rFonts w:ascii="Times New Roman" w:hAnsi="Times New Roman" w:eastAsia="Times New Roman" w:cs="Times New Roman"/>
          <w:i/>
          <w:iCs/>
          <w:color w:val="auto"/>
          <w:spacing w:val="4"/>
          <w:position w:val="10"/>
          <w:sz w:val="14"/>
          <w:szCs w:val="14"/>
          <w:highlight w:val="none"/>
        </w:rPr>
        <w:t xml:space="preserve">  </w:t>
      </w:r>
      <w:r>
        <w:rPr>
          <w:rFonts w:ascii="微软雅黑" w:hAnsi="微软雅黑" w:eastAsia="微软雅黑" w:cs="微软雅黑"/>
          <w:color w:val="auto"/>
          <w:spacing w:val="-26"/>
          <w:w w:val="95"/>
          <w:position w:val="19"/>
          <w:sz w:val="24"/>
          <w:szCs w:val="24"/>
          <w:highlight w:val="none"/>
        </w:rPr>
        <w:t xml:space="preserve">根 </w:t>
      </w:r>
      <w:r>
        <w:rPr>
          <w:rFonts w:ascii="Times New Roman" w:hAnsi="Times New Roman" w:eastAsia="Times New Roman" w:cs="Times New Roman"/>
          <w:i/>
          <w:iCs/>
          <w:color w:val="auto"/>
          <w:spacing w:val="-26"/>
          <w:w w:val="95"/>
          <w:position w:val="2"/>
          <w:sz w:val="24"/>
          <w:szCs w:val="24"/>
          <w:highlight w:val="none"/>
        </w:rPr>
        <w:t>F</w:t>
      </w:r>
      <w:r>
        <w:rPr>
          <w:color w:val="auto"/>
          <w:highlight w:val="none"/>
        </w:rPr>
        <w:fldChar w:fldCharType="begin"/>
      </w:r>
      <w:r>
        <w:rPr>
          <w:color w:val="auto"/>
          <w:highlight w:val="none"/>
        </w:rPr>
        <w:instrText xml:space="preserve">EQ \* jc3 \* hps14 \o\al(\s\up 8(</w:instrText>
      </w:r>
      <w:r>
        <w:rPr>
          <w:rFonts w:ascii="Times New Roman" w:hAnsi="Times New Roman" w:eastAsia="Times New Roman" w:cs="Times New Roman"/>
          <w:i/>
          <w:iCs/>
          <w:color w:val="auto"/>
          <w:w w:val="101"/>
          <w:position w:val="10"/>
          <w:sz w:val="14"/>
          <w:szCs w:val="14"/>
          <w:highlight w:val="none"/>
        </w:rPr>
        <w:instrText xml:space="preserve">tn</w:instrText>
      </w:r>
      <w:r>
        <w:rPr>
          <w:color w:val="auto"/>
          <w:highlight w:val="none"/>
        </w:rPr>
        <w:instrText xml:space="preserve">),</w:instrText>
      </w:r>
      <w:r>
        <w:rPr>
          <w:rFonts w:ascii="Times New Roman" w:hAnsi="Times New Roman" w:eastAsia="Times New Roman" w:cs="Times New Roman"/>
          <w:color w:val="auto"/>
          <w:w w:val="86"/>
          <w:position w:val="-9"/>
          <w:sz w:val="14"/>
          <w:szCs w:val="14"/>
          <w:highlight w:val="none"/>
        </w:rPr>
        <w:instrText xml:space="preserve">0</w:instrText>
      </w:r>
      <w:r>
        <w:rPr>
          <w:rFonts w:ascii="Times New Roman" w:hAnsi="Times New Roman" w:eastAsia="Times New Roman" w:cs="Times New Roman"/>
          <w:i/>
          <w:iCs/>
          <w:color w:val="auto"/>
          <w:w w:val="86"/>
          <w:position w:val="-9"/>
          <w:sz w:val="14"/>
          <w:szCs w:val="14"/>
          <w:highlight w:val="none"/>
        </w:rPr>
        <w:instrText xml:space="preserve">n</w:instrText>
      </w:r>
      <w:r>
        <w:rPr>
          <w:color w:val="auto"/>
          <w:highlight w:val="none"/>
        </w:rPr>
        <w:instrText xml:space="preserve">)</w:instrText>
      </w:r>
      <w:r>
        <w:rPr>
          <w:color w:val="auto"/>
          <w:highlight w:val="none"/>
        </w:rPr>
        <w:fldChar w:fldCharType="end"/>
      </w:r>
      <w:r>
        <w:rPr>
          <w:rFonts w:ascii="Times New Roman" w:hAnsi="Times New Roman" w:eastAsia="Times New Roman" w:cs="Times New Roman"/>
          <w:i/>
          <w:iCs/>
          <w:color w:val="auto"/>
          <w:position w:val="-9"/>
          <w:sz w:val="24"/>
          <w:szCs w:val="24"/>
          <w:highlight w:val="none"/>
        </w:rPr>
        <w:t xml:space="preserve"> </w:t>
      </w:r>
      <w:r>
        <w:rPr>
          <w:rFonts w:ascii="微软雅黑" w:hAnsi="微软雅黑" w:eastAsia="微软雅黑" w:cs="微软雅黑"/>
          <w:color w:val="auto"/>
          <w:spacing w:val="-26"/>
          <w:w w:val="95"/>
          <w:position w:val="11"/>
          <w:sz w:val="24"/>
          <w:szCs w:val="24"/>
          <w:highlight w:val="none"/>
        </w:rPr>
        <w:t>)||</w:t>
      </w:r>
      <w:r>
        <w:rPr>
          <w:rFonts w:ascii="微软雅黑" w:hAnsi="微软雅黑" w:eastAsia="微软雅黑" w:cs="微软雅黑"/>
          <w:color w:val="auto"/>
          <w:spacing w:val="-26"/>
          <w:position w:val="11"/>
          <w:sz w:val="24"/>
          <w:szCs w:val="24"/>
          <w:highlight w:val="none"/>
        </w:rPr>
        <w:t xml:space="preserve"> </w:t>
      </w:r>
      <w:r>
        <w:rPr>
          <w:rFonts w:ascii="微软雅黑" w:hAnsi="微软雅黑" w:eastAsia="微软雅黑" w:cs="微软雅黑"/>
          <w:color w:val="auto"/>
          <w:spacing w:val="-26"/>
          <w:w w:val="95"/>
          <w:position w:val="18"/>
          <w:sz w:val="24"/>
          <w:szCs w:val="24"/>
          <w:highlight w:val="none"/>
        </w:rPr>
        <w:t>−</w:t>
      </w:r>
      <w:r>
        <w:rPr>
          <w:rFonts w:ascii="Times New Roman" w:hAnsi="Times New Roman" w:eastAsia="Times New Roman" w:cs="Times New Roman"/>
          <w:color w:val="auto"/>
          <w:spacing w:val="-26"/>
          <w:w w:val="95"/>
          <w:position w:val="18"/>
          <w:sz w:val="24"/>
          <w:szCs w:val="24"/>
          <w:highlight w:val="none"/>
        </w:rPr>
        <w:t>1</w:t>
      </w:r>
      <w:r>
        <w:rPr>
          <w:color w:val="auto"/>
          <w:position w:val="-16"/>
          <w:sz w:val="24"/>
          <w:szCs w:val="24"/>
          <w:highlight w:val="none"/>
        </w:rPr>
        <w:drawing>
          <wp:inline distT="0" distB="0" distL="0" distR="0">
            <wp:extent cx="49530" cy="304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1"/>
                    <a:stretch>
                      <a:fillRect/>
                    </a:stretch>
                  </pic:blipFill>
                  <pic:spPr>
                    <a:xfrm>
                      <a:off x="0" y="0"/>
                      <a:ext cx="49809" cy="305428"/>
                    </a:xfrm>
                    <a:prstGeom prst="rect">
                      <a:avLst/>
                    </a:prstGeom>
                  </pic:spPr>
                </pic:pic>
              </a:graphicData>
            </a:graphic>
          </wp:inline>
        </w:drawing>
      </w:r>
    </w:p>
    <w:p>
      <w:pPr>
        <w:spacing w:before="252" w:line="219"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公式中：    </w:t>
      </w:r>
      <w:r>
        <w:rPr>
          <w:rFonts w:ascii="Times New Roman" w:hAnsi="Times New Roman" w:eastAsia="Times New Roman" w:cs="Times New Roman"/>
          <w:color w:val="auto"/>
          <w:spacing w:val="-3"/>
          <w:sz w:val="21"/>
          <w:szCs w:val="21"/>
          <w:highlight w:val="none"/>
        </w:rPr>
        <w:t>ΔP——</w:t>
      </w:r>
      <w:r>
        <w:rPr>
          <w:rFonts w:ascii="Times New Roman" w:hAnsi="Times New Roman" w:eastAsia="Times New Roman" w:cs="Times New Roman"/>
          <w:color w:val="auto"/>
          <w:spacing w:val="-26"/>
          <w:sz w:val="21"/>
          <w:szCs w:val="21"/>
          <w:highlight w:val="none"/>
        </w:rPr>
        <w:t xml:space="preserve"> </w:t>
      </w:r>
      <w:r>
        <w:rPr>
          <w:rFonts w:ascii="宋体" w:hAnsi="宋体" w:eastAsia="宋体" w:cs="宋体"/>
          <w:color w:val="auto"/>
          <w:spacing w:val="-3"/>
          <w:sz w:val="21"/>
          <w:szCs w:val="21"/>
          <w:highlight w:val="none"/>
        </w:rPr>
        <w:t>需调整的价格差额；</w:t>
      </w:r>
    </w:p>
    <w:p>
      <w:pPr>
        <w:spacing w:before="152" w:line="351" w:lineRule="auto"/>
        <w:ind w:left="2" w:right="177" w:firstLine="177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P</w:t>
      </w:r>
      <w:r>
        <w:rPr>
          <w:rFonts w:ascii="Times New Roman" w:hAnsi="Times New Roman" w:eastAsia="Times New Roman" w:cs="Times New Roman"/>
          <w:color w:val="auto"/>
          <w:spacing w:val="3"/>
          <w:position w:val="-1"/>
          <w:sz w:val="13"/>
          <w:szCs w:val="13"/>
          <w:highlight w:val="none"/>
        </w:rPr>
        <w:t>0</w:t>
      </w:r>
      <w:r>
        <w:rPr>
          <w:rFonts w:ascii="Times New Roman" w:hAnsi="Times New Roman" w:eastAsia="Times New Roman" w:cs="Times New Roman"/>
          <w:color w:val="auto"/>
          <w:spacing w:val="3"/>
          <w:sz w:val="21"/>
          <w:szCs w:val="21"/>
          <w:highlight w:val="none"/>
        </w:rPr>
        <w:t>——</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3"/>
          <w:sz w:val="21"/>
          <w:szCs w:val="21"/>
          <w:highlight w:val="none"/>
        </w:rPr>
        <w:t>约定的付款证书中承包人应得到的已完成工程量的金额。此项金额应</w:t>
      </w:r>
      <w:r>
        <w:rPr>
          <w:rFonts w:ascii="宋体" w:hAnsi="宋体" w:eastAsia="宋体" w:cs="宋体"/>
          <w:color w:val="auto"/>
          <w:sz w:val="21"/>
          <w:szCs w:val="21"/>
          <w:highlight w:val="none"/>
        </w:rPr>
        <w:t xml:space="preserve"> 不包括价格调整、不计质量保证金的扣留和支付、预付款的支付和扣回。约定的</w:t>
      </w:r>
      <w:r>
        <w:rPr>
          <w:rFonts w:ascii="宋体" w:hAnsi="宋体" w:eastAsia="宋体" w:cs="宋体"/>
          <w:color w:val="auto"/>
          <w:spacing w:val="-1"/>
          <w:sz w:val="21"/>
          <w:szCs w:val="21"/>
          <w:highlight w:val="none"/>
        </w:rPr>
        <w:t>变更及其他金额</w:t>
      </w:r>
    </w:p>
    <w:p>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已按现行价格计价的，也不计在内；</w:t>
      </w:r>
    </w:p>
    <w:p>
      <w:pPr>
        <w:spacing w:before="151" w:line="221" w:lineRule="auto"/>
        <w:ind w:left="177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A——</w:t>
      </w:r>
      <w:r>
        <w:rPr>
          <w:rFonts w:ascii="宋体" w:hAnsi="宋体" w:eastAsia="宋体" w:cs="宋体"/>
          <w:color w:val="auto"/>
          <w:sz w:val="21"/>
          <w:szCs w:val="21"/>
          <w:highlight w:val="none"/>
        </w:rPr>
        <w:t>定值权重（即不调部分的权重</w:t>
      </w:r>
      <w:r>
        <w:rPr>
          <w:rFonts w:ascii="宋体" w:hAnsi="宋体" w:eastAsia="宋体" w:cs="宋体"/>
          <w:color w:val="auto"/>
          <w:spacing w:val="-54"/>
          <w:w w:val="97"/>
          <w:sz w:val="21"/>
          <w:szCs w:val="21"/>
          <w:highlight w:val="none"/>
        </w:rPr>
        <w:t>）；</w:t>
      </w:r>
    </w:p>
    <w:p>
      <w:pPr>
        <w:spacing w:before="147" w:line="401" w:lineRule="exact"/>
        <w:ind w:left="414"/>
        <w:rPr>
          <w:rFonts w:ascii="宋体" w:hAnsi="宋体" w:eastAsia="宋体" w:cs="宋体"/>
          <w:color w:val="auto"/>
          <w:sz w:val="21"/>
          <w:szCs w:val="21"/>
          <w:highlight w:val="none"/>
        </w:rPr>
      </w:pPr>
      <w:r>
        <w:rPr>
          <w:rFonts w:ascii="Times New Roman" w:hAnsi="Times New Roman" w:eastAsia="Times New Roman" w:cs="Times New Roman"/>
          <w:color w:val="auto"/>
          <w:spacing w:val="-24"/>
          <w:position w:val="14"/>
          <w:sz w:val="21"/>
          <w:szCs w:val="21"/>
          <w:highlight w:val="none"/>
        </w:rPr>
        <w:t>B</w:t>
      </w:r>
      <w:r>
        <w:rPr>
          <w:rFonts w:ascii="Times New Roman" w:hAnsi="Times New Roman" w:eastAsia="Times New Roman" w:cs="Times New Roman"/>
          <w:color w:val="auto"/>
          <w:spacing w:val="-24"/>
          <w:position w:val="14"/>
          <w:sz w:val="13"/>
          <w:szCs w:val="13"/>
          <w:highlight w:val="none"/>
        </w:rPr>
        <w:t>1</w:t>
      </w:r>
      <w:r>
        <w:rPr>
          <w:rFonts w:ascii="Times New Roman" w:hAnsi="Times New Roman" w:eastAsia="Times New Roman" w:cs="Times New Roman"/>
          <w:color w:val="auto"/>
          <w:spacing w:val="-24"/>
          <w:position w:val="14"/>
          <w:sz w:val="15"/>
          <w:szCs w:val="15"/>
          <w:highlight w:val="none"/>
        </w:rPr>
        <w:t>;</w:t>
      </w:r>
      <w:r>
        <w:rPr>
          <w:rFonts w:ascii="Times New Roman" w:hAnsi="Times New Roman" w:eastAsia="Times New Roman" w:cs="Times New Roman"/>
          <w:color w:val="auto"/>
          <w:spacing w:val="4"/>
          <w:position w:val="14"/>
          <w:sz w:val="15"/>
          <w:szCs w:val="15"/>
          <w:highlight w:val="none"/>
        </w:rPr>
        <w:t xml:space="preserve">  </w:t>
      </w:r>
      <w:r>
        <w:rPr>
          <w:rFonts w:ascii="Times New Roman" w:hAnsi="Times New Roman" w:eastAsia="Times New Roman" w:cs="Times New Roman"/>
          <w:color w:val="auto"/>
          <w:spacing w:val="-24"/>
          <w:position w:val="14"/>
          <w:sz w:val="21"/>
          <w:szCs w:val="21"/>
          <w:highlight w:val="none"/>
        </w:rPr>
        <w:t>B</w:t>
      </w:r>
      <w:r>
        <w:rPr>
          <w:rFonts w:ascii="Times New Roman" w:hAnsi="Times New Roman" w:eastAsia="Times New Roman" w:cs="Times New Roman"/>
          <w:color w:val="auto"/>
          <w:spacing w:val="-24"/>
          <w:position w:val="13"/>
          <w:sz w:val="13"/>
          <w:szCs w:val="13"/>
          <w:highlight w:val="none"/>
        </w:rPr>
        <w:t>2</w:t>
      </w:r>
      <w:r>
        <w:rPr>
          <w:rFonts w:ascii="Times New Roman" w:hAnsi="Times New Roman" w:eastAsia="Times New Roman" w:cs="Times New Roman"/>
          <w:color w:val="auto"/>
          <w:spacing w:val="15"/>
          <w:position w:val="13"/>
          <w:sz w:val="13"/>
          <w:szCs w:val="13"/>
          <w:highlight w:val="none"/>
        </w:rPr>
        <w:t xml:space="preserve">  </w:t>
      </w:r>
      <w:r>
        <w:rPr>
          <w:rFonts w:ascii="Times New Roman" w:hAnsi="Times New Roman" w:eastAsia="Times New Roman" w:cs="Times New Roman"/>
          <w:color w:val="auto"/>
          <w:spacing w:val="-24"/>
          <w:position w:val="14"/>
          <w:sz w:val="21"/>
          <w:szCs w:val="21"/>
          <w:highlight w:val="none"/>
        </w:rPr>
        <w:t>;B</w:t>
      </w:r>
      <w:r>
        <w:rPr>
          <w:rFonts w:ascii="Times New Roman" w:hAnsi="Times New Roman" w:eastAsia="Times New Roman" w:cs="Times New Roman"/>
          <w:color w:val="auto"/>
          <w:spacing w:val="-24"/>
          <w:position w:val="14"/>
          <w:sz w:val="13"/>
          <w:szCs w:val="13"/>
          <w:highlight w:val="none"/>
        </w:rPr>
        <w:t>3</w:t>
      </w:r>
      <w:r>
        <w:rPr>
          <w:rFonts w:ascii="宋体" w:hAnsi="宋体" w:eastAsia="宋体" w:cs="宋体"/>
          <w:color w:val="auto"/>
          <w:spacing w:val="-24"/>
          <w:position w:val="14"/>
          <w:sz w:val="15"/>
          <w:szCs w:val="15"/>
          <w:highlight w:val="none"/>
        </w:rPr>
        <w:t>·····</w:t>
      </w:r>
      <w:r>
        <w:rPr>
          <w:rFonts w:ascii="Times New Roman" w:hAnsi="Times New Roman" w:eastAsia="Times New Roman" w:cs="Times New Roman"/>
          <w:color w:val="auto"/>
          <w:position w:val="14"/>
          <w:sz w:val="21"/>
          <w:szCs w:val="21"/>
          <w:highlight w:val="none"/>
        </w:rPr>
        <w:t>B</w:t>
      </w:r>
      <w:r>
        <w:rPr>
          <w:rFonts w:ascii="Times New Roman" w:hAnsi="Times New Roman" w:eastAsia="Times New Roman" w:cs="Times New Roman"/>
          <w:color w:val="auto"/>
          <w:position w:val="13"/>
          <w:sz w:val="13"/>
          <w:szCs w:val="13"/>
          <w:highlight w:val="none"/>
        </w:rPr>
        <w:t>n</w:t>
      </w:r>
      <w:r>
        <w:rPr>
          <w:rFonts w:ascii="Times New Roman" w:hAnsi="Times New Roman" w:eastAsia="Times New Roman" w:cs="Times New Roman"/>
          <w:color w:val="auto"/>
          <w:spacing w:val="2"/>
          <w:position w:val="14"/>
          <w:sz w:val="21"/>
          <w:szCs w:val="21"/>
          <w:highlight w:val="none"/>
        </w:rPr>
        <w:t>——</w:t>
      </w:r>
      <w:r>
        <w:rPr>
          <w:rFonts w:ascii="宋体" w:hAnsi="宋体" w:eastAsia="宋体" w:cs="宋体"/>
          <w:color w:val="auto"/>
          <w:spacing w:val="2"/>
          <w:position w:val="14"/>
          <w:sz w:val="21"/>
          <w:szCs w:val="21"/>
          <w:highlight w:val="none"/>
        </w:rPr>
        <w:t>各可调因子的变值权重（即可调部分的权</w:t>
      </w:r>
      <w:r>
        <w:rPr>
          <w:rFonts w:ascii="宋体" w:hAnsi="宋体" w:eastAsia="宋体" w:cs="宋体"/>
          <w:color w:val="auto"/>
          <w:spacing w:val="1"/>
          <w:position w:val="14"/>
          <w:sz w:val="21"/>
          <w:szCs w:val="21"/>
          <w:highlight w:val="none"/>
        </w:rPr>
        <w:t>重</w:t>
      </w:r>
      <w:r>
        <w:rPr>
          <w:rFonts w:ascii="宋体" w:hAnsi="宋体" w:eastAsia="宋体" w:cs="宋体"/>
          <w:color w:val="auto"/>
          <w:spacing w:val="-53"/>
          <w:w w:val="97"/>
          <w:position w:val="14"/>
          <w:sz w:val="21"/>
          <w:szCs w:val="21"/>
          <w:highlight w:val="none"/>
        </w:rPr>
        <w:t>），</w:t>
      </w:r>
      <w:r>
        <w:rPr>
          <w:rFonts w:ascii="宋体" w:hAnsi="宋体" w:eastAsia="宋体" w:cs="宋体"/>
          <w:color w:val="auto"/>
          <w:spacing w:val="1"/>
          <w:position w:val="14"/>
          <w:sz w:val="21"/>
          <w:szCs w:val="21"/>
          <w:highlight w:val="none"/>
        </w:rPr>
        <w:t>为各可调因子在签约合</w:t>
      </w:r>
    </w:p>
    <w:p>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同价中所占的比例；</w:t>
      </w:r>
    </w:p>
    <w:p>
      <w:pPr>
        <w:spacing w:before="153" w:line="398" w:lineRule="exact"/>
        <w:ind w:left="414"/>
        <w:rPr>
          <w:rFonts w:ascii="宋体" w:hAnsi="宋体" w:eastAsia="宋体" w:cs="宋体"/>
          <w:color w:val="auto"/>
          <w:sz w:val="21"/>
          <w:szCs w:val="21"/>
          <w:highlight w:val="none"/>
        </w:rPr>
      </w:pPr>
      <w:r>
        <w:rPr>
          <w:rFonts w:ascii="Times New Roman" w:hAnsi="Times New Roman" w:eastAsia="Times New Roman" w:cs="Times New Roman"/>
          <w:color w:val="auto"/>
          <w:spacing w:val="-19"/>
          <w:position w:val="13"/>
          <w:sz w:val="21"/>
          <w:szCs w:val="21"/>
          <w:highlight w:val="none"/>
        </w:rPr>
        <w:t>F</w:t>
      </w:r>
      <w:r>
        <w:rPr>
          <w:rFonts w:ascii="Times New Roman" w:hAnsi="Times New Roman" w:eastAsia="Times New Roman" w:cs="Times New Roman"/>
          <w:color w:val="auto"/>
          <w:spacing w:val="-19"/>
          <w:position w:val="12"/>
          <w:sz w:val="13"/>
          <w:szCs w:val="13"/>
          <w:highlight w:val="none"/>
        </w:rPr>
        <w:t>t1</w:t>
      </w:r>
      <w:r>
        <w:rPr>
          <w:rFonts w:ascii="Times New Roman" w:hAnsi="Times New Roman" w:eastAsia="Times New Roman" w:cs="Times New Roman"/>
          <w:color w:val="auto"/>
          <w:spacing w:val="15"/>
          <w:position w:val="12"/>
          <w:sz w:val="13"/>
          <w:szCs w:val="13"/>
          <w:highlight w:val="none"/>
        </w:rPr>
        <w:t xml:space="preserve">  </w:t>
      </w:r>
      <w:r>
        <w:rPr>
          <w:rFonts w:ascii="Times New Roman" w:hAnsi="Times New Roman" w:eastAsia="Times New Roman" w:cs="Times New Roman"/>
          <w:color w:val="auto"/>
          <w:spacing w:val="-19"/>
          <w:position w:val="13"/>
          <w:sz w:val="21"/>
          <w:szCs w:val="21"/>
          <w:highlight w:val="none"/>
        </w:rPr>
        <w:t>;F</w:t>
      </w:r>
      <w:r>
        <w:rPr>
          <w:rFonts w:ascii="Times New Roman" w:hAnsi="Times New Roman" w:eastAsia="Times New Roman" w:cs="Times New Roman"/>
          <w:color w:val="auto"/>
          <w:spacing w:val="-19"/>
          <w:position w:val="12"/>
          <w:sz w:val="13"/>
          <w:szCs w:val="13"/>
          <w:highlight w:val="none"/>
        </w:rPr>
        <w:t>t2</w:t>
      </w:r>
      <w:r>
        <w:rPr>
          <w:rFonts w:ascii="Times New Roman" w:hAnsi="Times New Roman" w:eastAsia="Times New Roman" w:cs="Times New Roman"/>
          <w:color w:val="auto"/>
          <w:spacing w:val="14"/>
          <w:w w:val="101"/>
          <w:position w:val="12"/>
          <w:sz w:val="13"/>
          <w:szCs w:val="13"/>
          <w:highlight w:val="none"/>
        </w:rPr>
        <w:t xml:space="preserve">  </w:t>
      </w:r>
      <w:r>
        <w:rPr>
          <w:rFonts w:ascii="Times New Roman" w:hAnsi="Times New Roman" w:eastAsia="Times New Roman" w:cs="Times New Roman"/>
          <w:color w:val="auto"/>
          <w:spacing w:val="-19"/>
          <w:position w:val="13"/>
          <w:sz w:val="21"/>
          <w:szCs w:val="21"/>
          <w:highlight w:val="none"/>
        </w:rPr>
        <w:t>;F</w:t>
      </w:r>
      <w:r>
        <w:rPr>
          <w:rFonts w:ascii="Times New Roman" w:hAnsi="Times New Roman" w:eastAsia="Times New Roman" w:cs="Times New Roman"/>
          <w:color w:val="auto"/>
          <w:spacing w:val="-19"/>
          <w:position w:val="13"/>
          <w:sz w:val="13"/>
          <w:szCs w:val="13"/>
          <w:highlight w:val="none"/>
        </w:rPr>
        <w:t>t3</w:t>
      </w:r>
      <w:r>
        <w:rPr>
          <w:rFonts w:ascii="宋体" w:hAnsi="宋体" w:eastAsia="宋体" w:cs="宋体"/>
          <w:color w:val="auto"/>
          <w:spacing w:val="-19"/>
          <w:position w:val="13"/>
          <w:sz w:val="15"/>
          <w:szCs w:val="15"/>
          <w:highlight w:val="none"/>
        </w:rPr>
        <w:t>·····</w:t>
      </w:r>
      <w:r>
        <w:rPr>
          <w:rFonts w:ascii="Times New Roman" w:hAnsi="Times New Roman" w:eastAsia="Times New Roman" w:cs="Times New Roman"/>
          <w:color w:val="auto"/>
          <w:position w:val="13"/>
          <w:sz w:val="21"/>
          <w:szCs w:val="21"/>
          <w:highlight w:val="none"/>
        </w:rPr>
        <w:t>F</w:t>
      </w:r>
      <w:r>
        <w:rPr>
          <w:rFonts w:ascii="Times New Roman" w:hAnsi="Times New Roman" w:eastAsia="Times New Roman" w:cs="Times New Roman"/>
          <w:color w:val="auto"/>
          <w:position w:val="12"/>
          <w:sz w:val="13"/>
          <w:szCs w:val="13"/>
          <w:highlight w:val="none"/>
        </w:rPr>
        <w:t>tn</w:t>
      </w:r>
      <w:r>
        <w:rPr>
          <w:rFonts w:ascii="Times New Roman" w:hAnsi="Times New Roman" w:eastAsia="Times New Roman" w:cs="Times New Roman"/>
          <w:color w:val="auto"/>
          <w:spacing w:val="2"/>
          <w:position w:val="13"/>
          <w:sz w:val="21"/>
          <w:szCs w:val="21"/>
          <w:highlight w:val="none"/>
        </w:rPr>
        <w:t>——</w:t>
      </w:r>
      <w:r>
        <w:rPr>
          <w:rFonts w:ascii="宋体" w:hAnsi="宋体" w:eastAsia="宋体" w:cs="宋体"/>
          <w:color w:val="auto"/>
          <w:spacing w:val="2"/>
          <w:position w:val="13"/>
          <w:sz w:val="21"/>
          <w:szCs w:val="21"/>
          <w:highlight w:val="none"/>
        </w:rPr>
        <w:t>各可调因子的现行价格指数，指约定的付款证书相</w:t>
      </w:r>
      <w:r>
        <w:rPr>
          <w:rFonts w:ascii="宋体" w:hAnsi="宋体" w:eastAsia="宋体" w:cs="宋体"/>
          <w:color w:val="auto"/>
          <w:spacing w:val="1"/>
          <w:position w:val="13"/>
          <w:sz w:val="21"/>
          <w:szCs w:val="21"/>
          <w:highlight w:val="none"/>
        </w:rPr>
        <w:t>关周期最后一天的</w:t>
      </w:r>
    </w:p>
    <w:p>
      <w:pPr>
        <w:spacing w:line="219" w:lineRule="auto"/>
        <w:ind w:left="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前</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42 </w:t>
      </w:r>
      <w:r>
        <w:rPr>
          <w:rFonts w:ascii="宋体" w:hAnsi="宋体" w:eastAsia="宋体" w:cs="宋体"/>
          <w:color w:val="auto"/>
          <w:spacing w:val="-1"/>
          <w:sz w:val="21"/>
          <w:szCs w:val="21"/>
          <w:highlight w:val="none"/>
        </w:rPr>
        <w:t>天的各可调因子的价格指数；</w:t>
      </w:r>
    </w:p>
    <w:p>
      <w:pPr>
        <w:spacing w:before="151" w:line="226" w:lineRule="auto"/>
        <w:ind w:left="414"/>
        <w:rPr>
          <w:rFonts w:ascii="宋体" w:hAnsi="宋体" w:eastAsia="宋体" w:cs="宋体"/>
          <w:color w:val="auto"/>
          <w:sz w:val="21"/>
          <w:szCs w:val="21"/>
          <w:highlight w:val="none"/>
        </w:rPr>
      </w:pPr>
      <w:r>
        <w:rPr>
          <w:rFonts w:ascii="Times New Roman" w:hAnsi="Times New Roman" w:eastAsia="Times New Roman" w:cs="Times New Roman"/>
          <w:color w:val="auto"/>
          <w:spacing w:val="-13"/>
          <w:sz w:val="21"/>
          <w:szCs w:val="21"/>
          <w:highlight w:val="none"/>
        </w:rPr>
        <w:t>F</w:t>
      </w:r>
      <w:r>
        <w:rPr>
          <w:rFonts w:ascii="Times New Roman" w:hAnsi="Times New Roman" w:eastAsia="Times New Roman" w:cs="Times New Roman"/>
          <w:color w:val="auto"/>
          <w:spacing w:val="-13"/>
          <w:position w:val="-1"/>
          <w:sz w:val="13"/>
          <w:szCs w:val="13"/>
          <w:highlight w:val="none"/>
        </w:rPr>
        <w:t>o1</w:t>
      </w:r>
      <w:r>
        <w:rPr>
          <w:rFonts w:ascii="Times New Roman" w:hAnsi="Times New Roman" w:eastAsia="Times New Roman" w:cs="Times New Roman"/>
          <w:color w:val="auto"/>
          <w:spacing w:val="-13"/>
          <w:sz w:val="21"/>
          <w:szCs w:val="21"/>
          <w:highlight w:val="none"/>
        </w:rPr>
        <w:t>; F</w:t>
      </w:r>
      <w:r>
        <w:rPr>
          <w:rFonts w:ascii="Times New Roman" w:hAnsi="Times New Roman" w:eastAsia="Times New Roman" w:cs="Times New Roman"/>
          <w:color w:val="auto"/>
          <w:spacing w:val="-13"/>
          <w:sz w:val="13"/>
          <w:szCs w:val="13"/>
          <w:highlight w:val="none"/>
        </w:rPr>
        <w:t>o2</w:t>
      </w:r>
      <w:r>
        <w:rPr>
          <w:rFonts w:ascii="Times New Roman" w:hAnsi="Times New Roman" w:eastAsia="Times New Roman" w:cs="Times New Roman"/>
          <w:color w:val="auto"/>
          <w:spacing w:val="-13"/>
          <w:sz w:val="15"/>
          <w:szCs w:val="15"/>
          <w:highlight w:val="none"/>
        </w:rPr>
        <w:t xml:space="preserve">;  </w:t>
      </w:r>
      <w:r>
        <w:rPr>
          <w:rFonts w:ascii="Times New Roman" w:hAnsi="Times New Roman" w:eastAsia="Times New Roman" w:cs="Times New Roman"/>
          <w:color w:val="auto"/>
          <w:spacing w:val="-13"/>
          <w:sz w:val="21"/>
          <w:szCs w:val="21"/>
          <w:highlight w:val="none"/>
        </w:rPr>
        <w:t>F</w:t>
      </w:r>
      <w:r>
        <w:rPr>
          <w:rFonts w:ascii="Times New Roman" w:hAnsi="Times New Roman" w:eastAsia="Times New Roman" w:cs="Times New Roman"/>
          <w:color w:val="auto"/>
          <w:spacing w:val="-13"/>
          <w:sz w:val="13"/>
          <w:szCs w:val="13"/>
          <w:highlight w:val="none"/>
        </w:rPr>
        <w:t>o3</w:t>
      </w:r>
      <w:r>
        <w:rPr>
          <w:rFonts w:ascii="宋体" w:hAnsi="宋体" w:eastAsia="宋体" w:cs="宋体"/>
          <w:color w:val="auto"/>
          <w:spacing w:val="-13"/>
          <w:sz w:val="15"/>
          <w:szCs w:val="15"/>
          <w:highlight w:val="none"/>
        </w:rPr>
        <w:t>····</w:t>
      </w:r>
      <w:r>
        <w:rPr>
          <w:rFonts w:ascii="Times New Roman" w:hAnsi="Times New Roman" w:eastAsia="Times New Roman" w:cs="Times New Roman"/>
          <w:color w:val="auto"/>
          <w:spacing w:val="-2"/>
          <w:sz w:val="21"/>
          <w:szCs w:val="21"/>
          <w:highlight w:val="none"/>
        </w:rPr>
        <w:t>F</w:t>
      </w:r>
      <w:r>
        <w:rPr>
          <w:rFonts w:ascii="Times New Roman" w:hAnsi="Times New Roman" w:eastAsia="Times New Roman" w:cs="Times New Roman"/>
          <w:color w:val="auto"/>
          <w:spacing w:val="-2"/>
          <w:position w:val="-1"/>
          <w:sz w:val="13"/>
          <w:szCs w:val="13"/>
          <w:highlight w:val="none"/>
        </w:rPr>
        <w:t>on</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各可调因子的基本价格指数，</w:t>
      </w:r>
      <w:r>
        <w:rPr>
          <w:rFonts w:ascii="宋体" w:hAnsi="宋体" w:eastAsia="宋体" w:cs="宋体"/>
          <w:color w:val="auto"/>
          <w:spacing w:val="-5"/>
          <w:sz w:val="21"/>
          <w:szCs w:val="21"/>
          <w:highlight w:val="none"/>
        </w:rPr>
        <w:t xml:space="preserve"> </w:t>
      </w:r>
      <w:r>
        <w:rPr>
          <w:rFonts w:ascii="宋体" w:hAnsi="宋体" w:eastAsia="宋体" w:cs="宋体"/>
          <w:color w:val="auto"/>
          <w:spacing w:val="-2"/>
          <w:sz w:val="21"/>
          <w:szCs w:val="21"/>
          <w:highlight w:val="none"/>
        </w:rPr>
        <w:t>指基准日期的各可调因子的价格指数。</w:t>
      </w:r>
    </w:p>
    <w:p>
      <w:pPr>
        <w:spacing w:before="143" w:line="240" w:lineRule="auto"/>
        <w:ind w:left="1" w:right="177" w:firstLine="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以上价格调整公式中的各可调因子、定值和变值权重，以及基本价格指数及其来源在投标函</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附录价格指数和权重表中约定， 非招标订立的合同，由合同当事人在专用合同条款中约定。价格</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指数应首先采用工程造价管理机构发布的价格指数，无前述价格指数时，可采用工</w:t>
      </w:r>
      <w:r>
        <w:rPr>
          <w:rFonts w:ascii="宋体" w:hAnsi="宋体" w:eastAsia="宋体" w:cs="宋体"/>
          <w:color w:val="auto"/>
          <w:spacing w:val="-1"/>
          <w:sz w:val="21"/>
          <w:szCs w:val="21"/>
          <w:highlight w:val="none"/>
        </w:rPr>
        <w:t>程造价管理机</w:t>
      </w:r>
    </w:p>
    <w:p>
      <w:pPr>
        <w:spacing w:line="240"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构发布的价格代替。</w:t>
      </w:r>
    </w:p>
    <w:p>
      <w:pPr>
        <w:spacing w:before="148" w:line="240" w:lineRule="auto"/>
        <w:ind w:left="425"/>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（2）暂时确定调整差额</w:t>
      </w:r>
    </w:p>
    <w:p>
      <w:pPr>
        <w:spacing w:before="148" w:line="240" w:lineRule="auto"/>
        <w:ind w:left="425"/>
        <w:rPr>
          <w:rFonts w:hint="eastAsia"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在计算调整差额时无现行价格指数的，合同当事人同意暂用前次价格指数计算。实际价格指</w:t>
      </w:r>
      <w:r>
        <w:rPr>
          <w:rFonts w:hint="eastAsia" w:ascii="宋体" w:hAnsi="宋体" w:eastAsia="宋体" w:cs="宋体"/>
          <w:color w:val="auto"/>
          <w:spacing w:val="-1"/>
          <w:position w:val="14"/>
          <w:sz w:val="21"/>
          <w:szCs w:val="21"/>
          <w:highlight w:val="none"/>
        </w:rPr>
        <w:t>数有调整的，合同当事人进行相应调整。</w:t>
      </w:r>
      <w:bookmarkStart w:id="222" w:name="bookmark262"/>
      <w:bookmarkEnd w:id="222"/>
      <w:bookmarkStart w:id="223" w:name="bookmark261"/>
      <w:bookmarkEnd w:id="223"/>
      <w:bookmarkStart w:id="224" w:name="bookmark263"/>
      <w:bookmarkEnd w:id="224"/>
      <w:bookmarkStart w:id="225" w:name="bookmark265"/>
      <w:bookmarkEnd w:id="225"/>
      <w:bookmarkStart w:id="226" w:name="bookmark264"/>
      <w:bookmarkEnd w:id="226"/>
    </w:p>
    <w:p>
      <w:pPr>
        <w:spacing w:before="148" w:line="240" w:lineRule="auto"/>
        <w:ind w:left="425"/>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（3）权重的调整</w:t>
      </w:r>
    </w:p>
    <w:p>
      <w:pPr>
        <w:spacing w:before="148" w:line="240" w:lineRule="auto"/>
        <w:ind w:left="425"/>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因变更导致合同约定的权重不合理时，按照第 4.4 款〔商定或确定〕执行。</w:t>
      </w:r>
    </w:p>
    <w:p>
      <w:pPr>
        <w:spacing w:before="148" w:line="240" w:lineRule="auto"/>
        <w:ind w:left="425"/>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（4）因承包人原因工期延误后的价格调整</w:t>
      </w:r>
    </w:p>
    <w:p>
      <w:pPr>
        <w:spacing w:before="148" w:line="240" w:lineRule="auto"/>
        <w:ind w:left="5" w:leftChars="0" w:firstLine="418" w:firstLineChars="201"/>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因承包人原因未按期竣工的，对合同约定的竣工日期后继续施工的工程，在使用价格调整公</w:t>
      </w:r>
    </w:p>
    <w:p>
      <w:pPr>
        <w:spacing w:before="148" w:line="240" w:lineRule="auto"/>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式时， 应采用计划竣工日期与实际竣工日期的两个价格指数中较低的一个作为现行价格指数。</w:t>
      </w:r>
    </w:p>
    <w:p>
      <w:pPr>
        <w:spacing w:before="148" w:line="240" w:lineRule="auto"/>
        <w:ind w:left="425"/>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第 2 种方式：采用造价信息进行价格调整。</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合同履行期间， 因人工、材料、工程设备和机械台班价格波动影响合同价格时，人工、机械 使用费按照国家或省、自治区、直辖市建设行政管理部门、行业建设管理部门或其授权的工程造 价管理机构发布的人工、机械使用费系数进行调整；需要进行价格调整的材料，其单价和采购数量应由发包人审批， 发包人确认需调整的材料单价及数量，作为调整合同价格的依据。</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（1）人工单价发生变化且符合省级或行业建设主管部门发布的人工费调整规定，合同当事  人应按省级或行业建设主管部门或其授权的工程造价管理机构发布的人工费等文件调整合同价格，但承包人对人工费或人工单价的报价高于发布价格的除外。</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（2）材料、工程设备价格变化的价款调整按照发包人提供的基准价格，按以下风险范围规</w:t>
      </w:r>
    </w:p>
    <w:p>
      <w:pPr>
        <w:spacing w:before="148" w:line="240" w:lineRule="auto"/>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定执行:</w:t>
      </w:r>
    </w:p>
    <w:p>
      <w:pPr>
        <w:spacing w:before="130" w:line="240" w:lineRule="auto"/>
        <w:ind w:left="6" w:right="175" w:firstLine="625"/>
        <w:rPr>
          <w:rFonts w:ascii="宋体" w:hAnsi="宋体" w:eastAsia="宋体" w:cs="宋体"/>
          <w:color w:val="auto"/>
          <w:sz w:val="21"/>
          <w:szCs w:val="21"/>
          <w:highlight w:val="none"/>
        </w:rPr>
      </w:pPr>
      <w:r>
        <w:rPr>
          <w:rFonts w:ascii="宋体" w:hAnsi="宋体" w:eastAsia="宋体" w:cs="宋体"/>
          <w:color w:val="auto"/>
          <w:sz w:val="21"/>
          <w:szCs w:val="21"/>
          <w:highlight w:val="none"/>
        </w:rPr>
        <w:t>①承包人在已标价工程量清单或预算书中载明材料单价低于基准价格的：除专用</w:t>
      </w:r>
      <w:r>
        <w:rPr>
          <w:rFonts w:ascii="宋体" w:hAnsi="宋体" w:eastAsia="宋体" w:cs="宋体"/>
          <w:color w:val="auto"/>
          <w:spacing w:val="-1"/>
          <w:sz w:val="21"/>
          <w:szCs w:val="21"/>
          <w:highlight w:val="none"/>
        </w:rPr>
        <w:t>合同条款</w:t>
      </w:r>
      <w:r>
        <w:rPr>
          <w:rFonts w:ascii="宋体" w:hAnsi="宋体" w:eastAsia="宋体" w:cs="宋体"/>
          <w:color w:val="auto"/>
          <w:spacing w:val="1"/>
          <w:sz w:val="21"/>
          <w:szCs w:val="21"/>
          <w:highlight w:val="none"/>
        </w:rPr>
        <w:t>另有约定外，合同履行期间材料单价涨幅以基准价格为基础</w:t>
      </w:r>
      <w:r>
        <w:rPr>
          <w:rFonts w:ascii="宋体" w:hAnsi="宋体" w:eastAsia="宋体" w:cs="宋体"/>
          <w:color w:val="auto"/>
          <w:sz w:val="21"/>
          <w:szCs w:val="21"/>
          <w:highlight w:val="none"/>
        </w:rPr>
        <w:t xml:space="preserve">超过 </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时，或材料单价跌幅以在已</w:t>
      </w:r>
      <w:r>
        <w:rPr>
          <w:rFonts w:ascii="宋体" w:hAnsi="宋体" w:eastAsia="宋体" w:cs="宋体"/>
          <w:color w:val="auto"/>
          <w:spacing w:val="-1"/>
          <w:sz w:val="21"/>
          <w:szCs w:val="21"/>
          <w:highlight w:val="none"/>
        </w:rPr>
        <w:t>标价工程量清单或预算书中载明材料单价为基础超过</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时，其超过部分据实调整。</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②承包人在已标价工程量清单或预算书中载明材料单价高于基准价格的：除专用合同条款 另有约定外，合同履行期间材料单价跌幅以基准价格为基础超过 5%时，材料单价涨幅以在已标</w:t>
      </w:r>
    </w:p>
    <w:p>
      <w:pPr>
        <w:spacing w:before="148" w:line="240" w:lineRule="auto"/>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价工程量清单或预算书中载明材料单价为基础超过 5%时，其超过部分据实调整。</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④承包人应在采购材料前将采购数量和新的材料单价报发包人核对，发包人确认用于工程 时，发包人应确认采购材料的数量和单价。发包人在收到承包人报送的确认资料后 5 天内不予答 复的视为认可， 作为调整合同价格的依据。未经发包人事先核对，承包人自行采购材料的， 发包人有权不予调整合同价格。发包人同意的，可以调整合同价格。</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前述基准价格是指由发包人在招标文件或专用合同条款中给定的材料、工程设备的价格，该</w:t>
      </w:r>
    </w:p>
    <w:p>
      <w:pPr>
        <w:spacing w:line="240" w:lineRule="auto"/>
        <w:ind w:left="2"/>
        <w:rPr>
          <w:rFonts w:ascii="宋体" w:hAnsi="宋体" w:eastAsia="宋体" w:cs="宋体"/>
          <w:color w:val="auto"/>
          <w:sz w:val="21"/>
          <w:szCs w:val="21"/>
          <w:highlight w:val="none"/>
        </w:rPr>
      </w:pPr>
      <w:r>
        <w:rPr>
          <w:rFonts w:ascii="宋体" w:hAnsi="宋体" w:eastAsia="宋体" w:cs="宋体"/>
          <w:color w:val="auto"/>
          <w:sz w:val="21"/>
          <w:szCs w:val="21"/>
          <w:highlight w:val="none"/>
        </w:rPr>
        <w:t>价格原则上应当按照省级或行业建设主管部门或其授权的工程造价管理机构发布的信息价</w:t>
      </w:r>
      <w:r>
        <w:rPr>
          <w:rFonts w:ascii="宋体" w:hAnsi="宋体" w:eastAsia="宋体" w:cs="宋体"/>
          <w:color w:val="auto"/>
          <w:spacing w:val="-1"/>
          <w:sz w:val="21"/>
          <w:szCs w:val="21"/>
          <w:highlight w:val="none"/>
        </w:rPr>
        <w:t>编制。</w:t>
      </w:r>
    </w:p>
    <w:p>
      <w:pPr>
        <w:spacing w:before="152" w:line="240" w:lineRule="auto"/>
        <w:ind w:left="42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）施工机械台班单价或施工机械使用费发生变化超过省级或行业建设主管部门或其授权</w:t>
      </w:r>
    </w:p>
    <w:p>
      <w:pPr>
        <w:spacing w:line="24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的工程造价管理机构规定的范围时，</w:t>
      </w:r>
      <w:r>
        <w:rPr>
          <w:rFonts w:ascii="宋体" w:hAnsi="宋体" w:eastAsia="宋体" w:cs="宋体"/>
          <w:color w:val="auto"/>
          <w:spacing w:val="-21"/>
          <w:sz w:val="21"/>
          <w:szCs w:val="21"/>
          <w:highlight w:val="none"/>
        </w:rPr>
        <w:t xml:space="preserve"> </w:t>
      </w:r>
      <w:r>
        <w:rPr>
          <w:rFonts w:ascii="宋体" w:hAnsi="宋体" w:eastAsia="宋体" w:cs="宋体"/>
          <w:color w:val="auto"/>
          <w:spacing w:val="-4"/>
          <w:sz w:val="21"/>
          <w:szCs w:val="21"/>
          <w:highlight w:val="none"/>
        </w:rPr>
        <w:t>按规定调整合同价格。</w:t>
      </w:r>
    </w:p>
    <w:p>
      <w:pPr>
        <w:spacing w:before="151" w:line="240" w:lineRule="auto"/>
        <w:ind w:left="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种方式：专用合同条款约定的其他方式。</w:t>
      </w:r>
    </w:p>
    <w:p>
      <w:pPr>
        <w:spacing w:before="125"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法律变化引起的调整</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基准日期后， 法律变化导致承包人在合同履行过程中所需要的费用发生除第 11.1  款〔市场价格波动引起的调整〕约定以外的增加时，由发包人承担由此增加的费用； 减少时，应从合同价格中予以扣减。 基准日期后， 因法律变化造成工期延误时，工期应予以顺延。</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因法律变化引起的合同价格和工期调整， 合同当事人无法达成一致的， 由总监理工程师按第4.4 款〔商定或确定〕的约定处理。</w:t>
      </w:r>
    </w:p>
    <w:p>
      <w:pPr>
        <w:spacing w:before="148" w:line="240" w:lineRule="auto"/>
        <w:ind w:firstLine="416" w:firstLineChars="200"/>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因承包人原因造成工期延误，在工期延误期间出现法律变化的，由此增加的费用和（或）延</w:t>
      </w:r>
    </w:p>
    <w:p>
      <w:pPr>
        <w:spacing w:before="148" w:line="240" w:lineRule="auto"/>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误的工期由承包人承担。</w:t>
      </w:r>
    </w:p>
    <w:p>
      <w:pPr>
        <w:spacing w:before="189" w:line="240" w:lineRule="auto"/>
        <w:ind w:left="15"/>
        <w:rPr>
          <w:rFonts w:ascii="黑体" w:hAnsi="黑体" w:eastAsia="黑体" w:cs="黑体"/>
          <w:color w:val="auto"/>
          <w:sz w:val="28"/>
          <w:szCs w:val="28"/>
          <w:highlight w:val="none"/>
        </w:rPr>
      </w:pPr>
      <w:bookmarkStart w:id="227" w:name="bookmark266"/>
      <w:bookmarkEnd w:id="227"/>
      <w:bookmarkStart w:id="228" w:name="bookmark268"/>
      <w:bookmarkEnd w:id="228"/>
      <w:bookmarkStart w:id="229" w:name="bookmark272"/>
      <w:bookmarkEnd w:id="229"/>
      <w:bookmarkStart w:id="230" w:name="bookmark269"/>
      <w:bookmarkEnd w:id="230"/>
      <w:bookmarkStart w:id="231" w:name="bookmark270"/>
      <w:bookmarkEnd w:id="231"/>
      <w:bookmarkStart w:id="232" w:name="bookmark271"/>
      <w:bookmarkEnd w:id="232"/>
      <w:bookmarkStart w:id="233" w:name="bookmark267"/>
      <w:bookmarkEnd w:id="233"/>
      <w:r>
        <w:rPr>
          <w:rFonts w:ascii="Times New Roman" w:hAnsi="Times New Roman" w:eastAsia="Times New Roman" w:cs="Times New Roman"/>
          <w:b/>
          <w:bCs/>
          <w:color w:val="auto"/>
          <w:spacing w:val="-1"/>
          <w:position w:val="11"/>
          <w:sz w:val="28"/>
          <w:szCs w:val="28"/>
          <w:highlight w:val="none"/>
        </w:rPr>
        <w:t xml:space="preserve">12.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合同价格、计量与支付</w:t>
      </w:r>
    </w:p>
    <w:p>
      <w:pPr>
        <w:spacing w:before="1" w:line="240" w:lineRule="auto"/>
        <w:ind w:left="12"/>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12.1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合同价格形式</w:t>
      </w:r>
    </w:p>
    <w:p>
      <w:pPr>
        <w:spacing w:before="141" w:line="240" w:lineRule="auto"/>
        <w:ind w:left="428"/>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发包人和承包人应在合同协议书中选择下列一种合</w:t>
      </w:r>
      <w:r>
        <w:rPr>
          <w:rFonts w:ascii="宋体" w:hAnsi="宋体" w:eastAsia="宋体" w:cs="宋体"/>
          <w:color w:val="auto"/>
          <w:spacing w:val="-1"/>
          <w:position w:val="14"/>
          <w:sz w:val="21"/>
          <w:szCs w:val="21"/>
          <w:highlight w:val="none"/>
        </w:rPr>
        <w:t>同价格形式：</w:t>
      </w:r>
    </w:p>
    <w:p>
      <w:pPr>
        <w:spacing w:line="24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单价合同</w:t>
      </w:r>
    </w:p>
    <w:p>
      <w:pPr>
        <w:spacing w:before="150" w:line="240" w:lineRule="auto"/>
        <w:ind w:left="5" w:right="177"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单价合同是指合同当事人约定以工程量清单及其综合单价进行合同价格计算、调</w:t>
      </w:r>
      <w:r>
        <w:rPr>
          <w:rFonts w:ascii="宋体" w:hAnsi="宋体" w:eastAsia="宋体" w:cs="宋体"/>
          <w:color w:val="auto"/>
          <w:spacing w:val="-1"/>
          <w:sz w:val="21"/>
          <w:szCs w:val="21"/>
          <w:highlight w:val="none"/>
        </w:rPr>
        <w:t>整和确认的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建设工程施工合同，</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在约定的范围内合同单价不作调整。合同当事人应在专用合同条款中约</w:t>
      </w:r>
      <w:r>
        <w:rPr>
          <w:rFonts w:ascii="宋体" w:hAnsi="宋体" w:eastAsia="宋体" w:cs="宋体"/>
          <w:color w:val="auto"/>
          <w:spacing w:val="-3"/>
          <w:sz w:val="21"/>
          <w:szCs w:val="21"/>
          <w:highlight w:val="none"/>
        </w:rPr>
        <w:t>定综</w:t>
      </w:r>
      <w:r>
        <w:rPr>
          <w:rFonts w:ascii="宋体" w:hAnsi="宋体" w:eastAsia="宋体" w:cs="宋体"/>
          <w:color w:val="auto"/>
          <w:sz w:val="21"/>
          <w:szCs w:val="21"/>
          <w:highlight w:val="none"/>
        </w:rPr>
        <w:t xml:space="preserve"> 合单价包含的风险范围和风险费用的计算方法，并约定风险范围以外的合同价格的调整</w:t>
      </w:r>
      <w:r>
        <w:rPr>
          <w:rFonts w:ascii="宋体" w:hAnsi="宋体" w:eastAsia="宋体" w:cs="宋体"/>
          <w:color w:val="auto"/>
          <w:spacing w:val="-1"/>
          <w:sz w:val="21"/>
          <w:szCs w:val="21"/>
          <w:highlight w:val="none"/>
        </w:rPr>
        <w:t>方法，其</w:t>
      </w:r>
      <w:r>
        <w:rPr>
          <w:rFonts w:ascii="宋体" w:hAnsi="宋体" w:eastAsia="宋体" w:cs="宋体"/>
          <w:color w:val="auto"/>
          <w:spacing w:val="-2"/>
          <w:sz w:val="21"/>
          <w:szCs w:val="21"/>
          <w:highlight w:val="none"/>
        </w:rPr>
        <w:t>中因市场价格波动引起的调整按第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11.1 </w:t>
      </w:r>
      <w:r>
        <w:rPr>
          <w:rFonts w:ascii="宋体" w:hAnsi="宋体" w:eastAsia="宋体" w:cs="宋体"/>
          <w:color w:val="auto"/>
          <w:spacing w:val="-2"/>
          <w:sz w:val="21"/>
          <w:szCs w:val="21"/>
          <w:highlight w:val="none"/>
        </w:rPr>
        <w:t>款〔市场价格波动引起的调整〕约定执行。</w:t>
      </w:r>
    </w:p>
    <w:p>
      <w:pPr>
        <w:spacing w:before="151" w:line="240"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w:t>
      </w:r>
    </w:p>
    <w:p>
      <w:pPr>
        <w:spacing w:before="149" w:line="240" w:lineRule="auto"/>
        <w:ind w:left="4" w:right="177"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总价合同是指合同当事人约定以施工图、已标价工程量清单或预算书及</w:t>
      </w:r>
      <w:r>
        <w:rPr>
          <w:rFonts w:ascii="宋体" w:hAnsi="宋体" w:eastAsia="宋体" w:cs="宋体"/>
          <w:color w:val="auto"/>
          <w:spacing w:val="-1"/>
          <w:sz w:val="21"/>
          <w:szCs w:val="21"/>
          <w:highlight w:val="none"/>
        </w:rPr>
        <w:t>有关条件进行合同价</w:t>
      </w:r>
      <w:r>
        <w:rPr>
          <w:rFonts w:ascii="宋体" w:hAnsi="宋体" w:eastAsia="宋体" w:cs="宋体"/>
          <w:color w:val="auto"/>
          <w:sz w:val="21"/>
          <w:szCs w:val="21"/>
          <w:highlight w:val="none"/>
        </w:rPr>
        <w:t xml:space="preserve"> 格计算、调整和确认的建设工程施工合同，在约定的范围内合同总价不作调整。合同当事</w:t>
      </w:r>
      <w:r>
        <w:rPr>
          <w:rFonts w:ascii="宋体" w:hAnsi="宋体" w:eastAsia="宋体" w:cs="宋体"/>
          <w:color w:val="auto"/>
          <w:spacing w:val="-1"/>
          <w:sz w:val="21"/>
          <w:szCs w:val="21"/>
          <w:highlight w:val="none"/>
        </w:rPr>
        <w:t>人应在</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专用合同条款中约定总价包含的风险范围和风险</w:t>
      </w:r>
      <w:r>
        <w:rPr>
          <w:rFonts w:ascii="宋体" w:hAnsi="宋体" w:eastAsia="宋体" w:cs="宋体"/>
          <w:color w:val="auto"/>
          <w:spacing w:val="-3"/>
          <w:sz w:val="21"/>
          <w:szCs w:val="21"/>
          <w:highlight w:val="none"/>
        </w:rPr>
        <w:t>费用的计算方法， 并约定风险范围以外的合同价</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格的调整方法，</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 xml:space="preserve">其中因市场价格波动引起的调整按第 </w:t>
      </w:r>
      <w:r>
        <w:rPr>
          <w:rFonts w:ascii="Times New Roman" w:hAnsi="Times New Roman" w:eastAsia="Times New Roman" w:cs="Times New Roman"/>
          <w:color w:val="auto"/>
          <w:spacing w:val="-5"/>
          <w:sz w:val="21"/>
          <w:szCs w:val="21"/>
          <w:highlight w:val="none"/>
        </w:rPr>
        <w:t>11.1</w:t>
      </w:r>
      <w:r>
        <w:rPr>
          <w:rFonts w:ascii="Times New Roman" w:hAnsi="Times New Roman" w:eastAsia="Times New Roman" w:cs="Times New Roman"/>
          <w:color w:val="auto"/>
          <w:spacing w:val="38"/>
          <w:w w:val="101"/>
          <w:sz w:val="21"/>
          <w:szCs w:val="21"/>
          <w:highlight w:val="none"/>
        </w:rPr>
        <w:t xml:space="preserve"> </w:t>
      </w:r>
      <w:r>
        <w:rPr>
          <w:rFonts w:ascii="宋体" w:hAnsi="宋体" w:eastAsia="宋体" w:cs="宋体"/>
          <w:color w:val="auto"/>
          <w:spacing w:val="-5"/>
          <w:sz w:val="21"/>
          <w:szCs w:val="21"/>
          <w:highlight w:val="none"/>
        </w:rPr>
        <w:t>款〔市场价</w:t>
      </w:r>
      <w:r>
        <w:rPr>
          <w:rFonts w:ascii="宋体" w:hAnsi="宋体" w:eastAsia="宋体" w:cs="宋体"/>
          <w:color w:val="auto"/>
          <w:spacing w:val="-6"/>
          <w:sz w:val="21"/>
          <w:szCs w:val="21"/>
          <w:highlight w:val="none"/>
        </w:rPr>
        <w:t>格波动引起的调整〕、因法</w:t>
      </w:r>
      <w:r>
        <w:rPr>
          <w:rFonts w:ascii="宋体" w:hAnsi="宋体" w:eastAsia="宋体" w:cs="宋体"/>
          <w:color w:val="auto"/>
          <w:spacing w:val="-2"/>
          <w:sz w:val="21"/>
          <w:szCs w:val="21"/>
          <w:highlight w:val="none"/>
        </w:rPr>
        <w:t>律变化引起的调整按第</w:t>
      </w:r>
      <w:r>
        <w:rPr>
          <w:rFonts w:ascii="宋体" w:hAnsi="宋体" w:eastAsia="宋体" w:cs="宋体"/>
          <w:color w:val="auto"/>
          <w:spacing w:val="-1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款〔法律变化引起的调整〕约定执行。</w:t>
      </w:r>
    </w:p>
    <w:p>
      <w:pPr>
        <w:spacing w:before="150" w:line="240" w:lineRule="auto"/>
        <w:ind w:left="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其它价格形式</w:t>
      </w:r>
    </w:p>
    <w:p>
      <w:pPr>
        <w:spacing w:before="149" w:line="240" w:lineRule="auto"/>
        <w:ind w:left="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合同当事人可在专用合同条款中约定其他合同价格形式。</w:t>
      </w:r>
    </w:p>
    <w:p>
      <w:pPr>
        <w:spacing w:before="127" w:line="240" w:lineRule="auto"/>
        <w:ind w:left="12"/>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12.2</w:t>
      </w:r>
      <w:r>
        <w:rPr>
          <w:rFonts w:ascii="Times New Roman" w:hAnsi="Times New Roman" w:eastAsia="Times New Roman" w:cs="Times New Roman"/>
          <w:b/>
          <w:bCs/>
          <w:color w:val="auto"/>
          <w:spacing w:val="13"/>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预付款</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12.2.1 预付款的支付</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预付款的支付按照专用合同条款约定执行，但至迟应在开工通知载明的开工日期 7 天前支付。</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预付款应当用于材料、工程设备、施工设备的采购及修建临时工程、组织施工队伍进场等。</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除专用合同条款另有约定外，预付款在进度付款中同比例扣回。在颁发工程接收证书前，提前解除合同的， 尚未扣完的预付款应与合同价款一并结算。</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发包人逾期支付预付款超过 7 天的， 承包人有权向发包人发出要求预付的催告通知，发包人 收到通知后 7 天内仍未支付的， 承包人有权暂停施工，并按第 16.1.1 项〔发包人违约的情形〕执行。</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12.2.2  预付款担保</w:t>
      </w:r>
    </w:p>
    <w:p>
      <w:pPr>
        <w:spacing w:before="149" w:line="240" w:lineRule="auto"/>
        <w:ind w:left="4" w:right="177" w:firstLine="425"/>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发包人要求承包人提供预付款担保的，承包人应在发包人支付预付款 7 天前提供预付款担保，专用合同条款另有约定除外。预付款担保可采用银行保函、担保公司担保等形式， 具体由合同当事人在专用合同条款中约定。在预付款完全扣回之前，承包人应保证预付款担保持续有效。</w:t>
      </w:r>
    </w:p>
    <w:p>
      <w:pPr>
        <w:spacing w:before="125"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发包人在工程款中逐期扣回预付款后，预付款担保额度应相应减少，但剩余</w:t>
      </w:r>
      <w:r>
        <w:rPr>
          <w:rFonts w:ascii="宋体" w:hAnsi="宋体" w:eastAsia="宋体" w:cs="宋体"/>
          <w:color w:val="auto"/>
          <w:spacing w:val="-1"/>
          <w:position w:val="14"/>
          <w:sz w:val="21"/>
          <w:szCs w:val="21"/>
          <w:highlight w:val="none"/>
        </w:rPr>
        <w:t>的预付款担保金</w:t>
      </w:r>
    </w:p>
    <w:p>
      <w:pPr>
        <w:spacing w:line="220" w:lineRule="auto"/>
        <w:ind w:left="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额不得低于未被扣回的预付款金额。</w:t>
      </w:r>
    </w:p>
    <w:p>
      <w:pPr>
        <w:spacing w:before="125" w:line="222" w:lineRule="auto"/>
        <w:ind w:left="9"/>
        <w:outlineLvl w:val="6"/>
        <w:rPr>
          <w:rFonts w:ascii="黑体" w:hAnsi="黑体" w:eastAsia="黑体" w:cs="黑体"/>
          <w:color w:val="auto"/>
          <w:sz w:val="24"/>
          <w:szCs w:val="24"/>
          <w:highlight w:val="none"/>
        </w:rPr>
      </w:pPr>
      <w:bookmarkStart w:id="234" w:name="bookmark273"/>
      <w:bookmarkEnd w:id="234"/>
      <w:bookmarkStart w:id="235" w:name="bookmark277"/>
      <w:bookmarkEnd w:id="235"/>
      <w:bookmarkStart w:id="236" w:name="bookmark274"/>
      <w:bookmarkEnd w:id="236"/>
      <w:bookmarkStart w:id="237" w:name="bookmark276"/>
      <w:bookmarkEnd w:id="237"/>
      <w:bookmarkStart w:id="238" w:name="bookmark279"/>
      <w:bookmarkEnd w:id="238"/>
      <w:bookmarkStart w:id="239" w:name="bookmark278"/>
      <w:bookmarkEnd w:id="239"/>
      <w:bookmarkStart w:id="240" w:name="bookmark275"/>
      <w:bookmarkEnd w:id="240"/>
      <w:r>
        <w:rPr>
          <w:rFonts w:ascii="Times New Roman" w:hAnsi="Times New Roman" w:eastAsia="Times New Roman" w:cs="Times New Roman"/>
          <w:b/>
          <w:bCs/>
          <w:color w:val="auto"/>
          <w:spacing w:val="-4"/>
          <w:sz w:val="24"/>
          <w:szCs w:val="24"/>
          <w:highlight w:val="none"/>
        </w:rPr>
        <w:t>12.3</w:t>
      </w:r>
      <w:r>
        <w:rPr>
          <w:rFonts w:ascii="Times New Roman" w:hAnsi="Times New Roman" w:eastAsia="Times New Roman" w:cs="Times New Roman"/>
          <w:b/>
          <w:bCs/>
          <w:color w:val="auto"/>
          <w:spacing w:val="13"/>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计量</w:t>
      </w:r>
    </w:p>
    <w:p>
      <w:pPr>
        <w:spacing w:before="134"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12.3.1  </w:t>
      </w:r>
      <w:r>
        <w:rPr>
          <w:rFonts w:ascii="宋体" w:hAnsi="宋体" w:eastAsia="宋体" w:cs="宋体"/>
          <w:color w:val="auto"/>
          <w:spacing w:val="-2"/>
          <w:sz w:val="21"/>
          <w:szCs w:val="21"/>
          <w:highlight w:val="none"/>
        </w:rPr>
        <w:t>计量原则</w:t>
      </w:r>
    </w:p>
    <w:p>
      <w:pPr>
        <w:spacing w:before="149" w:line="400"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工程量计量按照合同约定的工程量计算规则、图纸及变更指示等进行计量。工</w:t>
      </w:r>
      <w:r>
        <w:rPr>
          <w:rFonts w:ascii="宋体" w:hAnsi="宋体" w:eastAsia="宋体" w:cs="宋体"/>
          <w:color w:val="auto"/>
          <w:spacing w:val="-1"/>
          <w:position w:val="14"/>
          <w:sz w:val="21"/>
          <w:szCs w:val="21"/>
          <w:highlight w:val="none"/>
        </w:rPr>
        <w:t>程量计算规则</w:t>
      </w:r>
    </w:p>
    <w:p>
      <w:pPr>
        <w:spacing w:before="1" w:line="219"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应以相关的国家标准、行业标准等为依据，由合同当事人在专用合同条款中约定。</w:t>
      </w:r>
    </w:p>
    <w:p>
      <w:pPr>
        <w:spacing w:before="149"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12.3.2  </w:t>
      </w:r>
      <w:r>
        <w:rPr>
          <w:rFonts w:ascii="宋体" w:hAnsi="宋体" w:eastAsia="宋体" w:cs="宋体"/>
          <w:color w:val="auto"/>
          <w:spacing w:val="-2"/>
          <w:sz w:val="21"/>
          <w:szCs w:val="21"/>
          <w:highlight w:val="none"/>
        </w:rPr>
        <w:t>计量周期</w:t>
      </w:r>
    </w:p>
    <w:p>
      <w:pPr>
        <w:spacing w:before="148" w:line="221" w:lineRule="auto"/>
        <w:ind w:left="4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除专用合同条款另有约定外，工程量的计量按月进行。</w:t>
      </w:r>
    </w:p>
    <w:p>
      <w:pPr>
        <w:spacing w:before="151" w:line="219"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12.3.3  </w:t>
      </w:r>
      <w:r>
        <w:rPr>
          <w:rFonts w:ascii="宋体" w:hAnsi="宋体" w:eastAsia="宋体" w:cs="宋体"/>
          <w:color w:val="auto"/>
          <w:spacing w:val="-2"/>
          <w:sz w:val="21"/>
          <w:szCs w:val="21"/>
          <w:highlight w:val="none"/>
        </w:rPr>
        <w:t>单价合同的计量</w:t>
      </w:r>
    </w:p>
    <w:p>
      <w:pPr>
        <w:spacing w:before="149" w:line="219" w:lineRule="auto"/>
        <w:ind w:left="4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除专用合同条款另有约定外，单价合同的计量按照本项约定执行：</w:t>
      </w:r>
    </w:p>
    <w:p>
      <w:pPr>
        <w:spacing w:before="152" w:line="401" w:lineRule="exact"/>
        <w:ind w:right="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1</w:t>
      </w:r>
      <w:r>
        <w:rPr>
          <w:rFonts w:ascii="宋体" w:hAnsi="宋体" w:eastAsia="宋体" w:cs="宋体"/>
          <w:color w:val="auto"/>
          <w:spacing w:val="-4"/>
          <w:position w:val="14"/>
          <w:sz w:val="21"/>
          <w:szCs w:val="21"/>
          <w:highlight w:val="none"/>
        </w:rPr>
        <w:t>）承包人应于每月</w:t>
      </w:r>
      <w:r>
        <w:rPr>
          <w:rFonts w:ascii="宋体" w:hAnsi="宋体" w:eastAsia="宋体" w:cs="宋体"/>
          <w:color w:val="auto"/>
          <w:spacing w:val="-48"/>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25</w:t>
      </w:r>
      <w:r>
        <w:rPr>
          <w:rFonts w:ascii="Times New Roman" w:hAnsi="Times New Roman" w:eastAsia="Times New Roman" w:cs="Times New Roman"/>
          <w:color w:val="auto"/>
          <w:spacing w:val="43"/>
          <w:position w:val="14"/>
          <w:sz w:val="21"/>
          <w:szCs w:val="21"/>
          <w:highlight w:val="none"/>
        </w:rPr>
        <w:t xml:space="preserve"> </w:t>
      </w:r>
      <w:r>
        <w:rPr>
          <w:rFonts w:ascii="宋体" w:hAnsi="宋体" w:eastAsia="宋体" w:cs="宋体"/>
          <w:color w:val="auto"/>
          <w:spacing w:val="-4"/>
          <w:position w:val="14"/>
          <w:sz w:val="21"/>
          <w:szCs w:val="21"/>
          <w:highlight w:val="none"/>
        </w:rPr>
        <w:t>日向监理人报送上月</w:t>
      </w:r>
      <w:r>
        <w:rPr>
          <w:rFonts w:ascii="宋体" w:hAnsi="宋体" w:eastAsia="宋体" w:cs="宋体"/>
          <w:color w:val="auto"/>
          <w:spacing w:val="-50"/>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20</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spacing w:val="-4"/>
          <w:position w:val="14"/>
          <w:sz w:val="21"/>
          <w:szCs w:val="21"/>
          <w:highlight w:val="none"/>
        </w:rPr>
        <w:t>日至当月</w:t>
      </w:r>
      <w:r>
        <w:rPr>
          <w:rFonts w:ascii="宋体" w:hAnsi="宋体" w:eastAsia="宋体" w:cs="宋体"/>
          <w:color w:val="auto"/>
          <w:spacing w:val="-28"/>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19</w:t>
      </w:r>
      <w:r>
        <w:rPr>
          <w:rFonts w:ascii="Times New Roman" w:hAnsi="Times New Roman" w:eastAsia="Times New Roman" w:cs="Times New Roman"/>
          <w:color w:val="auto"/>
          <w:spacing w:val="43"/>
          <w:position w:val="14"/>
          <w:sz w:val="21"/>
          <w:szCs w:val="21"/>
          <w:highlight w:val="none"/>
        </w:rPr>
        <w:t xml:space="preserve"> </w:t>
      </w:r>
      <w:r>
        <w:rPr>
          <w:rFonts w:ascii="宋体" w:hAnsi="宋体" w:eastAsia="宋体" w:cs="宋体"/>
          <w:color w:val="auto"/>
          <w:spacing w:val="-4"/>
          <w:position w:val="14"/>
          <w:sz w:val="21"/>
          <w:szCs w:val="21"/>
          <w:highlight w:val="none"/>
        </w:rPr>
        <w:t>日已完成的工程量报</w:t>
      </w:r>
      <w:r>
        <w:rPr>
          <w:rFonts w:ascii="宋体" w:hAnsi="宋体" w:eastAsia="宋体" w:cs="宋体"/>
          <w:color w:val="auto"/>
          <w:spacing w:val="-5"/>
          <w:position w:val="14"/>
          <w:sz w:val="21"/>
          <w:szCs w:val="21"/>
          <w:highlight w:val="none"/>
        </w:rPr>
        <w:t>告，并附</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具进度付款申请单、已完成工程量报表和有关资料。</w:t>
      </w:r>
    </w:p>
    <w:p>
      <w:pPr>
        <w:spacing w:before="147" w:line="352" w:lineRule="auto"/>
        <w:ind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）监理人应在收到承包人提交的工程量报告后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天内完成对</w:t>
      </w:r>
      <w:r>
        <w:rPr>
          <w:rFonts w:ascii="宋体" w:hAnsi="宋体" w:eastAsia="宋体" w:cs="宋体"/>
          <w:color w:val="auto"/>
          <w:spacing w:val="-1"/>
          <w:sz w:val="21"/>
          <w:szCs w:val="21"/>
          <w:highlight w:val="none"/>
        </w:rPr>
        <w:t>承包人提交的工程量报表的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审核并报送发包人， 以确定当月实际完成的工程</w:t>
      </w:r>
      <w:r>
        <w:rPr>
          <w:rFonts w:ascii="宋体" w:hAnsi="宋体" w:eastAsia="宋体" w:cs="宋体"/>
          <w:color w:val="auto"/>
          <w:spacing w:val="-3"/>
          <w:sz w:val="21"/>
          <w:szCs w:val="21"/>
          <w:highlight w:val="none"/>
        </w:rPr>
        <w:t>量。监理人对工程量有异议的，有权要求承包人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进行共同复核或抽样复测。承包人应协助监理人进</w:t>
      </w:r>
      <w:r>
        <w:rPr>
          <w:rFonts w:ascii="宋体" w:hAnsi="宋体" w:eastAsia="宋体" w:cs="宋体"/>
          <w:color w:val="auto"/>
          <w:spacing w:val="-3"/>
          <w:sz w:val="21"/>
          <w:szCs w:val="21"/>
          <w:highlight w:val="none"/>
        </w:rPr>
        <w:t>行复核或抽样复测， 并按监理人要求提供补充</w:t>
      </w:r>
      <w:r>
        <w:rPr>
          <w:rFonts w:ascii="宋体" w:hAnsi="宋体" w:eastAsia="宋体" w:cs="宋体"/>
          <w:color w:val="auto"/>
          <w:sz w:val="21"/>
          <w:szCs w:val="21"/>
          <w:highlight w:val="none"/>
        </w:rPr>
        <w:t xml:space="preserve"> 计量资料。承包人未按监理人要求参加复核或抽样复测的，监理人复核或修正的工程量视为</w:t>
      </w:r>
      <w:r>
        <w:rPr>
          <w:rFonts w:ascii="宋体" w:hAnsi="宋体" w:eastAsia="宋体" w:cs="宋体"/>
          <w:color w:val="auto"/>
          <w:spacing w:val="-1"/>
          <w:sz w:val="21"/>
          <w:szCs w:val="21"/>
          <w:highlight w:val="none"/>
        </w:rPr>
        <w:t>承包</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人实际完成的工程量。</w:t>
      </w:r>
    </w:p>
    <w:p>
      <w:pPr>
        <w:spacing w:before="150"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 xml:space="preserve">）监理人未在收到承包人提交的工程量报表后的 </w:t>
      </w:r>
      <w:r>
        <w:rPr>
          <w:rFonts w:ascii="Times New Roman" w:hAnsi="Times New Roman" w:eastAsia="Times New Roman" w:cs="Times New Roman"/>
          <w:color w:val="auto"/>
          <w:spacing w:val="-2"/>
          <w:position w:val="14"/>
          <w:sz w:val="21"/>
          <w:szCs w:val="21"/>
          <w:highlight w:val="none"/>
        </w:rPr>
        <w:t xml:space="preserve">7  </w:t>
      </w:r>
      <w:r>
        <w:rPr>
          <w:rFonts w:ascii="宋体" w:hAnsi="宋体" w:eastAsia="宋体" w:cs="宋体"/>
          <w:color w:val="auto"/>
          <w:spacing w:val="-2"/>
          <w:position w:val="14"/>
          <w:sz w:val="21"/>
          <w:szCs w:val="21"/>
          <w:highlight w:val="none"/>
        </w:rPr>
        <w:t>天内完成审核的，</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2"/>
          <w:position w:val="14"/>
          <w:sz w:val="21"/>
          <w:szCs w:val="21"/>
          <w:highlight w:val="none"/>
        </w:rPr>
        <w:t>承</w:t>
      </w:r>
      <w:r>
        <w:rPr>
          <w:rFonts w:ascii="宋体" w:hAnsi="宋体" w:eastAsia="宋体" w:cs="宋体"/>
          <w:color w:val="auto"/>
          <w:spacing w:val="-3"/>
          <w:position w:val="14"/>
          <w:sz w:val="21"/>
          <w:szCs w:val="21"/>
          <w:highlight w:val="none"/>
        </w:rPr>
        <w:t>包人报送的工程</w:t>
      </w:r>
    </w:p>
    <w:p>
      <w:pPr>
        <w:spacing w:before="1" w:line="219"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量报告中的工程量视为承包人实际完成的工程量，</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据此</w:t>
      </w:r>
      <w:r>
        <w:rPr>
          <w:rFonts w:ascii="宋体" w:hAnsi="宋体" w:eastAsia="宋体" w:cs="宋体"/>
          <w:color w:val="auto"/>
          <w:spacing w:val="-4"/>
          <w:sz w:val="21"/>
          <w:szCs w:val="21"/>
          <w:highlight w:val="none"/>
        </w:rPr>
        <w:t>计算工程价款。</w:t>
      </w:r>
    </w:p>
    <w:p>
      <w:pPr>
        <w:spacing w:before="151" w:line="219"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12.3.4  </w:t>
      </w:r>
      <w:r>
        <w:rPr>
          <w:rFonts w:ascii="宋体" w:hAnsi="宋体" w:eastAsia="宋体" w:cs="宋体"/>
          <w:color w:val="auto"/>
          <w:spacing w:val="-2"/>
          <w:sz w:val="21"/>
          <w:szCs w:val="21"/>
          <w:highlight w:val="none"/>
        </w:rPr>
        <w:t>总价合同的计量</w:t>
      </w:r>
    </w:p>
    <w:p>
      <w:pPr>
        <w:spacing w:before="152" w:line="219" w:lineRule="auto"/>
        <w:ind w:left="43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除专用合同条款另有约定外，按月计量支付的</w:t>
      </w:r>
      <w:r>
        <w:rPr>
          <w:rFonts w:ascii="宋体" w:hAnsi="宋体" w:eastAsia="宋体" w:cs="宋体"/>
          <w:color w:val="auto"/>
          <w:spacing w:val="-4"/>
          <w:sz w:val="21"/>
          <w:szCs w:val="21"/>
          <w:highlight w:val="none"/>
        </w:rPr>
        <w:t>总价合同， 按照本项约定执行：</w:t>
      </w:r>
    </w:p>
    <w:p>
      <w:pPr>
        <w:spacing w:before="149" w:line="401" w:lineRule="exact"/>
        <w:ind w:right="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1</w:t>
      </w:r>
      <w:r>
        <w:rPr>
          <w:rFonts w:ascii="宋体" w:hAnsi="宋体" w:eastAsia="宋体" w:cs="宋体"/>
          <w:color w:val="auto"/>
          <w:spacing w:val="-4"/>
          <w:position w:val="14"/>
          <w:sz w:val="21"/>
          <w:szCs w:val="21"/>
          <w:highlight w:val="none"/>
        </w:rPr>
        <w:t>）承包人应于每月</w:t>
      </w:r>
      <w:r>
        <w:rPr>
          <w:rFonts w:ascii="宋体" w:hAnsi="宋体" w:eastAsia="宋体" w:cs="宋体"/>
          <w:color w:val="auto"/>
          <w:spacing w:val="-48"/>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25</w:t>
      </w:r>
      <w:r>
        <w:rPr>
          <w:rFonts w:ascii="Times New Roman" w:hAnsi="Times New Roman" w:eastAsia="Times New Roman" w:cs="Times New Roman"/>
          <w:color w:val="auto"/>
          <w:spacing w:val="43"/>
          <w:position w:val="14"/>
          <w:sz w:val="21"/>
          <w:szCs w:val="21"/>
          <w:highlight w:val="none"/>
        </w:rPr>
        <w:t xml:space="preserve"> </w:t>
      </w:r>
      <w:r>
        <w:rPr>
          <w:rFonts w:ascii="宋体" w:hAnsi="宋体" w:eastAsia="宋体" w:cs="宋体"/>
          <w:color w:val="auto"/>
          <w:spacing w:val="-4"/>
          <w:position w:val="14"/>
          <w:sz w:val="21"/>
          <w:szCs w:val="21"/>
          <w:highlight w:val="none"/>
        </w:rPr>
        <w:t>日向监理人报送上月</w:t>
      </w:r>
      <w:r>
        <w:rPr>
          <w:rFonts w:ascii="宋体" w:hAnsi="宋体" w:eastAsia="宋体" w:cs="宋体"/>
          <w:color w:val="auto"/>
          <w:spacing w:val="-50"/>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20</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spacing w:val="-4"/>
          <w:position w:val="14"/>
          <w:sz w:val="21"/>
          <w:szCs w:val="21"/>
          <w:highlight w:val="none"/>
        </w:rPr>
        <w:t>日至当月</w:t>
      </w:r>
      <w:r>
        <w:rPr>
          <w:rFonts w:ascii="宋体" w:hAnsi="宋体" w:eastAsia="宋体" w:cs="宋体"/>
          <w:color w:val="auto"/>
          <w:spacing w:val="-28"/>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19</w:t>
      </w:r>
      <w:r>
        <w:rPr>
          <w:rFonts w:ascii="Times New Roman" w:hAnsi="Times New Roman" w:eastAsia="Times New Roman" w:cs="Times New Roman"/>
          <w:color w:val="auto"/>
          <w:spacing w:val="43"/>
          <w:position w:val="14"/>
          <w:sz w:val="21"/>
          <w:szCs w:val="21"/>
          <w:highlight w:val="none"/>
        </w:rPr>
        <w:t xml:space="preserve"> </w:t>
      </w:r>
      <w:r>
        <w:rPr>
          <w:rFonts w:ascii="宋体" w:hAnsi="宋体" w:eastAsia="宋体" w:cs="宋体"/>
          <w:color w:val="auto"/>
          <w:spacing w:val="-4"/>
          <w:position w:val="14"/>
          <w:sz w:val="21"/>
          <w:szCs w:val="21"/>
          <w:highlight w:val="none"/>
        </w:rPr>
        <w:t>日已完成的工程量报</w:t>
      </w:r>
      <w:r>
        <w:rPr>
          <w:rFonts w:ascii="宋体" w:hAnsi="宋体" w:eastAsia="宋体" w:cs="宋体"/>
          <w:color w:val="auto"/>
          <w:spacing w:val="-5"/>
          <w:position w:val="14"/>
          <w:sz w:val="21"/>
          <w:szCs w:val="21"/>
          <w:highlight w:val="none"/>
        </w:rPr>
        <w:t>告，并附</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具进度付款申请单、已完成工程量报表和有关资料。</w:t>
      </w:r>
    </w:p>
    <w:p>
      <w:pPr>
        <w:spacing w:before="152" w:line="351" w:lineRule="auto"/>
        <w:ind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）监理人应在收到承包人提交的工程量报告后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天内完成对</w:t>
      </w:r>
      <w:r>
        <w:rPr>
          <w:rFonts w:ascii="宋体" w:hAnsi="宋体" w:eastAsia="宋体" w:cs="宋体"/>
          <w:color w:val="auto"/>
          <w:spacing w:val="-1"/>
          <w:sz w:val="21"/>
          <w:szCs w:val="21"/>
          <w:highlight w:val="none"/>
        </w:rPr>
        <w:t>承包人提交的工程量报表的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审核并报送发包人， 以确定当月实际完成的工程</w:t>
      </w:r>
      <w:r>
        <w:rPr>
          <w:rFonts w:ascii="宋体" w:hAnsi="宋体" w:eastAsia="宋体" w:cs="宋体"/>
          <w:color w:val="auto"/>
          <w:spacing w:val="-3"/>
          <w:sz w:val="21"/>
          <w:szCs w:val="21"/>
          <w:highlight w:val="none"/>
        </w:rPr>
        <w:t>量。监理人对工程量有异议的，有权要求承包人</w:t>
      </w:r>
      <w:r>
        <w:rPr>
          <w:rFonts w:ascii="宋体" w:hAnsi="宋体" w:eastAsia="宋体" w:cs="宋体"/>
          <w:color w:val="auto"/>
          <w:sz w:val="21"/>
          <w:szCs w:val="21"/>
          <w:highlight w:val="none"/>
        </w:rPr>
        <w:t xml:space="preserve"> 进行共同复核或抽样复测。承包人应协助监理人进行复核或抽样复测并按监理人要求提供补</w:t>
      </w:r>
      <w:r>
        <w:rPr>
          <w:rFonts w:ascii="宋体" w:hAnsi="宋体" w:eastAsia="宋体" w:cs="宋体"/>
          <w:color w:val="auto"/>
          <w:spacing w:val="-1"/>
          <w:sz w:val="21"/>
          <w:szCs w:val="21"/>
          <w:highlight w:val="none"/>
        </w:rPr>
        <w:t>充计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量资料。承包人未按监理人要求参加复核或抽样复</w:t>
      </w:r>
      <w:r>
        <w:rPr>
          <w:rFonts w:ascii="宋体" w:hAnsi="宋体" w:eastAsia="宋体" w:cs="宋体"/>
          <w:color w:val="auto"/>
          <w:spacing w:val="-3"/>
          <w:sz w:val="21"/>
          <w:szCs w:val="21"/>
          <w:highlight w:val="none"/>
        </w:rPr>
        <w:t>测的， 监理人审核或修正的工程量视为承包人实际完成的工程量。</w:t>
      </w:r>
    </w:p>
    <w:p>
      <w:pPr>
        <w:spacing w:before="150" w:line="401" w:lineRule="exact"/>
        <w:ind w:right="1"/>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 xml:space="preserve">）监理人未在收到承包人提交的工程量报表后的 </w:t>
      </w:r>
      <w:r>
        <w:rPr>
          <w:rFonts w:ascii="Times New Roman" w:hAnsi="Times New Roman" w:eastAsia="Times New Roman" w:cs="Times New Roman"/>
          <w:color w:val="auto"/>
          <w:spacing w:val="-2"/>
          <w:position w:val="14"/>
          <w:sz w:val="21"/>
          <w:szCs w:val="21"/>
          <w:highlight w:val="none"/>
        </w:rPr>
        <w:t xml:space="preserve">7  </w:t>
      </w:r>
      <w:r>
        <w:rPr>
          <w:rFonts w:ascii="宋体" w:hAnsi="宋体" w:eastAsia="宋体" w:cs="宋体"/>
          <w:color w:val="auto"/>
          <w:spacing w:val="-2"/>
          <w:position w:val="14"/>
          <w:sz w:val="21"/>
          <w:szCs w:val="21"/>
          <w:highlight w:val="none"/>
        </w:rPr>
        <w:t>天内完成复核的，</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2"/>
          <w:position w:val="14"/>
          <w:sz w:val="21"/>
          <w:szCs w:val="21"/>
          <w:highlight w:val="none"/>
        </w:rPr>
        <w:t>承</w:t>
      </w:r>
      <w:r>
        <w:rPr>
          <w:rFonts w:ascii="宋体" w:hAnsi="宋体" w:eastAsia="宋体" w:cs="宋体"/>
          <w:color w:val="auto"/>
          <w:spacing w:val="-3"/>
          <w:position w:val="14"/>
          <w:sz w:val="21"/>
          <w:szCs w:val="21"/>
          <w:highlight w:val="none"/>
        </w:rPr>
        <w:t>包人提交的工程</w:t>
      </w:r>
    </w:p>
    <w:p>
      <w:pPr>
        <w:spacing w:line="219"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量报告中的工程量视为承包人实际完成的工程量。</w:t>
      </w:r>
    </w:p>
    <w:p>
      <w:pPr>
        <w:spacing w:before="149" w:line="401"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12.3.5  </w:t>
      </w:r>
      <w:r>
        <w:rPr>
          <w:rFonts w:ascii="宋体" w:hAnsi="宋体" w:eastAsia="宋体" w:cs="宋体"/>
          <w:color w:val="auto"/>
          <w:spacing w:val="-2"/>
          <w:position w:val="14"/>
          <w:sz w:val="21"/>
          <w:szCs w:val="21"/>
          <w:highlight w:val="none"/>
        </w:rPr>
        <w:t>总价合同采用支付分解表计</w:t>
      </w:r>
      <w:r>
        <w:rPr>
          <w:rFonts w:ascii="宋体" w:hAnsi="宋体" w:eastAsia="宋体" w:cs="宋体"/>
          <w:color w:val="auto"/>
          <w:spacing w:val="-3"/>
          <w:position w:val="14"/>
          <w:sz w:val="21"/>
          <w:szCs w:val="21"/>
          <w:highlight w:val="none"/>
        </w:rPr>
        <w:t>量支付的，</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3"/>
          <w:position w:val="14"/>
          <w:sz w:val="21"/>
          <w:szCs w:val="21"/>
          <w:highlight w:val="none"/>
        </w:rPr>
        <w:t>可以按照第</w:t>
      </w:r>
      <w:r>
        <w:rPr>
          <w:rFonts w:ascii="宋体" w:hAnsi="宋体" w:eastAsia="宋体" w:cs="宋体"/>
          <w:color w:val="auto"/>
          <w:spacing w:val="-29"/>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12.3.4 </w:t>
      </w:r>
      <w:r>
        <w:rPr>
          <w:rFonts w:ascii="宋体" w:hAnsi="宋体" w:eastAsia="宋体" w:cs="宋体"/>
          <w:color w:val="auto"/>
          <w:spacing w:val="-3"/>
          <w:position w:val="14"/>
          <w:sz w:val="21"/>
          <w:szCs w:val="21"/>
          <w:highlight w:val="none"/>
        </w:rPr>
        <w:t>项〔总价合同的计量〕约定</w:t>
      </w:r>
    </w:p>
    <w:p>
      <w:pPr>
        <w:spacing w:line="219"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进行计量，</w:t>
      </w:r>
      <w:r>
        <w:rPr>
          <w:rFonts w:ascii="宋体" w:hAnsi="宋体" w:eastAsia="宋体" w:cs="宋体"/>
          <w:color w:val="auto"/>
          <w:spacing w:val="-13"/>
          <w:sz w:val="21"/>
          <w:szCs w:val="21"/>
          <w:highlight w:val="none"/>
        </w:rPr>
        <w:t xml:space="preserve"> </w:t>
      </w:r>
      <w:r>
        <w:rPr>
          <w:rFonts w:ascii="宋体" w:hAnsi="宋体" w:eastAsia="宋体" w:cs="宋体"/>
          <w:color w:val="auto"/>
          <w:spacing w:val="-5"/>
          <w:sz w:val="21"/>
          <w:szCs w:val="21"/>
          <w:highlight w:val="none"/>
        </w:rPr>
        <w:t>但合同价款按照支付分解表进行支付。</w:t>
      </w:r>
    </w:p>
    <w:p>
      <w:pPr>
        <w:spacing w:before="152" w:line="219"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12.3.6  </w:t>
      </w:r>
      <w:r>
        <w:rPr>
          <w:rFonts w:ascii="宋体" w:hAnsi="宋体" w:eastAsia="宋体" w:cs="宋体"/>
          <w:color w:val="auto"/>
          <w:spacing w:val="-2"/>
          <w:sz w:val="21"/>
          <w:szCs w:val="21"/>
          <w:highlight w:val="none"/>
        </w:rPr>
        <w:t>其他价格形式合同的计量</w:t>
      </w:r>
    </w:p>
    <w:p>
      <w:pPr>
        <w:spacing w:before="149" w:line="219"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合同当事人可在专用合同条款中约定其他价格形式合同的计量方式和程序。</w:t>
      </w:r>
    </w:p>
    <w:p>
      <w:pPr>
        <w:spacing w:before="100" w:line="219" w:lineRule="auto"/>
        <w:ind w:left="8"/>
        <w:outlineLvl w:val="6"/>
        <w:rPr>
          <w:rFonts w:ascii="黑体" w:hAnsi="黑体" w:eastAsia="黑体" w:cs="黑体"/>
          <w:color w:val="auto"/>
          <w:sz w:val="24"/>
          <w:szCs w:val="24"/>
          <w:highlight w:val="none"/>
        </w:rPr>
      </w:pPr>
      <w:bookmarkStart w:id="241" w:name="bookmark281"/>
      <w:bookmarkEnd w:id="241"/>
      <w:bookmarkStart w:id="242" w:name="bookmark280"/>
      <w:bookmarkEnd w:id="242"/>
      <w:r>
        <w:rPr>
          <w:rFonts w:ascii="Times New Roman" w:hAnsi="Times New Roman" w:eastAsia="Times New Roman" w:cs="Times New Roman"/>
          <w:b/>
          <w:bCs/>
          <w:color w:val="auto"/>
          <w:spacing w:val="-1"/>
          <w:sz w:val="24"/>
          <w:szCs w:val="24"/>
          <w:highlight w:val="none"/>
        </w:rPr>
        <w:t xml:space="preserve">12.4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工程进度款支付</w:t>
      </w:r>
    </w:p>
    <w:p>
      <w:pPr>
        <w:spacing w:before="140"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12.4.1  </w:t>
      </w:r>
      <w:r>
        <w:rPr>
          <w:rFonts w:ascii="宋体" w:hAnsi="宋体" w:eastAsia="宋体" w:cs="宋体"/>
          <w:color w:val="auto"/>
          <w:spacing w:val="-2"/>
          <w:sz w:val="21"/>
          <w:szCs w:val="21"/>
          <w:highlight w:val="none"/>
        </w:rPr>
        <w:t>付款周期</w:t>
      </w:r>
    </w:p>
    <w:p>
      <w:pPr>
        <w:spacing w:before="149" w:line="399" w:lineRule="exact"/>
        <w:ind w:left="433"/>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除专用合同条款另有约定外，付款周期应按照第 12.3.2 项〔计量周期〕的约定与计量周期保持一致。</w:t>
      </w:r>
    </w:p>
    <w:p>
      <w:pPr>
        <w:spacing w:before="149"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12.4.2  </w:t>
      </w:r>
      <w:r>
        <w:rPr>
          <w:rFonts w:ascii="宋体" w:hAnsi="宋体" w:eastAsia="宋体" w:cs="宋体"/>
          <w:color w:val="auto"/>
          <w:spacing w:val="-2"/>
          <w:sz w:val="21"/>
          <w:szCs w:val="21"/>
          <w:highlight w:val="none"/>
        </w:rPr>
        <w:t>进度付款申请单的编制</w:t>
      </w:r>
    </w:p>
    <w:p>
      <w:pPr>
        <w:spacing w:before="149" w:line="221" w:lineRule="auto"/>
        <w:ind w:left="4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除专用合同条款另有约定外，进度付款申请单应包括下列内容：</w:t>
      </w:r>
    </w:p>
    <w:p>
      <w:pPr>
        <w:spacing w:before="148"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）截至本次付款周期已完成工作对应的金额；</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）根据第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10 </w:t>
      </w:r>
      <w:r>
        <w:rPr>
          <w:rFonts w:ascii="宋体" w:hAnsi="宋体" w:eastAsia="宋体" w:cs="宋体"/>
          <w:color w:val="auto"/>
          <w:spacing w:val="-3"/>
          <w:sz w:val="21"/>
          <w:szCs w:val="21"/>
          <w:highlight w:val="none"/>
        </w:rPr>
        <w:t>条〔变更〕应增加和扣减的变更金额；</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）根据第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12.2 </w:t>
      </w:r>
      <w:r>
        <w:rPr>
          <w:rFonts w:ascii="宋体" w:hAnsi="宋体" w:eastAsia="宋体" w:cs="宋体"/>
          <w:color w:val="auto"/>
          <w:spacing w:val="-2"/>
          <w:sz w:val="21"/>
          <w:szCs w:val="21"/>
          <w:highlight w:val="none"/>
        </w:rPr>
        <w:t>款〔预付款〕约定应支付的预付款和扣减的返还预付款；</w:t>
      </w:r>
    </w:p>
    <w:p>
      <w:pPr>
        <w:spacing w:before="147"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）根据第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15.3 </w:t>
      </w:r>
      <w:r>
        <w:rPr>
          <w:rFonts w:ascii="宋体" w:hAnsi="宋体" w:eastAsia="宋体" w:cs="宋体"/>
          <w:color w:val="auto"/>
          <w:spacing w:val="-1"/>
          <w:sz w:val="21"/>
          <w:szCs w:val="21"/>
          <w:highlight w:val="none"/>
        </w:rPr>
        <w:t>款〔质量保证金〕约定应扣减的质量保</w:t>
      </w:r>
      <w:r>
        <w:rPr>
          <w:rFonts w:ascii="宋体" w:hAnsi="宋体" w:eastAsia="宋体" w:cs="宋体"/>
          <w:color w:val="auto"/>
          <w:spacing w:val="-2"/>
          <w:sz w:val="21"/>
          <w:szCs w:val="21"/>
          <w:highlight w:val="none"/>
        </w:rPr>
        <w:t>证金；</w:t>
      </w:r>
    </w:p>
    <w:p>
      <w:pPr>
        <w:spacing w:before="149" w:line="221"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）根据第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19 </w:t>
      </w:r>
      <w:r>
        <w:rPr>
          <w:rFonts w:ascii="宋体" w:hAnsi="宋体" w:eastAsia="宋体" w:cs="宋体"/>
          <w:color w:val="auto"/>
          <w:spacing w:val="-3"/>
          <w:sz w:val="21"/>
          <w:szCs w:val="21"/>
          <w:highlight w:val="none"/>
        </w:rPr>
        <w:t>条〔索赔〕应增加和扣减的索赔金额；</w:t>
      </w:r>
    </w:p>
    <w:p>
      <w:pPr>
        <w:spacing w:before="150" w:line="398" w:lineRule="exact"/>
        <w:ind w:left="42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）对已签发的进度款支付证书中出现错</w:t>
      </w:r>
      <w:r>
        <w:rPr>
          <w:rFonts w:ascii="宋体" w:hAnsi="宋体" w:eastAsia="宋体" w:cs="宋体"/>
          <w:color w:val="auto"/>
          <w:spacing w:val="-1"/>
          <w:position w:val="14"/>
          <w:sz w:val="21"/>
          <w:szCs w:val="21"/>
          <w:highlight w:val="none"/>
        </w:rPr>
        <w:t>误的修正， 应在本次进度付款中支付或扣除的金</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额；</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）根据合同约定应增加和扣减的其他金额。</w:t>
      </w:r>
    </w:p>
    <w:p>
      <w:pPr>
        <w:spacing w:before="149"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12.4.3  </w:t>
      </w:r>
      <w:r>
        <w:rPr>
          <w:rFonts w:ascii="宋体" w:hAnsi="宋体" w:eastAsia="宋体" w:cs="宋体"/>
          <w:color w:val="auto"/>
          <w:spacing w:val="-2"/>
          <w:sz w:val="21"/>
          <w:szCs w:val="21"/>
          <w:highlight w:val="none"/>
        </w:rPr>
        <w:t>进度付款申请单的提交</w:t>
      </w:r>
    </w:p>
    <w:p>
      <w:pPr>
        <w:spacing w:before="148"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）单价合同进度付款申请单的提交</w:t>
      </w:r>
    </w:p>
    <w:p>
      <w:pPr>
        <w:spacing w:before="152" w:line="351" w:lineRule="auto"/>
        <w:ind w:left="1" w:right="177"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单价合同的进度付款申请单，按照第</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12.3.3 </w:t>
      </w:r>
      <w:r>
        <w:rPr>
          <w:rFonts w:ascii="宋体" w:hAnsi="宋体" w:eastAsia="宋体" w:cs="宋体"/>
          <w:color w:val="auto"/>
          <w:spacing w:val="-1"/>
          <w:sz w:val="21"/>
          <w:szCs w:val="21"/>
          <w:highlight w:val="none"/>
        </w:rPr>
        <w:t>项〔单价合同的计量〕约定的时间按月向监理人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提交，并附上已完成工程量报表和有关资料</w:t>
      </w:r>
      <w:r>
        <w:rPr>
          <w:rFonts w:ascii="宋体" w:hAnsi="宋体" w:eastAsia="宋体" w:cs="宋体"/>
          <w:color w:val="auto"/>
          <w:spacing w:val="-3"/>
          <w:sz w:val="21"/>
          <w:szCs w:val="21"/>
          <w:highlight w:val="none"/>
        </w:rPr>
        <w:t>。单价合同中的总价项目按月进行支付分解，并汇总</w:t>
      </w:r>
      <w:r>
        <w:rPr>
          <w:rFonts w:ascii="宋体" w:hAnsi="宋体" w:eastAsia="宋体" w:cs="宋体"/>
          <w:color w:val="auto"/>
          <w:spacing w:val="-1"/>
          <w:sz w:val="21"/>
          <w:szCs w:val="21"/>
          <w:highlight w:val="none"/>
        </w:rPr>
        <w:t>列入当期进度付款申请单。</w:t>
      </w:r>
    </w:p>
    <w:p>
      <w:pPr>
        <w:spacing w:before="150"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）总价合同进度付款申请单的提交</w:t>
      </w:r>
    </w:p>
    <w:p>
      <w:pPr>
        <w:spacing w:before="151" w:line="399" w:lineRule="exact"/>
        <w:ind w:left="426"/>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总价合同按月计量支付的，承包人按照第 12.3.4 项〔总价合同的计量〕约定的时间按月向监理人提交进度付款申请单，并附上已完成工程量报表和有关资料。</w:t>
      </w:r>
    </w:p>
    <w:p>
      <w:pPr>
        <w:spacing w:before="151" w:line="400" w:lineRule="exact"/>
        <w:ind w:left="6" w:leftChars="0" w:firstLine="418" w:firstLineChars="207"/>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总价合同按支付分解表支付的， 承包人应按照第 12.4.6 项〔支付分解表〕及第 12.4.2 项〔进度付款申请单的编制〕的约定向监理人提交进度付款申请单。</w:t>
      </w:r>
    </w:p>
    <w:p>
      <w:pPr>
        <w:spacing w:before="151" w:line="240" w:lineRule="auto"/>
        <w:ind w:left="6" w:leftChars="0" w:firstLine="418" w:firstLineChars="207"/>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（3）其他价格形式合同的进度付款申请单的提交</w:t>
      </w:r>
    </w:p>
    <w:p>
      <w:pPr>
        <w:spacing w:before="151" w:line="240" w:lineRule="auto"/>
        <w:ind w:left="6" w:leftChars="0" w:firstLine="418" w:firstLineChars="207"/>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合同当事人可在专用合同条款中约定其他价格形式合同的进度付款申请单的编制和提交程序。</w:t>
      </w:r>
    </w:p>
    <w:p>
      <w:pPr>
        <w:spacing w:before="151" w:line="240" w:lineRule="auto"/>
        <w:ind w:left="6" w:leftChars="0" w:firstLine="418" w:firstLineChars="207"/>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12.4.4  进度款审核和支付</w:t>
      </w:r>
    </w:p>
    <w:p>
      <w:pPr>
        <w:spacing w:before="151" w:line="240" w:lineRule="auto"/>
        <w:ind w:left="6" w:leftChars="0" w:firstLine="418" w:firstLineChars="207"/>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（1）除专用合同条款另有约定外，监理人应在收到承包人进度付款申请单以及相关资料后 7 天内完成审查并报送发包人， 发包人应在收到后 7 天内完成审批并签发进度款支付证书。发包</w:t>
      </w:r>
    </w:p>
    <w:p>
      <w:pPr>
        <w:spacing w:before="151" w:line="240" w:lineRule="auto"/>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人逾期未完成审批且未提出异议的， 视为已签发进度款支付证书。</w:t>
      </w:r>
    </w:p>
    <w:p>
      <w:pPr>
        <w:spacing w:before="151" w:line="240" w:lineRule="auto"/>
        <w:ind w:left="6" w:leftChars="0" w:firstLine="418" w:firstLineChars="207"/>
        <w:rPr>
          <w:rFonts w:ascii="宋体" w:hAnsi="宋体" w:eastAsia="宋体" w:cs="宋体"/>
          <w:color w:val="auto"/>
          <w:spacing w:val="-4"/>
          <w:position w:val="14"/>
          <w:sz w:val="21"/>
          <w:szCs w:val="21"/>
          <w:highlight w:val="none"/>
        </w:rPr>
      </w:pPr>
      <w:r>
        <w:rPr>
          <w:rFonts w:ascii="宋体" w:hAnsi="宋体" w:eastAsia="宋体" w:cs="宋体"/>
          <w:color w:val="auto"/>
          <w:spacing w:val="-4"/>
          <w:position w:val="14"/>
          <w:sz w:val="21"/>
          <w:szCs w:val="21"/>
          <w:highlight w:val="none"/>
        </w:rPr>
        <w:t>发包人和监理人对承包人的进度付款申请单有异议的，有权要求承包人修正和提供补充资料， 承包人应提交修正后的进度付款申请单。监理人应在收到承包人修正后的进度付款申请单及相关资料后 7 天内完成审查并报送发包人，发包人应在收到监理人报送的进度付款申请单及相关资料后 7  天内，向承包人签发无异议部分的临时进度款支付证书。存在争议的部分，按照第 20  条〔争议解决〕的约定处理。</w:t>
      </w:r>
    </w:p>
    <w:p>
      <w:pPr>
        <w:spacing w:before="126" w:line="352" w:lineRule="auto"/>
        <w:ind w:left="2" w:right="194" w:firstLine="424"/>
        <w:jc w:val="both"/>
        <w:rPr>
          <w:rFonts w:ascii="宋体" w:hAnsi="宋体" w:eastAsia="宋体" w:cs="宋体"/>
          <w:color w:val="auto"/>
          <w:sz w:val="21"/>
          <w:szCs w:val="21"/>
          <w:highlight w:val="none"/>
        </w:rPr>
      </w:pPr>
      <w:bookmarkStart w:id="243" w:name="bookmark282"/>
      <w:bookmarkEnd w:id="243"/>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）除专用合同条款另有约定外，发包人应在进度款支付证书或临时进度款支付证书签发</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后</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天内完成支付，发包人逾期支付</w:t>
      </w:r>
      <w:r>
        <w:rPr>
          <w:rFonts w:ascii="宋体" w:hAnsi="宋体" w:eastAsia="宋体" w:cs="宋体"/>
          <w:color w:val="auto"/>
          <w:spacing w:val="-3"/>
          <w:sz w:val="21"/>
          <w:szCs w:val="21"/>
          <w:highlight w:val="none"/>
        </w:rPr>
        <w:t>进度款的，</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应按照中国人民银行发布的同期同类贷款基准</w:t>
      </w:r>
      <w:r>
        <w:rPr>
          <w:rFonts w:ascii="宋体" w:hAnsi="宋体" w:eastAsia="宋体" w:cs="宋体"/>
          <w:color w:val="auto"/>
          <w:spacing w:val="-1"/>
          <w:sz w:val="21"/>
          <w:szCs w:val="21"/>
          <w:highlight w:val="none"/>
        </w:rPr>
        <w:t>利率支付违约金。</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（3）发包人签发进度款支付证书或临时进度款支付证书，不表明发包人已同意、批准或接受了承包人完成的相应部分的工作。</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12.4.5  进度付款的修正</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12.4.6  支付分解表</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1.支付分解表的编制要求</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（1）支付分解表中所列的每期付款金额， 应为第 12.4.2 项〔进度付款申请单的编制〕第（1）目的估算金额；</w:t>
      </w:r>
    </w:p>
    <w:p>
      <w:pPr>
        <w:spacing w:before="126" w:line="240" w:lineRule="auto"/>
        <w:ind w:left="2" w:right="194" w:firstLine="424"/>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（2）实际进度与施工进度计划不一致的，合同当事人可按照第 4.4  款〔商定或确定〕修改支付分解表；</w:t>
      </w:r>
    </w:p>
    <w:p>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）不采用支付分解表的， 承包人应向发包人和监理人提交按季度编制的支付估算分解表，</w:t>
      </w:r>
    </w:p>
    <w:p>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用于支付参考。</w:t>
      </w:r>
    </w:p>
    <w:p>
      <w:pPr>
        <w:spacing w:before="150" w:line="219" w:lineRule="auto"/>
        <w:ind w:left="41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总价合同支付分解表的编制与审批</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 xml:space="preserve">）除专用合同条款另有约定外，承包人应根据第 </w:t>
      </w:r>
      <w:r>
        <w:rPr>
          <w:rFonts w:ascii="Times New Roman" w:hAnsi="Times New Roman" w:eastAsia="Times New Roman" w:cs="Times New Roman"/>
          <w:color w:val="auto"/>
          <w:spacing w:val="1"/>
          <w:sz w:val="21"/>
          <w:szCs w:val="21"/>
          <w:highlight w:val="none"/>
        </w:rPr>
        <w:t xml:space="preserve">7.2  </w:t>
      </w:r>
      <w:r>
        <w:rPr>
          <w:rFonts w:ascii="宋体" w:hAnsi="宋体" w:eastAsia="宋体" w:cs="宋体"/>
          <w:color w:val="auto"/>
          <w:spacing w:val="1"/>
          <w:sz w:val="21"/>
          <w:szCs w:val="21"/>
          <w:highlight w:val="none"/>
        </w:rPr>
        <w:t>款〔施工进度计划〕约定的施</w:t>
      </w:r>
      <w:r>
        <w:rPr>
          <w:rFonts w:ascii="宋体" w:hAnsi="宋体" w:eastAsia="宋体" w:cs="宋体"/>
          <w:color w:val="auto"/>
          <w:sz w:val="21"/>
          <w:szCs w:val="21"/>
          <w:highlight w:val="none"/>
        </w:rPr>
        <w:t>工进 度计划、签约合同价和工程量等因素对总价合同按月进行分解，编制支付分解表。承包人</w:t>
      </w:r>
      <w:r>
        <w:rPr>
          <w:rFonts w:ascii="宋体" w:hAnsi="宋体" w:eastAsia="宋体" w:cs="宋体"/>
          <w:color w:val="auto"/>
          <w:spacing w:val="-1"/>
          <w:sz w:val="21"/>
          <w:szCs w:val="21"/>
          <w:highlight w:val="none"/>
        </w:rPr>
        <w:t>应当在</w:t>
      </w:r>
      <w:r>
        <w:rPr>
          <w:rFonts w:ascii="宋体" w:hAnsi="宋体" w:eastAsia="宋体" w:cs="宋体"/>
          <w:color w:val="auto"/>
          <w:sz w:val="21"/>
          <w:szCs w:val="21"/>
          <w:highlight w:val="none"/>
        </w:rPr>
        <w:t xml:space="preserve"> 收到监理人和发包人批准的施工进度计划后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天内，将支付分解表及编</w:t>
      </w:r>
      <w:r>
        <w:rPr>
          <w:rFonts w:ascii="宋体" w:hAnsi="宋体" w:eastAsia="宋体" w:cs="宋体"/>
          <w:color w:val="auto"/>
          <w:spacing w:val="-1"/>
          <w:sz w:val="21"/>
          <w:szCs w:val="21"/>
          <w:highlight w:val="none"/>
        </w:rPr>
        <w:t>制支付分解表的支持性资</w:t>
      </w:r>
      <w:r>
        <w:rPr>
          <w:rFonts w:ascii="宋体" w:hAnsi="宋体" w:eastAsia="宋体" w:cs="宋体"/>
          <w:color w:val="auto"/>
          <w:spacing w:val="-3"/>
          <w:sz w:val="21"/>
          <w:szCs w:val="21"/>
          <w:highlight w:val="none"/>
        </w:rPr>
        <w:t>料报送监理人。</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（2）监理人应在收到支付分解表后 7  天内完成审核并报送发包人。发包人应在收到经监理人审核的支付分解表后 7 天内完成审批， 经发包人批准的支付分解表为有约束力的支付分解表。</w:t>
      </w:r>
    </w:p>
    <w:p>
      <w:pPr>
        <w:spacing w:before="150" w:line="399" w:lineRule="exact"/>
        <w:ind w:left="42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）发包人逾期未完成支付分解表审批的，也未及时要求承包人进行修正和提供补充资料</w:t>
      </w:r>
    </w:p>
    <w:p>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的，则承包人提交的支付分解表视为已经获得发包人批准。</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3.单价合同的总价项目支付分解表的编制与审批</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除专用合同条款另有约定外，单价合同的总价项目，由承包人根据施工进度计划和总价项目 的总价构成、费用性质、计划发生时间和相应工程量等因素按月进行分解， 形成支付分解表，其编制与审批参照总价合同支付分解表的编制与审批执行。</w:t>
      </w:r>
    </w:p>
    <w:p>
      <w:pPr>
        <w:spacing w:before="127" w:line="218"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12.5</w:t>
      </w:r>
      <w:r>
        <w:rPr>
          <w:rFonts w:ascii="Times New Roman" w:hAnsi="Times New Roman" w:eastAsia="Times New Roman" w:cs="Times New Roman"/>
          <w:b/>
          <w:bCs/>
          <w:color w:val="auto"/>
          <w:spacing w:val="1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支付账户</w:t>
      </w:r>
    </w:p>
    <w:p>
      <w:pPr>
        <w:spacing w:before="140" w:line="219" w:lineRule="auto"/>
        <w:ind w:left="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发包人应将合同价款支付至合同协议书中约定的承包人账户。</w:t>
      </w:r>
    </w:p>
    <w:p>
      <w:pPr>
        <w:spacing w:before="190" w:line="436" w:lineRule="exact"/>
        <w:ind w:left="11"/>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13.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验收和工程试车</w:t>
      </w:r>
    </w:p>
    <w:p>
      <w:pPr>
        <w:spacing w:before="1" w:line="218" w:lineRule="auto"/>
        <w:ind w:left="8"/>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13.1</w:t>
      </w:r>
      <w:r>
        <w:rPr>
          <w:rFonts w:ascii="Times New Roman" w:hAnsi="Times New Roman" w:eastAsia="Times New Roman" w:cs="Times New Roman"/>
          <w:b/>
          <w:bCs/>
          <w:color w:val="auto"/>
          <w:spacing w:val="25"/>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分部分项工程验收</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13.1.1  分部分项工程质量应符合国家有关工程施工验收规范、标准及合同约定，承包人应按</w:t>
      </w:r>
      <w:bookmarkStart w:id="244" w:name="bookmark286"/>
      <w:bookmarkEnd w:id="244"/>
      <w:bookmarkStart w:id="245" w:name="bookmark284"/>
      <w:bookmarkEnd w:id="245"/>
      <w:bookmarkStart w:id="246" w:name="bookmark285"/>
      <w:bookmarkEnd w:id="246"/>
      <w:bookmarkStart w:id="247" w:name="bookmark283"/>
      <w:bookmarkEnd w:id="247"/>
      <w:r>
        <w:rPr>
          <w:rFonts w:ascii="宋体" w:hAnsi="宋体" w:eastAsia="宋体" w:cs="宋体"/>
          <w:color w:val="auto"/>
          <w:sz w:val="21"/>
          <w:szCs w:val="21"/>
          <w:highlight w:val="none"/>
        </w:rPr>
        <w:t>照施工组织设计的要求完成分部分项工程施工。</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13.1.2  除专用合同条款另有约定外， 分部分项工程经承包人自检合格并具备验收条件的，承 包人应提前 48 小时通知监理人进行验收。监理人不能按时进行验收的， 应在验收前 24 小时向承 包人提交书面延期要求， 但延期不能超过 48  小时。监理人未按时进行验收，也未提出延期要求 的，承包人有权自行验收，监理人应认可验收结果。分部分项工程未经验收的，不得进入下一道工序施工。</w:t>
      </w:r>
    </w:p>
    <w:p>
      <w:pPr>
        <w:spacing w:before="151" w:line="352"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分部分项工程的验收资料应当作为竣工资料的组成部分。</w:t>
      </w:r>
    </w:p>
    <w:p>
      <w:pPr>
        <w:spacing w:before="125"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竣工验收</w:t>
      </w:r>
    </w:p>
    <w:p>
      <w:pPr>
        <w:spacing w:before="142"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13.2.1 </w:t>
      </w:r>
      <w:r>
        <w:rPr>
          <w:rFonts w:ascii="宋体" w:hAnsi="宋体" w:eastAsia="宋体" w:cs="宋体"/>
          <w:color w:val="auto"/>
          <w:spacing w:val="-2"/>
          <w:sz w:val="21"/>
          <w:szCs w:val="21"/>
          <w:highlight w:val="none"/>
        </w:rPr>
        <w:t>竣工验收条件</w:t>
      </w:r>
    </w:p>
    <w:p>
      <w:pPr>
        <w:spacing w:before="147" w:line="221"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工程具备以下条件的，承包人可以申请竣工验收：</w:t>
      </w:r>
    </w:p>
    <w:p>
      <w:pPr>
        <w:spacing w:before="149" w:line="401" w:lineRule="exact"/>
        <w:ind w:left="42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）除发包人同意的甩项工作和缺陷修补工作外，合同范围内的全部工程以及有关工作，</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包括合同要求的试验、试运行以及检验均已完成， 并符合合同要求；</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（2）已按合同约定编制了甩项工作和缺陷修补工作清单以及相应的施工计划；</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（3）已按合同约定的内容和份数备齐竣工资料。</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13.2.2 竣工验收程序</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除专用合同条款另有约定外，承包人申请竣工验收的，应当按照以下程序进行：</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（1）承包人向监理人报送竣工验收申请报告， 监理人应在收到竣工验收申请报告后 14 天内 完成审查并报送发包人。监理人审查后认为尚不具备验收条件的， 应通知承包人在竣工验收前承 包人还需完成的工作内容，承包人应在完成监理人通知的全部工作内容后， 再次提交竣工验收申请报告。</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（2）监理人审查后认为已具备竣工验收条件的， 应将竣工验收申请报告提交发包人，发包 人应在收到经监理人审核的竣工验收申请报告后 28  天内审批完毕并组织监理人、承包人、设计人等相关单位完成竣工验收。</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（3）竣工验收合格的， 发包人应在验收合格后 14 天内向承包人签发工程接收证书。发包人无正当理由逾期不颁发工程接收证书的， 自验收合格后第 15 天起视为已颁发工程接收证书。</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（4）竣工验收不合格的，监理人应按照验收意见发出指示， 要求承包人对不合格工程返工、 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（5）工程未经验收或验收不合格，发包人擅自使用的，应在转移占有工程后 7  天内向承包 人颁发工程接收证书；发包人无正当理由逾期不颁发工程接收证书的， 自转移占有后第 15  天起视为已颁发工程接收证书。</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除专用合同条款另有约定外，发包人不按照本项约定组织竣工验收、颁发工程接收证书的， 每逾期一天，应以签约合同价为基数，按照中国人民银行发布的同期同类贷款基准利率支付违约金。</w:t>
      </w:r>
    </w:p>
    <w:p>
      <w:pPr>
        <w:spacing w:before="151" w:line="240" w:lineRule="auto"/>
        <w:ind w:right="194" w:firstLine="427"/>
        <w:rPr>
          <w:rFonts w:ascii="宋体" w:hAnsi="宋体" w:eastAsia="宋体" w:cs="宋体"/>
          <w:color w:val="auto"/>
          <w:sz w:val="21"/>
          <w:szCs w:val="21"/>
          <w:highlight w:val="none"/>
        </w:rPr>
      </w:pPr>
      <w:bookmarkStart w:id="248" w:name="bookmark287"/>
      <w:bookmarkEnd w:id="248"/>
      <w:bookmarkStart w:id="249" w:name="bookmark290"/>
      <w:bookmarkEnd w:id="249"/>
      <w:bookmarkStart w:id="250" w:name="bookmark289"/>
      <w:bookmarkEnd w:id="250"/>
      <w:bookmarkStart w:id="251" w:name="bookmark288"/>
      <w:bookmarkEnd w:id="251"/>
      <w:r>
        <w:rPr>
          <w:rFonts w:ascii="宋体" w:hAnsi="宋体" w:eastAsia="宋体" w:cs="宋体"/>
          <w:color w:val="auto"/>
          <w:sz w:val="21"/>
          <w:szCs w:val="21"/>
          <w:highlight w:val="none"/>
        </w:rPr>
        <w:t>13.2.3 竣工日期</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工程经竣工验收合格的， 以承包人提交竣工验收申请报告之日为实际竣工日期，并在工程接 收证书中载明； 因发包人原因，未在监理人收到承包人提交的竣工验收申请报告 42  天内完成竣 工验收，或完成竣工验收不予签发工程接收证书的，以提交竣工验收申请报告的日期为实际竣工日期；工程未经竣工验收，发包人擅自使用的，以转移占有工程之日为实际竣工日期。</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13.2.4  拒绝接收全部或部分工程</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对于竣工验收不合格的工程，承包人完成整改后， 应当重新进行竣工验收， 经重新组织验收 仍不合格的且无法采取措施补救的， 则发包人可以拒绝接收不合格工程，因不合格工程导致其他 工程不能正常使用的，承包人应采取措施确保相关工程的正常使用，由此增加的费用和（或）延误的工期由承包人承担。</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13.2.5  移交、接收全部与部分工程</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 合同当事人应当在颁发工程接收证书后 7 天内完成工程的移交。</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发包人无正当理由不接收工程的，发包人自应当接收工程之日起， 承担工程照管、成品保护、 保管等与工程有关的各项费用，合同当事人可以在专用合同条款中另行约定发包人逾期接收工程的违约责任。</w:t>
      </w:r>
    </w:p>
    <w:p>
      <w:pPr>
        <w:spacing w:before="151" w:line="240" w:lineRule="auto"/>
        <w:ind w:right="194" w:firstLine="427"/>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spacing w:before="125" w:line="218"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13.3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工程试车</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13.3.1 试车程序</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工程需要试车的，除专用合同条款另有约定外，试车内容应与承包人承包范围相一致， 试车费用由承包人承担。工程试车应按如下程序进行：</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（1）具备单机无负荷试车条件， 承包人组织试车， 并在试车前 48 小时书面通知监理人， 通 知中应载明试车内容、时间、地点。承包人准备试车记录，发包人根据承包人要求为试车提供必 要条件。试车合格的，监理人在试车记录上签字。监理人在试车合格后不在试车记录上签字，自试车结束满 24 小时后视为监理人已经认可试车记录，承包人可继续施工或办理竣工验收手续。</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监理人不能按时参加试车，应在试车前 24  小时以书面形式向承包人提出延期要求，但延期 不能超过 48  小时， 由此导致工期延误的，工期应予以顺延。监理人未能在前述期限内提出延期要求， 又不参加试车的， 视为认可试车记录。</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（2）具备无负荷联动试车条件， 发包人组织试车， 并在试车前 48 小时以书面形式通知承包 人。通知中应载明试车内容、时间、地点和对承包人的要求， 承包人按要求做好准备工作。试车合格， 合同当事人在试车记录上签字。承包人无正当理由不参加试车的，视为认可试车记录。</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13.3.2  试车中的责任</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因设计原因导致试车达不到验收要求，发包人应要求设计人修改设计， 承包人按修改后的设 计重新安装。发包人承担修改设计、拆除及重新安装的全部费用， 工期相应顺延。因承包人原因导致试车达不到验收要求，承包人按监理人要求重新安装和试车， 并承担重新安装和试车的费用，</w:t>
      </w:r>
      <w:bookmarkStart w:id="252" w:name="bookmark292"/>
      <w:bookmarkEnd w:id="252"/>
      <w:bookmarkStart w:id="253" w:name="bookmark291"/>
      <w:bookmarkEnd w:id="253"/>
      <w:r>
        <w:rPr>
          <w:rFonts w:ascii="宋体" w:hAnsi="宋体" w:eastAsia="宋体" w:cs="宋体"/>
          <w:color w:val="auto"/>
          <w:spacing w:val="-2"/>
          <w:position w:val="14"/>
          <w:sz w:val="21"/>
          <w:szCs w:val="21"/>
          <w:highlight w:val="none"/>
        </w:rPr>
        <w:t>工期不予顺延。</w:t>
      </w:r>
    </w:p>
    <w:p>
      <w:pPr>
        <w:spacing w:before="150" w:line="240" w:lineRule="auto"/>
        <w:ind w:left="0" w:leftChars="0" w:firstLine="418" w:firstLineChars="203"/>
        <w:jc w:val="left"/>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因工程设备制造原因导致试车达不到验收要求的， 由采购该工程设备的合同当事人负责重新 购置或修理，承包人负责拆除和重新安装，由此增加的修理、重新购置、拆除及重新安装的费用及延误的工期由采购该工程设备的合同当事人承担。</w:t>
      </w:r>
    </w:p>
    <w:p>
      <w:pPr>
        <w:spacing w:before="150"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13.3.3  </w:t>
      </w:r>
      <w:r>
        <w:rPr>
          <w:rFonts w:ascii="宋体" w:hAnsi="宋体" w:eastAsia="宋体" w:cs="宋体"/>
          <w:color w:val="auto"/>
          <w:spacing w:val="-2"/>
          <w:sz w:val="21"/>
          <w:szCs w:val="21"/>
          <w:highlight w:val="none"/>
        </w:rPr>
        <w:t>投料试车</w:t>
      </w:r>
    </w:p>
    <w:p>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如需进行投料试车的，发包人应在工程竣工验收后组织投料试车。发包人要</w:t>
      </w:r>
      <w:r>
        <w:rPr>
          <w:rFonts w:ascii="宋体" w:hAnsi="宋体" w:eastAsia="宋体" w:cs="宋体"/>
          <w:color w:val="auto"/>
          <w:spacing w:val="-1"/>
          <w:position w:val="14"/>
          <w:sz w:val="21"/>
          <w:szCs w:val="21"/>
          <w:highlight w:val="none"/>
        </w:rPr>
        <w:t>求在工程竣工验</w:t>
      </w:r>
    </w:p>
    <w:p>
      <w:pPr>
        <w:spacing w:before="1" w:line="220"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收前进行或需要承包人配合时， 应征得承包人同意，并在专用合同条款中约定有关事项。</w:t>
      </w:r>
    </w:p>
    <w:p>
      <w:pPr>
        <w:spacing w:before="149" w:line="352" w:lineRule="auto"/>
        <w:ind w:left="5"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投料试车合格的，费用由发包人承担；因承包人原因造成投料试车不合格的，</w:t>
      </w:r>
      <w:r>
        <w:rPr>
          <w:rFonts w:ascii="宋体" w:hAnsi="宋体" w:eastAsia="宋体" w:cs="宋体"/>
          <w:color w:val="auto"/>
          <w:spacing w:val="-1"/>
          <w:sz w:val="21"/>
          <w:szCs w:val="21"/>
          <w:highlight w:val="none"/>
        </w:rPr>
        <w:t>承包人应按照</w:t>
      </w:r>
      <w:r>
        <w:rPr>
          <w:rFonts w:ascii="宋体" w:hAnsi="宋体" w:eastAsia="宋体" w:cs="宋体"/>
          <w:color w:val="auto"/>
          <w:sz w:val="21"/>
          <w:szCs w:val="21"/>
          <w:highlight w:val="none"/>
        </w:rPr>
        <w:t xml:space="preserve"> 发包人要求进行整改，由此产生的整改费用由承包人承担；非因承包人原因导致</w:t>
      </w:r>
      <w:r>
        <w:rPr>
          <w:rFonts w:ascii="宋体" w:hAnsi="宋体" w:eastAsia="宋体" w:cs="宋体"/>
          <w:color w:val="auto"/>
          <w:spacing w:val="-1"/>
          <w:sz w:val="21"/>
          <w:szCs w:val="21"/>
          <w:highlight w:val="none"/>
        </w:rPr>
        <w:t>投料试车不合格</w:t>
      </w:r>
      <w:r>
        <w:rPr>
          <w:rFonts w:ascii="宋体" w:hAnsi="宋体" w:eastAsia="宋体" w:cs="宋体"/>
          <w:color w:val="auto"/>
          <w:spacing w:val="-4"/>
          <w:sz w:val="21"/>
          <w:szCs w:val="21"/>
          <w:highlight w:val="none"/>
        </w:rPr>
        <w:t>的，</w:t>
      </w:r>
      <w:r>
        <w:rPr>
          <w:rFonts w:ascii="宋体" w:hAnsi="宋体" w:eastAsia="宋体" w:cs="宋体"/>
          <w:color w:val="auto"/>
          <w:spacing w:val="-17"/>
          <w:sz w:val="21"/>
          <w:szCs w:val="21"/>
          <w:highlight w:val="none"/>
        </w:rPr>
        <w:t xml:space="preserve"> </w:t>
      </w:r>
      <w:r>
        <w:rPr>
          <w:rFonts w:ascii="宋体" w:hAnsi="宋体" w:eastAsia="宋体" w:cs="宋体"/>
          <w:color w:val="auto"/>
          <w:spacing w:val="-4"/>
          <w:sz w:val="21"/>
          <w:szCs w:val="21"/>
          <w:highlight w:val="none"/>
        </w:rPr>
        <w:t>如发包人要求承包人进行整改的，由此产生的费用由发包人承担。</w:t>
      </w:r>
    </w:p>
    <w:p>
      <w:pPr>
        <w:spacing w:before="125"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提前交付单位工程的验收</w:t>
      </w:r>
    </w:p>
    <w:p>
      <w:pPr>
        <w:spacing w:before="141" w:line="351" w:lineRule="auto"/>
        <w:ind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13.4.1  </w:t>
      </w:r>
      <w:r>
        <w:rPr>
          <w:rFonts w:ascii="宋体" w:hAnsi="宋体" w:eastAsia="宋体" w:cs="宋体"/>
          <w:color w:val="auto"/>
          <w:spacing w:val="-2"/>
          <w:sz w:val="21"/>
          <w:szCs w:val="21"/>
          <w:highlight w:val="none"/>
        </w:rPr>
        <w:t>发包人需要在工程竣工前使用单位工程的，</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或承包</w:t>
      </w:r>
      <w:r>
        <w:rPr>
          <w:rFonts w:ascii="宋体" w:hAnsi="宋体" w:eastAsia="宋体" w:cs="宋体"/>
          <w:color w:val="auto"/>
          <w:spacing w:val="-3"/>
          <w:sz w:val="21"/>
          <w:szCs w:val="21"/>
          <w:highlight w:val="none"/>
        </w:rPr>
        <w:t>人提出提前交付已经竣工的单位工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程且经发包人同意的，可进行单位工程验收，</w:t>
      </w:r>
      <w:r>
        <w:rPr>
          <w:rFonts w:ascii="宋体" w:hAnsi="宋体" w:eastAsia="宋体" w:cs="宋体"/>
          <w:color w:val="auto"/>
          <w:sz w:val="21"/>
          <w:szCs w:val="21"/>
          <w:highlight w:val="none"/>
        </w:rPr>
        <w:t>验收的程序按照第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 xml:space="preserve">13.2  </w:t>
      </w:r>
      <w:r>
        <w:rPr>
          <w:rFonts w:ascii="宋体" w:hAnsi="宋体" w:eastAsia="宋体" w:cs="宋体"/>
          <w:color w:val="auto"/>
          <w:sz w:val="21"/>
          <w:szCs w:val="21"/>
          <w:highlight w:val="none"/>
        </w:rPr>
        <w:t>款〔竣工验收〕的约定进</w:t>
      </w:r>
      <w:r>
        <w:rPr>
          <w:rFonts w:ascii="宋体" w:hAnsi="宋体" w:eastAsia="宋体" w:cs="宋体"/>
          <w:color w:val="auto"/>
          <w:spacing w:val="-11"/>
          <w:sz w:val="21"/>
          <w:szCs w:val="21"/>
          <w:highlight w:val="none"/>
        </w:rPr>
        <w:t>行。</w:t>
      </w:r>
    </w:p>
    <w:p>
      <w:pPr>
        <w:spacing w:before="150" w:line="351" w:lineRule="auto"/>
        <w:ind w:left="9" w:firstLine="41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验收合格后，由监理人向承包人出具经发包人签认的单位工程接收证书。已签发单位</w:t>
      </w:r>
      <w:r>
        <w:rPr>
          <w:rFonts w:ascii="宋体" w:hAnsi="宋体" w:eastAsia="宋体" w:cs="宋体"/>
          <w:color w:val="auto"/>
          <w:spacing w:val="-1"/>
          <w:sz w:val="21"/>
          <w:szCs w:val="21"/>
          <w:highlight w:val="none"/>
        </w:rPr>
        <w:t>工程接</w:t>
      </w:r>
      <w:r>
        <w:rPr>
          <w:rFonts w:ascii="宋体" w:hAnsi="宋体" w:eastAsia="宋体" w:cs="宋体"/>
          <w:color w:val="auto"/>
          <w:sz w:val="21"/>
          <w:szCs w:val="21"/>
          <w:highlight w:val="none"/>
        </w:rPr>
        <w:t xml:space="preserve"> 收证书的单位工程由发包人负责照管。单位工程的验收成果和结论作为</w:t>
      </w:r>
      <w:r>
        <w:rPr>
          <w:rFonts w:ascii="宋体" w:hAnsi="宋体" w:eastAsia="宋体" w:cs="宋体"/>
          <w:color w:val="auto"/>
          <w:spacing w:val="-1"/>
          <w:sz w:val="21"/>
          <w:szCs w:val="21"/>
          <w:highlight w:val="none"/>
        </w:rPr>
        <w:t>整体工程竣工验收申请报</w:t>
      </w:r>
      <w:r>
        <w:rPr>
          <w:rFonts w:ascii="宋体" w:hAnsi="宋体" w:eastAsia="宋体" w:cs="宋体"/>
          <w:color w:val="auto"/>
          <w:spacing w:val="-6"/>
          <w:sz w:val="21"/>
          <w:szCs w:val="21"/>
          <w:highlight w:val="none"/>
        </w:rPr>
        <w:t>告的附件。</w:t>
      </w:r>
    </w:p>
    <w:p>
      <w:pPr>
        <w:spacing w:before="151" w:line="399"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 xml:space="preserve">13.4.2  </w:t>
      </w:r>
      <w:r>
        <w:rPr>
          <w:rFonts w:ascii="宋体" w:hAnsi="宋体" w:eastAsia="宋体" w:cs="宋体"/>
          <w:color w:val="auto"/>
          <w:spacing w:val="-3"/>
          <w:position w:val="14"/>
          <w:sz w:val="21"/>
          <w:szCs w:val="21"/>
          <w:highlight w:val="none"/>
        </w:rPr>
        <w:t>发包人要求在工程竣工前交付单位工程，由此导致承包人费用增加和（或） 工期延误</w:t>
      </w:r>
    </w:p>
    <w:p>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的，由发包人承担由此增加的费用和（或）延误的工期， 并支</w:t>
      </w:r>
      <w:r>
        <w:rPr>
          <w:rFonts w:ascii="宋体" w:hAnsi="宋体" w:eastAsia="宋体" w:cs="宋体"/>
          <w:color w:val="auto"/>
          <w:spacing w:val="-4"/>
          <w:sz w:val="21"/>
          <w:szCs w:val="21"/>
          <w:highlight w:val="none"/>
        </w:rPr>
        <w:t>付承包人合理的利润。</w:t>
      </w:r>
    </w:p>
    <w:p>
      <w:pPr>
        <w:spacing w:before="124"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13.5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施工期运行</w:t>
      </w:r>
    </w:p>
    <w:p>
      <w:pPr>
        <w:spacing w:before="142" w:line="351" w:lineRule="auto"/>
        <w:ind w:left="24" w:firstLine="413"/>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13.5.1  </w:t>
      </w:r>
      <w:r>
        <w:rPr>
          <w:rFonts w:ascii="宋体" w:hAnsi="宋体" w:eastAsia="宋体" w:cs="宋体"/>
          <w:color w:val="auto"/>
          <w:sz w:val="21"/>
          <w:szCs w:val="21"/>
          <w:highlight w:val="none"/>
        </w:rPr>
        <w:t>施工期运行是指合同工程尚未全部竣工</w:t>
      </w:r>
      <w:r>
        <w:rPr>
          <w:rFonts w:ascii="宋体" w:hAnsi="宋体" w:eastAsia="宋体" w:cs="宋体"/>
          <w:color w:val="auto"/>
          <w:spacing w:val="-1"/>
          <w:sz w:val="21"/>
          <w:szCs w:val="21"/>
          <w:highlight w:val="none"/>
        </w:rPr>
        <w:t>，其中某项或某几项单位工程或工程设备安装</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已竣工， 根据专用合同条款约定，</w:t>
      </w:r>
      <w:r>
        <w:rPr>
          <w:rFonts w:ascii="宋体" w:hAnsi="宋体" w:eastAsia="宋体" w:cs="宋体"/>
          <w:color w:val="auto"/>
          <w:spacing w:val="84"/>
          <w:sz w:val="21"/>
          <w:szCs w:val="21"/>
          <w:highlight w:val="none"/>
        </w:rPr>
        <w:t xml:space="preserve"> </w:t>
      </w:r>
      <w:r>
        <w:rPr>
          <w:rFonts w:ascii="宋体" w:hAnsi="宋体" w:eastAsia="宋体" w:cs="宋体"/>
          <w:color w:val="auto"/>
          <w:spacing w:val="-10"/>
          <w:sz w:val="21"/>
          <w:szCs w:val="21"/>
          <w:highlight w:val="none"/>
        </w:rPr>
        <w:t>需要投入施工期运行的，</w:t>
      </w:r>
      <w:r>
        <w:rPr>
          <w:rFonts w:ascii="宋体" w:hAnsi="宋体" w:eastAsia="宋体" w:cs="宋体"/>
          <w:color w:val="auto"/>
          <w:spacing w:val="60"/>
          <w:sz w:val="21"/>
          <w:szCs w:val="21"/>
          <w:highlight w:val="none"/>
        </w:rPr>
        <w:t xml:space="preserve"> </w:t>
      </w:r>
      <w:r>
        <w:rPr>
          <w:rFonts w:ascii="宋体" w:hAnsi="宋体" w:eastAsia="宋体" w:cs="宋体"/>
          <w:color w:val="auto"/>
          <w:spacing w:val="-10"/>
          <w:sz w:val="21"/>
          <w:szCs w:val="21"/>
          <w:highlight w:val="none"/>
        </w:rPr>
        <w:t>经发包人按第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0"/>
          <w:sz w:val="21"/>
          <w:szCs w:val="21"/>
          <w:highlight w:val="none"/>
        </w:rPr>
        <w:t xml:space="preserve">13.4  </w:t>
      </w:r>
      <w:r>
        <w:rPr>
          <w:rFonts w:ascii="宋体" w:hAnsi="宋体" w:eastAsia="宋体" w:cs="宋体"/>
          <w:color w:val="auto"/>
          <w:spacing w:val="-10"/>
          <w:sz w:val="21"/>
          <w:szCs w:val="21"/>
          <w:highlight w:val="none"/>
        </w:rPr>
        <w:t>款〔提前交付单</w:t>
      </w:r>
      <w:r>
        <w:rPr>
          <w:rFonts w:ascii="宋体" w:hAnsi="宋体" w:eastAsia="宋体" w:cs="宋体"/>
          <w:color w:val="auto"/>
          <w:spacing w:val="-1"/>
          <w:sz w:val="21"/>
          <w:szCs w:val="21"/>
          <w:highlight w:val="none"/>
        </w:rPr>
        <w:t>位工程的验收〕的约定验收合格，证明能确保安全后，才能在施工期投入运行。</w:t>
      </w:r>
    </w:p>
    <w:p>
      <w:pPr>
        <w:spacing w:before="151" w:line="399"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 xml:space="preserve">13.5.2  </w:t>
      </w:r>
      <w:r>
        <w:rPr>
          <w:rFonts w:ascii="宋体" w:hAnsi="宋体" w:eastAsia="宋体" w:cs="宋体"/>
          <w:color w:val="auto"/>
          <w:position w:val="14"/>
          <w:sz w:val="21"/>
          <w:szCs w:val="21"/>
          <w:highlight w:val="none"/>
        </w:rPr>
        <w:t>在施工期运行中发现工程或工程设备损坏或存在缺陷的，由承包人按第</w:t>
      </w:r>
      <w:r>
        <w:rPr>
          <w:rFonts w:ascii="宋体" w:hAnsi="宋体" w:eastAsia="宋体" w:cs="宋体"/>
          <w:color w:val="auto"/>
          <w:spacing w:val="30"/>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15.2  </w:t>
      </w:r>
      <w:r>
        <w:rPr>
          <w:rFonts w:ascii="宋体" w:hAnsi="宋体" w:eastAsia="宋体" w:cs="宋体"/>
          <w:color w:val="auto"/>
          <w:position w:val="14"/>
          <w:sz w:val="21"/>
          <w:szCs w:val="21"/>
          <w:highlight w:val="none"/>
        </w:rPr>
        <w:t>款〔缺</w:t>
      </w:r>
    </w:p>
    <w:p>
      <w:pPr>
        <w:spacing w:before="1" w:line="220" w:lineRule="auto"/>
        <w:ind w:left="1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陷责任期〕约定进行修复。</w:t>
      </w:r>
    </w:p>
    <w:p>
      <w:pPr>
        <w:spacing w:before="125"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13.6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竣工退场</w:t>
      </w:r>
    </w:p>
    <w:p>
      <w:pPr>
        <w:spacing w:before="141"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13.6.1  </w:t>
      </w:r>
      <w:r>
        <w:rPr>
          <w:rFonts w:ascii="宋体" w:hAnsi="宋体" w:eastAsia="宋体" w:cs="宋体"/>
          <w:color w:val="auto"/>
          <w:spacing w:val="-2"/>
          <w:sz w:val="21"/>
          <w:szCs w:val="21"/>
          <w:highlight w:val="none"/>
        </w:rPr>
        <w:t>竣工退场</w:t>
      </w:r>
    </w:p>
    <w:p>
      <w:pPr>
        <w:spacing w:before="148" w:line="401" w:lineRule="exact"/>
        <w:ind w:left="421"/>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颁发工程接收证书后，承包人应按以下要求对施工现场进行清理：</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）施工现场内残留的垃圾已全部清除出场；</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）临时工程已拆除，</w:t>
      </w:r>
      <w:r>
        <w:rPr>
          <w:rFonts w:ascii="宋体" w:hAnsi="宋体" w:eastAsia="宋体" w:cs="宋体"/>
          <w:color w:val="auto"/>
          <w:spacing w:val="-17"/>
          <w:sz w:val="21"/>
          <w:szCs w:val="21"/>
          <w:highlight w:val="none"/>
        </w:rPr>
        <w:t xml:space="preserve"> </w:t>
      </w:r>
      <w:r>
        <w:rPr>
          <w:rFonts w:ascii="宋体" w:hAnsi="宋体" w:eastAsia="宋体" w:cs="宋体"/>
          <w:color w:val="auto"/>
          <w:spacing w:val="-5"/>
          <w:sz w:val="21"/>
          <w:szCs w:val="21"/>
          <w:highlight w:val="none"/>
        </w:rPr>
        <w:t>场地已进行清理、平整或复原；</w:t>
      </w:r>
    </w:p>
    <w:p>
      <w:pPr>
        <w:spacing w:before="147" w:line="401" w:lineRule="exact"/>
        <w:ind w:right="11"/>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）按合同约定应撤离的人员、承包人施工设备和剩余的材料，包括废弃的施工设备和材</w:t>
      </w:r>
    </w:p>
    <w:p>
      <w:pPr>
        <w:spacing w:before="1" w:line="220"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料，已按计划撤离施工现场；</w:t>
      </w:r>
    </w:p>
    <w:p>
      <w:pPr>
        <w:spacing w:before="150" w:line="398" w:lineRule="exact"/>
        <w:ind w:left="42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宋体" w:hAnsi="宋体" w:eastAsia="宋体" w:cs="宋体"/>
          <w:color w:val="auto"/>
          <w:position w:val="14"/>
          <w:sz w:val="21"/>
          <w:szCs w:val="21"/>
          <w:highlight w:val="none"/>
        </w:rPr>
        <w:t>）施工现场周边及其附近道路、河道的施</w:t>
      </w:r>
      <w:r>
        <w:rPr>
          <w:rFonts w:ascii="宋体" w:hAnsi="宋体" w:eastAsia="宋体" w:cs="宋体"/>
          <w:color w:val="auto"/>
          <w:spacing w:val="-1"/>
          <w:position w:val="14"/>
          <w:sz w:val="21"/>
          <w:szCs w:val="21"/>
          <w:highlight w:val="none"/>
        </w:rPr>
        <w:t>工堆积物，已全部清理；</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）施工现场其他场地清理工作已全部完成。</w:t>
      </w:r>
    </w:p>
    <w:p>
      <w:pPr>
        <w:spacing w:before="148" w:line="401" w:lineRule="exact"/>
        <w:ind w:left="0" w:leftChars="0" w:firstLine="617" w:firstLineChars="297"/>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施工现场的竣工退场费用由承包人承担。承包人应在专用合同条款约定的期限内完成竣工退场，逾期未完成的， 发包人有权出售或另行处理承包人遗留的物品，由此支出的费用由承包人承担，发包人出售承包人遗留物品所得款项在扣除必要费用后应返还承包人。</w:t>
      </w:r>
    </w:p>
    <w:p>
      <w:pPr>
        <w:spacing w:before="148" w:line="401" w:lineRule="exact"/>
        <w:ind w:left="0" w:leftChars="0" w:firstLine="617" w:firstLineChars="297"/>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13.6.2  地表还原</w:t>
      </w:r>
    </w:p>
    <w:p>
      <w:pPr>
        <w:spacing w:before="148" w:line="401" w:lineRule="exact"/>
        <w:ind w:left="0" w:leftChars="0" w:firstLine="617" w:firstLineChars="297"/>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承包人应按发包人要求恢复临时占地及清理场地， 承包人未按发包人的要求恢复临时占地， 或者场地清理未达到合同约定要求的，发包人有权委托其他人恢复或清理， 所发生的费用由承包人承担。</w:t>
      </w:r>
    </w:p>
    <w:p>
      <w:pPr>
        <w:spacing w:before="188" w:line="219" w:lineRule="auto"/>
        <w:ind w:left="11"/>
        <w:rPr>
          <w:rFonts w:ascii="黑体" w:hAnsi="黑体" w:eastAsia="黑体" w:cs="黑体"/>
          <w:color w:val="auto"/>
          <w:sz w:val="28"/>
          <w:szCs w:val="28"/>
          <w:highlight w:val="none"/>
        </w:rPr>
      </w:pPr>
      <w:bookmarkStart w:id="254" w:name="bookmark298"/>
      <w:bookmarkEnd w:id="254"/>
      <w:bookmarkStart w:id="255" w:name="bookmark297"/>
      <w:bookmarkEnd w:id="255"/>
      <w:bookmarkStart w:id="256" w:name="bookmark293"/>
      <w:bookmarkEnd w:id="256"/>
      <w:bookmarkStart w:id="257" w:name="bookmark295"/>
      <w:bookmarkEnd w:id="257"/>
      <w:bookmarkStart w:id="258" w:name="bookmark294"/>
      <w:bookmarkEnd w:id="258"/>
      <w:bookmarkStart w:id="259" w:name="bookmark296"/>
      <w:bookmarkEnd w:id="259"/>
      <w:r>
        <w:rPr>
          <w:rFonts w:ascii="Times New Roman" w:hAnsi="Times New Roman" w:eastAsia="Times New Roman" w:cs="Times New Roman"/>
          <w:b/>
          <w:bCs/>
          <w:color w:val="auto"/>
          <w:spacing w:val="-2"/>
          <w:sz w:val="28"/>
          <w:szCs w:val="28"/>
          <w:highlight w:val="none"/>
        </w:rPr>
        <w:t xml:space="preserve">14.  </w:t>
      </w:r>
      <w:r>
        <w:rPr>
          <w:rFonts w:ascii="黑体" w:hAnsi="黑体" w:eastAsia="黑体" w:cs="黑体"/>
          <w:color w:val="auto"/>
          <w:spacing w:val="-2"/>
          <w:sz w:val="28"/>
          <w:szCs w:val="28"/>
          <w:highlight w:val="none"/>
          <w14:textOutline w14:w="5094" w14:cap="flat" w14:cmpd="sng">
            <w14:solidFill>
              <w14:srgbClr w14:val="000000"/>
            </w14:solidFill>
            <w14:prstDash w14:val="solid"/>
            <w14:miter w14:val="0"/>
          </w14:textOutline>
        </w:rPr>
        <w:t>竣工结算</w:t>
      </w:r>
    </w:p>
    <w:p>
      <w:pPr>
        <w:spacing w:before="105" w:line="218" w:lineRule="auto"/>
        <w:ind w:left="9"/>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竣工结算申请</w:t>
      </w:r>
    </w:p>
    <w:p>
      <w:pPr>
        <w:spacing w:before="141" w:line="352" w:lineRule="auto"/>
        <w:ind w:left="5" w:right="176" w:firstLine="428"/>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除专用合同条款另有约定外，承包人应在工程竣工验收合格后</w:t>
      </w:r>
      <w:r>
        <w:rPr>
          <w:rFonts w:ascii="宋体" w:hAnsi="宋体" w:eastAsia="宋体" w:cs="宋体"/>
          <w:color w:val="auto"/>
          <w:spacing w:val="-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天内向发包人和监理人提</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交竣工结算申请单， 并提交完整的结算资</w:t>
      </w:r>
      <w:r>
        <w:rPr>
          <w:rFonts w:ascii="宋体" w:hAnsi="宋体" w:eastAsia="宋体" w:cs="宋体"/>
          <w:color w:val="auto"/>
          <w:spacing w:val="-5"/>
          <w:sz w:val="21"/>
          <w:szCs w:val="21"/>
          <w:highlight w:val="none"/>
        </w:rPr>
        <w:t>料，</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有关竣工结算申请单的资料清单和份数等要求由合</w:t>
      </w:r>
      <w:r>
        <w:rPr>
          <w:rFonts w:ascii="宋体" w:hAnsi="宋体" w:eastAsia="宋体" w:cs="宋体"/>
          <w:color w:val="auto"/>
          <w:spacing w:val="-2"/>
          <w:sz w:val="21"/>
          <w:szCs w:val="21"/>
          <w:highlight w:val="none"/>
        </w:rPr>
        <w:t>同当事人在专用合同条款中约定。</w:t>
      </w:r>
    </w:p>
    <w:p>
      <w:pPr>
        <w:spacing w:before="148" w:line="401"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除专用合同条款另有约定外，竣工结算申请单应包括以下内容：</w:t>
      </w:r>
    </w:p>
    <w:p>
      <w:pPr>
        <w:spacing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）竣工结算合同价格；</w:t>
      </w:r>
    </w:p>
    <w:p>
      <w:pPr>
        <w:spacing w:before="151"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）发包人已支付承包人的款项；</w:t>
      </w:r>
    </w:p>
    <w:p>
      <w:pPr>
        <w:spacing w:before="147" w:line="401" w:lineRule="exact"/>
        <w:ind w:left="42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）应扣留的质量保证金。已缴纳履约保证金的或提供其他工程</w:t>
      </w:r>
      <w:r>
        <w:rPr>
          <w:rFonts w:ascii="宋体" w:hAnsi="宋体" w:eastAsia="宋体" w:cs="宋体"/>
          <w:color w:val="auto"/>
          <w:spacing w:val="-1"/>
          <w:position w:val="14"/>
          <w:sz w:val="21"/>
          <w:szCs w:val="21"/>
          <w:highlight w:val="none"/>
        </w:rPr>
        <w:t>质量担保方式的除外；</w:t>
      </w:r>
    </w:p>
    <w:p>
      <w:pPr>
        <w:spacing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）发包人应支付承包人的合同价款。</w:t>
      </w:r>
    </w:p>
    <w:p>
      <w:pPr>
        <w:spacing w:before="128"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竣工结算审核</w:t>
      </w:r>
    </w:p>
    <w:p>
      <w:pPr>
        <w:spacing w:before="138" w:line="352" w:lineRule="auto"/>
        <w:ind w:right="177"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）除专用合同条款另有约定外，监理人应在收到竣工结算申请单后</w:t>
      </w:r>
      <w:r>
        <w:rPr>
          <w:rFonts w:ascii="宋体" w:hAnsi="宋体" w:eastAsia="宋体" w:cs="宋体"/>
          <w:color w:val="auto"/>
          <w:spacing w:val="-2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天内完成核查并报</w:t>
      </w:r>
      <w:r>
        <w:rPr>
          <w:rFonts w:ascii="宋体" w:hAnsi="宋体" w:eastAsia="宋体" w:cs="宋体"/>
          <w:color w:val="auto"/>
          <w:sz w:val="21"/>
          <w:szCs w:val="21"/>
          <w:highlight w:val="none"/>
        </w:rPr>
        <w:t xml:space="preserve"> 送发包人。发包人应在收到监理人提交的经审核的竣工结算申请单后 </w:t>
      </w:r>
      <w:r>
        <w:rPr>
          <w:rFonts w:ascii="Times New Roman" w:hAnsi="Times New Roman" w:eastAsia="Times New Roman" w:cs="Times New Roman"/>
          <w:color w:val="auto"/>
          <w:sz w:val="21"/>
          <w:szCs w:val="21"/>
          <w:highlight w:val="none"/>
        </w:rPr>
        <w:t xml:space="preserve">14  </w:t>
      </w:r>
      <w:r>
        <w:rPr>
          <w:rFonts w:ascii="宋体" w:hAnsi="宋体" w:eastAsia="宋体" w:cs="宋体"/>
          <w:color w:val="auto"/>
          <w:sz w:val="21"/>
          <w:szCs w:val="21"/>
          <w:highlight w:val="none"/>
        </w:rPr>
        <w:t>天内完成审批，并</w:t>
      </w:r>
      <w:r>
        <w:rPr>
          <w:rFonts w:ascii="宋体" w:hAnsi="宋体" w:eastAsia="宋体" w:cs="宋体"/>
          <w:color w:val="auto"/>
          <w:spacing w:val="-1"/>
          <w:sz w:val="21"/>
          <w:szCs w:val="21"/>
          <w:highlight w:val="none"/>
        </w:rPr>
        <w:t>由监</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理人向承包人签发经发包人签认的竣工付款证书。监理人或发包人对竣工结算申</w:t>
      </w:r>
      <w:r>
        <w:rPr>
          <w:rFonts w:ascii="宋体" w:hAnsi="宋体" w:eastAsia="宋体" w:cs="宋体"/>
          <w:color w:val="auto"/>
          <w:spacing w:val="-2"/>
          <w:sz w:val="21"/>
          <w:szCs w:val="21"/>
          <w:highlight w:val="none"/>
        </w:rPr>
        <w:t>请单有异议的，</w:t>
      </w:r>
      <w:r>
        <w:rPr>
          <w:rFonts w:ascii="宋体" w:hAnsi="宋体" w:eastAsia="宋体" w:cs="宋体"/>
          <w:color w:val="auto"/>
          <w:sz w:val="21"/>
          <w:szCs w:val="21"/>
          <w:highlight w:val="none"/>
        </w:rPr>
        <w:t>有权要求承包人进行修正和提供补充资料，承包人应提交修正后的竣工结算申请</w:t>
      </w:r>
      <w:r>
        <w:rPr>
          <w:rFonts w:ascii="宋体" w:hAnsi="宋体" w:eastAsia="宋体" w:cs="宋体"/>
          <w:color w:val="auto"/>
          <w:spacing w:val="-1"/>
          <w:sz w:val="21"/>
          <w:szCs w:val="21"/>
          <w:highlight w:val="none"/>
        </w:rPr>
        <w:t>单。</w:t>
      </w:r>
    </w:p>
    <w:p>
      <w:pPr>
        <w:spacing w:before="152" w:line="351" w:lineRule="auto"/>
        <w:ind w:left="3" w:right="176" w:firstLine="421"/>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发包人在收到承包人提交竣工结算申请书后 </w:t>
      </w:r>
      <w:r>
        <w:rPr>
          <w:rFonts w:ascii="Times New Roman" w:hAnsi="Times New Roman" w:eastAsia="Times New Roman" w:cs="Times New Roman"/>
          <w:color w:val="auto"/>
          <w:spacing w:val="-3"/>
          <w:sz w:val="21"/>
          <w:szCs w:val="21"/>
          <w:highlight w:val="none"/>
        </w:rPr>
        <w:t xml:space="preserve">28  </w:t>
      </w:r>
      <w:r>
        <w:rPr>
          <w:rFonts w:ascii="宋体" w:hAnsi="宋体" w:eastAsia="宋体" w:cs="宋体"/>
          <w:color w:val="auto"/>
          <w:spacing w:val="-3"/>
          <w:sz w:val="21"/>
          <w:szCs w:val="21"/>
          <w:highlight w:val="none"/>
        </w:rPr>
        <w:t>天内未完成审批且未提出异议的， 视为发包</w:t>
      </w:r>
      <w:r>
        <w:rPr>
          <w:rFonts w:ascii="宋体" w:hAnsi="宋体" w:eastAsia="宋体" w:cs="宋体"/>
          <w:color w:val="auto"/>
          <w:sz w:val="21"/>
          <w:szCs w:val="21"/>
          <w:highlight w:val="none"/>
        </w:rPr>
        <w:t xml:space="preserve"> 人认可承包人提交的竣工结算申请单，并自发包人收到承包人提交的竣工结算申请单后第 </w:t>
      </w:r>
      <w:r>
        <w:rPr>
          <w:rFonts w:ascii="Times New Roman" w:hAnsi="Times New Roman" w:eastAsia="Times New Roman" w:cs="Times New Roman"/>
          <w:color w:val="auto"/>
          <w:spacing w:val="-1"/>
          <w:sz w:val="21"/>
          <w:szCs w:val="21"/>
          <w:highlight w:val="none"/>
        </w:rPr>
        <w:t xml:space="preserve">29  </w:t>
      </w:r>
      <w:r>
        <w:rPr>
          <w:rFonts w:ascii="宋体" w:hAnsi="宋体" w:eastAsia="宋体" w:cs="宋体"/>
          <w:color w:val="auto"/>
          <w:spacing w:val="-1"/>
          <w:sz w:val="21"/>
          <w:szCs w:val="21"/>
          <w:highlight w:val="none"/>
        </w:rPr>
        <w:t>天</w:t>
      </w:r>
      <w:r>
        <w:rPr>
          <w:rFonts w:ascii="宋体" w:hAnsi="宋体" w:eastAsia="宋体" w:cs="宋体"/>
          <w:color w:val="auto"/>
          <w:spacing w:val="-2"/>
          <w:sz w:val="21"/>
          <w:szCs w:val="21"/>
          <w:highlight w:val="none"/>
        </w:rPr>
        <w:t>起视为已签发竣工付款证书。</w:t>
      </w:r>
    </w:p>
    <w:p>
      <w:pPr>
        <w:spacing w:before="152" w:line="351" w:lineRule="auto"/>
        <w:ind w:left="1" w:right="177" w:firstLine="42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）除专用合同条款另有约定外，发包人应在签发竣工付款证书后的</w:t>
      </w:r>
      <w:r>
        <w:rPr>
          <w:rFonts w:ascii="宋体" w:hAnsi="宋体" w:eastAsia="宋体" w:cs="宋体"/>
          <w:color w:val="auto"/>
          <w:spacing w:val="5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天内，完成对承</w:t>
      </w:r>
      <w:r>
        <w:rPr>
          <w:rFonts w:ascii="宋体" w:hAnsi="宋体" w:eastAsia="宋体" w:cs="宋体"/>
          <w:color w:val="auto"/>
          <w:sz w:val="21"/>
          <w:szCs w:val="21"/>
          <w:highlight w:val="none"/>
        </w:rPr>
        <w:t xml:space="preserve"> 包人的竣工付款。发包人逾期支付的，按照中国人民银行发布的同期同类贷款基准利率支</w:t>
      </w:r>
      <w:r>
        <w:rPr>
          <w:rFonts w:ascii="宋体" w:hAnsi="宋体" w:eastAsia="宋体" w:cs="宋体"/>
          <w:color w:val="auto"/>
          <w:spacing w:val="-1"/>
          <w:sz w:val="21"/>
          <w:szCs w:val="21"/>
          <w:highlight w:val="none"/>
        </w:rPr>
        <w:t xml:space="preserve">付违约金；逾期支付超过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天的，按照中国人民银行发布的同期同类贷款基准利率的两倍支付违约金。</w:t>
      </w:r>
    </w:p>
    <w:p>
      <w:pPr>
        <w:spacing w:before="150" w:line="352" w:lineRule="auto"/>
        <w:ind w:left="4" w:right="16" w:firstLine="423"/>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 xml:space="preserve">）承包人对发包人签认的竣工付款证书有异议的， 对于有异议部分应在收到发包人签认  </w:t>
      </w:r>
      <w:r>
        <w:rPr>
          <w:rFonts w:ascii="宋体" w:hAnsi="宋体" w:eastAsia="宋体" w:cs="宋体"/>
          <w:color w:val="auto"/>
          <w:spacing w:val="-3"/>
          <w:sz w:val="21"/>
          <w:szCs w:val="21"/>
          <w:highlight w:val="none"/>
        </w:rPr>
        <w:t>的竣工付款证书后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 </w:t>
      </w:r>
      <w:r>
        <w:rPr>
          <w:rFonts w:ascii="宋体" w:hAnsi="宋体" w:eastAsia="宋体" w:cs="宋体"/>
          <w:color w:val="auto"/>
          <w:spacing w:val="-3"/>
          <w:sz w:val="21"/>
          <w:szCs w:val="21"/>
          <w:highlight w:val="none"/>
        </w:rPr>
        <w:t>天内提出异议， 并由合同当事人按照专用合同条款约定的</w:t>
      </w:r>
      <w:r>
        <w:rPr>
          <w:rFonts w:ascii="宋体" w:hAnsi="宋体" w:eastAsia="宋体" w:cs="宋体"/>
          <w:color w:val="auto"/>
          <w:spacing w:val="-4"/>
          <w:sz w:val="21"/>
          <w:szCs w:val="21"/>
          <w:highlight w:val="none"/>
        </w:rPr>
        <w:t xml:space="preserve">方式和程序进行复  </w:t>
      </w:r>
      <w:r>
        <w:rPr>
          <w:rFonts w:ascii="宋体" w:hAnsi="宋体" w:eastAsia="宋体" w:cs="宋体"/>
          <w:color w:val="auto"/>
          <w:spacing w:val="-1"/>
          <w:sz w:val="21"/>
          <w:szCs w:val="21"/>
          <w:highlight w:val="none"/>
        </w:rPr>
        <w:t xml:space="preserve">核，或按照第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条〔争议解决〕约定处理。对于无异议部分，发包人应签发</w:t>
      </w:r>
      <w:r>
        <w:rPr>
          <w:rFonts w:ascii="宋体" w:hAnsi="宋体" w:eastAsia="宋体" w:cs="宋体"/>
          <w:color w:val="auto"/>
          <w:spacing w:val="-2"/>
          <w:sz w:val="21"/>
          <w:szCs w:val="21"/>
          <w:highlight w:val="none"/>
        </w:rPr>
        <w:t>临时竣工付款证书，</w:t>
      </w:r>
      <w:r>
        <w:rPr>
          <w:rFonts w:ascii="宋体" w:hAnsi="宋体" w:eastAsia="宋体" w:cs="宋体"/>
          <w:color w:val="auto"/>
          <w:spacing w:val="-3"/>
          <w:sz w:val="21"/>
          <w:szCs w:val="21"/>
          <w:highlight w:val="none"/>
        </w:rPr>
        <w:t>并按本款第（</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）项完成付款。承包人逾期未提出异议的， 视为认可发</w:t>
      </w:r>
      <w:r>
        <w:rPr>
          <w:rFonts w:ascii="宋体" w:hAnsi="宋体" w:eastAsia="宋体" w:cs="宋体"/>
          <w:color w:val="auto"/>
          <w:spacing w:val="-4"/>
          <w:sz w:val="21"/>
          <w:szCs w:val="21"/>
          <w:highlight w:val="none"/>
        </w:rPr>
        <w:t>包人的审批结果。</w:t>
      </w:r>
    </w:p>
    <w:p>
      <w:pPr>
        <w:spacing w:before="126"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甩项竣工协议</w:t>
      </w:r>
    </w:p>
    <w:p>
      <w:pPr>
        <w:spacing w:before="150" w:line="352" w:lineRule="auto"/>
        <w:ind w:left="4" w:right="16" w:firstLine="423"/>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发包人要求甩项竣工的， 合同当事人应签订甩项竣工协议。在甩项竣工协议中应明确， 合同当事人按照第 14.1 款〔竣工结算申请〕及 14.2 款〔竣工结算审核〕的约定， 对已完合格工程进</w:t>
      </w:r>
      <w:r>
        <w:rPr>
          <w:rFonts w:ascii="宋体" w:hAnsi="宋体" w:eastAsia="宋体" w:cs="宋体"/>
          <w:color w:val="auto"/>
          <w:spacing w:val="-2"/>
          <w:sz w:val="21"/>
          <w:szCs w:val="21"/>
          <w:highlight w:val="none"/>
        </w:rPr>
        <w:t>行结算，并支付相应合同价款。</w:t>
      </w:r>
    </w:p>
    <w:p>
      <w:pPr>
        <w:spacing w:before="127" w:line="220" w:lineRule="auto"/>
        <w:ind w:left="8"/>
        <w:outlineLvl w:val="6"/>
        <w:rPr>
          <w:rFonts w:ascii="黑体" w:hAnsi="黑体" w:eastAsia="黑体" w:cs="黑体"/>
          <w:color w:val="auto"/>
          <w:sz w:val="24"/>
          <w:szCs w:val="24"/>
          <w:highlight w:val="none"/>
        </w:rPr>
      </w:pPr>
      <w:bookmarkStart w:id="260" w:name="bookmark299"/>
      <w:bookmarkEnd w:id="260"/>
      <w:bookmarkStart w:id="261" w:name="bookmark300"/>
      <w:bookmarkEnd w:id="261"/>
      <w:r>
        <w:rPr>
          <w:rFonts w:ascii="Times New Roman" w:hAnsi="Times New Roman" w:eastAsia="Times New Roman" w:cs="Times New Roman"/>
          <w:b/>
          <w:bCs/>
          <w:color w:val="auto"/>
          <w:spacing w:val="-4"/>
          <w:sz w:val="24"/>
          <w:szCs w:val="24"/>
          <w:highlight w:val="none"/>
        </w:rPr>
        <w:t>14.4</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最终结清</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14.4.1  最终结清申请单</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（1）除专用合同条款另有约定外，承包人应在缺陷责任期终止证书颁发后 7  天内， 按专用</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合同条款约定的份数向发包人提交最终结清申请单，并提供相关证明材料。</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除专用合同条款另有约定外，最终结清申请单应列明质量保证金、应扣除的质量保证金、缺陷责任期内发生的增减费用。</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（2）发包人对最终结清申请单内容有异议的，有权要求承包人进行修正和提供补充资料，承包人应向发包人提交修正后的最终结清申请单。</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14.4.2  最终结清证书和支付</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（1）除专用合同条款另有约定外，发包人应在收到承包人提交的最终结清申请单后 14 天内 完成审批并向承包人颁发最终结清证书。发包人逾期未完成审批，又未提出修改意见的，视为发 包人同意承包人提交的最终结清申请单， 且自发包人收到承包人提交的最终结清申请单后 15  天</w:t>
      </w:r>
    </w:p>
    <w:p>
      <w:pPr>
        <w:spacing w:before="150" w:line="352" w:lineRule="auto"/>
        <w:ind w:right="16"/>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起视为已颁发最终结清证书。</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（2）除专用合同条款另有约定外，发包人应在颁发最终结清证书后 7  天内完成支付。发包 人逾期支付的， 按照中国人民银行发布的同期同类贷款基准利率支付违约金； 逾期支付超过 56</w:t>
      </w:r>
    </w:p>
    <w:p>
      <w:pPr>
        <w:spacing w:before="150" w:line="352" w:lineRule="auto"/>
        <w:ind w:right="16"/>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天的， 按照中国人民银行发布的同期同类贷款基准利率的两倍支付违约金。</w:t>
      </w:r>
    </w:p>
    <w:p>
      <w:pPr>
        <w:spacing w:before="150" w:line="352" w:lineRule="auto"/>
        <w:ind w:left="4" w:right="16" w:firstLine="423"/>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（3）承包人对发包人颁发的最终结清证书有异议的，按第 20 条〔争议解决〕的约定办理。</w:t>
      </w:r>
    </w:p>
    <w:p>
      <w:pPr>
        <w:spacing w:before="189" w:line="436" w:lineRule="exact"/>
        <w:ind w:left="11"/>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15.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缺陷责任与保修</w:t>
      </w:r>
    </w:p>
    <w:p>
      <w:pPr>
        <w:spacing w:before="1" w:line="218" w:lineRule="auto"/>
        <w:ind w:left="8"/>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15.1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工程保修的原则</w:t>
      </w:r>
    </w:p>
    <w:p>
      <w:pPr>
        <w:spacing w:before="150" w:line="352" w:lineRule="auto"/>
        <w:ind w:right="16" w:firstLine="416" w:firstLineChars="200"/>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在工程移交发包人后，因承包人原因产生的质量缺陷，承包人应承担质量缺陷责任和保修义务。缺陷责任期届满，承包人仍应按合同约定的工程各部位保修年限承担保修义务。</w:t>
      </w:r>
    </w:p>
    <w:p>
      <w:pPr>
        <w:spacing w:before="126" w:line="218"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缺陷责任期</w:t>
      </w:r>
    </w:p>
    <w:p>
      <w:pPr>
        <w:spacing w:before="150" w:line="352" w:lineRule="auto"/>
        <w:ind w:right="16" w:firstLine="416" w:firstLineChars="200"/>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15.2.1  缺陷责任期从工程通过竣工验收之日起计算，合同当事人应在专用合同条款约定缺陷</w:t>
      </w:r>
    </w:p>
    <w:p>
      <w:pPr>
        <w:spacing w:before="150" w:line="352" w:lineRule="auto"/>
        <w:ind w:right="16"/>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责任期的具体期限， 但该期限最长不超过 24 个月。</w:t>
      </w:r>
    </w:p>
    <w:p>
      <w:pPr>
        <w:spacing w:before="150" w:line="352" w:lineRule="auto"/>
        <w:ind w:right="16" w:firstLine="416" w:firstLineChars="200"/>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单位工程先于全部工程进行验收，经验收合格并交付使用的， 该单位工程缺陷责任期自单位  工程验收合格之日起算。 因承包人原因导致工程无法按合同约定期限进行竣工验收的， 缺陷责任  期从实际通过竣工验收之日起计算。 因发包人原因导致工程无法按合同约定期限进行竣工验收的， 在承包人提交竣工验收报告 90  天后，工程自动进入缺陷责任期；发包人未经竣工验收擅自使用工程的，缺陷责任期自工程转移占有之日起开始计算。</w:t>
      </w:r>
    </w:p>
    <w:p>
      <w:pPr>
        <w:spacing w:before="150" w:line="352" w:lineRule="auto"/>
        <w:ind w:right="16" w:firstLine="416" w:firstLineChars="200"/>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15.2.2  缺陷责任期内，由承包人原因造成的缺陷， 承包人应负责维修， 并承担鉴定及维修费 用。如承包人不维修也不承担费用， 发包人可按合同约定从保证金或银行保函中扣除， 费用超出 保证金额的，发包人可按合同约定向承包人进行索赔。承包人维修并承担相应费用后， 不免除对工程的损失赔偿责任。发包人有权要求承包人延长缺陷责任期，并应在原缺陷责任期届满前发出</w:t>
      </w:r>
      <w:bookmarkStart w:id="262" w:name="bookmark303"/>
      <w:bookmarkEnd w:id="262"/>
      <w:bookmarkStart w:id="263" w:name="bookmark302"/>
      <w:bookmarkEnd w:id="263"/>
      <w:bookmarkStart w:id="264" w:name="bookmark301"/>
      <w:bookmarkEnd w:id="264"/>
      <w:r>
        <w:rPr>
          <w:rFonts w:ascii="宋体" w:hAnsi="宋体" w:eastAsia="宋体" w:cs="宋体"/>
          <w:color w:val="auto"/>
          <w:spacing w:val="-3"/>
          <w:sz w:val="21"/>
          <w:szCs w:val="21"/>
          <w:highlight w:val="none"/>
        </w:rPr>
        <w:t>延长通知。但缺陷责任期（含延长部分）</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最长不能超过</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4"/>
          <w:sz w:val="21"/>
          <w:szCs w:val="21"/>
          <w:highlight w:val="none"/>
        </w:rPr>
        <w:t>个月。</w:t>
      </w:r>
    </w:p>
    <w:p>
      <w:pPr>
        <w:spacing w:before="150" w:line="352" w:lineRule="auto"/>
        <w:ind w:right="16" w:firstLine="416" w:firstLineChars="200"/>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由他人原因造成的缺陷， 发包人负责组织维修，承包人不承担费用，且发包人不得从保证金中扣除费用。</w:t>
      </w:r>
    </w:p>
    <w:p>
      <w:pPr>
        <w:spacing w:before="150" w:line="352" w:lineRule="auto"/>
        <w:ind w:right="16" w:firstLine="416" w:firstLineChars="200"/>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15.2.3  任何一项缺陷或损坏修复后， 经检查证明其影响了工程或工程设备的使用性能， 承包人应重新进行合同约定的试验和试运行， 试验和试运行的全部费用应由责任方承担。</w:t>
      </w:r>
    </w:p>
    <w:p>
      <w:pPr>
        <w:spacing w:before="150" w:line="352" w:lineRule="auto"/>
        <w:ind w:right="16" w:firstLine="416" w:firstLineChars="200"/>
        <w:jc w:val="both"/>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15.2.4  除专用合同条款另有约定外， 承包人应于缺陷责任期届满后 7 天内向发包人发出缺陷 责任期届满通知，发包人应在收到缺陷责任期满通知后 14  天内核实承包人是否履行缺陷修复义 务，承包人未能履行缺陷修复义务的，发包人有权扣除相应金额的维修费用。发包人应在收到缺陷责任期届满通知后 14 天内，向承包人颁发缺陷责任期终止证书。</w:t>
      </w:r>
    </w:p>
    <w:p>
      <w:pPr>
        <w:spacing w:before="123" w:line="220" w:lineRule="auto"/>
        <w:ind w:left="6"/>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15.3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质量保证金</w:t>
      </w:r>
    </w:p>
    <w:p>
      <w:pPr>
        <w:spacing w:before="140"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经合同当事人协商一致扣留质量保证金的，应在专用合同条款中予以明确。</w:t>
      </w:r>
    </w:p>
    <w:p>
      <w:pPr>
        <w:spacing w:before="149" w:line="220" w:lineRule="auto"/>
        <w:ind w:left="4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在工程项目竣工前，</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承包人已经提供履约担保的， 发包人不得同时预留工程质量保证金。</w:t>
      </w:r>
    </w:p>
    <w:p>
      <w:pPr>
        <w:spacing w:before="148" w:line="220"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15.3.1  </w:t>
      </w:r>
      <w:r>
        <w:rPr>
          <w:rFonts w:ascii="宋体" w:hAnsi="宋体" w:eastAsia="宋体" w:cs="宋体"/>
          <w:color w:val="auto"/>
          <w:spacing w:val="-1"/>
          <w:sz w:val="21"/>
          <w:szCs w:val="21"/>
          <w:highlight w:val="none"/>
        </w:rPr>
        <w:t>承包人提供质量保证金的方式</w:t>
      </w:r>
    </w:p>
    <w:p>
      <w:pPr>
        <w:spacing w:before="151" w:line="220" w:lineRule="auto"/>
        <w:ind w:left="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承包人提供质量保证金有以下三种方式：</w:t>
      </w:r>
    </w:p>
    <w:p>
      <w:pPr>
        <w:spacing w:before="151" w:line="221" w:lineRule="auto"/>
        <w:ind w:left="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）质量保证金保函；</w:t>
      </w:r>
    </w:p>
    <w:p>
      <w:pPr>
        <w:spacing w:before="147" w:line="221" w:lineRule="auto"/>
        <w:ind w:left="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）相应比例的工程款；</w:t>
      </w:r>
    </w:p>
    <w:p>
      <w:pPr>
        <w:spacing w:before="150" w:line="221"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）双方约定的其他方式。</w:t>
      </w:r>
    </w:p>
    <w:p>
      <w:pPr>
        <w:spacing w:before="149" w:line="220" w:lineRule="auto"/>
        <w:ind w:left="4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除专用合同条款另有约定外，质量保证金原则上采用上述第（</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）种方式。</w:t>
      </w:r>
    </w:p>
    <w:p>
      <w:pPr>
        <w:spacing w:before="148" w:line="221"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15.3.2  </w:t>
      </w:r>
      <w:r>
        <w:rPr>
          <w:rFonts w:ascii="宋体" w:hAnsi="宋体" w:eastAsia="宋体" w:cs="宋体"/>
          <w:color w:val="auto"/>
          <w:spacing w:val="-2"/>
          <w:sz w:val="21"/>
          <w:szCs w:val="21"/>
          <w:highlight w:val="none"/>
        </w:rPr>
        <w:t>质量保证金的扣留</w:t>
      </w:r>
    </w:p>
    <w:p>
      <w:pPr>
        <w:spacing w:before="150"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质量保证金的扣留有以下三种方式：</w:t>
      </w:r>
    </w:p>
    <w:p>
      <w:pPr>
        <w:spacing w:before="149" w:line="398" w:lineRule="exact"/>
        <w:ind w:left="425"/>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）在支付工程进度款时逐次扣留， 在</w:t>
      </w:r>
      <w:r>
        <w:rPr>
          <w:rFonts w:ascii="宋体" w:hAnsi="宋体" w:eastAsia="宋体" w:cs="宋体"/>
          <w:color w:val="auto"/>
          <w:spacing w:val="-1"/>
          <w:position w:val="14"/>
          <w:sz w:val="21"/>
          <w:szCs w:val="21"/>
          <w:highlight w:val="none"/>
        </w:rPr>
        <w:t>此情形下，质量保证金的计算基数不包括预付款的</w:t>
      </w:r>
    </w:p>
    <w:p>
      <w:pPr>
        <w:spacing w:line="219"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支付、扣回以及价格调整的金额；</w:t>
      </w:r>
    </w:p>
    <w:p>
      <w:pPr>
        <w:spacing w:before="151" w:line="221" w:lineRule="auto"/>
        <w:ind w:left="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）工程竣工结算时一次性扣留质量保证金；</w:t>
      </w:r>
    </w:p>
    <w:p>
      <w:pPr>
        <w:spacing w:before="151" w:line="221"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）双方约定的其他扣留方式。</w:t>
      </w:r>
    </w:p>
    <w:p>
      <w:pPr>
        <w:spacing w:before="147" w:line="220" w:lineRule="auto"/>
        <w:ind w:left="4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除专用合同条款另有约定外，质量保证金的扣留原则上采用上述第（</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）种方式。</w:t>
      </w:r>
    </w:p>
    <w:p>
      <w:pPr>
        <w:spacing w:before="151" w:line="351" w:lineRule="auto"/>
        <w:ind w:right="17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发包人累计扣留的质量保证金不得超过工程价款结算总额的 </w:t>
      </w:r>
      <w:r>
        <w:rPr>
          <w:rFonts w:ascii="Times New Roman" w:hAnsi="Times New Roman" w:eastAsia="Times New Roman" w:cs="Times New Roman"/>
          <w:color w:val="auto"/>
          <w:sz w:val="21"/>
          <w:szCs w:val="21"/>
          <w:highlight w:val="none"/>
        </w:rPr>
        <w:t>1.5</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。如承包人在发</w:t>
      </w:r>
      <w:r>
        <w:rPr>
          <w:rFonts w:ascii="宋体" w:hAnsi="宋体" w:eastAsia="宋体" w:cs="宋体"/>
          <w:color w:val="auto"/>
          <w:spacing w:val="-1"/>
          <w:sz w:val="21"/>
          <w:szCs w:val="21"/>
          <w:highlight w:val="none"/>
        </w:rPr>
        <w:t>包人签发</w:t>
      </w:r>
      <w:r>
        <w:rPr>
          <w:rFonts w:ascii="宋体" w:hAnsi="宋体" w:eastAsia="宋体" w:cs="宋体"/>
          <w:color w:val="auto"/>
          <w:sz w:val="21"/>
          <w:szCs w:val="21"/>
          <w:highlight w:val="none"/>
        </w:rPr>
        <w:t xml:space="preserve"> 竣工付款证书后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天内提交质量保证金保函，发包人应同时退还扣留的作为质量保</w:t>
      </w:r>
      <w:r>
        <w:rPr>
          <w:rFonts w:ascii="宋体" w:hAnsi="宋体" w:eastAsia="宋体" w:cs="宋体"/>
          <w:color w:val="auto"/>
          <w:spacing w:val="-1"/>
          <w:sz w:val="21"/>
          <w:szCs w:val="21"/>
          <w:highlight w:val="none"/>
        </w:rPr>
        <w:t>证金的工程价款；保函金额不得超过工程价款结算总额的</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pacing w:val="-2"/>
          <w:sz w:val="21"/>
          <w:szCs w:val="21"/>
          <w:highlight w:val="none"/>
        </w:rPr>
        <w:t>5 %</w:t>
      </w:r>
      <w:r>
        <w:rPr>
          <w:rFonts w:ascii="宋体" w:hAnsi="宋体" w:eastAsia="宋体" w:cs="宋体"/>
          <w:color w:val="auto"/>
          <w:spacing w:val="-2"/>
          <w:sz w:val="21"/>
          <w:szCs w:val="21"/>
          <w:highlight w:val="none"/>
        </w:rPr>
        <w:t>。</w:t>
      </w:r>
    </w:p>
    <w:p>
      <w:pPr>
        <w:spacing w:before="136" w:line="220"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发包人在退还质量保证金的同时按照中国人民银行发布的同期同类贷款基准利率支付利息。</w:t>
      </w:r>
    </w:p>
    <w:p>
      <w:pPr>
        <w:spacing w:before="151" w:line="351" w:lineRule="auto"/>
        <w:ind w:right="17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15.3.3  质量保证金的退还</w:t>
      </w:r>
    </w:p>
    <w:p>
      <w:pPr>
        <w:spacing w:before="151" w:line="351" w:lineRule="auto"/>
        <w:ind w:right="17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缺陷责任期内， 承包人认真履行合同约定的责任， 到期后，承包人可向发包人申请返还保证金。</w:t>
      </w:r>
    </w:p>
    <w:p>
      <w:pPr>
        <w:spacing w:before="151" w:line="351" w:lineRule="auto"/>
        <w:ind w:right="17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发包人在接到承包人返还保证金申请后， 应于 14  天内会同承包人按照合同约定的内容进行核实。如无异议，发包人应当按照约定将保证金返还给承包人。对返还期限没有约定或者约定不明确的，发包人应当</w:t>
      </w:r>
      <w:r>
        <w:rPr>
          <w:rFonts w:ascii="宋体" w:hAnsi="宋体" w:eastAsia="宋体" w:cs="宋体"/>
          <w:color w:val="auto"/>
          <w:spacing w:val="-4"/>
          <w:sz w:val="21"/>
          <w:szCs w:val="21"/>
          <w:highlight w:val="none"/>
        </w:rPr>
        <w:t>在核实后</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天内将保证金返还承包人，</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逾期未返还的，依法承担违约责任。</w:t>
      </w:r>
    </w:p>
    <w:p>
      <w:pPr>
        <w:spacing w:before="151" w:line="351" w:lineRule="auto"/>
        <w:ind w:right="17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发包人在接到承包人返还保证金申请后 14 天内不予答复， 经催告后 14 天内仍不予答复， 视同认可承包人的返还保证金申请。</w:t>
      </w:r>
    </w:p>
    <w:p>
      <w:pPr>
        <w:spacing w:before="151" w:line="351" w:lineRule="auto"/>
        <w:ind w:right="177"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发包人和承包人对保证金预留、返还以及工程维修质量、费用有争议的，按本合同第 20 条约定的争议和纠纷解决程序处理。</w:t>
      </w:r>
    </w:p>
    <w:p>
      <w:pPr>
        <w:spacing w:before="124" w:line="219" w:lineRule="auto"/>
        <w:ind w:left="7"/>
        <w:outlineLvl w:val="6"/>
        <w:rPr>
          <w:rFonts w:ascii="黑体" w:hAnsi="黑体" w:eastAsia="黑体" w:cs="黑体"/>
          <w:color w:val="auto"/>
          <w:sz w:val="24"/>
          <w:szCs w:val="24"/>
          <w:highlight w:val="none"/>
        </w:rPr>
      </w:pPr>
      <w:bookmarkStart w:id="265" w:name="bookmark310"/>
      <w:bookmarkEnd w:id="265"/>
      <w:bookmarkStart w:id="266" w:name="bookmark309"/>
      <w:bookmarkEnd w:id="266"/>
      <w:bookmarkStart w:id="267" w:name="bookmark306"/>
      <w:bookmarkEnd w:id="267"/>
      <w:bookmarkStart w:id="268" w:name="bookmark305"/>
      <w:bookmarkEnd w:id="268"/>
      <w:bookmarkStart w:id="269" w:name="bookmark304"/>
      <w:bookmarkEnd w:id="269"/>
      <w:bookmarkStart w:id="270" w:name="bookmark308"/>
      <w:bookmarkEnd w:id="270"/>
      <w:bookmarkStart w:id="271" w:name="bookmark307"/>
      <w:bookmarkEnd w:id="271"/>
      <w:r>
        <w:rPr>
          <w:rFonts w:ascii="Times New Roman" w:hAnsi="Times New Roman" w:eastAsia="Times New Roman" w:cs="Times New Roman"/>
          <w:b/>
          <w:bCs/>
          <w:color w:val="auto"/>
          <w:spacing w:val="-4"/>
          <w:sz w:val="24"/>
          <w:szCs w:val="24"/>
          <w:highlight w:val="none"/>
        </w:rPr>
        <w:t>15.4</w:t>
      </w:r>
      <w:r>
        <w:rPr>
          <w:rFonts w:ascii="Times New Roman" w:hAnsi="Times New Roman" w:eastAsia="Times New Roman" w:cs="Times New Roman"/>
          <w:b/>
          <w:bCs/>
          <w:color w:val="auto"/>
          <w:spacing w:val="6"/>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保修</w:t>
      </w:r>
    </w:p>
    <w:p>
      <w:pPr>
        <w:spacing w:before="141"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15.4.1 </w:t>
      </w:r>
      <w:r>
        <w:rPr>
          <w:rFonts w:ascii="宋体" w:hAnsi="宋体" w:eastAsia="宋体" w:cs="宋体"/>
          <w:color w:val="auto"/>
          <w:spacing w:val="-2"/>
          <w:sz w:val="21"/>
          <w:szCs w:val="21"/>
          <w:highlight w:val="none"/>
        </w:rPr>
        <w:t>保修责任</w:t>
      </w:r>
    </w:p>
    <w:p>
      <w:pPr>
        <w:spacing w:before="146" w:line="353" w:lineRule="auto"/>
        <w:ind w:right="160"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工程保修期从工程竣工验收合格之日起算，具体分部分项工程的保修期由合同</w:t>
      </w:r>
      <w:r>
        <w:rPr>
          <w:rFonts w:ascii="宋体" w:hAnsi="宋体" w:eastAsia="宋体" w:cs="宋体"/>
          <w:color w:val="auto"/>
          <w:spacing w:val="-1"/>
          <w:sz w:val="21"/>
          <w:szCs w:val="21"/>
          <w:highlight w:val="none"/>
        </w:rPr>
        <w:t>当事人在专用</w:t>
      </w:r>
      <w:r>
        <w:rPr>
          <w:rFonts w:ascii="宋体" w:hAnsi="宋体" w:eastAsia="宋体" w:cs="宋体"/>
          <w:color w:val="auto"/>
          <w:sz w:val="21"/>
          <w:szCs w:val="21"/>
          <w:highlight w:val="none"/>
        </w:rPr>
        <w:t xml:space="preserve"> 合同条款中约定，但不得低于法定最低保修年限。在工程保修期内，承包人应当根据有</w:t>
      </w:r>
      <w:r>
        <w:rPr>
          <w:rFonts w:ascii="宋体" w:hAnsi="宋体" w:eastAsia="宋体" w:cs="宋体"/>
          <w:color w:val="auto"/>
          <w:spacing w:val="-1"/>
          <w:sz w:val="21"/>
          <w:szCs w:val="21"/>
          <w:highlight w:val="none"/>
        </w:rPr>
        <w:t>关法律规</w:t>
      </w:r>
      <w:r>
        <w:rPr>
          <w:rFonts w:ascii="宋体" w:hAnsi="宋体" w:eastAsia="宋体" w:cs="宋体"/>
          <w:color w:val="auto"/>
          <w:spacing w:val="-3"/>
          <w:sz w:val="21"/>
          <w:szCs w:val="21"/>
          <w:highlight w:val="none"/>
        </w:rPr>
        <w:t>定以及合同约定承担保修责任。</w:t>
      </w:r>
    </w:p>
    <w:p>
      <w:pPr>
        <w:spacing w:before="147" w:line="221" w:lineRule="auto"/>
        <w:ind w:left="423"/>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发包人未经竣工验收擅自使用工程的，保修期自转移占</w:t>
      </w:r>
      <w:r>
        <w:rPr>
          <w:rFonts w:ascii="宋体" w:hAnsi="宋体" w:eastAsia="宋体" w:cs="宋体"/>
          <w:color w:val="auto"/>
          <w:spacing w:val="-1"/>
          <w:sz w:val="21"/>
          <w:szCs w:val="21"/>
          <w:highlight w:val="none"/>
        </w:rPr>
        <w:t>有之日起算。</w:t>
      </w:r>
    </w:p>
    <w:p>
      <w:pPr>
        <w:spacing w:before="14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15.4.2  </w:t>
      </w:r>
      <w:r>
        <w:rPr>
          <w:rFonts w:ascii="宋体" w:hAnsi="宋体" w:eastAsia="宋体" w:cs="宋体"/>
          <w:color w:val="auto"/>
          <w:spacing w:val="-2"/>
          <w:sz w:val="21"/>
          <w:szCs w:val="21"/>
          <w:highlight w:val="none"/>
        </w:rPr>
        <w:t>修复费用</w:t>
      </w:r>
    </w:p>
    <w:p>
      <w:pPr>
        <w:spacing w:before="150" w:line="221" w:lineRule="auto"/>
        <w:ind w:left="4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保修期内，</w:t>
      </w:r>
      <w:r>
        <w:rPr>
          <w:rFonts w:ascii="宋体" w:hAnsi="宋体" w:eastAsia="宋体" w:cs="宋体"/>
          <w:color w:val="auto"/>
          <w:spacing w:val="-15"/>
          <w:sz w:val="21"/>
          <w:szCs w:val="21"/>
          <w:highlight w:val="none"/>
        </w:rPr>
        <w:t xml:space="preserve"> </w:t>
      </w:r>
      <w:r>
        <w:rPr>
          <w:rFonts w:ascii="宋体" w:hAnsi="宋体" w:eastAsia="宋体" w:cs="宋体"/>
          <w:color w:val="auto"/>
          <w:spacing w:val="-5"/>
          <w:sz w:val="21"/>
          <w:szCs w:val="21"/>
          <w:highlight w:val="none"/>
        </w:rPr>
        <w:t>修复的费用按照以下约定处理：</w:t>
      </w:r>
    </w:p>
    <w:p>
      <w:pPr>
        <w:spacing w:before="147" w:line="401" w:lineRule="exact"/>
        <w:ind w:left="426"/>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）保修期内，因承包人原因造成工程</w:t>
      </w:r>
      <w:r>
        <w:rPr>
          <w:rFonts w:ascii="宋体" w:hAnsi="宋体" w:eastAsia="宋体" w:cs="宋体"/>
          <w:color w:val="auto"/>
          <w:spacing w:val="-1"/>
          <w:position w:val="14"/>
          <w:sz w:val="21"/>
          <w:szCs w:val="21"/>
          <w:highlight w:val="none"/>
        </w:rPr>
        <w:t>的缺陷、损坏，承包人应负责修复，并承担修复的</w:t>
      </w:r>
    </w:p>
    <w:p>
      <w:pPr>
        <w:spacing w:before="1" w:line="220" w:lineRule="auto"/>
        <w:ind w:left="1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费用以及因工程的缺陷、损坏造成的人身伤害和财产损失；</w:t>
      </w:r>
    </w:p>
    <w:p>
      <w:pPr>
        <w:spacing w:before="150" w:line="398" w:lineRule="exact"/>
        <w:ind w:left="426"/>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）保修期内，因发包人使用不当造成</w:t>
      </w:r>
      <w:r>
        <w:rPr>
          <w:rFonts w:ascii="宋体" w:hAnsi="宋体" w:eastAsia="宋体" w:cs="宋体"/>
          <w:color w:val="auto"/>
          <w:spacing w:val="-1"/>
          <w:position w:val="14"/>
          <w:sz w:val="21"/>
          <w:szCs w:val="21"/>
          <w:highlight w:val="none"/>
        </w:rPr>
        <w:t>工程的缺陷、损坏，可以委托承包人修复，但发包</w:t>
      </w:r>
    </w:p>
    <w:p>
      <w:pPr>
        <w:spacing w:before="1" w:line="220"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人应承担修复的费用，并支付承包人合理利润；</w:t>
      </w:r>
    </w:p>
    <w:p>
      <w:pPr>
        <w:spacing w:before="150"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）因其他原因造成工程的缺陷、损坏， 可以委托承包人修复，发包人应承担修复的费用，</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并支付承包人合理的利润，因工程的缺陷、损坏造成的人身伤害和财产损失由责任方承担。</w:t>
      </w:r>
    </w:p>
    <w:p>
      <w:pPr>
        <w:spacing w:before="148"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15.4.3  </w:t>
      </w:r>
      <w:r>
        <w:rPr>
          <w:rFonts w:ascii="宋体" w:hAnsi="宋体" w:eastAsia="宋体" w:cs="宋体"/>
          <w:color w:val="auto"/>
          <w:spacing w:val="-2"/>
          <w:sz w:val="21"/>
          <w:szCs w:val="21"/>
          <w:highlight w:val="none"/>
        </w:rPr>
        <w:t>修复通知</w:t>
      </w:r>
    </w:p>
    <w:p>
      <w:pPr>
        <w:spacing w:before="148" w:line="352" w:lineRule="auto"/>
        <w:ind w:left="1" w:right="160" w:firstLine="4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在保修期内，发包人在使用过程中， 发现已接收的工程存在缺陷或损坏的，应书面通知承包</w:t>
      </w:r>
      <w:r>
        <w:rPr>
          <w:rFonts w:ascii="宋体" w:hAnsi="宋体" w:eastAsia="宋体" w:cs="宋体"/>
          <w:color w:val="auto"/>
          <w:sz w:val="21"/>
          <w:szCs w:val="21"/>
          <w:highlight w:val="none"/>
        </w:rPr>
        <w:t>人予以修复，但情况紧急必须立即修复缺陷或损坏的，发包人可以口头通知承包人并</w:t>
      </w:r>
      <w:r>
        <w:rPr>
          <w:rFonts w:ascii="宋体" w:hAnsi="宋体" w:eastAsia="宋体" w:cs="宋体"/>
          <w:color w:val="auto"/>
          <w:spacing w:val="-1"/>
          <w:sz w:val="21"/>
          <w:szCs w:val="21"/>
          <w:highlight w:val="none"/>
        </w:rPr>
        <w:t>在口头通知</w:t>
      </w:r>
      <w:r>
        <w:rPr>
          <w:rFonts w:ascii="宋体" w:hAnsi="宋体" w:eastAsia="宋体" w:cs="宋体"/>
          <w:color w:val="auto"/>
          <w:spacing w:val="-2"/>
          <w:sz w:val="21"/>
          <w:szCs w:val="21"/>
          <w:highlight w:val="none"/>
        </w:rPr>
        <w:t xml:space="preserve">后 </w:t>
      </w:r>
      <w:r>
        <w:rPr>
          <w:rFonts w:ascii="Times New Roman" w:hAnsi="Times New Roman" w:eastAsia="Times New Roman" w:cs="Times New Roman"/>
          <w:color w:val="auto"/>
          <w:spacing w:val="-2"/>
          <w:sz w:val="21"/>
          <w:szCs w:val="21"/>
          <w:highlight w:val="none"/>
        </w:rPr>
        <w:t xml:space="preserve">48  </w:t>
      </w:r>
      <w:r>
        <w:rPr>
          <w:rFonts w:ascii="宋体" w:hAnsi="宋体" w:eastAsia="宋体" w:cs="宋体"/>
          <w:color w:val="auto"/>
          <w:spacing w:val="-2"/>
          <w:sz w:val="21"/>
          <w:szCs w:val="21"/>
          <w:highlight w:val="none"/>
        </w:rPr>
        <w:t>小时内书面确认，</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承包人应在专用合同条款约定的合理期限内到达工程现场并修复缺陷或</w:t>
      </w:r>
      <w:r>
        <w:rPr>
          <w:rFonts w:ascii="宋体" w:hAnsi="宋体" w:eastAsia="宋体" w:cs="宋体"/>
          <w:color w:val="auto"/>
          <w:spacing w:val="-8"/>
          <w:sz w:val="21"/>
          <w:szCs w:val="21"/>
          <w:highlight w:val="none"/>
        </w:rPr>
        <w:t>损坏。</w:t>
      </w:r>
    </w:p>
    <w:p>
      <w:pPr>
        <w:spacing w:before="148"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15.4.4  </w:t>
      </w:r>
      <w:r>
        <w:rPr>
          <w:rFonts w:ascii="宋体" w:hAnsi="宋体" w:eastAsia="宋体" w:cs="宋体"/>
          <w:color w:val="auto"/>
          <w:spacing w:val="-2"/>
          <w:sz w:val="21"/>
          <w:szCs w:val="21"/>
          <w:highlight w:val="none"/>
        </w:rPr>
        <w:t>未能修复</w:t>
      </w:r>
    </w:p>
    <w:p>
      <w:pPr>
        <w:spacing w:before="149" w:line="352" w:lineRule="auto"/>
        <w:ind w:firstLine="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因承包人原因造成工程的缺陷或损坏，承包人拒绝维修或未能在合理期限内修复缺陷或损坏，</w:t>
      </w:r>
      <w:r>
        <w:rPr>
          <w:rFonts w:ascii="宋体" w:hAnsi="宋体" w:eastAsia="宋体" w:cs="宋体"/>
          <w:color w:val="auto"/>
          <w:spacing w:val="13"/>
          <w:sz w:val="21"/>
          <w:szCs w:val="21"/>
          <w:highlight w:val="none"/>
        </w:rPr>
        <w:t xml:space="preserve"> </w:t>
      </w:r>
      <w:r>
        <w:rPr>
          <w:rFonts w:ascii="宋体" w:hAnsi="宋体" w:eastAsia="宋体" w:cs="宋体"/>
          <w:color w:val="auto"/>
          <w:spacing w:val="-2"/>
          <w:sz w:val="21"/>
          <w:szCs w:val="21"/>
          <w:highlight w:val="none"/>
        </w:rPr>
        <w:t>且经发包人书面催告后仍未修复的，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发包人有权自行修复或委托第三方修复，所需费用</w:t>
      </w:r>
      <w:r>
        <w:rPr>
          <w:rFonts w:ascii="宋体" w:hAnsi="宋体" w:eastAsia="宋体" w:cs="宋体"/>
          <w:color w:val="auto"/>
          <w:spacing w:val="-3"/>
          <w:sz w:val="21"/>
          <w:szCs w:val="21"/>
          <w:highlight w:val="none"/>
        </w:rPr>
        <w:t>由承包人承担。 但修复范围超出缺陷或损坏范围的，超出范围部分的修复费用由发包人承担。</w:t>
      </w:r>
    </w:p>
    <w:p>
      <w:pPr>
        <w:spacing w:before="14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15.4.5  </w:t>
      </w:r>
      <w:r>
        <w:rPr>
          <w:rFonts w:ascii="宋体" w:hAnsi="宋体" w:eastAsia="宋体" w:cs="宋体"/>
          <w:color w:val="auto"/>
          <w:spacing w:val="-2"/>
          <w:sz w:val="21"/>
          <w:szCs w:val="21"/>
          <w:highlight w:val="none"/>
        </w:rPr>
        <w:t>承包人出入权</w:t>
      </w:r>
    </w:p>
    <w:p>
      <w:pPr>
        <w:spacing w:before="150" w:line="351" w:lineRule="auto"/>
        <w:ind w:left="13" w:right="160" w:firstLine="40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在保修期内，为了修复缺陷或损坏，</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承包人有权出入工程现场，除情况紧急必须</w:t>
      </w:r>
      <w:r>
        <w:rPr>
          <w:rFonts w:ascii="宋体" w:hAnsi="宋体" w:eastAsia="宋体" w:cs="宋体"/>
          <w:color w:val="auto"/>
          <w:spacing w:val="-3"/>
          <w:sz w:val="21"/>
          <w:szCs w:val="21"/>
          <w:highlight w:val="none"/>
        </w:rPr>
        <w:t>立即修复缺</w:t>
      </w:r>
      <w:r>
        <w:rPr>
          <w:rFonts w:ascii="宋体" w:hAnsi="宋体" w:eastAsia="宋体" w:cs="宋体"/>
          <w:color w:val="auto"/>
          <w:sz w:val="21"/>
          <w:szCs w:val="21"/>
          <w:highlight w:val="none"/>
        </w:rPr>
        <w:t xml:space="preserve"> 陷或损坏外，承包人应提前 </w:t>
      </w:r>
      <w:r>
        <w:rPr>
          <w:rFonts w:ascii="Times New Roman" w:hAnsi="Times New Roman" w:eastAsia="Times New Roman" w:cs="Times New Roman"/>
          <w:color w:val="auto"/>
          <w:sz w:val="21"/>
          <w:szCs w:val="21"/>
          <w:highlight w:val="none"/>
        </w:rPr>
        <w:t xml:space="preserve">24  </w:t>
      </w:r>
      <w:r>
        <w:rPr>
          <w:rFonts w:ascii="宋体" w:hAnsi="宋体" w:eastAsia="宋体" w:cs="宋体"/>
          <w:color w:val="auto"/>
          <w:sz w:val="21"/>
          <w:szCs w:val="21"/>
          <w:highlight w:val="none"/>
        </w:rPr>
        <w:t>小时通知发包人进场修复</w:t>
      </w:r>
      <w:r>
        <w:rPr>
          <w:rFonts w:ascii="宋体" w:hAnsi="宋体" w:eastAsia="宋体" w:cs="宋体"/>
          <w:color w:val="auto"/>
          <w:spacing w:val="-1"/>
          <w:sz w:val="21"/>
          <w:szCs w:val="21"/>
          <w:highlight w:val="none"/>
        </w:rPr>
        <w:t>的时间。承包人进入工程现场前应获得</w:t>
      </w:r>
      <w:r>
        <w:rPr>
          <w:rFonts w:ascii="宋体" w:hAnsi="宋体" w:eastAsia="宋体" w:cs="宋体"/>
          <w:color w:val="auto"/>
          <w:spacing w:val="-3"/>
          <w:sz w:val="21"/>
          <w:szCs w:val="21"/>
          <w:highlight w:val="none"/>
        </w:rPr>
        <w:t>发包人同意，且不应影响发包人正常的生产经营， 并应遵守发包人有关保安和保密等规</w:t>
      </w:r>
      <w:r>
        <w:rPr>
          <w:rFonts w:ascii="宋体" w:hAnsi="宋体" w:eastAsia="宋体" w:cs="宋体"/>
          <w:color w:val="auto"/>
          <w:spacing w:val="-4"/>
          <w:sz w:val="21"/>
          <w:szCs w:val="21"/>
          <w:highlight w:val="none"/>
        </w:rPr>
        <w:t>定。</w:t>
      </w:r>
    </w:p>
    <w:p>
      <w:pPr>
        <w:spacing w:before="188" w:line="221" w:lineRule="auto"/>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5"/>
          <w:sz w:val="28"/>
          <w:szCs w:val="28"/>
          <w:highlight w:val="none"/>
        </w:rPr>
        <w:t>16.</w:t>
      </w:r>
      <w:r>
        <w:rPr>
          <w:rFonts w:ascii="Times New Roman" w:hAnsi="Times New Roman" w:eastAsia="Times New Roman" w:cs="Times New Roman"/>
          <w:b/>
          <w:bCs/>
          <w:color w:val="auto"/>
          <w:spacing w:val="6"/>
          <w:sz w:val="28"/>
          <w:szCs w:val="28"/>
          <w:highlight w:val="none"/>
        </w:rPr>
        <w:t xml:space="preserve">  </w:t>
      </w:r>
      <w:r>
        <w:rPr>
          <w:rFonts w:ascii="黑体" w:hAnsi="黑体" w:eastAsia="黑体" w:cs="黑体"/>
          <w:color w:val="auto"/>
          <w:spacing w:val="-5"/>
          <w:sz w:val="28"/>
          <w:szCs w:val="28"/>
          <w:highlight w:val="none"/>
          <w14:textOutline w14:w="5094" w14:cap="flat" w14:cmpd="sng">
            <w14:solidFill>
              <w14:srgbClr w14:val="000000"/>
            </w14:solidFill>
            <w14:prstDash w14:val="solid"/>
            <w14:miter w14:val="0"/>
          </w14:textOutline>
        </w:rPr>
        <w:t>违约</w:t>
      </w:r>
    </w:p>
    <w:p>
      <w:pPr>
        <w:spacing w:before="102" w:line="218"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16.1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发包人违约</w:t>
      </w:r>
    </w:p>
    <w:p>
      <w:pPr>
        <w:spacing w:before="142"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16.1.1  </w:t>
      </w:r>
      <w:r>
        <w:rPr>
          <w:rFonts w:ascii="宋体" w:hAnsi="宋体" w:eastAsia="宋体" w:cs="宋体"/>
          <w:color w:val="auto"/>
          <w:spacing w:val="-2"/>
          <w:sz w:val="21"/>
          <w:szCs w:val="21"/>
          <w:highlight w:val="none"/>
        </w:rPr>
        <w:t>发包人违约的情形</w:t>
      </w:r>
    </w:p>
    <w:p>
      <w:pPr>
        <w:spacing w:before="125" w:line="221" w:lineRule="auto"/>
        <w:ind w:left="420"/>
        <w:rPr>
          <w:rFonts w:ascii="宋体" w:hAnsi="宋体" w:eastAsia="宋体" w:cs="宋体"/>
          <w:color w:val="auto"/>
          <w:sz w:val="21"/>
          <w:szCs w:val="21"/>
          <w:highlight w:val="none"/>
        </w:rPr>
      </w:pPr>
      <w:bookmarkStart w:id="272" w:name="bookmark315"/>
      <w:bookmarkEnd w:id="272"/>
      <w:bookmarkStart w:id="273" w:name="bookmark311"/>
      <w:bookmarkEnd w:id="273"/>
      <w:bookmarkStart w:id="274" w:name="bookmark312"/>
      <w:bookmarkEnd w:id="274"/>
      <w:bookmarkStart w:id="275" w:name="bookmark316"/>
      <w:bookmarkEnd w:id="275"/>
      <w:bookmarkStart w:id="276" w:name="bookmark314"/>
      <w:bookmarkEnd w:id="276"/>
      <w:bookmarkStart w:id="277" w:name="bookmark313"/>
      <w:bookmarkEnd w:id="277"/>
      <w:r>
        <w:rPr>
          <w:rFonts w:ascii="宋体" w:hAnsi="宋体" w:eastAsia="宋体" w:cs="宋体"/>
          <w:color w:val="auto"/>
          <w:spacing w:val="-5"/>
          <w:sz w:val="21"/>
          <w:szCs w:val="21"/>
          <w:highlight w:val="none"/>
        </w:rPr>
        <w:t>在合同履行过程中发生的下列情形，</w:t>
      </w:r>
      <w:r>
        <w:rPr>
          <w:rFonts w:ascii="宋体" w:hAnsi="宋体" w:eastAsia="宋体" w:cs="宋体"/>
          <w:color w:val="auto"/>
          <w:spacing w:val="-13"/>
          <w:sz w:val="21"/>
          <w:szCs w:val="21"/>
          <w:highlight w:val="none"/>
        </w:rPr>
        <w:t xml:space="preserve"> </w:t>
      </w:r>
      <w:r>
        <w:rPr>
          <w:rFonts w:ascii="宋体" w:hAnsi="宋体" w:eastAsia="宋体" w:cs="宋体"/>
          <w:color w:val="auto"/>
          <w:spacing w:val="-5"/>
          <w:sz w:val="21"/>
          <w:szCs w:val="21"/>
          <w:highlight w:val="none"/>
        </w:rPr>
        <w:t>属于发包人违约：</w:t>
      </w:r>
    </w:p>
    <w:p>
      <w:pPr>
        <w:spacing w:before="148"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）因发包人原因未能在计划开工日期前</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天内下达开工通知的；</w:t>
      </w:r>
    </w:p>
    <w:p>
      <w:pPr>
        <w:spacing w:before="150"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）因发包人原因未能按合同约定支付合同价款的；</w:t>
      </w:r>
    </w:p>
    <w:p>
      <w:pPr>
        <w:spacing w:before="149" w:line="400" w:lineRule="exact"/>
        <w:ind w:left="42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 xml:space="preserve">）发包人违反第 </w:t>
      </w:r>
      <w:r>
        <w:rPr>
          <w:rFonts w:ascii="Times New Roman" w:hAnsi="Times New Roman" w:eastAsia="Times New Roman" w:cs="Times New Roman"/>
          <w:color w:val="auto"/>
          <w:position w:val="14"/>
          <w:sz w:val="21"/>
          <w:szCs w:val="21"/>
          <w:highlight w:val="none"/>
        </w:rPr>
        <w:t xml:space="preserve">10.1  </w:t>
      </w:r>
      <w:r>
        <w:rPr>
          <w:rFonts w:ascii="宋体" w:hAnsi="宋体" w:eastAsia="宋体" w:cs="宋体"/>
          <w:color w:val="auto"/>
          <w:position w:val="14"/>
          <w:sz w:val="21"/>
          <w:szCs w:val="21"/>
          <w:highlight w:val="none"/>
        </w:rPr>
        <w:t>款〔变更的范围〕第（</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）项约定，自行实施被取消的工作或转由</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他人实施的；</w:t>
      </w:r>
    </w:p>
    <w:p>
      <w:pPr>
        <w:spacing w:before="149" w:line="399" w:lineRule="exact"/>
        <w:ind w:left="42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宋体" w:hAnsi="宋体" w:eastAsia="宋体" w:cs="宋体"/>
          <w:color w:val="auto"/>
          <w:position w:val="14"/>
          <w:sz w:val="21"/>
          <w:szCs w:val="21"/>
          <w:highlight w:val="none"/>
        </w:rPr>
        <w:t>）发包人提供的材料、工程设备的规格</w:t>
      </w:r>
      <w:r>
        <w:rPr>
          <w:rFonts w:ascii="宋体" w:hAnsi="宋体" w:eastAsia="宋体" w:cs="宋体"/>
          <w:color w:val="auto"/>
          <w:spacing w:val="-1"/>
          <w:position w:val="14"/>
          <w:sz w:val="21"/>
          <w:szCs w:val="21"/>
          <w:highlight w:val="none"/>
        </w:rPr>
        <w:t>、数量或质量不符合合同约定， 或因发包人原因</w:t>
      </w:r>
    </w:p>
    <w:p>
      <w:pPr>
        <w:spacing w:before="1" w:line="219" w:lineRule="auto"/>
        <w:ind w:left="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导致交货日期延误或交货地点变更等情况的；</w:t>
      </w:r>
    </w:p>
    <w:p>
      <w:pPr>
        <w:spacing w:before="151"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）因发包人违反合同约定造成暂停施工的；</w:t>
      </w:r>
    </w:p>
    <w:p>
      <w:pPr>
        <w:spacing w:before="149" w:line="221" w:lineRule="auto"/>
        <w:ind w:left="4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）发包人无正当理由没有在约定期限内发出复工指示， 导致承包人无法复工的；</w:t>
      </w:r>
    </w:p>
    <w:p>
      <w:pPr>
        <w:spacing w:before="147"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）发包人明确表示或者以其行为表明不履行合同主要义务的；</w:t>
      </w:r>
    </w:p>
    <w:p>
      <w:pPr>
        <w:spacing w:before="149"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）发包人未能按照合同约定履行其他义务的。</w:t>
      </w:r>
    </w:p>
    <w:p>
      <w:pPr>
        <w:spacing w:before="151" w:line="351" w:lineRule="auto"/>
        <w:ind w:right="177"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发包人发生除本项第（</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）目以外的违约情况时， 承包人可向发包人发出通知， 要求发包人</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 xml:space="preserve">采取有效措施纠正违约行为。发包人收到承包人通知后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2"/>
          <w:sz w:val="21"/>
          <w:szCs w:val="21"/>
          <w:highlight w:val="none"/>
        </w:rPr>
        <w:t>天内仍不纠正违约行为的，</w:t>
      </w:r>
      <w:r>
        <w:rPr>
          <w:rFonts w:ascii="宋体" w:hAnsi="宋体" w:eastAsia="宋体" w:cs="宋体"/>
          <w:color w:val="auto"/>
          <w:spacing w:val="-18"/>
          <w:sz w:val="21"/>
          <w:szCs w:val="21"/>
          <w:highlight w:val="none"/>
        </w:rPr>
        <w:t xml:space="preserve"> </w:t>
      </w:r>
      <w:r>
        <w:rPr>
          <w:rFonts w:ascii="宋体" w:hAnsi="宋体" w:eastAsia="宋体" w:cs="宋体"/>
          <w:color w:val="auto"/>
          <w:spacing w:val="-2"/>
          <w:sz w:val="21"/>
          <w:szCs w:val="21"/>
          <w:highlight w:val="none"/>
        </w:rPr>
        <w:t>承包人有</w:t>
      </w:r>
      <w:r>
        <w:rPr>
          <w:rFonts w:ascii="宋体" w:hAnsi="宋体" w:eastAsia="宋体" w:cs="宋体"/>
          <w:color w:val="auto"/>
          <w:spacing w:val="-1"/>
          <w:sz w:val="21"/>
          <w:szCs w:val="21"/>
          <w:highlight w:val="none"/>
        </w:rPr>
        <w:t>权暂停相应部位工程施工，并通知监理人。</w:t>
      </w:r>
    </w:p>
    <w:p>
      <w:pPr>
        <w:spacing w:before="150"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16.1.2  </w:t>
      </w:r>
      <w:r>
        <w:rPr>
          <w:rFonts w:ascii="宋体" w:hAnsi="宋体" w:eastAsia="宋体" w:cs="宋体"/>
          <w:color w:val="auto"/>
          <w:spacing w:val="-2"/>
          <w:sz w:val="21"/>
          <w:szCs w:val="21"/>
          <w:highlight w:val="none"/>
        </w:rPr>
        <w:t>发包人违约的责任</w:t>
      </w:r>
    </w:p>
    <w:p>
      <w:pPr>
        <w:spacing w:before="147" w:line="402"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发包人应承担因其违约给承包人增加的费用和（或）延</w:t>
      </w:r>
      <w:r>
        <w:rPr>
          <w:rFonts w:ascii="宋体" w:hAnsi="宋体" w:eastAsia="宋体" w:cs="宋体"/>
          <w:color w:val="auto"/>
          <w:spacing w:val="-4"/>
          <w:position w:val="14"/>
          <w:sz w:val="21"/>
          <w:szCs w:val="21"/>
          <w:highlight w:val="none"/>
        </w:rPr>
        <w:t>误的工期， 并支付承包人合理的利润。</w:t>
      </w:r>
    </w:p>
    <w:p>
      <w:pPr>
        <w:spacing w:line="220"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此外， 合同当事人可在专用合同条款中另行约定发包人违约责任的承担方式和计算方法。</w:t>
      </w:r>
    </w:p>
    <w:p>
      <w:pPr>
        <w:spacing w:before="150"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16.1.3</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因发包人违约解除合同</w:t>
      </w:r>
    </w:p>
    <w:p>
      <w:pPr>
        <w:spacing w:before="146" w:line="352" w:lineRule="auto"/>
        <w:ind w:left="5" w:right="177"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除专用合同条款另有约定外，承包人按第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z w:val="21"/>
          <w:szCs w:val="21"/>
          <w:highlight w:val="none"/>
        </w:rPr>
        <w:t>16.</w:t>
      </w:r>
      <w:r>
        <w:rPr>
          <w:rFonts w:ascii="Times New Roman" w:hAnsi="Times New Roman" w:eastAsia="Times New Roman" w:cs="Times New Roman"/>
          <w:color w:val="auto"/>
          <w:spacing w:val="-1"/>
          <w:sz w:val="21"/>
          <w:szCs w:val="21"/>
          <w:highlight w:val="none"/>
        </w:rPr>
        <w:t xml:space="preserve">1.1 </w:t>
      </w:r>
      <w:r>
        <w:rPr>
          <w:rFonts w:ascii="宋体" w:hAnsi="宋体" w:eastAsia="宋体" w:cs="宋体"/>
          <w:color w:val="auto"/>
          <w:spacing w:val="-1"/>
          <w:sz w:val="21"/>
          <w:szCs w:val="21"/>
          <w:highlight w:val="none"/>
        </w:rPr>
        <w:t>项〔发包人违约的情形〕约定暂停施工满</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1"/>
          <w:sz w:val="21"/>
          <w:szCs w:val="21"/>
          <w:highlight w:val="none"/>
        </w:rPr>
        <w:t>天后，发包人仍不纠正其违约行为并致使合同目的不能实现的，或出现第</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16.1.1 </w:t>
      </w:r>
      <w:r>
        <w:rPr>
          <w:rFonts w:ascii="宋体" w:hAnsi="宋体" w:eastAsia="宋体" w:cs="宋体"/>
          <w:color w:val="auto"/>
          <w:spacing w:val="-1"/>
          <w:sz w:val="21"/>
          <w:szCs w:val="21"/>
          <w:highlight w:val="none"/>
        </w:rPr>
        <w:t>项〔发包人违约</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的情形〕第（</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w:t>
      </w:r>
      <w:r>
        <w:rPr>
          <w:rFonts w:ascii="宋体" w:hAnsi="宋体" w:eastAsia="宋体" w:cs="宋体"/>
          <w:color w:val="auto"/>
          <w:spacing w:val="-39"/>
          <w:sz w:val="21"/>
          <w:szCs w:val="21"/>
          <w:highlight w:val="none"/>
        </w:rPr>
        <w:t xml:space="preserve"> </w:t>
      </w:r>
      <w:r>
        <w:rPr>
          <w:rFonts w:ascii="宋体" w:hAnsi="宋体" w:eastAsia="宋体" w:cs="宋体"/>
          <w:color w:val="auto"/>
          <w:spacing w:val="-4"/>
          <w:sz w:val="21"/>
          <w:szCs w:val="21"/>
          <w:highlight w:val="none"/>
        </w:rPr>
        <w:t>目约定的违约情况，承包人有权解除合同， 发包人应承担由此增加的费用， 并</w:t>
      </w:r>
      <w:r>
        <w:rPr>
          <w:rFonts w:ascii="宋体" w:hAnsi="宋体" w:eastAsia="宋体" w:cs="宋体"/>
          <w:color w:val="auto"/>
          <w:spacing w:val="-2"/>
          <w:sz w:val="21"/>
          <w:szCs w:val="21"/>
          <w:highlight w:val="none"/>
        </w:rPr>
        <w:t>支付承包人合理的利润。</w:t>
      </w:r>
    </w:p>
    <w:p>
      <w:pPr>
        <w:spacing w:before="149"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16.1.4  </w:t>
      </w:r>
      <w:r>
        <w:rPr>
          <w:rFonts w:ascii="宋体" w:hAnsi="宋体" w:eastAsia="宋体" w:cs="宋体"/>
          <w:color w:val="auto"/>
          <w:spacing w:val="-1"/>
          <w:sz w:val="21"/>
          <w:szCs w:val="21"/>
          <w:highlight w:val="none"/>
        </w:rPr>
        <w:t>因发包人违约解除合同后的付款</w:t>
      </w:r>
    </w:p>
    <w:p>
      <w:pPr>
        <w:spacing w:before="150" w:line="399" w:lineRule="exact"/>
        <w:ind w:left="420"/>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承包人按照本款约定解除合同的，发包人应在解除合同后 28  天内支付下列款项， 并解除履约担保：</w:t>
      </w:r>
    </w:p>
    <w:p>
      <w:pPr>
        <w:spacing w:before="149" w:line="219"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）合同解除前所完成工作的价款；</w:t>
      </w:r>
    </w:p>
    <w:p>
      <w:pPr>
        <w:spacing w:before="152" w:line="219"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）承包人为工程施工订购并已付款的材料、工程设备和其他物品的价</w:t>
      </w:r>
      <w:r>
        <w:rPr>
          <w:rFonts w:ascii="宋体" w:hAnsi="宋体" w:eastAsia="宋体" w:cs="宋体"/>
          <w:color w:val="auto"/>
          <w:spacing w:val="-2"/>
          <w:sz w:val="21"/>
          <w:szCs w:val="21"/>
          <w:highlight w:val="none"/>
        </w:rPr>
        <w:t>款；</w:t>
      </w:r>
    </w:p>
    <w:p>
      <w:pPr>
        <w:spacing w:before="149"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）承包人撤离施工现场以及遣散承包人人员的款项；</w:t>
      </w:r>
    </w:p>
    <w:p>
      <w:pPr>
        <w:spacing w:before="149"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）按照合同约定在合同解除前应支付的违约金；</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）按照合同约定应当支付给承包人的其他款项；</w:t>
      </w:r>
    </w:p>
    <w:p>
      <w:pPr>
        <w:spacing w:before="147"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）按照合同约定应退还的质量保证金；</w:t>
      </w:r>
    </w:p>
    <w:p>
      <w:pPr>
        <w:spacing w:before="147" w:line="221" w:lineRule="auto"/>
        <w:ind w:left="427"/>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（7）因解除合同给承包人造成的损失。</w:t>
      </w:r>
    </w:p>
    <w:p>
      <w:pPr>
        <w:spacing w:before="149" w:line="221" w:lineRule="auto"/>
        <w:ind w:left="427"/>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合同当事人未能就解除合同后的结清达成一致的， 按照第 20 条〔争议解决〕的约定处理。</w:t>
      </w:r>
    </w:p>
    <w:p>
      <w:pPr>
        <w:spacing w:before="149" w:line="221" w:lineRule="auto"/>
        <w:ind w:left="7" w:leftChars="0" w:firstLine="418" w:firstLineChars="203"/>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承包人应妥善做好已完工程和与工程有关的已购材料、工程设备的保护和移交工作，并将施工设备和人员撤出施工现场，发包人应为承包人撤出提供必要条件。</w:t>
      </w:r>
    </w:p>
    <w:p>
      <w:pPr>
        <w:spacing w:before="99" w:line="220" w:lineRule="auto"/>
        <w:ind w:left="7"/>
        <w:outlineLvl w:val="6"/>
        <w:rPr>
          <w:rFonts w:ascii="黑体" w:hAnsi="黑体" w:eastAsia="黑体" w:cs="黑体"/>
          <w:color w:val="auto"/>
          <w:sz w:val="24"/>
          <w:szCs w:val="24"/>
          <w:highlight w:val="none"/>
        </w:rPr>
      </w:pPr>
      <w:bookmarkStart w:id="278" w:name="bookmark321"/>
      <w:bookmarkEnd w:id="278"/>
      <w:bookmarkStart w:id="279" w:name="bookmark322"/>
      <w:bookmarkEnd w:id="279"/>
      <w:bookmarkStart w:id="280" w:name="bookmark318"/>
      <w:bookmarkEnd w:id="280"/>
      <w:bookmarkStart w:id="281" w:name="bookmark317"/>
      <w:bookmarkEnd w:id="281"/>
      <w:bookmarkStart w:id="282" w:name="bookmark319"/>
      <w:bookmarkEnd w:id="282"/>
      <w:bookmarkStart w:id="283" w:name="bookmark323"/>
      <w:bookmarkEnd w:id="283"/>
      <w:bookmarkStart w:id="284" w:name="bookmark320"/>
      <w:bookmarkEnd w:id="284"/>
      <w:bookmarkStart w:id="285" w:name="bookmark324"/>
      <w:bookmarkEnd w:id="285"/>
      <w:r>
        <w:rPr>
          <w:rFonts w:ascii="Times New Roman" w:hAnsi="Times New Roman" w:eastAsia="Times New Roman" w:cs="Times New Roman"/>
          <w:b/>
          <w:bCs/>
          <w:color w:val="auto"/>
          <w:spacing w:val="-2"/>
          <w:sz w:val="24"/>
          <w:szCs w:val="24"/>
          <w:highlight w:val="none"/>
        </w:rPr>
        <w:t xml:space="preserve">16.2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承包人违约</w:t>
      </w:r>
    </w:p>
    <w:p>
      <w:pPr>
        <w:spacing w:before="13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承包人违约的情形</w:t>
      </w:r>
    </w:p>
    <w:p>
      <w:pPr>
        <w:spacing w:before="149" w:line="221" w:lineRule="auto"/>
        <w:ind w:left="4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在合同履行过程中发生的下列情形，</w:t>
      </w:r>
      <w:r>
        <w:rPr>
          <w:rFonts w:ascii="宋体" w:hAnsi="宋体" w:eastAsia="宋体" w:cs="宋体"/>
          <w:color w:val="auto"/>
          <w:spacing w:val="-13"/>
          <w:sz w:val="21"/>
          <w:szCs w:val="21"/>
          <w:highlight w:val="none"/>
        </w:rPr>
        <w:t xml:space="preserve"> </w:t>
      </w:r>
      <w:r>
        <w:rPr>
          <w:rFonts w:ascii="宋体" w:hAnsi="宋体" w:eastAsia="宋体" w:cs="宋体"/>
          <w:color w:val="auto"/>
          <w:spacing w:val="-5"/>
          <w:sz w:val="21"/>
          <w:szCs w:val="21"/>
          <w:highlight w:val="none"/>
        </w:rPr>
        <w:t>属于承包人违约：</w:t>
      </w:r>
    </w:p>
    <w:p>
      <w:pPr>
        <w:spacing w:before="147" w:line="221" w:lineRule="auto"/>
        <w:ind w:left="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）承包人违反合同约定进行转包或违法分包的；</w:t>
      </w:r>
    </w:p>
    <w:p>
      <w:pPr>
        <w:spacing w:before="149" w:line="220"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）承包人违反合同约定采购和使用不合格的材料和</w:t>
      </w:r>
      <w:r>
        <w:rPr>
          <w:rFonts w:ascii="宋体" w:hAnsi="宋体" w:eastAsia="宋体" w:cs="宋体"/>
          <w:color w:val="auto"/>
          <w:spacing w:val="-2"/>
          <w:sz w:val="21"/>
          <w:szCs w:val="21"/>
          <w:highlight w:val="none"/>
        </w:rPr>
        <w:t>工程设备的；</w:t>
      </w:r>
    </w:p>
    <w:p>
      <w:pPr>
        <w:spacing w:before="151" w:line="221"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）因承包人原因导致工程质量不符合合同要求的；</w:t>
      </w:r>
    </w:p>
    <w:p>
      <w:pPr>
        <w:spacing w:before="147" w:line="401" w:lineRule="exact"/>
        <w:ind w:left="426"/>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 xml:space="preserve">）承包人违反第 </w:t>
      </w:r>
      <w:r>
        <w:rPr>
          <w:rFonts w:ascii="Times New Roman" w:hAnsi="Times New Roman" w:eastAsia="Times New Roman" w:cs="Times New Roman"/>
          <w:color w:val="auto"/>
          <w:spacing w:val="-1"/>
          <w:position w:val="14"/>
          <w:sz w:val="21"/>
          <w:szCs w:val="21"/>
          <w:highlight w:val="none"/>
        </w:rPr>
        <w:t xml:space="preserve">8.9  </w:t>
      </w:r>
      <w:r>
        <w:rPr>
          <w:rFonts w:ascii="宋体" w:hAnsi="宋体" w:eastAsia="宋体" w:cs="宋体"/>
          <w:color w:val="auto"/>
          <w:spacing w:val="-1"/>
          <w:position w:val="14"/>
          <w:sz w:val="21"/>
          <w:szCs w:val="21"/>
          <w:highlight w:val="none"/>
        </w:rPr>
        <w:t>款〔材料与设备专用</w:t>
      </w:r>
      <w:r>
        <w:rPr>
          <w:rFonts w:ascii="宋体" w:hAnsi="宋体" w:eastAsia="宋体" w:cs="宋体"/>
          <w:color w:val="auto"/>
          <w:spacing w:val="-2"/>
          <w:position w:val="14"/>
          <w:sz w:val="21"/>
          <w:szCs w:val="21"/>
          <w:highlight w:val="none"/>
        </w:rPr>
        <w:t>要求〕 的约定，未经批准，私自将已按照合同</w:t>
      </w:r>
    </w:p>
    <w:p>
      <w:pPr>
        <w:spacing w:before="1" w:line="219" w:lineRule="auto"/>
        <w:ind w:left="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约定进入施工现场的材料或设备撤离施工现场的；</w:t>
      </w:r>
    </w:p>
    <w:p>
      <w:pPr>
        <w:spacing w:before="151" w:line="221" w:lineRule="auto"/>
        <w:ind w:left="4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）承包人未能按施工进度计划及时完成合同约定的</w:t>
      </w:r>
      <w:r>
        <w:rPr>
          <w:rFonts w:ascii="宋体" w:hAnsi="宋体" w:eastAsia="宋体" w:cs="宋体"/>
          <w:color w:val="auto"/>
          <w:spacing w:val="-1"/>
          <w:sz w:val="21"/>
          <w:szCs w:val="21"/>
          <w:highlight w:val="none"/>
        </w:rPr>
        <w:t>工作，造成工期延误的；</w:t>
      </w:r>
    </w:p>
    <w:p>
      <w:pPr>
        <w:spacing w:before="147" w:line="401" w:lineRule="exact"/>
        <w:ind w:left="426"/>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）承包人在缺陷责任期及保修期内，未</w:t>
      </w:r>
      <w:r>
        <w:rPr>
          <w:rFonts w:ascii="宋体" w:hAnsi="宋体" w:eastAsia="宋体" w:cs="宋体"/>
          <w:color w:val="auto"/>
          <w:spacing w:val="-1"/>
          <w:position w:val="14"/>
          <w:sz w:val="21"/>
          <w:szCs w:val="21"/>
          <w:highlight w:val="none"/>
        </w:rPr>
        <w:t>能在合理期限对工程缺陷进行修复， 或拒绝按发</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包人要求进行修复的；</w:t>
      </w:r>
    </w:p>
    <w:p>
      <w:pPr>
        <w:spacing w:before="149" w:line="221"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）承包人明确表示或者以其行为表明不履行合同主要义务的；</w:t>
      </w:r>
    </w:p>
    <w:p>
      <w:pPr>
        <w:spacing w:before="147" w:line="221"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）承包人未能按照合同约定履行其他义务的。</w:t>
      </w:r>
    </w:p>
    <w:p>
      <w:pPr>
        <w:spacing w:before="150" w:line="401"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承包人发生除本项第（</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）目约定以外的其他违约情况时，监理人可向承包人发出整改通知，</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要求其在指定的期限内改正。</w:t>
      </w:r>
    </w:p>
    <w:p>
      <w:pPr>
        <w:spacing w:before="148" w:line="352" w:lineRule="auto"/>
        <w:ind w:right="155" w:firstLine="432"/>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16.2.2  承包人违约的责任</w:t>
      </w:r>
    </w:p>
    <w:p>
      <w:pPr>
        <w:spacing w:before="148" w:line="352" w:lineRule="auto"/>
        <w:ind w:right="155" w:firstLine="432"/>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承包人应承担因其违约行为而增加的费用和（或） 延误的工期。此外， 合同当事人可在专用合同条款中另行约定承包人违约责任的承担方式和计算方法。</w:t>
      </w:r>
    </w:p>
    <w:p>
      <w:pPr>
        <w:spacing w:before="14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16.2.3</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因承包人违约解除合同</w:t>
      </w:r>
    </w:p>
    <w:p>
      <w:pPr>
        <w:spacing w:before="148" w:line="352" w:lineRule="auto"/>
        <w:ind w:right="155" w:firstLine="43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除专用合同条款另有约定外，出现第</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项〔承包人违约的情形〕第（</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w:t>
      </w:r>
      <w:r>
        <w:rPr>
          <w:rFonts w:ascii="宋体" w:hAnsi="宋体" w:eastAsia="宋体" w:cs="宋体"/>
          <w:color w:val="auto"/>
          <w:spacing w:val="-58"/>
          <w:sz w:val="21"/>
          <w:szCs w:val="21"/>
          <w:highlight w:val="none"/>
        </w:rPr>
        <w:t xml:space="preserve"> </w:t>
      </w:r>
      <w:r>
        <w:rPr>
          <w:rFonts w:ascii="宋体" w:hAnsi="宋体" w:eastAsia="宋体" w:cs="宋体"/>
          <w:color w:val="auto"/>
          <w:spacing w:val="-2"/>
          <w:sz w:val="21"/>
          <w:szCs w:val="21"/>
          <w:highlight w:val="none"/>
        </w:rPr>
        <w:t>目约定的违约</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情况时，或监理人发出整改通知后，</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承包人在指定的合理期限内仍不纠正违约行为并致使合</w:t>
      </w:r>
      <w:r>
        <w:rPr>
          <w:rFonts w:ascii="宋体" w:hAnsi="宋体" w:eastAsia="宋体" w:cs="宋体"/>
          <w:color w:val="auto"/>
          <w:spacing w:val="-3"/>
          <w:sz w:val="21"/>
          <w:szCs w:val="21"/>
          <w:highlight w:val="none"/>
        </w:rPr>
        <w:t>同目</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的不能实现的，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发包人有权解除合同。合同解除后，因继续完成工程的需要，发包人</w:t>
      </w:r>
      <w:r>
        <w:rPr>
          <w:rFonts w:ascii="宋体" w:hAnsi="宋体" w:eastAsia="宋体" w:cs="宋体"/>
          <w:color w:val="auto"/>
          <w:spacing w:val="-3"/>
          <w:sz w:val="21"/>
          <w:szCs w:val="21"/>
          <w:highlight w:val="none"/>
        </w:rPr>
        <w:t>有权使用承</w:t>
      </w:r>
      <w:r>
        <w:rPr>
          <w:rFonts w:ascii="宋体" w:hAnsi="宋体" w:eastAsia="宋体" w:cs="宋体"/>
          <w:color w:val="auto"/>
          <w:sz w:val="21"/>
          <w:szCs w:val="21"/>
          <w:highlight w:val="none"/>
        </w:rPr>
        <w:t>包人在施工现场的材料、设备、临时工程、承包人文件和由承包人或以其名义编制的其他</w:t>
      </w:r>
      <w:r>
        <w:rPr>
          <w:rFonts w:ascii="宋体" w:hAnsi="宋体" w:eastAsia="宋体" w:cs="宋体"/>
          <w:color w:val="auto"/>
          <w:spacing w:val="-1"/>
          <w:sz w:val="21"/>
          <w:szCs w:val="21"/>
          <w:highlight w:val="none"/>
        </w:rPr>
        <w:t>文件，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合同当事人应在专用合同条款约定相应费用的</w:t>
      </w:r>
      <w:r>
        <w:rPr>
          <w:rFonts w:ascii="宋体" w:hAnsi="宋体" w:eastAsia="宋体" w:cs="宋体"/>
          <w:color w:val="auto"/>
          <w:spacing w:val="-3"/>
          <w:sz w:val="21"/>
          <w:szCs w:val="21"/>
          <w:highlight w:val="none"/>
        </w:rPr>
        <w:t>承担方式。 发包人继续使用的行为不免除或减轻承</w:t>
      </w:r>
      <w:r>
        <w:rPr>
          <w:rFonts w:ascii="宋体" w:hAnsi="宋体" w:eastAsia="宋体" w:cs="宋体"/>
          <w:color w:val="auto"/>
          <w:spacing w:val="-2"/>
          <w:sz w:val="21"/>
          <w:szCs w:val="21"/>
          <w:highlight w:val="none"/>
        </w:rPr>
        <w:t>包人应承担的违约责任。</w:t>
      </w:r>
    </w:p>
    <w:p>
      <w:pPr>
        <w:spacing w:before="150"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16.2.4</w:t>
      </w:r>
      <w:r>
        <w:rPr>
          <w:rFonts w:ascii="Times New Roman" w:hAnsi="Times New Roman" w:eastAsia="Times New Roman" w:cs="Times New Roman"/>
          <w:color w:val="auto"/>
          <w:spacing w:val="39"/>
          <w:sz w:val="21"/>
          <w:szCs w:val="21"/>
          <w:highlight w:val="none"/>
        </w:rPr>
        <w:t xml:space="preserve"> </w:t>
      </w:r>
      <w:r>
        <w:rPr>
          <w:rFonts w:ascii="宋体" w:hAnsi="宋体" w:eastAsia="宋体" w:cs="宋体"/>
          <w:color w:val="auto"/>
          <w:spacing w:val="-3"/>
          <w:sz w:val="21"/>
          <w:szCs w:val="21"/>
          <w:highlight w:val="none"/>
        </w:rPr>
        <w:t>因承包人违约解除合同后的处理</w:t>
      </w:r>
    </w:p>
    <w:p>
      <w:pPr>
        <w:spacing w:before="150" w:line="398" w:lineRule="exact"/>
        <w:ind w:left="436"/>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 xml:space="preserve">因承包人原因导致合同解除的， 则合同当事人应在合同解除后 </w:t>
      </w:r>
      <w:r>
        <w:rPr>
          <w:rFonts w:ascii="Times New Roman" w:hAnsi="Times New Roman" w:eastAsia="Times New Roman" w:cs="Times New Roman"/>
          <w:color w:val="auto"/>
          <w:spacing w:val="-3"/>
          <w:position w:val="14"/>
          <w:sz w:val="21"/>
          <w:szCs w:val="21"/>
          <w:highlight w:val="none"/>
        </w:rPr>
        <w:t xml:space="preserve">28  </w:t>
      </w:r>
      <w:r>
        <w:rPr>
          <w:rFonts w:ascii="宋体" w:hAnsi="宋体" w:eastAsia="宋体" w:cs="宋体"/>
          <w:color w:val="auto"/>
          <w:spacing w:val="-3"/>
          <w:position w:val="14"/>
          <w:sz w:val="21"/>
          <w:szCs w:val="21"/>
          <w:highlight w:val="none"/>
        </w:rPr>
        <w:t>天内完成估价、付款和清</w:t>
      </w:r>
    </w:p>
    <w:p>
      <w:pPr>
        <w:spacing w:before="1" w:line="220"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算，并按以下约定执行：</w:t>
      </w:r>
    </w:p>
    <w:p>
      <w:pPr>
        <w:spacing w:before="150" w:line="221" w:lineRule="auto"/>
        <w:ind w:left="436"/>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（1）合同解除后， 按第 4.4  款〔商定或确定〕商定或确定承包人实际完成工作对应的合同价款， 以及承包人已提供的材料、工程设备、施工设备和临时工程等的价值；</w:t>
      </w:r>
    </w:p>
    <w:p>
      <w:pPr>
        <w:spacing w:before="150" w:line="221" w:lineRule="auto"/>
        <w:ind w:left="436"/>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（2）合同解除后， 承包人应支付的违约金；</w:t>
      </w:r>
    </w:p>
    <w:p>
      <w:pPr>
        <w:spacing w:before="150" w:line="221" w:lineRule="auto"/>
        <w:ind w:left="436"/>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（3）合同解除后， 因解除合同给发包人造成的损失；</w:t>
      </w:r>
    </w:p>
    <w:p>
      <w:pPr>
        <w:spacing w:before="150" w:line="221" w:lineRule="auto"/>
        <w:ind w:left="436"/>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（4）合同解除后， 承包人应按照发包人要求和监理人的指示完成现场的清理和撤离；</w:t>
      </w:r>
    </w:p>
    <w:p>
      <w:pPr>
        <w:spacing w:before="150" w:line="221" w:lineRule="auto"/>
        <w:ind w:left="436"/>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（5）发包人和承包人应在合同解除后进行清算，出具最终结清付款证书，结清全部款项。</w:t>
      </w:r>
    </w:p>
    <w:p>
      <w:pPr>
        <w:spacing w:before="150" w:line="221" w:lineRule="auto"/>
        <w:ind w:left="0" w:leftChars="0" w:firstLine="418" w:firstLineChars="205"/>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因承包人违约解除合同的，发包人有权暂停对承包人的付款， 查清各项付款和已扣款项。发包人和承包人未能就合同解除后的清算和款项支付达成一致的，按照第 20  条〔争议解决〕的约定处理。</w:t>
      </w:r>
    </w:p>
    <w:p>
      <w:pPr>
        <w:spacing w:before="150" w:line="221" w:lineRule="auto"/>
        <w:ind w:left="0" w:leftChars="0" w:firstLine="418" w:firstLineChars="205"/>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16.2.5 采购合同权益转让</w:t>
      </w:r>
    </w:p>
    <w:p>
      <w:pPr>
        <w:spacing w:before="150" w:line="221" w:lineRule="auto"/>
        <w:ind w:left="0" w:leftChars="0" w:firstLine="418" w:firstLineChars="205"/>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因承包人违约解除合同的，发包人有权要求承包人将其为实施合同而签订的材料和设备的采 购合同的权益转让给发包人，承包人应在收到解除合同通知后 14  天内，协助发包人与采购合同的供应商达成相关的转让协议。</w:t>
      </w:r>
    </w:p>
    <w:p>
      <w:pPr>
        <w:spacing w:before="123"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16.3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第三人造成的违约</w:t>
      </w:r>
    </w:p>
    <w:p>
      <w:pPr>
        <w:spacing w:before="141" w:line="402" w:lineRule="exact"/>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在履行合同过程中， 一方当事人因第三人的原因造成违约的，</w:t>
      </w:r>
      <w:r>
        <w:rPr>
          <w:rFonts w:ascii="宋体" w:hAnsi="宋体" w:eastAsia="宋体" w:cs="宋体"/>
          <w:color w:val="auto"/>
          <w:spacing w:val="-8"/>
          <w:position w:val="14"/>
          <w:sz w:val="21"/>
          <w:szCs w:val="21"/>
          <w:highlight w:val="none"/>
        </w:rPr>
        <w:t xml:space="preserve"> </w:t>
      </w:r>
      <w:r>
        <w:rPr>
          <w:rFonts w:ascii="宋体" w:hAnsi="宋体" w:eastAsia="宋体" w:cs="宋体"/>
          <w:color w:val="auto"/>
          <w:spacing w:val="-5"/>
          <w:position w:val="14"/>
          <w:sz w:val="21"/>
          <w:szCs w:val="21"/>
          <w:highlight w:val="none"/>
        </w:rPr>
        <w:t>应当向对方当事人承担违约责</w:t>
      </w:r>
    </w:p>
    <w:p>
      <w:pPr>
        <w:spacing w:before="1" w:line="219"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任。</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一方当事人和第三人之间的纠纷，依照法律规定或者按照约定解决。</w:t>
      </w:r>
    </w:p>
    <w:p>
      <w:pPr>
        <w:spacing w:before="188" w:line="219" w:lineRule="auto"/>
        <w:ind w:left="11"/>
        <w:outlineLvl w:val="6"/>
        <w:rPr>
          <w:rFonts w:ascii="黑体" w:hAnsi="黑体" w:eastAsia="黑体" w:cs="黑体"/>
          <w:color w:val="auto"/>
          <w:sz w:val="28"/>
          <w:szCs w:val="28"/>
          <w:highlight w:val="none"/>
        </w:rPr>
      </w:pPr>
      <w:bookmarkStart w:id="286" w:name="bookmark332"/>
      <w:bookmarkEnd w:id="286"/>
      <w:bookmarkStart w:id="287" w:name="bookmark331"/>
      <w:bookmarkEnd w:id="287"/>
      <w:bookmarkStart w:id="288" w:name="bookmark333"/>
      <w:bookmarkEnd w:id="288"/>
      <w:bookmarkStart w:id="289" w:name="bookmark325"/>
      <w:bookmarkEnd w:id="289"/>
      <w:bookmarkStart w:id="290" w:name="bookmark327"/>
      <w:bookmarkEnd w:id="290"/>
      <w:bookmarkStart w:id="291" w:name="bookmark328"/>
      <w:bookmarkEnd w:id="291"/>
      <w:bookmarkStart w:id="292" w:name="bookmark330"/>
      <w:bookmarkEnd w:id="292"/>
      <w:bookmarkStart w:id="293" w:name="bookmark326"/>
      <w:bookmarkEnd w:id="293"/>
      <w:bookmarkStart w:id="294" w:name="bookmark329"/>
      <w:bookmarkEnd w:id="294"/>
      <w:r>
        <w:rPr>
          <w:rFonts w:ascii="Times New Roman" w:hAnsi="Times New Roman" w:eastAsia="Times New Roman" w:cs="Times New Roman"/>
          <w:b/>
          <w:bCs/>
          <w:color w:val="auto"/>
          <w:spacing w:val="-4"/>
          <w:sz w:val="28"/>
          <w:szCs w:val="28"/>
          <w:highlight w:val="none"/>
        </w:rPr>
        <w:t>17.</w:t>
      </w:r>
      <w:r>
        <w:rPr>
          <w:rFonts w:ascii="Times New Roman" w:hAnsi="Times New Roman" w:eastAsia="Times New Roman" w:cs="Times New Roman"/>
          <w:b/>
          <w:bCs/>
          <w:color w:val="auto"/>
          <w:spacing w:val="8"/>
          <w:sz w:val="28"/>
          <w:szCs w:val="28"/>
          <w:highlight w:val="none"/>
        </w:rPr>
        <w:t xml:space="preserve">  </w:t>
      </w:r>
      <w:r>
        <w:rPr>
          <w:rFonts w:ascii="黑体" w:hAnsi="黑体" w:eastAsia="黑体" w:cs="黑体"/>
          <w:color w:val="auto"/>
          <w:spacing w:val="-4"/>
          <w:sz w:val="28"/>
          <w:szCs w:val="28"/>
          <w:highlight w:val="none"/>
          <w14:textOutline w14:w="5094" w14:cap="flat" w14:cmpd="sng">
            <w14:solidFill>
              <w14:srgbClr w14:val="000000"/>
            </w14:solidFill>
            <w14:prstDash w14:val="solid"/>
            <w14:miter w14:val="0"/>
          </w14:textOutline>
        </w:rPr>
        <w:t>不可抗力</w:t>
      </w:r>
    </w:p>
    <w:p>
      <w:pPr>
        <w:spacing w:before="105"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不可抗力的确认</w:t>
      </w:r>
    </w:p>
    <w:p>
      <w:pPr>
        <w:spacing w:before="140" w:line="352" w:lineRule="auto"/>
        <w:ind w:left="36" w:firstLine="38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不可抗力是指合同当事人在签订合同时不可预见，</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在合同履行过程中不可</w:t>
      </w:r>
      <w:r>
        <w:rPr>
          <w:rFonts w:ascii="宋体" w:hAnsi="宋体" w:eastAsia="宋体" w:cs="宋体"/>
          <w:color w:val="auto"/>
          <w:spacing w:val="-3"/>
          <w:sz w:val="21"/>
          <w:szCs w:val="21"/>
          <w:highlight w:val="none"/>
        </w:rPr>
        <w:t>避免且不能克服的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自然灾害和社会性突发事件，如地震、海啸、瘟疫、骚乱、戒严、暴动、战争和专用合同条款中</w:t>
      </w:r>
      <w:r>
        <w:rPr>
          <w:rFonts w:ascii="宋体" w:hAnsi="宋体" w:eastAsia="宋体" w:cs="宋体"/>
          <w:color w:val="auto"/>
          <w:spacing w:val="-2"/>
          <w:sz w:val="21"/>
          <w:szCs w:val="21"/>
          <w:highlight w:val="none"/>
        </w:rPr>
        <w:t>约定的其他情形。</w:t>
      </w:r>
    </w:p>
    <w:p>
      <w:pPr>
        <w:spacing w:before="145" w:line="353" w:lineRule="auto"/>
        <w:ind w:firstLine="42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不可抗力发生后，发包人和承包人应收集证明不可抗力发生及不可抗力造成</w:t>
      </w:r>
      <w:r>
        <w:rPr>
          <w:rFonts w:ascii="宋体" w:hAnsi="宋体" w:eastAsia="宋体" w:cs="宋体"/>
          <w:color w:val="auto"/>
          <w:spacing w:val="-1"/>
          <w:sz w:val="21"/>
          <w:szCs w:val="21"/>
          <w:highlight w:val="none"/>
        </w:rPr>
        <w:t>损失的证据，并</w:t>
      </w:r>
      <w:r>
        <w:rPr>
          <w:rFonts w:ascii="宋体" w:hAnsi="宋体" w:eastAsia="宋体" w:cs="宋体"/>
          <w:color w:val="auto"/>
          <w:sz w:val="21"/>
          <w:szCs w:val="21"/>
          <w:highlight w:val="none"/>
        </w:rPr>
        <w:t>及时认真统计所造成的损失。合同当事人对是否属于不可抗力或其损失的意见不一致的，</w:t>
      </w:r>
      <w:r>
        <w:rPr>
          <w:rFonts w:ascii="宋体" w:hAnsi="宋体" w:eastAsia="宋体" w:cs="宋体"/>
          <w:color w:val="auto"/>
          <w:spacing w:val="-1"/>
          <w:sz w:val="21"/>
          <w:szCs w:val="21"/>
          <w:highlight w:val="none"/>
        </w:rPr>
        <w:t>由监理</w:t>
      </w:r>
      <w:r>
        <w:rPr>
          <w:rFonts w:ascii="宋体" w:hAnsi="宋体" w:eastAsia="宋体" w:cs="宋体"/>
          <w:color w:val="auto"/>
          <w:spacing w:val="-2"/>
          <w:sz w:val="21"/>
          <w:szCs w:val="21"/>
          <w:highlight w:val="none"/>
        </w:rPr>
        <w:t>人按第</w:t>
      </w:r>
      <w:r>
        <w:rPr>
          <w:rFonts w:ascii="宋体" w:hAnsi="宋体" w:eastAsia="宋体" w:cs="宋体"/>
          <w:color w:val="auto"/>
          <w:spacing w:val="-49"/>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4.4 </w:t>
      </w:r>
      <w:r>
        <w:rPr>
          <w:rFonts w:ascii="宋体" w:hAnsi="宋体" w:eastAsia="宋体" w:cs="宋体"/>
          <w:color w:val="auto"/>
          <w:spacing w:val="-2"/>
          <w:sz w:val="21"/>
          <w:szCs w:val="21"/>
          <w:highlight w:val="none"/>
        </w:rPr>
        <w:t>款〔商定或确定〕的约定处理</w:t>
      </w:r>
      <w:r>
        <w:rPr>
          <w:rFonts w:ascii="宋体" w:hAnsi="宋体" w:eastAsia="宋体" w:cs="宋体"/>
          <w:color w:val="auto"/>
          <w:spacing w:val="-3"/>
          <w:sz w:val="21"/>
          <w:szCs w:val="21"/>
          <w:highlight w:val="none"/>
        </w:rPr>
        <w:t>。发生争议时， 按第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20 </w:t>
      </w:r>
      <w:r>
        <w:rPr>
          <w:rFonts w:ascii="宋体" w:hAnsi="宋体" w:eastAsia="宋体" w:cs="宋体"/>
          <w:color w:val="auto"/>
          <w:spacing w:val="-3"/>
          <w:sz w:val="21"/>
          <w:szCs w:val="21"/>
          <w:highlight w:val="none"/>
        </w:rPr>
        <w:t>条〔争议解决〕的约定处理。</w:t>
      </w:r>
    </w:p>
    <w:p>
      <w:pPr>
        <w:spacing w:before="123"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不可抗力的通知</w:t>
      </w:r>
    </w:p>
    <w:p>
      <w:pPr>
        <w:spacing w:before="142"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合同一方当事人遇到不可抗力事件，</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2"/>
          <w:position w:val="14"/>
          <w:sz w:val="21"/>
          <w:szCs w:val="21"/>
          <w:highlight w:val="none"/>
        </w:rPr>
        <w:t>使其履行合同义务受到阻碍时，应立</w:t>
      </w:r>
      <w:r>
        <w:rPr>
          <w:rFonts w:ascii="宋体" w:hAnsi="宋体" w:eastAsia="宋体" w:cs="宋体"/>
          <w:color w:val="auto"/>
          <w:spacing w:val="-3"/>
          <w:position w:val="14"/>
          <w:sz w:val="21"/>
          <w:szCs w:val="21"/>
          <w:highlight w:val="none"/>
        </w:rPr>
        <w:t>即通知合同另一方</w:t>
      </w:r>
    </w:p>
    <w:p>
      <w:pPr>
        <w:spacing w:before="1" w:line="219" w:lineRule="auto"/>
        <w:ind w:left="1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当事人和监理人，书面说明不可抗力和受阻碍的详细情况，并提供必要的证明。</w:t>
      </w:r>
    </w:p>
    <w:p>
      <w:pPr>
        <w:spacing w:before="149" w:line="352" w:lineRule="auto"/>
        <w:ind w:left="4"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不可抗力持续发生的，合同一方当事人应及时向合同另一方当事人和监理人</w:t>
      </w:r>
      <w:r>
        <w:rPr>
          <w:rFonts w:ascii="宋体" w:hAnsi="宋体" w:eastAsia="宋体" w:cs="宋体"/>
          <w:color w:val="auto"/>
          <w:spacing w:val="-1"/>
          <w:sz w:val="21"/>
          <w:szCs w:val="21"/>
          <w:highlight w:val="none"/>
        </w:rPr>
        <w:t>提交中间报告，</w:t>
      </w:r>
      <w:r>
        <w:rPr>
          <w:rFonts w:ascii="宋体" w:hAnsi="宋体" w:eastAsia="宋体" w:cs="宋体"/>
          <w:color w:val="auto"/>
          <w:sz w:val="21"/>
          <w:szCs w:val="21"/>
          <w:highlight w:val="none"/>
        </w:rPr>
        <w:t xml:space="preserve"> 说明不可抗力和履行合同受阻的情况，并于不可抗力事件结束后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天内提交最终</w:t>
      </w:r>
      <w:r>
        <w:rPr>
          <w:rFonts w:ascii="宋体" w:hAnsi="宋体" w:eastAsia="宋体" w:cs="宋体"/>
          <w:color w:val="auto"/>
          <w:spacing w:val="-1"/>
          <w:sz w:val="21"/>
          <w:szCs w:val="21"/>
          <w:highlight w:val="none"/>
        </w:rPr>
        <w:t>报告及有关资</w:t>
      </w:r>
      <w:r>
        <w:rPr>
          <w:rFonts w:ascii="宋体" w:hAnsi="宋体" w:eastAsia="宋体" w:cs="宋体"/>
          <w:color w:val="auto"/>
          <w:spacing w:val="-10"/>
          <w:sz w:val="21"/>
          <w:szCs w:val="21"/>
          <w:highlight w:val="none"/>
        </w:rPr>
        <w:t>料。</w:t>
      </w:r>
    </w:p>
    <w:p>
      <w:pPr>
        <w:spacing w:before="122" w:line="218"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不可抗力后果的承担</w:t>
      </w:r>
    </w:p>
    <w:p>
      <w:pPr>
        <w:spacing w:before="143" w:line="400"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17.3.1  </w:t>
      </w:r>
      <w:r>
        <w:rPr>
          <w:rFonts w:ascii="宋体" w:hAnsi="宋体" w:eastAsia="宋体" w:cs="宋体"/>
          <w:color w:val="auto"/>
          <w:spacing w:val="-1"/>
          <w:position w:val="14"/>
          <w:sz w:val="21"/>
          <w:szCs w:val="21"/>
          <w:highlight w:val="none"/>
        </w:rPr>
        <w:t>不可抗力引起的后果及造成的损失由合同当事人按照法律规定及合同约</w:t>
      </w:r>
      <w:r>
        <w:rPr>
          <w:rFonts w:ascii="宋体" w:hAnsi="宋体" w:eastAsia="宋体" w:cs="宋体"/>
          <w:color w:val="auto"/>
          <w:spacing w:val="-2"/>
          <w:position w:val="14"/>
          <w:sz w:val="21"/>
          <w:szCs w:val="21"/>
          <w:highlight w:val="none"/>
        </w:rPr>
        <w:t>定各自承担。</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z w:val="21"/>
          <w:szCs w:val="21"/>
          <w:highlight w:val="none"/>
        </w:rPr>
        <w:t>不可抗力发生前已完成的工程应当按照合同约定进</w:t>
      </w:r>
      <w:r>
        <w:rPr>
          <w:rFonts w:ascii="宋体" w:hAnsi="宋体" w:eastAsia="宋体" w:cs="宋体"/>
          <w:color w:val="auto"/>
          <w:spacing w:val="-1"/>
          <w:sz w:val="21"/>
          <w:szCs w:val="21"/>
          <w:highlight w:val="none"/>
        </w:rPr>
        <w:t>行计量支付。</w:t>
      </w:r>
    </w:p>
    <w:p>
      <w:pPr>
        <w:spacing w:before="148" w:line="400"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 xml:space="preserve">17.3.2  </w:t>
      </w:r>
      <w:r>
        <w:rPr>
          <w:rFonts w:ascii="宋体" w:hAnsi="宋体" w:eastAsia="宋体" w:cs="宋体"/>
          <w:color w:val="auto"/>
          <w:spacing w:val="-3"/>
          <w:position w:val="14"/>
          <w:sz w:val="21"/>
          <w:szCs w:val="21"/>
          <w:highlight w:val="none"/>
        </w:rPr>
        <w:t>不可抗力导致的人员伤亡、财产损失、费</w:t>
      </w:r>
      <w:r>
        <w:rPr>
          <w:rFonts w:ascii="宋体" w:hAnsi="宋体" w:eastAsia="宋体" w:cs="宋体"/>
          <w:color w:val="auto"/>
          <w:spacing w:val="-4"/>
          <w:position w:val="14"/>
          <w:sz w:val="21"/>
          <w:szCs w:val="21"/>
          <w:highlight w:val="none"/>
        </w:rPr>
        <w:t>用增加和（或）工期延误等后果，</w:t>
      </w:r>
      <w:r>
        <w:rPr>
          <w:rFonts w:ascii="宋体" w:hAnsi="宋体" w:eastAsia="宋体" w:cs="宋体"/>
          <w:color w:val="auto"/>
          <w:spacing w:val="29"/>
          <w:position w:val="14"/>
          <w:sz w:val="21"/>
          <w:szCs w:val="21"/>
          <w:highlight w:val="none"/>
        </w:rPr>
        <w:t xml:space="preserve"> </w:t>
      </w:r>
      <w:r>
        <w:rPr>
          <w:rFonts w:ascii="宋体" w:hAnsi="宋体" w:eastAsia="宋体" w:cs="宋体"/>
          <w:color w:val="auto"/>
          <w:spacing w:val="-4"/>
          <w:position w:val="14"/>
          <w:sz w:val="21"/>
          <w:szCs w:val="21"/>
          <w:highlight w:val="none"/>
        </w:rPr>
        <w:t>由合同当</w:t>
      </w:r>
    </w:p>
    <w:p>
      <w:pPr>
        <w:spacing w:before="1" w:line="220"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事人按以下原则承担：</w:t>
      </w:r>
    </w:p>
    <w:p>
      <w:pPr>
        <w:spacing w:before="150" w:line="398" w:lineRule="exact"/>
        <w:ind w:right="11"/>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）永久工程、已运至施工现场的材料和工程设备的损坏，以及因工程损坏造成的第三人</w:t>
      </w:r>
    </w:p>
    <w:p>
      <w:pPr>
        <w:spacing w:before="1" w:line="220" w:lineRule="auto"/>
        <w:ind w:left="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人员伤亡和财产损失由发包人承担；</w:t>
      </w:r>
    </w:p>
    <w:p>
      <w:pPr>
        <w:spacing w:before="149"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）承包人施工设备的损坏由承包人承担；</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（3）发包人和承包人承担各自人员伤亡和财产的损失；</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（4）因不可抗力影响承包人履行合同约定的义务，已经引起或将引起工期延误的，应当顺</w:t>
      </w:r>
    </w:p>
    <w:p>
      <w:pPr>
        <w:spacing w:before="148" w:line="400" w:lineRule="exact"/>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延工期，由此导致承包人停工的费用损失由发包人和承包人合理分担， 停工期间必须支付的工人</w:t>
      </w:r>
      <w:bookmarkStart w:id="295" w:name="bookmark337"/>
      <w:bookmarkEnd w:id="295"/>
      <w:bookmarkStart w:id="296" w:name="bookmark338"/>
      <w:bookmarkEnd w:id="296"/>
      <w:bookmarkStart w:id="297" w:name="bookmark334"/>
      <w:bookmarkEnd w:id="297"/>
      <w:bookmarkStart w:id="298" w:name="bookmark336"/>
      <w:bookmarkEnd w:id="298"/>
      <w:bookmarkStart w:id="299" w:name="bookmark335"/>
      <w:bookmarkEnd w:id="299"/>
      <w:r>
        <w:rPr>
          <w:rFonts w:ascii="宋体" w:hAnsi="宋体" w:eastAsia="宋体" w:cs="宋体"/>
          <w:color w:val="auto"/>
          <w:spacing w:val="-3"/>
          <w:position w:val="14"/>
          <w:sz w:val="21"/>
          <w:szCs w:val="21"/>
          <w:highlight w:val="none"/>
        </w:rPr>
        <w:t>工资由发包人承担；</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（5）因不可抗力引起或将引起工期延误， 发包人要求赶工的， 由此增加的赶工费用由发包</w:t>
      </w:r>
    </w:p>
    <w:p>
      <w:pPr>
        <w:spacing w:before="148" w:line="400" w:lineRule="exact"/>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人承担；</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（6）承包人在停工期间按照发包人要求照管、清理和修复工程的费用由发包人承担。</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不可抗力发生后，合同当事人均应采取措施尽量避免和减少损失的扩大，任何一方当事人没</w:t>
      </w:r>
    </w:p>
    <w:p>
      <w:pPr>
        <w:spacing w:before="148" w:line="400" w:lineRule="exact"/>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有采取有效措施导致损失扩大的，应对扩大的损失承担责任。</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因合同一方迟延履行合同义务， 在迟延履行期间遭遇不可抗力的， 不免除其违约责任。</w:t>
      </w:r>
    </w:p>
    <w:p>
      <w:pPr>
        <w:spacing w:before="125" w:line="218"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17.4</w:t>
      </w:r>
      <w:r>
        <w:rPr>
          <w:rFonts w:ascii="Times New Roman" w:hAnsi="Times New Roman" w:eastAsia="Times New Roman" w:cs="Times New Roman"/>
          <w:b/>
          <w:bCs/>
          <w:color w:val="auto"/>
          <w:spacing w:val="15"/>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因不可抗力解除合同</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因不可抗力导致合同无法履行连续超过 84 天或累计超过 140 天的，发包人和承包人均有权 解除合同。合同解除后， 由双方当事人按照第 4.4 款〔商定或确定〕商定或确定发包人应支付的款项， 该款项包括：</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（1）合同解除前承包人已完成工作的价款；</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（2）承包人为工程订购的并已交付给承包人，或承包人有责任接受交付的材料、工程设备</w:t>
      </w:r>
    </w:p>
    <w:p>
      <w:pPr>
        <w:spacing w:before="148" w:line="400" w:lineRule="exact"/>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和其他物品的价款；</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（3）发包人要求承包人退货或解除订货合同而产生的费用，或因不能退货或解除合同而产</w:t>
      </w:r>
    </w:p>
    <w:p>
      <w:pPr>
        <w:spacing w:before="148" w:line="400" w:lineRule="exact"/>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生的损失；</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（4）承包人撤离施工现场以及遣散承包人人员的费用；</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（5）按照合同约定在合同解除前应支付给承包人的其他款项；</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（6）扣减承包人按照合同约定应向发包人支付的款项；</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（7）双方商定或确定的其他款项。</w:t>
      </w:r>
    </w:p>
    <w:p>
      <w:pPr>
        <w:spacing w:before="148" w:line="400" w:lineRule="exact"/>
        <w:ind w:left="0" w:leftChars="0" w:firstLine="418" w:firstLineChars="205"/>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除专用合同条款另有约定外，合同解除后，发包人应在商定或确定上述款项后 28  天内完成</w:t>
      </w:r>
    </w:p>
    <w:p>
      <w:pPr>
        <w:spacing w:before="148" w:line="400" w:lineRule="exact"/>
        <w:jc w:val="left"/>
        <w:rPr>
          <w:rFonts w:ascii="宋体" w:hAnsi="宋体" w:eastAsia="宋体" w:cs="宋体"/>
          <w:color w:val="auto"/>
          <w:spacing w:val="-3"/>
          <w:position w:val="14"/>
          <w:sz w:val="21"/>
          <w:szCs w:val="21"/>
          <w:highlight w:val="none"/>
        </w:rPr>
      </w:pPr>
      <w:r>
        <w:rPr>
          <w:rFonts w:ascii="宋体" w:hAnsi="宋体" w:eastAsia="宋体" w:cs="宋体"/>
          <w:color w:val="auto"/>
          <w:spacing w:val="-3"/>
          <w:position w:val="14"/>
          <w:sz w:val="21"/>
          <w:szCs w:val="21"/>
          <w:highlight w:val="none"/>
        </w:rPr>
        <w:t>上述款项的支付。</w:t>
      </w:r>
    </w:p>
    <w:p>
      <w:pPr>
        <w:spacing w:before="188" w:line="220" w:lineRule="auto"/>
        <w:ind w:left="11"/>
        <w:rPr>
          <w:rFonts w:ascii="黑体" w:hAnsi="黑体" w:eastAsia="黑体" w:cs="黑体"/>
          <w:color w:val="auto"/>
          <w:sz w:val="28"/>
          <w:szCs w:val="28"/>
          <w:highlight w:val="none"/>
        </w:rPr>
      </w:pPr>
      <w:r>
        <w:rPr>
          <w:rFonts w:ascii="Times New Roman" w:hAnsi="Times New Roman" w:eastAsia="Times New Roman" w:cs="Times New Roman"/>
          <w:b/>
          <w:bCs/>
          <w:color w:val="auto"/>
          <w:spacing w:val="-4"/>
          <w:sz w:val="28"/>
          <w:szCs w:val="28"/>
          <w:highlight w:val="none"/>
        </w:rPr>
        <w:t>18.</w:t>
      </w:r>
      <w:r>
        <w:rPr>
          <w:rFonts w:ascii="Times New Roman" w:hAnsi="Times New Roman" w:eastAsia="Times New Roman" w:cs="Times New Roman"/>
          <w:b/>
          <w:bCs/>
          <w:color w:val="auto"/>
          <w:spacing w:val="3"/>
          <w:sz w:val="28"/>
          <w:szCs w:val="28"/>
          <w:highlight w:val="none"/>
        </w:rPr>
        <w:t xml:space="preserve">  </w:t>
      </w:r>
      <w:r>
        <w:rPr>
          <w:rFonts w:ascii="黑体" w:hAnsi="黑体" w:eastAsia="黑体" w:cs="黑体"/>
          <w:color w:val="auto"/>
          <w:spacing w:val="-4"/>
          <w:sz w:val="28"/>
          <w:szCs w:val="28"/>
          <w:highlight w:val="none"/>
          <w14:textOutline w14:w="5094" w14:cap="flat" w14:cmpd="sng">
            <w14:solidFill>
              <w14:srgbClr w14:val="000000"/>
            </w14:solidFill>
            <w14:prstDash w14:val="solid"/>
            <w14:miter w14:val="0"/>
          </w14:textOutline>
        </w:rPr>
        <w:t>保险</w:t>
      </w:r>
    </w:p>
    <w:p>
      <w:pPr>
        <w:spacing w:before="102" w:line="219" w:lineRule="auto"/>
        <w:ind w:left="8"/>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工程保险</w:t>
      </w:r>
    </w:p>
    <w:p>
      <w:pPr>
        <w:spacing w:before="142"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除专用合同条款另有约定外，发包人应投保建筑工程一</w:t>
      </w:r>
      <w:r>
        <w:rPr>
          <w:rFonts w:ascii="宋体" w:hAnsi="宋体" w:eastAsia="宋体" w:cs="宋体"/>
          <w:color w:val="auto"/>
          <w:spacing w:val="-1"/>
          <w:position w:val="14"/>
          <w:sz w:val="21"/>
          <w:szCs w:val="21"/>
          <w:highlight w:val="none"/>
        </w:rPr>
        <w:t>切险或安装工程一切险；发包人委托</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承包人投保的， 因投保产生的保险费和其他相关费用由发包人承担。</w:t>
      </w:r>
    </w:p>
    <w:p>
      <w:pPr>
        <w:spacing w:before="122" w:line="220"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工伤保险</w:t>
      </w:r>
    </w:p>
    <w:p>
      <w:pPr>
        <w:spacing w:before="141" w:line="400"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 xml:space="preserve">18.2.1  </w:t>
      </w:r>
      <w:r>
        <w:rPr>
          <w:rFonts w:ascii="宋体" w:hAnsi="宋体" w:eastAsia="宋体" w:cs="宋体"/>
          <w:color w:val="auto"/>
          <w:spacing w:val="-3"/>
          <w:position w:val="14"/>
          <w:sz w:val="21"/>
          <w:szCs w:val="21"/>
          <w:highlight w:val="none"/>
        </w:rPr>
        <w:t>发包人应依照法律规定参加工伤保险， 并为在施工现场的全部员工办理工伤保险，缴</w:t>
      </w:r>
    </w:p>
    <w:p>
      <w:pPr>
        <w:spacing w:before="1" w:line="219" w:lineRule="auto"/>
        <w:ind w:left="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纳工伤保险费， 并要求监理人及由发包人为履行合同聘请的第三方依法</w:t>
      </w:r>
      <w:r>
        <w:rPr>
          <w:rFonts w:ascii="宋体" w:hAnsi="宋体" w:eastAsia="宋体" w:cs="宋体"/>
          <w:color w:val="auto"/>
          <w:spacing w:val="-4"/>
          <w:sz w:val="21"/>
          <w:szCs w:val="21"/>
          <w:highlight w:val="none"/>
        </w:rPr>
        <w:t>参加工伤保险。</w:t>
      </w:r>
    </w:p>
    <w:p>
      <w:pPr>
        <w:spacing w:before="149" w:line="400"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 xml:space="preserve">18.2.2  </w:t>
      </w:r>
      <w:r>
        <w:rPr>
          <w:rFonts w:ascii="宋体" w:hAnsi="宋体" w:eastAsia="宋体" w:cs="宋体"/>
          <w:color w:val="auto"/>
          <w:spacing w:val="-3"/>
          <w:position w:val="14"/>
          <w:sz w:val="21"/>
          <w:szCs w:val="21"/>
          <w:highlight w:val="none"/>
        </w:rPr>
        <w:t>承包人应依照法律规定参加工伤保险， 并为其履行合同的全部员工办理工伤保险，缴</w:t>
      </w:r>
    </w:p>
    <w:p>
      <w:pPr>
        <w:spacing w:before="1" w:line="219" w:lineRule="auto"/>
        <w:ind w:left="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纳工伤保险费， 并要求分包人及由承包人为履行合同聘请的第三方依法</w:t>
      </w:r>
      <w:r>
        <w:rPr>
          <w:rFonts w:ascii="宋体" w:hAnsi="宋体" w:eastAsia="宋体" w:cs="宋体"/>
          <w:color w:val="auto"/>
          <w:spacing w:val="-4"/>
          <w:sz w:val="21"/>
          <w:szCs w:val="21"/>
          <w:highlight w:val="none"/>
        </w:rPr>
        <w:t>参加工伤保险。</w:t>
      </w:r>
    </w:p>
    <w:p>
      <w:pPr>
        <w:spacing w:before="126" w:line="220"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18.3</w:t>
      </w:r>
      <w:r>
        <w:rPr>
          <w:rFonts w:ascii="Times New Roman" w:hAnsi="Times New Roman" w:eastAsia="Times New Roman" w:cs="Times New Roman"/>
          <w:b/>
          <w:bCs/>
          <w:color w:val="auto"/>
          <w:spacing w:val="12"/>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其他保险</w:t>
      </w:r>
    </w:p>
    <w:p>
      <w:pPr>
        <w:spacing w:before="138"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发包人和承包人可以为其施工现场的全部人员办理意外伤害保险并支付保险</w:t>
      </w:r>
      <w:r>
        <w:rPr>
          <w:rFonts w:ascii="宋体" w:hAnsi="宋体" w:eastAsia="宋体" w:cs="宋体"/>
          <w:color w:val="auto"/>
          <w:spacing w:val="-1"/>
          <w:position w:val="14"/>
          <w:sz w:val="21"/>
          <w:szCs w:val="21"/>
          <w:highlight w:val="none"/>
        </w:rPr>
        <w:t>费，包括其员工</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及为履行合同聘请的第三方的人员， 具体事项</w:t>
      </w:r>
      <w:r>
        <w:rPr>
          <w:rFonts w:ascii="宋体" w:hAnsi="宋体" w:eastAsia="宋体" w:cs="宋体"/>
          <w:color w:val="auto"/>
          <w:spacing w:val="-4"/>
          <w:sz w:val="21"/>
          <w:szCs w:val="21"/>
          <w:highlight w:val="none"/>
        </w:rPr>
        <w:t>由合同当事人在专用合同条款约定。</w:t>
      </w:r>
    </w:p>
    <w:p>
      <w:pPr>
        <w:spacing w:before="124" w:line="221" w:lineRule="auto"/>
        <w:ind w:left="43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除专用合同条款另有约定外，承包人应为其施工设备等办理财产保险。</w:t>
      </w:r>
    </w:p>
    <w:p>
      <w:pPr>
        <w:spacing w:before="124" w:line="220" w:lineRule="auto"/>
        <w:ind w:left="7"/>
        <w:outlineLvl w:val="6"/>
        <w:rPr>
          <w:rFonts w:ascii="黑体" w:hAnsi="黑体" w:eastAsia="黑体" w:cs="黑体"/>
          <w:color w:val="auto"/>
          <w:sz w:val="24"/>
          <w:szCs w:val="24"/>
          <w:highlight w:val="none"/>
        </w:rPr>
      </w:pPr>
      <w:bookmarkStart w:id="300" w:name="bookmark341"/>
      <w:bookmarkEnd w:id="300"/>
      <w:bookmarkStart w:id="301" w:name="bookmark340"/>
      <w:bookmarkEnd w:id="301"/>
      <w:bookmarkStart w:id="302" w:name="bookmark339"/>
      <w:bookmarkEnd w:id="302"/>
      <w:r>
        <w:rPr>
          <w:rFonts w:ascii="Times New Roman" w:hAnsi="Times New Roman" w:eastAsia="Times New Roman" w:cs="Times New Roman"/>
          <w:b/>
          <w:bCs/>
          <w:color w:val="auto"/>
          <w:spacing w:val="-2"/>
          <w:sz w:val="24"/>
          <w:szCs w:val="24"/>
          <w:highlight w:val="none"/>
        </w:rPr>
        <w:t xml:space="preserve">18.4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持续保险</w:t>
      </w:r>
    </w:p>
    <w:p>
      <w:pPr>
        <w:spacing w:before="140"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合同当事人应与保险人保持联系，使保险人能够随时了解工程实施中的变动，并确</w:t>
      </w:r>
      <w:r>
        <w:rPr>
          <w:rFonts w:ascii="宋体" w:hAnsi="宋体" w:eastAsia="宋体" w:cs="宋体"/>
          <w:color w:val="auto"/>
          <w:spacing w:val="-1"/>
          <w:position w:val="14"/>
          <w:sz w:val="21"/>
          <w:szCs w:val="21"/>
          <w:highlight w:val="none"/>
        </w:rPr>
        <w:t>保按保险</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合同条款要求持续保险。</w:t>
      </w:r>
    </w:p>
    <w:p>
      <w:pPr>
        <w:spacing w:before="125" w:line="218"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18.5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保险凭证</w:t>
      </w:r>
    </w:p>
    <w:p>
      <w:pPr>
        <w:spacing w:before="142" w:line="221" w:lineRule="auto"/>
        <w:ind w:left="420"/>
        <w:rPr>
          <w:rFonts w:ascii="宋体" w:hAnsi="宋体" w:eastAsia="宋体" w:cs="宋体"/>
          <w:color w:val="auto"/>
          <w:sz w:val="21"/>
          <w:szCs w:val="21"/>
          <w:highlight w:val="none"/>
        </w:rPr>
      </w:pPr>
      <w:r>
        <w:rPr>
          <w:rFonts w:ascii="宋体" w:hAnsi="宋体" w:eastAsia="宋体" w:cs="宋体"/>
          <w:color w:val="auto"/>
          <w:sz w:val="21"/>
          <w:szCs w:val="21"/>
          <w:highlight w:val="none"/>
        </w:rPr>
        <w:t>合同当事人应及时向另一方当事人提交其已投保的各项保险的凭证和保险单复印</w:t>
      </w:r>
      <w:r>
        <w:rPr>
          <w:rFonts w:ascii="宋体" w:hAnsi="宋体" w:eastAsia="宋体" w:cs="宋体"/>
          <w:color w:val="auto"/>
          <w:spacing w:val="-1"/>
          <w:sz w:val="21"/>
          <w:szCs w:val="21"/>
          <w:highlight w:val="none"/>
        </w:rPr>
        <w:t>件。</w:t>
      </w:r>
    </w:p>
    <w:p>
      <w:pPr>
        <w:spacing w:before="122" w:line="220"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18.6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未按约定投保的补救</w:t>
      </w:r>
    </w:p>
    <w:p>
      <w:pPr>
        <w:spacing w:before="139" w:line="352" w:lineRule="auto"/>
        <w:ind w:left="11" w:firstLine="424"/>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18.6.1  </w:t>
      </w:r>
      <w:r>
        <w:rPr>
          <w:rFonts w:ascii="宋体" w:hAnsi="宋体" w:eastAsia="宋体" w:cs="宋体"/>
          <w:color w:val="auto"/>
          <w:spacing w:val="-3"/>
          <w:sz w:val="21"/>
          <w:szCs w:val="21"/>
          <w:highlight w:val="none"/>
        </w:rPr>
        <w:t>发包人未按合同约定办理保险，或未能使保险持续有效的， 则承包人可代为办理，所</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需费用由发包人承担。发包人未按合同约定</w:t>
      </w:r>
      <w:r>
        <w:rPr>
          <w:rFonts w:ascii="宋体" w:hAnsi="宋体" w:eastAsia="宋体" w:cs="宋体"/>
          <w:color w:val="auto"/>
          <w:spacing w:val="-4"/>
          <w:sz w:val="21"/>
          <w:szCs w:val="21"/>
          <w:highlight w:val="none"/>
        </w:rPr>
        <w:t>办理保险，导致未能得到足额赔偿的，</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由发包人负责</w:t>
      </w:r>
      <w:r>
        <w:rPr>
          <w:rFonts w:ascii="宋体" w:hAnsi="宋体" w:eastAsia="宋体" w:cs="宋体"/>
          <w:color w:val="auto"/>
          <w:spacing w:val="-8"/>
          <w:sz w:val="21"/>
          <w:szCs w:val="21"/>
          <w:highlight w:val="none"/>
        </w:rPr>
        <w:t>补足。</w:t>
      </w:r>
    </w:p>
    <w:p>
      <w:pPr>
        <w:spacing w:before="149" w:line="351" w:lineRule="auto"/>
        <w:ind w:left="11" w:firstLine="424"/>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18.6.2  </w:t>
      </w:r>
      <w:r>
        <w:rPr>
          <w:rFonts w:ascii="宋体" w:hAnsi="宋体" w:eastAsia="宋体" w:cs="宋体"/>
          <w:color w:val="auto"/>
          <w:spacing w:val="-3"/>
          <w:sz w:val="21"/>
          <w:szCs w:val="21"/>
          <w:highlight w:val="none"/>
        </w:rPr>
        <w:t>承包人未按合同约定办理保险，或未能使保险持续有效的， 则发包人可代为办理，所</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需费用由承包人承担。承包人未按合同约定</w:t>
      </w:r>
      <w:r>
        <w:rPr>
          <w:rFonts w:ascii="宋体" w:hAnsi="宋体" w:eastAsia="宋体" w:cs="宋体"/>
          <w:color w:val="auto"/>
          <w:spacing w:val="-4"/>
          <w:sz w:val="21"/>
          <w:szCs w:val="21"/>
          <w:highlight w:val="none"/>
        </w:rPr>
        <w:t>办理保险，导致未能得到足额赔偿的，</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由承包人负责</w:t>
      </w:r>
      <w:r>
        <w:rPr>
          <w:rFonts w:ascii="宋体" w:hAnsi="宋体" w:eastAsia="宋体" w:cs="宋体"/>
          <w:color w:val="auto"/>
          <w:spacing w:val="-8"/>
          <w:sz w:val="21"/>
          <w:szCs w:val="21"/>
          <w:highlight w:val="none"/>
        </w:rPr>
        <w:t>补足。</w:t>
      </w:r>
    </w:p>
    <w:p>
      <w:pPr>
        <w:spacing w:before="124" w:line="218"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18.7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通知义务</w:t>
      </w:r>
    </w:p>
    <w:p>
      <w:pPr>
        <w:spacing w:before="143" w:line="351" w:lineRule="auto"/>
        <w:ind w:left="20" w:firstLine="41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除专用合同条款另有约定外，发包人变更除工伤保险之</w:t>
      </w:r>
      <w:r>
        <w:rPr>
          <w:rFonts w:ascii="宋体" w:hAnsi="宋体" w:eastAsia="宋体" w:cs="宋体"/>
          <w:color w:val="auto"/>
          <w:spacing w:val="-1"/>
          <w:sz w:val="21"/>
          <w:szCs w:val="21"/>
          <w:highlight w:val="none"/>
        </w:rPr>
        <w:t>外的保险合同时，应事先征得承包人</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同意， 并通知监理人；承包人变更除工伤保险之外的保险合同时，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应事先征得发</w:t>
      </w:r>
      <w:r>
        <w:rPr>
          <w:rFonts w:ascii="宋体" w:hAnsi="宋体" w:eastAsia="宋体" w:cs="宋体"/>
          <w:color w:val="auto"/>
          <w:spacing w:val="-8"/>
          <w:sz w:val="21"/>
          <w:szCs w:val="21"/>
          <w:highlight w:val="none"/>
        </w:rPr>
        <w:t>包人同意， 并通</w:t>
      </w:r>
      <w:r>
        <w:rPr>
          <w:rFonts w:ascii="宋体" w:hAnsi="宋体" w:eastAsia="宋体" w:cs="宋体"/>
          <w:color w:val="auto"/>
          <w:spacing w:val="-5"/>
          <w:sz w:val="21"/>
          <w:szCs w:val="21"/>
          <w:highlight w:val="none"/>
        </w:rPr>
        <w:t>知监理人。</w:t>
      </w:r>
    </w:p>
    <w:p>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保险事故发生时，投保人应按照保险合同规定的条件和期限及时向保险人报告。发</w:t>
      </w:r>
      <w:r>
        <w:rPr>
          <w:rFonts w:ascii="宋体" w:hAnsi="宋体" w:eastAsia="宋体" w:cs="宋体"/>
          <w:color w:val="auto"/>
          <w:spacing w:val="-1"/>
          <w:position w:val="14"/>
          <w:sz w:val="21"/>
          <w:szCs w:val="21"/>
          <w:highlight w:val="none"/>
        </w:rPr>
        <w:t>包人和承</w:t>
      </w:r>
    </w:p>
    <w:p>
      <w:pPr>
        <w:spacing w:line="221"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包人应当在知道保险事故发生后及时通知对方。</w:t>
      </w:r>
    </w:p>
    <w:p>
      <w:pPr>
        <w:spacing w:before="188" w:line="219" w:lineRule="auto"/>
        <w:ind w:left="10"/>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5"/>
          <w:sz w:val="28"/>
          <w:szCs w:val="28"/>
          <w:highlight w:val="none"/>
        </w:rPr>
        <w:t>19.</w:t>
      </w:r>
      <w:r>
        <w:rPr>
          <w:rFonts w:ascii="Times New Roman" w:hAnsi="Times New Roman" w:eastAsia="Times New Roman" w:cs="Times New Roman"/>
          <w:b/>
          <w:bCs/>
          <w:color w:val="auto"/>
          <w:spacing w:val="8"/>
          <w:sz w:val="28"/>
          <w:szCs w:val="28"/>
          <w:highlight w:val="none"/>
        </w:rPr>
        <w:t xml:space="preserve">  </w:t>
      </w:r>
      <w:r>
        <w:rPr>
          <w:rFonts w:ascii="黑体" w:hAnsi="黑体" w:eastAsia="黑体" w:cs="黑体"/>
          <w:color w:val="auto"/>
          <w:spacing w:val="-5"/>
          <w:sz w:val="28"/>
          <w:szCs w:val="28"/>
          <w:highlight w:val="none"/>
          <w14:textOutline w14:w="5094" w14:cap="flat" w14:cmpd="sng">
            <w14:solidFill>
              <w14:srgbClr w14:val="000000"/>
            </w14:solidFill>
            <w14:prstDash w14:val="solid"/>
            <w14:miter w14:val="0"/>
          </w14:textOutline>
        </w:rPr>
        <w:t>索赔</w:t>
      </w:r>
    </w:p>
    <w:p>
      <w:pPr>
        <w:spacing w:before="103"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19.1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承包人的索赔</w:t>
      </w:r>
    </w:p>
    <w:p>
      <w:pPr>
        <w:spacing w:before="141"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根据合同约定，</w:t>
      </w:r>
      <w:r>
        <w:rPr>
          <w:rFonts w:ascii="宋体" w:hAnsi="宋体" w:eastAsia="宋体" w:cs="宋体"/>
          <w:color w:val="auto"/>
          <w:spacing w:val="-22"/>
          <w:position w:val="14"/>
          <w:sz w:val="21"/>
          <w:szCs w:val="21"/>
          <w:highlight w:val="none"/>
        </w:rPr>
        <w:t xml:space="preserve"> </w:t>
      </w:r>
      <w:r>
        <w:rPr>
          <w:rFonts w:ascii="宋体" w:hAnsi="宋体" w:eastAsia="宋体" w:cs="宋体"/>
          <w:color w:val="auto"/>
          <w:spacing w:val="-2"/>
          <w:position w:val="14"/>
          <w:sz w:val="21"/>
          <w:szCs w:val="21"/>
          <w:highlight w:val="none"/>
        </w:rPr>
        <w:t>承包人认为有权得到追加付款和（或）延长工期的，应按以下</w:t>
      </w:r>
      <w:r>
        <w:rPr>
          <w:rFonts w:ascii="宋体" w:hAnsi="宋体" w:eastAsia="宋体" w:cs="宋体"/>
          <w:color w:val="auto"/>
          <w:spacing w:val="-3"/>
          <w:position w:val="14"/>
          <w:sz w:val="21"/>
          <w:szCs w:val="21"/>
          <w:highlight w:val="none"/>
        </w:rPr>
        <w:t>程序向发包人</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提出索赔：</w:t>
      </w:r>
    </w:p>
    <w:p>
      <w:pPr>
        <w:spacing w:before="146" w:line="353" w:lineRule="auto"/>
        <w:ind w:left="5"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）承包人应在知道或应当知道索赔事件发生后</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28 </w:t>
      </w:r>
      <w:r>
        <w:rPr>
          <w:rFonts w:ascii="宋体" w:hAnsi="宋体" w:eastAsia="宋体" w:cs="宋体"/>
          <w:color w:val="auto"/>
          <w:spacing w:val="-3"/>
          <w:sz w:val="21"/>
          <w:szCs w:val="21"/>
          <w:highlight w:val="none"/>
        </w:rPr>
        <w:t>天内， 向监理人递交索赔意向通知书，</w:t>
      </w:r>
      <w:r>
        <w:rPr>
          <w:rFonts w:ascii="宋体" w:hAnsi="宋体" w:eastAsia="宋体" w:cs="宋体"/>
          <w:color w:val="auto"/>
          <w:sz w:val="21"/>
          <w:szCs w:val="21"/>
          <w:highlight w:val="none"/>
        </w:rPr>
        <w:t xml:space="preserve"> 并说明发生索赔事件的事由；承包人未在前述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天内发出索赔意向通知书</w:t>
      </w:r>
      <w:r>
        <w:rPr>
          <w:rFonts w:ascii="宋体" w:hAnsi="宋体" w:eastAsia="宋体" w:cs="宋体"/>
          <w:color w:val="auto"/>
          <w:spacing w:val="-1"/>
          <w:sz w:val="21"/>
          <w:szCs w:val="21"/>
          <w:highlight w:val="none"/>
        </w:rPr>
        <w:t>的，丧失要求追加付</w:t>
      </w:r>
      <w:r>
        <w:rPr>
          <w:rFonts w:ascii="宋体" w:hAnsi="宋体" w:eastAsia="宋体" w:cs="宋体"/>
          <w:color w:val="auto"/>
          <w:spacing w:val="-9"/>
          <w:sz w:val="21"/>
          <w:szCs w:val="21"/>
          <w:highlight w:val="none"/>
        </w:rPr>
        <w:t>款和（或）</w:t>
      </w:r>
      <w:r>
        <w:rPr>
          <w:rFonts w:ascii="宋体" w:hAnsi="宋体" w:eastAsia="宋体" w:cs="宋体"/>
          <w:color w:val="auto"/>
          <w:spacing w:val="-20"/>
          <w:sz w:val="21"/>
          <w:szCs w:val="21"/>
          <w:highlight w:val="none"/>
        </w:rPr>
        <w:t xml:space="preserve"> </w:t>
      </w:r>
      <w:r>
        <w:rPr>
          <w:rFonts w:ascii="宋体" w:hAnsi="宋体" w:eastAsia="宋体" w:cs="宋体"/>
          <w:color w:val="auto"/>
          <w:spacing w:val="-9"/>
          <w:sz w:val="21"/>
          <w:szCs w:val="21"/>
          <w:highlight w:val="none"/>
        </w:rPr>
        <w:t>延长工期的权利；</w:t>
      </w:r>
    </w:p>
    <w:p>
      <w:pPr>
        <w:spacing w:before="148" w:line="400"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）承包人应在发出索赔意向通知书后</w:t>
      </w:r>
      <w:r>
        <w:rPr>
          <w:rFonts w:ascii="宋体" w:hAnsi="宋体" w:eastAsia="宋体" w:cs="宋体"/>
          <w:color w:val="auto"/>
          <w:spacing w:val="-48"/>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28 </w:t>
      </w:r>
      <w:r>
        <w:rPr>
          <w:rFonts w:ascii="宋体" w:hAnsi="宋体" w:eastAsia="宋体" w:cs="宋体"/>
          <w:color w:val="auto"/>
          <w:position w:val="14"/>
          <w:sz w:val="21"/>
          <w:szCs w:val="21"/>
          <w:highlight w:val="none"/>
        </w:rPr>
        <w:t>天内，向监理</w:t>
      </w:r>
      <w:r>
        <w:rPr>
          <w:rFonts w:ascii="宋体" w:hAnsi="宋体" w:eastAsia="宋体" w:cs="宋体"/>
          <w:color w:val="auto"/>
          <w:spacing w:val="-1"/>
          <w:position w:val="14"/>
          <w:sz w:val="21"/>
          <w:szCs w:val="21"/>
          <w:highlight w:val="none"/>
        </w:rPr>
        <w:t>人正式递交索赔报告；索赔报告应</w:t>
      </w:r>
    </w:p>
    <w:p>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详细说明索赔理由以及要求追加的付款金额和（或）延长的工期， 并附必要的记录和证明材料；</w:t>
      </w:r>
    </w:p>
    <w:p>
      <w:pPr>
        <w:spacing w:before="151" w:line="399" w:lineRule="exact"/>
        <w:ind w:right="11"/>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）索赔事件具有持续影响的，承包人应按合理时间间隔继续递交延续索赔通知，说明持</w:t>
      </w:r>
    </w:p>
    <w:p>
      <w:pPr>
        <w:spacing w:line="220" w:lineRule="auto"/>
        <w:ind w:left="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续影响的实际情况和记录，列出累计的追加付款金额和（或）</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工期延长天数；</w:t>
      </w:r>
    </w:p>
    <w:p>
      <w:pPr>
        <w:spacing w:before="150" w:line="401" w:lineRule="exact"/>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4</w:t>
      </w:r>
      <w:r>
        <w:rPr>
          <w:rFonts w:ascii="宋体" w:hAnsi="宋体" w:eastAsia="宋体" w:cs="宋体"/>
          <w:color w:val="auto"/>
          <w:spacing w:val="-5"/>
          <w:position w:val="14"/>
          <w:sz w:val="21"/>
          <w:szCs w:val="21"/>
          <w:highlight w:val="none"/>
        </w:rPr>
        <w:t>）在索赔事件影响结束后</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28</w:t>
      </w:r>
      <w:r>
        <w:rPr>
          <w:rFonts w:ascii="Times New Roman" w:hAnsi="Times New Roman" w:eastAsia="Times New Roman" w:cs="Times New Roman"/>
          <w:color w:val="auto"/>
          <w:spacing w:val="13"/>
          <w:position w:val="14"/>
          <w:sz w:val="21"/>
          <w:szCs w:val="21"/>
          <w:highlight w:val="none"/>
        </w:rPr>
        <w:t xml:space="preserve"> </w:t>
      </w:r>
      <w:r>
        <w:rPr>
          <w:rFonts w:ascii="宋体" w:hAnsi="宋体" w:eastAsia="宋体" w:cs="宋体"/>
          <w:color w:val="auto"/>
          <w:spacing w:val="-5"/>
          <w:position w:val="14"/>
          <w:sz w:val="21"/>
          <w:szCs w:val="21"/>
          <w:highlight w:val="none"/>
        </w:rPr>
        <w:t>天内，</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5"/>
          <w:position w:val="14"/>
          <w:sz w:val="21"/>
          <w:szCs w:val="21"/>
          <w:highlight w:val="none"/>
        </w:rPr>
        <w:t>承包人应向监理人递交最终索赔报告，</w:t>
      </w:r>
      <w:r>
        <w:rPr>
          <w:rFonts w:ascii="宋体" w:hAnsi="宋体" w:eastAsia="宋体" w:cs="宋体"/>
          <w:color w:val="auto"/>
          <w:spacing w:val="-20"/>
          <w:position w:val="14"/>
          <w:sz w:val="21"/>
          <w:szCs w:val="21"/>
          <w:highlight w:val="none"/>
        </w:rPr>
        <w:t xml:space="preserve"> </w:t>
      </w:r>
      <w:r>
        <w:rPr>
          <w:rFonts w:ascii="宋体" w:hAnsi="宋体" w:eastAsia="宋体" w:cs="宋体"/>
          <w:color w:val="auto"/>
          <w:spacing w:val="-5"/>
          <w:position w:val="14"/>
          <w:sz w:val="21"/>
          <w:szCs w:val="21"/>
          <w:highlight w:val="none"/>
        </w:rPr>
        <w:t>说明最终要求</w:t>
      </w:r>
    </w:p>
    <w:p>
      <w:pPr>
        <w:spacing w:before="1" w:line="219" w:lineRule="auto"/>
        <w:ind w:left="4"/>
        <w:rPr>
          <w:rFonts w:ascii="宋体" w:hAnsi="宋体" w:eastAsia="宋体" w:cs="宋体"/>
          <w:color w:val="auto"/>
          <w:sz w:val="21"/>
          <w:szCs w:val="21"/>
          <w:highlight w:val="none"/>
        </w:rPr>
      </w:pPr>
      <w:r>
        <w:rPr>
          <w:rFonts w:ascii="宋体" w:hAnsi="宋体" w:eastAsia="宋体" w:cs="宋体"/>
          <w:color w:val="auto"/>
          <w:sz w:val="21"/>
          <w:szCs w:val="21"/>
          <w:highlight w:val="none"/>
        </w:rPr>
        <w:t>索赔的追加付款金额和（或）延长的工期，并附必要的记</w:t>
      </w:r>
      <w:r>
        <w:rPr>
          <w:rFonts w:ascii="宋体" w:hAnsi="宋体" w:eastAsia="宋体" w:cs="宋体"/>
          <w:color w:val="auto"/>
          <w:spacing w:val="-1"/>
          <w:sz w:val="21"/>
          <w:szCs w:val="21"/>
          <w:highlight w:val="none"/>
        </w:rPr>
        <w:t>录和证明材料。</w:t>
      </w:r>
    </w:p>
    <w:p>
      <w:pPr>
        <w:spacing w:before="124"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19.2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对承包人索赔的处理</w:t>
      </w:r>
    </w:p>
    <w:p>
      <w:pPr>
        <w:spacing w:before="140" w:line="221" w:lineRule="auto"/>
        <w:ind w:left="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对承包人索赔的处理如下：</w:t>
      </w:r>
    </w:p>
    <w:p>
      <w:pPr>
        <w:spacing w:before="125" w:line="401" w:lineRule="exact"/>
        <w:ind w:left="428"/>
        <w:rPr>
          <w:rFonts w:ascii="宋体" w:hAnsi="宋体" w:eastAsia="宋体" w:cs="宋体"/>
          <w:color w:val="auto"/>
          <w:spacing w:val="-1"/>
          <w:position w:val="14"/>
          <w:sz w:val="21"/>
          <w:szCs w:val="21"/>
          <w:highlight w:val="none"/>
        </w:rPr>
      </w:pPr>
      <w:bookmarkStart w:id="303" w:name="bookmark344"/>
      <w:bookmarkEnd w:id="303"/>
      <w:bookmarkStart w:id="304" w:name="bookmark343"/>
      <w:bookmarkEnd w:id="304"/>
      <w:bookmarkStart w:id="305" w:name="bookmark342"/>
      <w:bookmarkEnd w:id="305"/>
      <w:r>
        <w:rPr>
          <w:rFonts w:ascii="宋体" w:hAnsi="宋体" w:eastAsia="宋体" w:cs="宋体"/>
          <w:color w:val="auto"/>
          <w:spacing w:val="-1"/>
          <w:position w:val="14"/>
          <w:sz w:val="21"/>
          <w:szCs w:val="21"/>
          <w:highlight w:val="none"/>
        </w:rPr>
        <w:t>（1）监理人应在收到索赔报告后 14 天内完成审查并报送发包人。监理人对索赔报告存在异议的， 有权要求承包人提交全部原始记录副本；</w:t>
      </w:r>
    </w:p>
    <w:p>
      <w:pPr>
        <w:spacing w:before="125" w:line="401" w:lineRule="exact"/>
        <w:ind w:left="8" w:leftChars="0" w:firstLine="418" w:firstLineChars="201"/>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（2）发包人应在监理人收到索赔报告或有关索赔的进一步证明材料后的 28 天内，由监理人向承包人出具经发包人签认的索赔处理结果。发包人逾期答复的， 则视为认可承包人的索赔要求；</w:t>
      </w:r>
    </w:p>
    <w:p>
      <w:pPr>
        <w:spacing w:before="125" w:line="401" w:lineRule="exact"/>
        <w:ind w:left="428"/>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（3）承包人接受索赔处理结果的，索赔款项在当期进度款中进行支付；承包人不接受索赔</w:t>
      </w:r>
    </w:p>
    <w:p>
      <w:pPr>
        <w:spacing w:before="125" w:line="401" w:lineRule="exact"/>
        <w:rPr>
          <w:rFonts w:ascii="宋体" w:hAnsi="宋体" w:eastAsia="宋体" w:cs="宋体"/>
          <w:color w:val="auto"/>
          <w:spacing w:val="-1"/>
          <w:position w:val="14"/>
          <w:sz w:val="21"/>
          <w:szCs w:val="21"/>
          <w:highlight w:val="none"/>
        </w:rPr>
      </w:pPr>
      <w:r>
        <w:rPr>
          <w:rFonts w:ascii="宋体" w:hAnsi="宋体" w:eastAsia="宋体" w:cs="宋体"/>
          <w:color w:val="auto"/>
          <w:spacing w:val="-1"/>
          <w:position w:val="14"/>
          <w:sz w:val="21"/>
          <w:szCs w:val="21"/>
          <w:highlight w:val="none"/>
        </w:rPr>
        <w:t>处理结果的，按照第 20 条〔争议解决〕约定处理。</w:t>
      </w:r>
    </w:p>
    <w:p>
      <w:pPr>
        <w:spacing w:before="123" w:line="218"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19.3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发包人的索赔</w:t>
      </w:r>
    </w:p>
    <w:p>
      <w:pPr>
        <w:spacing w:before="142" w:line="401" w:lineRule="exact"/>
        <w:ind w:left="0" w:leftChars="0" w:firstLine="418" w:firstLineChars="209"/>
        <w:rPr>
          <w:rFonts w:ascii="宋体" w:hAnsi="宋体" w:eastAsia="宋体" w:cs="宋体"/>
          <w:color w:val="auto"/>
          <w:spacing w:val="-5"/>
          <w:position w:val="14"/>
          <w:sz w:val="21"/>
          <w:szCs w:val="21"/>
          <w:highlight w:val="none"/>
        </w:rPr>
      </w:pPr>
      <w:r>
        <w:rPr>
          <w:rFonts w:ascii="宋体" w:hAnsi="宋体" w:eastAsia="宋体" w:cs="宋体"/>
          <w:color w:val="auto"/>
          <w:spacing w:val="-5"/>
          <w:position w:val="14"/>
          <w:sz w:val="21"/>
          <w:szCs w:val="21"/>
          <w:highlight w:val="none"/>
        </w:rPr>
        <w:t>根据合同约定， 发包人认为有权得到赔付金额和（或）延长缺陷责任期的， 监理人应向承包人发出通知并附有详细的证明。</w:t>
      </w:r>
    </w:p>
    <w:p>
      <w:pPr>
        <w:spacing w:before="142" w:line="401" w:lineRule="exact"/>
        <w:ind w:left="0" w:leftChars="0" w:firstLine="418" w:firstLineChars="209"/>
        <w:rPr>
          <w:rFonts w:ascii="宋体" w:hAnsi="宋体" w:eastAsia="宋体" w:cs="宋体"/>
          <w:color w:val="auto"/>
          <w:spacing w:val="-5"/>
          <w:position w:val="14"/>
          <w:sz w:val="21"/>
          <w:szCs w:val="21"/>
          <w:highlight w:val="none"/>
        </w:rPr>
      </w:pPr>
      <w:r>
        <w:rPr>
          <w:rFonts w:ascii="宋体" w:hAnsi="宋体" w:eastAsia="宋体" w:cs="宋体"/>
          <w:color w:val="auto"/>
          <w:spacing w:val="-5"/>
          <w:position w:val="14"/>
          <w:sz w:val="21"/>
          <w:szCs w:val="21"/>
          <w:highlight w:val="none"/>
        </w:rPr>
        <w:t>发包人应在知道或应当知道索赔事件发生后 28  天内通过监理人向承包人提出索赔意向通知 书，发包人未在前述 28  天内发出索赔意向通知书的，丧失要求赔付金额和（或） 延长缺陷责任</w:t>
      </w:r>
    </w:p>
    <w:p>
      <w:pPr>
        <w:spacing w:before="142" w:line="401" w:lineRule="exact"/>
        <w:rPr>
          <w:rFonts w:ascii="宋体" w:hAnsi="宋体" w:eastAsia="宋体" w:cs="宋体"/>
          <w:color w:val="auto"/>
          <w:spacing w:val="-5"/>
          <w:position w:val="14"/>
          <w:sz w:val="21"/>
          <w:szCs w:val="21"/>
          <w:highlight w:val="none"/>
        </w:rPr>
      </w:pPr>
      <w:r>
        <w:rPr>
          <w:rFonts w:ascii="宋体" w:hAnsi="宋体" w:eastAsia="宋体" w:cs="宋体"/>
          <w:color w:val="auto"/>
          <w:spacing w:val="-5"/>
          <w:position w:val="14"/>
          <w:sz w:val="21"/>
          <w:szCs w:val="21"/>
          <w:highlight w:val="none"/>
        </w:rPr>
        <w:t>期的权利。发包人应在发出索赔意向通知书后 28  天内， 通过监理人向承包人正式递交索赔报告。</w:t>
      </w:r>
    </w:p>
    <w:p>
      <w:pPr>
        <w:spacing w:before="125" w:line="218"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19.4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对发包人索赔的处理</w:t>
      </w:r>
    </w:p>
    <w:p>
      <w:pPr>
        <w:spacing w:before="141" w:line="221" w:lineRule="auto"/>
        <w:ind w:left="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对发包人索赔的处理如下：</w:t>
      </w:r>
    </w:p>
    <w:p>
      <w:pPr>
        <w:spacing w:before="150" w:line="399" w:lineRule="exact"/>
        <w:ind w:left="428"/>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）承包人收到发包人提交的索赔报告后，应及时审查索赔报告的内容、查验发包人证明</w:t>
      </w:r>
    </w:p>
    <w:p>
      <w:pPr>
        <w:spacing w:before="1" w:line="219" w:lineRule="auto"/>
        <w:ind w:left="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材料；</w:t>
      </w:r>
    </w:p>
    <w:p>
      <w:pPr>
        <w:spacing w:before="142" w:line="401" w:lineRule="exact"/>
        <w:ind w:left="0" w:leftChars="0" w:firstLine="418" w:firstLineChars="209"/>
        <w:rPr>
          <w:rFonts w:ascii="宋体" w:hAnsi="宋体" w:eastAsia="宋体" w:cs="宋体"/>
          <w:color w:val="auto"/>
          <w:spacing w:val="-5"/>
          <w:position w:val="14"/>
          <w:sz w:val="21"/>
          <w:szCs w:val="21"/>
          <w:highlight w:val="none"/>
        </w:rPr>
      </w:pPr>
      <w:r>
        <w:rPr>
          <w:rFonts w:ascii="宋体" w:hAnsi="宋体" w:eastAsia="宋体" w:cs="宋体"/>
          <w:color w:val="auto"/>
          <w:spacing w:val="-5"/>
          <w:position w:val="14"/>
          <w:sz w:val="21"/>
          <w:szCs w:val="21"/>
          <w:highlight w:val="none"/>
        </w:rPr>
        <w:t>（2）承包人应在收到索赔报告或有关索赔的进一步证明材料后 28 天内， 将索赔处理结果答复发包人。如果承包人未在上述期限内作出答复的，则视为对发包人索赔要求的认可；</w:t>
      </w:r>
    </w:p>
    <w:p>
      <w:pPr>
        <w:spacing w:before="142" w:line="401" w:lineRule="exact"/>
        <w:ind w:left="0" w:leftChars="0" w:firstLine="418" w:firstLineChars="209"/>
        <w:rPr>
          <w:rFonts w:ascii="宋体" w:hAnsi="宋体" w:eastAsia="宋体" w:cs="宋体"/>
          <w:color w:val="auto"/>
          <w:spacing w:val="-5"/>
          <w:position w:val="14"/>
          <w:sz w:val="21"/>
          <w:szCs w:val="21"/>
          <w:highlight w:val="none"/>
        </w:rPr>
      </w:pPr>
      <w:r>
        <w:rPr>
          <w:rFonts w:ascii="宋体" w:hAnsi="宋体" w:eastAsia="宋体" w:cs="宋体"/>
          <w:color w:val="auto"/>
          <w:spacing w:val="-5"/>
          <w:position w:val="14"/>
          <w:sz w:val="21"/>
          <w:szCs w:val="21"/>
          <w:highlight w:val="none"/>
        </w:rPr>
        <w:t>（3）承包人接受索赔处理结果的，发包人可从应支付给承包人的合同价款中扣除赔付的金</w:t>
      </w:r>
    </w:p>
    <w:p>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z w:val="21"/>
          <w:szCs w:val="21"/>
          <w:highlight w:val="none"/>
        </w:rPr>
        <w:t>额或延长缺陷责任期；发包人不接受索赔处理结果的，按第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w:t>
      </w:r>
      <w:r>
        <w:rPr>
          <w:rFonts w:ascii="宋体" w:hAnsi="宋体" w:eastAsia="宋体" w:cs="宋体"/>
          <w:color w:val="auto"/>
          <w:spacing w:val="-1"/>
          <w:sz w:val="21"/>
          <w:szCs w:val="21"/>
          <w:highlight w:val="none"/>
        </w:rPr>
        <w:t>解决〕约定处理。</w:t>
      </w:r>
    </w:p>
    <w:p>
      <w:pPr>
        <w:spacing w:before="125" w:line="219"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19.5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提出索赔的期限</w:t>
      </w:r>
    </w:p>
    <w:p>
      <w:pPr>
        <w:spacing w:before="148" w:line="400" w:lineRule="exact"/>
        <w:ind w:left="8"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（1）承包人按第 14.2 款〔竣工结算审核〕约定接收竣工付款证书后， 应被视为已无权再提出在工程接收证书颁发前所发生的任何索赔。</w:t>
      </w:r>
    </w:p>
    <w:p>
      <w:pPr>
        <w:spacing w:before="148" w:line="400" w:lineRule="exact"/>
        <w:ind w:left="8"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（2）承包人按第 14.4 款〔最终结清〕提交的最终结清申请单中， 只限于提出工程接收证书颁发后发生的索赔。提出索赔的期限自接受最终结清证书时终止。</w:t>
      </w:r>
    </w:p>
    <w:p>
      <w:pPr>
        <w:spacing w:before="189" w:line="436" w:lineRule="exact"/>
        <w:rPr>
          <w:rFonts w:ascii="黑体" w:hAnsi="黑体" w:eastAsia="黑体" w:cs="黑体"/>
          <w:color w:val="auto"/>
          <w:sz w:val="28"/>
          <w:szCs w:val="28"/>
          <w:highlight w:val="none"/>
        </w:rPr>
      </w:pPr>
      <w:r>
        <w:rPr>
          <w:rFonts w:ascii="Times New Roman" w:hAnsi="Times New Roman" w:eastAsia="Times New Roman" w:cs="Times New Roman"/>
          <w:b/>
          <w:bCs/>
          <w:color w:val="auto"/>
          <w:spacing w:val="-3"/>
          <w:position w:val="11"/>
          <w:sz w:val="28"/>
          <w:szCs w:val="28"/>
          <w:highlight w:val="none"/>
        </w:rPr>
        <w:t>20.</w:t>
      </w:r>
      <w:r>
        <w:rPr>
          <w:rFonts w:ascii="Times New Roman" w:hAnsi="Times New Roman" w:eastAsia="Times New Roman" w:cs="Times New Roman"/>
          <w:b/>
          <w:bCs/>
          <w:color w:val="auto"/>
          <w:spacing w:val="11"/>
          <w:position w:val="11"/>
          <w:sz w:val="28"/>
          <w:szCs w:val="28"/>
          <w:highlight w:val="none"/>
        </w:rPr>
        <w:t xml:space="preserve">  </w:t>
      </w:r>
      <w:r>
        <w:rPr>
          <w:rFonts w:ascii="黑体" w:hAnsi="黑体" w:eastAsia="黑体" w:cs="黑体"/>
          <w:color w:val="auto"/>
          <w:spacing w:val="-3"/>
          <w:position w:val="11"/>
          <w:sz w:val="28"/>
          <w:szCs w:val="28"/>
          <w:highlight w:val="none"/>
          <w14:textOutline w14:w="5094" w14:cap="flat" w14:cmpd="sng">
            <w14:solidFill>
              <w14:srgbClr w14:val="000000"/>
            </w14:solidFill>
            <w14:prstDash w14:val="solid"/>
            <w14:miter w14:val="0"/>
          </w14:textOutline>
        </w:rPr>
        <w:t>争议解决</w:t>
      </w:r>
    </w:p>
    <w:p>
      <w:pPr>
        <w:spacing w:before="1" w:line="219"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20.1</w:t>
      </w:r>
      <w:r>
        <w:rPr>
          <w:rFonts w:ascii="Times New Roman" w:hAnsi="Times New Roman" w:eastAsia="Times New Roman" w:cs="Times New Roman"/>
          <w:b/>
          <w:bCs/>
          <w:color w:val="auto"/>
          <w:spacing w:val="11"/>
          <w:sz w:val="24"/>
          <w:szCs w:val="24"/>
          <w:highlight w:val="none"/>
        </w:rPr>
        <w:t xml:space="preserve">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和解</w:t>
      </w:r>
    </w:p>
    <w:p>
      <w:pPr>
        <w:spacing w:before="140" w:line="401" w:lineRule="exact"/>
        <w:ind w:left="423"/>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合同当事人可以就争议自行和解，自行和解达成协议的经双方签字并盖章后作为合同补充文件，双方均应遵照执行。</w:t>
      </w:r>
    </w:p>
    <w:p>
      <w:pPr>
        <w:spacing w:before="122"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20.2</w:t>
      </w:r>
      <w:r>
        <w:rPr>
          <w:rFonts w:ascii="Times New Roman" w:hAnsi="Times New Roman" w:eastAsia="Times New Roman" w:cs="Times New Roman"/>
          <w:b/>
          <w:bCs/>
          <w:color w:val="auto"/>
          <w:spacing w:val="12"/>
          <w:sz w:val="24"/>
          <w:szCs w:val="24"/>
          <w:highlight w:val="none"/>
        </w:rPr>
        <w:t xml:space="preserve">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调解</w:t>
      </w:r>
    </w:p>
    <w:p>
      <w:pPr>
        <w:spacing w:before="140" w:line="401" w:lineRule="exact"/>
        <w:ind w:left="42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合同当事人可以就争议请求建设行政主管部门、行业协会或其他第三方进行调解， 调解达成</w:t>
      </w:r>
    </w:p>
    <w:p>
      <w:pPr>
        <w:spacing w:before="1" w:line="219" w:lineRule="auto"/>
        <w:ind w:left="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协议的，经双方签字并盖章后作为合同补充文件，</w:t>
      </w:r>
      <w:r>
        <w:rPr>
          <w:rFonts w:ascii="宋体" w:hAnsi="宋体" w:eastAsia="宋体" w:cs="宋体"/>
          <w:color w:val="auto"/>
          <w:spacing w:val="-22"/>
          <w:sz w:val="21"/>
          <w:szCs w:val="21"/>
          <w:highlight w:val="none"/>
        </w:rPr>
        <w:t xml:space="preserve"> </w:t>
      </w:r>
      <w:r>
        <w:rPr>
          <w:rFonts w:ascii="宋体" w:hAnsi="宋体" w:eastAsia="宋体" w:cs="宋体"/>
          <w:color w:val="auto"/>
          <w:spacing w:val="-4"/>
          <w:sz w:val="21"/>
          <w:szCs w:val="21"/>
          <w:highlight w:val="none"/>
        </w:rPr>
        <w:t>双方均应遵照执行。</w:t>
      </w:r>
    </w:p>
    <w:p>
      <w:pPr>
        <w:spacing w:before="123"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20.3</w:t>
      </w:r>
      <w:r>
        <w:rPr>
          <w:rFonts w:ascii="Times New Roman" w:hAnsi="Times New Roman" w:eastAsia="Times New Roman" w:cs="Times New Roman"/>
          <w:b/>
          <w:bCs/>
          <w:color w:val="auto"/>
          <w:spacing w:val="21"/>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争议评审</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合同当事人在专用合同条款中约定采取争议评审方式解决争议以及评审规则，并按下列约定</w:t>
      </w:r>
      <w:bookmarkStart w:id="306" w:name="bookmark346"/>
      <w:bookmarkEnd w:id="306"/>
      <w:bookmarkStart w:id="307" w:name="bookmark350"/>
      <w:bookmarkEnd w:id="307"/>
      <w:bookmarkStart w:id="308" w:name="bookmark349"/>
      <w:bookmarkEnd w:id="308"/>
      <w:bookmarkStart w:id="309" w:name="bookmark348"/>
      <w:bookmarkEnd w:id="309"/>
      <w:bookmarkStart w:id="310" w:name="bookmark345"/>
      <w:bookmarkEnd w:id="310"/>
      <w:bookmarkStart w:id="311" w:name="bookmark347"/>
      <w:bookmarkEnd w:id="311"/>
      <w:r>
        <w:rPr>
          <w:rFonts w:ascii="宋体" w:hAnsi="宋体" w:eastAsia="宋体" w:cs="宋体"/>
          <w:color w:val="auto"/>
          <w:spacing w:val="2"/>
          <w:position w:val="14"/>
          <w:sz w:val="21"/>
          <w:szCs w:val="21"/>
          <w:highlight w:val="none"/>
        </w:rPr>
        <w:t>执行：</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20.3.1  争议评审小组的确定</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合同当事人可以共同选择一名或三名争议评审员， 组成争议评审小组。除专用合同条款另有约定外，合同当事人应当自合同签订后 28 天内， 或者争议发生后 14 天内， 选定争议评审员。</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选择一名争议评审员的， 由合同当事人共同确定； 选择三名争议评审员的， 各自选定一名， 第三名成员为首席争议评审员， 由合同当事人共同确定或由合同当事人委托已选定的争议评审员共同确定， 或由专用合同条款约定的评审机构指定第三名首席争议评审员。</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除专用合同条款另有约定外，评审员报酬由发包人和承包人各承担一半。</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20.3.2  争议评审小组的决定</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合同当事人可在任何时间将与合同有关的任何争议共同提请争议评审小组进行评审。争议评 审小组应秉持客观、公正原则， 充分听取合同当事人的意见， 依据相关法律、规范、标准、案例 经验及商业惯例等， 自收到争议评审申请报告后 14  天内作出书面决定，并说明理由。合同当事人可以在专用合同条款中对本项事项另行约定。</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20.3.3  争议评审小组决定的效力</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争议评审小组作出的书面决定经合同当事人签字确认后， 对双方具有约束力，双方应遵照执行。</w:t>
      </w:r>
    </w:p>
    <w:p>
      <w:pPr>
        <w:spacing w:before="140" w:line="401" w:lineRule="exact"/>
        <w:ind w:left="3" w:leftChars="0" w:firstLine="419" w:firstLineChars="196"/>
        <w:rPr>
          <w:rFonts w:ascii="宋体" w:hAnsi="宋体" w:eastAsia="宋体" w:cs="宋体"/>
          <w:color w:val="auto"/>
          <w:spacing w:val="2"/>
          <w:position w:val="14"/>
          <w:sz w:val="21"/>
          <w:szCs w:val="21"/>
          <w:highlight w:val="none"/>
        </w:rPr>
      </w:pPr>
      <w:r>
        <w:rPr>
          <w:rFonts w:ascii="宋体" w:hAnsi="宋体" w:eastAsia="宋体" w:cs="宋体"/>
          <w:color w:val="auto"/>
          <w:spacing w:val="2"/>
          <w:position w:val="14"/>
          <w:sz w:val="21"/>
          <w:szCs w:val="21"/>
          <w:highlight w:val="none"/>
        </w:rPr>
        <w:t>任何一方当事人不接受争议评审小组决定或不履行争议评审小组决定的，双方可选择采用其他争议解决方式。</w:t>
      </w:r>
    </w:p>
    <w:p>
      <w:pPr>
        <w:spacing w:before="123" w:line="217"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仲裁或诉讼</w:t>
      </w:r>
    </w:p>
    <w:p>
      <w:pPr>
        <w:spacing w:before="143" w:line="401"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因合同及合同有关事项产生的争议，</w:t>
      </w:r>
      <w:r>
        <w:rPr>
          <w:rFonts w:ascii="宋体" w:hAnsi="宋体" w:eastAsia="宋体" w:cs="宋体"/>
          <w:color w:val="auto"/>
          <w:spacing w:val="-5"/>
          <w:position w:val="14"/>
          <w:sz w:val="21"/>
          <w:szCs w:val="21"/>
          <w:highlight w:val="none"/>
        </w:rPr>
        <w:t xml:space="preserve"> </w:t>
      </w:r>
      <w:r>
        <w:rPr>
          <w:rFonts w:ascii="宋体" w:hAnsi="宋体" w:eastAsia="宋体" w:cs="宋体"/>
          <w:color w:val="auto"/>
          <w:spacing w:val="-3"/>
          <w:position w:val="14"/>
          <w:sz w:val="21"/>
          <w:szCs w:val="21"/>
          <w:highlight w:val="none"/>
        </w:rPr>
        <w:t>合同当事人可以在专用合同条款中约定以下一种方式解</w:t>
      </w:r>
    </w:p>
    <w:p>
      <w:pPr>
        <w:spacing w:line="220"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决争议：</w:t>
      </w:r>
    </w:p>
    <w:p>
      <w:pPr>
        <w:spacing w:before="148" w:line="400" w:lineRule="exact"/>
        <w:ind w:left="428"/>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1</w:t>
      </w:r>
      <w:r>
        <w:rPr>
          <w:rFonts w:ascii="宋体" w:hAnsi="宋体" w:eastAsia="宋体" w:cs="宋体"/>
          <w:color w:val="auto"/>
          <w:spacing w:val="-3"/>
          <w:position w:val="14"/>
          <w:sz w:val="21"/>
          <w:szCs w:val="21"/>
          <w:highlight w:val="none"/>
        </w:rPr>
        <w:t>）向约定的仲裁委员会申请仲裁；</w:t>
      </w:r>
    </w:p>
    <w:p>
      <w:pPr>
        <w:spacing w:before="1" w:line="219" w:lineRule="auto"/>
        <w:ind w:left="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）向有管辖权的人民法院起诉。</w:t>
      </w:r>
    </w:p>
    <w:p>
      <w:pPr>
        <w:spacing w:before="127"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20.5</w:t>
      </w:r>
      <w:r>
        <w:rPr>
          <w:rFonts w:ascii="Times New Roman" w:hAnsi="Times New Roman" w:eastAsia="Times New Roman" w:cs="Times New Roman"/>
          <w:b/>
          <w:bCs/>
          <w:color w:val="auto"/>
          <w:spacing w:val="23"/>
          <w:w w:val="101"/>
          <w:sz w:val="24"/>
          <w:szCs w:val="24"/>
          <w:highlight w:val="none"/>
        </w:rPr>
        <w:t xml:space="preserve">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争议解决条款效力</w:t>
      </w:r>
    </w:p>
    <w:p>
      <w:pPr>
        <w:spacing w:before="140"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合同有关争议解决的条款独立存在，</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2"/>
          <w:position w:val="14"/>
          <w:sz w:val="21"/>
          <w:szCs w:val="21"/>
          <w:highlight w:val="none"/>
        </w:rPr>
        <w:t>合同的变更、解除、终止、无效或者</w:t>
      </w:r>
      <w:r>
        <w:rPr>
          <w:rFonts w:ascii="宋体" w:hAnsi="宋体" w:eastAsia="宋体" w:cs="宋体"/>
          <w:color w:val="auto"/>
          <w:spacing w:val="-3"/>
          <w:position w:val="14"/>
          <w:sz w:val="21"/>
          <w:szCs w:val="21"/>
          <w:highlight w:val="none"/>
        </w:rPr>
        <w:t>被撤销均不影响其</w:t>
      </w:r>
    </w:p>
    <w:p>
      <w:pPr>
        <w:spacing w:line="220" w:lineRule="auto"/>
        <w:ind w:left="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效力。</w:t>
      </w: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4" w:lineRule="auto"/>
        <w:rPr>
          <w:color w:val="auto"/>
          <w:highlight w:val="none"/>
        </w:rPr>
      </w:pPr>
    </w:p>
    <w:p>
      <w:pPr>
        <w:spacing w:before="91" w:line="219" w:lineRule="auto"/>
        <w:ind w:left="2697"/>
        <w:rPr>
          <w:rFonts w:ascii="黑体" w:hAnsi="黑体" w:eastAsia="黑体" w:cs="黑体"/>
          <w:color w:val="auto"/>
          <w:sz w:val="28"/>
          <w:szCs w:val="28"/>
          <w:highlight w:val="none"/>
        </w:rPr>
      </w:pPr>
      <w:bookmarkStart w:id="312" w:name="bookmark354"/>
      <w:bookmarkEnd w:id="312"/>
      <w:bookmarkStart w:id="313" w:name="bookmark352"/>
      <w:bookmarkEnd w:id="313"/>
      <w:bookmarkStart w:id="314" w:name="bookmark351"/>
      <w:bookmarkEnd w:id="314"/>
      <w:bookmarkStart w:id="315" w:name="bookmark353"/>
      <w:bookmarkEnd w:id="315"/>
      <w:r>
        <w:rPr>
          <w:rFonts w:ascii="黑体" w:hAnsi="黑体" w:eastAsia="黑体" w:cs="黑体"/>
          <w:color w:val="auto"/>
          <w:spacing w:val="-1"/>
          <w:sz w:val="28"/>
          <w:szCs w:val="28"/>
          <w:highlight w:val="none"/>
        </w:rPr>
        <w:t>第三部分 专用合同条款</w:t>
      </w:r>
    </w:p>
    <w:p>
      <w:pPr>
        <w:spacing w:line="219" w:lineRule="auto"/>
        <w:rPr>
          <w:rFonts w:ascii="黑体" w:hAnsi="黑体" w:eastAsia="黑体" w:cs="黑体"/>
          <w:color w:val="auto"/>
          <w:sz w:val="28"/>
          <w:szCs w:val="28"/>
          <w:highlight w:val="none"/>
        </w:rPr>
        <w:sectPr>
          <w:footerReference r:id="rId56" w:type="default"/>
          <w:pgSz w:w="11905" w:h="16843"/>
          <w:pgMar w:top="1769" w:right="1548" w:bottom="1003" w:left="1542" w:header="0" w:footer="828" w:gutter="0"/>
          <w:pgNumType w:fmt="numberInDash"/>
          <w:cols w:space="0" w:num="1"/>
          <w:rtlGutter w:val="0"/>
          <w:docGrid w:linePitch="0" w:charSpace="0"/>
        </w:sectPr>
      </w:pPr>
    </w:p>
    <w:p>
      <w:pPr>
        <w:spacing w:before="65" w:line="221" w:lineRule="auto"/>
        <w:ind w:left="3570"/>
        <w:rPr>
          <w:color w:val="auto"/>
          <w:highlight w:val="none"/>
        </w:rPr>
      </w:pPr>
      <w:r>
        <w:rPr>
          <w:rFonts w:ascii="黑体" w:hAnsi="黑体" w:eastAsia="黑体" w:cs="黑体"/>
          <w:color w:val="auto"/>
          <w:spacing w:val="-3"/>
          <w:sz w:val="28"/>
          <w:szCs w:val="28"/>
          <w:highlight w:val="none"/>
        </w:rPr>
        <w:t>专用合同条款</w:t>
      </w:r>
    </w:p>
    <w:p>
      <w:pPr>
        <w:spacing w:before="91" w:line="436" w:lineRule="exact"/>
        <w:ind w:left="2"/>
        <w:rPr>
          <w:rFonts w:ascii="黑体" w:hAnsi="黑体" w:eastAsia="黑体" w:cs="黑体"/>
          <w:color w:val="auto"/>
          <w:sz w:val="28"/>
          <w:szCs w:val="28"/>
          <w:highlight w:val="none"/>
        </w:rPr>
      </w:pPr>
      <w:bookmarkStart w:id="316" w:name="bookmark355"/>
      <w:bookmarkEnd w:id="316"/>
      <w:bookmarkStart w:id="317" w:name="bookmark356"/>
      <w:bookmarkEnd w:id="317"/>
      <w:bookmarkStart w:id="318" w:name="bookmark357"/>
      <w:bookmarkEnd w:id="318"/>
      <w:r>
        <w:rPr>
          <w:rFonts w:ascii="Times New Roman" w:hAnsi="Times New Roman" w:eastAsia="Times New Roman" w:cs="Times New Roman"/>
          <w:b/>
          <w:bCs/>
          <w:color w:val="auto"/>
          <w:spacing w:val="-5"/>
          <w:position w:val="11"/>
          <w:sz w:val="28"/>
          <w:szCs w:val="28"/>
          <w:highlight w:val="none"/>
        </w:rPr>
        <w:t>1.</w:t>
      </w:r>
      <w:r>
        <w:rPr>
          <w:rFonts w:ascii="Times New Roman" w:hAnsi="Times New Roman" w:eastAsia="Times New Roman" w:cs="Times New Roman"/>
          <w:b/>
          <w:bCs/>
          <w:color w:val="auto"/>
          <w:spacing w:val="8"/>
          <w:position w:val="11"/>
          <w:sz w:val="28"/>
          <w:szCs w:val="28"/>
          <w:highlight w:val="none"/>
        </w:rPr>
        <w:t xml:space="preserve">  </w:t>
      </w:r>
      <w:r>
        <w:rPr>
          <w:rFonts w:ascii="黑体" w:hAnsi="黑体" w:eastAsia="黑体" w:cs="黑体"/>
          <w:color w:val="auto"/>
          <w:spacing w:val="-5"/>
          <w:position w:val="11"/>
          <w:sz w:val="28"/>
          <w:szCs w:val="28"/>
          <w:highlight w:val="none"/>
          <w14:textOutline w14:w="5094" w14:cap="flat" w14:cmpd="sng">
            <w14:solidFill>
              <w14:srgbClr w14:val="000000"/>
            </w14:solidFill>
            <w14:prstDash w14:val="solid"/>
            <w14:miter w14:val="0"/>
          </w14:textOutline>
        </w:rPr>
        <w:t>一般约定</w:t>
      </w:r>
    </w:p>
    <w:p>
      <w:pPr>
        <w:spacing w:line="219"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1.1</w:t>
      </w:r>
      <w:r>
        <w:rPr>
          <w:rFonts w:ascii="Times New Roman" w:hAnsi="Times New Roman" w:eastAsia="Times New Roman" w:cs="Times New Roman"/>
          <w:b/>
          <w:bCs/>
          <w:color w:val="auto"/>
          <w:spacing w:val="7"/>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词语定义</w:t>
      </w:r>
    </w:p>
    <w:p>
      <w:pPr>
        <w:spacing w:before="139" w:line="223"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1.1.1</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4"/>
          <w:sz w:val="21"/>
          <w:szCs w:val="21"/>
          <w:highlight w:val="none"/>
        </w:rPr>
        <w:t>合同</w:t>
      </w:r>
    </w:p>
    <w:p>
      <w:pPr>
        <w:spacing w:before="144" w:line="221" w:lineRule="auto"/>
        <w:ind w:left="428"/>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"1.1.1.10"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1.1.1.10</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其他合同文件包括：</w:t>
      </w:r>
      <w:r>
        <w:rPr>
          <w:rFonts w:ascii="宋体" w:hAnsi="宋体" w:eastAsia="宋体" w:cs="宋体"/>
          <w:color w:val="auto"/>
          <w:sz w:val="21"/>
          <w:szCs w:val="21"/>
          <w:highlight w:val="none"/>
          <w:u w:val="single" w:color="auto"/>
        </w:rPr>
        <w:t xml:space="preserve">            </w:t>
      </w:r>
    </w:p>
    <w:p>
      <w:pPr>
        <w:tabs>
          <w:tab w:val="left" w:pos="7837"/>
        </w:tabs>
        <w:spacing w:before="23" w:line="174" w:lineRule="auto"/>
        <w:rPr>
          <w:rFonts w:ascii="宋体" w:hAnsi="宋体" w:eastAsia="宋体" w:cs="宋体"/>
          <w:color w:val="auto"/>
          <w:sz w:val="7"/>
          <w:szCs w:val="7"/>
          <w:highlight w:val="none"/>
        </w:rPr>
      </w:pP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9" w:line="399" w:lineRule="exact"/>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1.1.2  </w:t>
      </w:r>
      <w:r>
        <w:rPr>
          <w:rFonts w:ascii="宋体" w:hAnsi="宋体" w:eastAsia="宋体" w:cs="宋体"/>
          <w:color w:val="auto"/>
          <w:spacing w:val="-2"/>
          <w:position w:val="14"/>
          <w:sz w:val="21"/>
          <w:szCs w:val="21"/>
          <w:highlight w:val="none"/>
        </w:rPr>
        <w:t>合同当事人及其他相关方</w:t>
      </w:r>
    </w:p>
    <w:p>
      <w:pPr>
        <w:spacing w:before="1" w:line="223" w:lineRule="auto"/>
        <w:ind w:left="428"/>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1.1.2.4</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监理人：</w:t>
      </w:r>
    </w:p>
    <w:p>
      <w:pPr>
        <w:spacing w:before="147" w:line="240" w:lineRule="auto"/>
        <w:ind w:left="414"/>
        <w:rPr>
          <w:rFonts w:ascii="宋体" w:hAnsi="宋体" w:eastAsia="宋体" w:cs="宋体"/>
          <w:color w:val="auto"/>
          <w:sz w:val="21"/>
          <w:szCs w:val="21"/>
          <w:highlight w:val="none"/>
        </w:rPr>
      </w:pPr>
      <w:r>
        <w:rPr>
          <w:rFonts w:ascii="宋体" w:hAnsi="宋体" w:eastAsia="宋体" w:cs="宋体"/>
          <w:color w:val="auto"/>
          <w:spacing w:val="-15"/>
          <w:w w:val="85"/>
          <w:sz w:val="21"/>
          <w:szCs w:val="21"/>
          <w:highlight w:val="none"/>
        </w:rPr>
        <w:t>名</w:t>
      </w:r>
      <w:r>
        <w:rPr>
          <w:rFonts w:ascii="宋体" w:hAnsi="宋体" w:eastAsia="宋体" w:cs="宋体"/>
          <w:color w:val="auto"/>
          <w:spacing w:val="2"/>
          <w:sz w:val="21"/>
          <w:szCs w:val="21"/>
          <w:highlight w:val="none"/>
        </w:rPr>
        <w:t xml:space="preserve">    </w:t>
      </w:r>
      <w:r>
        <w:rPr>
          <w:rFonts w:ascii="宋体" w:hAnsi="宋体" w:eastAsia="宋体" w:cs="宋体"/>
          <w:color w:val="auto"/>
          <w:spacing w:val="-15"/>
          <w:w w:val="85"/>
          <w:sz w:val="21"/>
          <w:szCs w:val="21"/>
          <w:highlight w:val="none"/>
        </w:rPr>
        <w:t>称</w:t>
      </w:r>
      <w:r>
        <w:rPr>
          <w:rFonts w:ascii="宋体" w:hAnsi="宋体" w:eastAsia="宋体" w:cs="宋体"/>
          <w:color w:val="auto"/>
          <w:spacing w:val="1"/>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rPr>
        <w:t>；</w:t>
      </w:r>
    </w:p>
    <w:p>
      <w:pPr>
        <w:spacing w:line="240" w:lineRule="auto"/>
        <w:ind w:left="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资质类别和等级</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7" w:line="240" w:lineRule="auto"/>
        <w:ind w:left="413"/>
        <w:rPr>
          <w:rFonts w:ascii="宋体" w:hAnsi="宋体" w:eastAsia="宋体" w:cs="宋体"/>
          <w:color w:val="auto"/>
          <w:sz w:val="21"/>
          <w:szCs w:val="21"/>
          <w:highlight w:val="none"/>
        </w:rPr>
      </w:pPr>
      <w:r>
        <w:rPr>
          <w:rFonts w:ascii="宋体" w:hAnsi="宋体" w:eastAsia="宋体" w:cs="宋体"/>
          <w:color w:val="auto"/>
          <w:spacing w:val="-20"/>
          <w:w w:val="99"/>
          <w:sz w:val="21"/>
          <w:szCs w:val="21"/>
          <w:highlight w:val="none"/>
        </w:rPr>
        <w:t>联系电话</w:t>
      </w:r>
      <w:r>
        <w:rPr>
          <w:rFonts w:ascii="宋体" w:hAnsi="宋体" w:eastAsia="宋体" w:cs="宋体"/>
          <w:color w:val="auto"/>
          <w:spacing w:val="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47" w:line="240" w:lineRule="auto"/>
        <w:ind w:left="437"/>
        <w:rPr>
          <w:rFonts w:ascii="宋体" w:hAnsi="宋体" w:eastAsia="宋体" w:cs="宋体"/>
          <w:color w:val="auto"/>
          <w:sz w:val="21"/>
          <w:szCs w:val="21"/>
          <w:highlight w:val="none"/>
        </w:rPr>
      </w:pPr>
      <w:r>
        <w:rPr>
          <w:rFonts w:ascii="宋体" w:hAnsi="宋体" w:eastAsia="宋体" w:cs="宋体"/>
          <w:color w:val="auto"/>
          <w:spacing w:val="-18"/>
          <w:w w:val="95"/>
          <w:sz w:val="21"/>
          <w:szCs w:val="21"/>
          <w:highlight w:val="none"/>
        </w:rPr>
        <w:t>电子信箱</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0" w:line="240" w:lineRule="auto"/>
        <w:ind w:left="41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通信地址：</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w:t>
      </w:r>
    </w:p>
    <w:p>
      <w:pPr>
        <w:spacing w:before="147" w:line="240" w:lineRule="auto"/>
        <w:ind w:left="428"/>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1.1.2.5</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
          <w:sz w:val="21"/>
          <w:szCs w:val="21"/>
          <w:highlight w:val="none"/>
        </w:rPr>
        <w:t xml:space="preserve">  </w:t>
      </w:r>
      <w:r>
        <w:rPr>
          <w:rFonts w:ascii="宋体" w:hAnsi="宋体" w:eastAsia="宋体" w:cs="宋体"/>
          <w:color w:val="auto"/>
          <w:spacing w:val="-2"/>
          <w:sz w:val="21"/>
          <w:szCs w:val="21"/>
          <w:highlight w:val="none"/>
        </w:rPr>
        <w:t>设计人：</w:t>
      </w:r>
    </w:p>
    <w:p>
      <w:pPr>
        <w:spacing w:before="148" w:line="240" w:lineRule="auto"/>
        <w:ind w:left="414"/>
        <w:rPr>
          <w:rFonts w:ascii="宋体" w:hAnsi="宋体" w:eastAsia="宋体" w:cs="宋体"/>
          <w:color w:val="auto"/>
          <w:sz w:val="21"/>
          <w:szCs w:val="21"/>
          <w:highlight w:val="none"/>
        </w:rPr>
      </w:pPr>
      <w:r>
        <w:rPr>
          <w:rFonts w:ascii="宋体" w:hAnsi="宋体" w:eastAsia="宋体" w:cs="宋体"/>
          <w:color w:val="auto"/>
          <w:spacing w:val="-15"/>
          <w:w w:val="85"/>
          <w:sz w:val="21"/>
          <w:szCs w:val="21"/>
          <w:highlight w:val="none"/>
        </w:rPr>
        <w:t>名</w:t>
      </w:r>
      <w:r>
        <w:rPr>
          <w:rFonts w:ascii="宋体" w:hAnsi="宋体" w:eastAsia="宋体" w:cs="宋体"/>
          <w:color w:val="auto"/>
          <w:spacing w:val="2"/>
          <w:sz w:val="21"/>
          <w:szCs w:val="21"/>
          <w:highlight w:val="none"/>
        </w:rPr>
        <w:t xml:space="preserve">    </w:t>
      </w:r>
      <w:r>
        <w:rPr>
          <w:rFonts w:ascii="宋体" w:hAnsi="宋体" w:eastAsia="宋体" w:cs="宋体"/>
          <w:color w:val="auto"/>
          <w:spacing w:val="-15"/>
          <w:w w:val="85"/>
          <w:sz w:val="21"/>
          <w:szCs w:val="21"/>
          <w:highlight w:val="none"/>
        </w:rPr>
        <w:t>称</w:t>
      </w:r>
      <w:r>
        <w:rPr>
          <w:rFonts w:ascii="宋体" w:hAnsi="宋体" w:eastAsia="宋体" w:cs="宋体"/>
          <w:color w:val="auto"/>
          <w:spacing w:val="1"/>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 w:line="240" w:lineRule="auto"/>
        <w:ind w:left="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资质类别和等级</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7" w:line="240" w:lineRule="auto"/>
        <w:ind w:left="413"/>
        <w:rPr>
          <w:rFonts w:ascii="宋体" w:hAnsi="宋体" w:eastAsia="宋体" w:cs="宋体"/>
          <w:color w:val="auto"/>
          <w:sz w:val="21"/>
          <w:szCs w:val="21"/>
          <w:highlight w:val="none"/>
        </w:rPr>
      </w:pPr>
      <w:r>
        <w:rPr>
          <w:rFonts w:ascii="宋体" w:hAnsi="宋体" w:eastAsia="宋体" w:cs="宋体"/>
          <w:color w:val="auto"/>
          <w:spacing w:val="-20"/>
          <w:w w:val="99"/>
          <w:sz w:val="21"/>
          <w:szCs w:val="21"/>
          <w:highlight w:val="none"/>
        </w:rPr>
        <w:t>联系电话</w:t>
      </w:r>
      <w:r>
        <w:rPr>
          <w:rFonts w:ascii="宋体" w:hAnsi="宋体" w:eastAsia="宋体" w:cs="宋体"/>
          <w:color w:val="auto"/>
          <w:spacing w:val="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47" w:line="240" w:lineRule="auto"/>
        <w:ind w:left="437"/>
        <w:rPr>
          <w:rFonts w:ascii="宋体" w:hAnsi="宋体" w:eastAsia="宋体" w:cs="宋体"/>
          <w:color w:val="auto"/>
          <w:sz w:val="21"/>
          <w:szCs w:val="21"/>
          <w:highlight w:val="none"/>
        </w:rPr>
      </w:pPr>
      <w:r>
        <w:rPr>
          <w:rFonts w:ascii="宋体" w:hAnsi="宋体" w:eastAsia="宋体" w:cs="宋体"/>
          <w:color w:val="auto"/>
          <w:spacing w:val="-18"/>
          <w:w w:val="95"/>
          <w:sz w:val="21"/>
          <w:szCs w:val="21"/>
          <w:highlight w:val="none"/>
        </w:rPr>
        <w:t>电子信箱</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49" w:line="240" w:lineRule="auto"/>
        <w:ind w:left="41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通信地址：</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w:t>
      </w:r>
    </w:p>
    <w:p>
      <w:pPr>
        <w:spacing w:before="148"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1.1.3  </w:t>
      </w:r>
      <w:r>
        <w:rPr>
          <w:rFonts w:ascii="宋体" w:hAnsi="宋体" w:eastAsia="宋体" w:cs="宋体"/>
          <w:color w:val="auto"/>
          <w:spacing w:val="-2"/>
          <w:sz w:val="21"/>
          <w:szCs w:val="21"/>
          <w:highlight w:val="none"/>
        </w:rPr>
        <w:t>工程和设备</w:t>
      </w:r>
    </w:p>
    <w:p>
      <w:pPr>
        <w:spacing w:before="149" w:line="240" w:lineRule="auto"/>
        <w:ind w:left="428"/>
        <w:rPr>
          <w:color w:val="auto"/>
          <w:highlight w:val="none"/>
        </w:rPr>
      </w:pPr>
      <w:r>
        <w:rPr>
          <w:color w:val="auto"/>
          <w:highlight w:val="none"/>
        </w:rPr>
        <w:fldChar w:fldCharType="begin"/>
      </w:r>
      <w:r>
        <w:rPr>
          <w:color w:val="auto"/>
          <w:highlight w:val="none"/>
        </w:rPr>
        <w:instrText xml:space="preserve"> HYPERLINK "1.1.3.7"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1.1.3.7</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作为施工现场组成部分的其他场所包括：</w:t>
      </w:r>
    </w:p>
    <w:p>
      <w:pPr>
        <w:tabs>
          <w:tab w:val="left" w:pos="8122"/>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6" w:line="240" w:lineRule="auto"/>
        <w:ind w:left="428"/>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rFonts w:ascii="Times New Roman" w:hAnsi="Times New Roman" w:eastAsia="Times New Roman" w:cs="Times New Roman"/>
          <w:color w:val="auto"/>
          <w:spacing w:val="-6"/>
          <w:sz w:val="21"/>
          <w:szCs w:val="21"/>
          <w:highlight w:val="none"/>
        </w:rPr>
        <w:t>1.1.3.9</w:t>
      </w:r>
      <w:r>
        <w:rPr>
          <w:rFonts w:ascii="Times New Roman" w:hAnsi="Times New Roman" w:eastAsia="Times New Roman" w:cs="Times New Roman"/>
          <w:color w:val="auto"/>
          <w:spacing w:val="-6"/>
          <w:sz w:val="21"/>
          <w:szCs w:val="21"/>
          <w:highlight w:val="none"/>
        </w:rPr>
        <w:fldChar w:fldCharType="end"/>
      </w:r>
      <w:r>
        <w:rPr>
          <w:rFonts w:ascii="Times New Roman" w:hAnsi="Times New Roman" w:eastAsia="Times New Roman" w:cs="Times New Roman"/>
          <w:color w:val="auto"/>
          <w:spacing w:val="-6"/>
          <w:sz w:val="21"/>
          <w:szCs w:val="21"/>
          <w:highlight w:val="none"/>
        </w:rPr>
        <w:t xml:space="preserve">  </w:t>
      </w:r>
      <w:r>
        <w:rPr>
          <w:rFonts w:ascii="宋体" w:hAnsi="宋体" w:eastAsia="宋体" w:cs="宋体"/>
          <w:color w:val="auto"/>
          <w:spacing w:val="-6"/>
          <w:sz w:val="21"/>
          <w:szCs w:val="21"/>
          <w:highlight w:val="none"/>
        </w:rPr>
        <w:t>永久占地包括：</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w:t>
      </w:r>
    </w:p>
    <w:p>
      <w:pPr>
        <w:spacing w:before="1" w:line="220" w:lineRule="auto"/>
        <w:ind w:left="428"/>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Times New Roman" w:hAnsi="Times New Roman" w:eastAsia="Times New Roman" w:cs="Times New Roman"/>
          <w:color w:val="auto"/>
          <w:spacing w:val="-8"/>
          <w:sz w:val="21"/>
          <w:szCs w:val="21"/>
          <w:highlight w:val="none"/>
        </w:rPr>
        <w:t>1.1.3.10</w:t>
      </w:r>
      <w:r>
        <w:rPr>
          <w:rFonts w:ascii="Times New Roman" w:hAnsi="Times New Roman" w:eastAsia="Times New Roman" w:cs="Times New Roman"/>
          <w:color w:val="auto"/>
          <w:spacing w:val="-8"/>
          <w:sz w:val="21"/>
          <w:szCs w:val="21"/>
          <w:highlight w:val="none"/>
        </w:rPr>
        <w:fldChar w:fldCharType="end"/>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8"/>
          <w:sz w:val="21"/>
          <w:szCs w:val="21"/>
          <w:highlight w:val="none"/>
        </w:rPr>
        <w:t>临时占地包括：</w:t>
      </w:r>
      <w:r>
        <w:rPr>
          <w:rFonts w:ascii="宋体" w:hAnsi="宋体" w:eastAsia="宋体" w:cs="宋体"/>
          <w:color w:val="auto"/>
          <w:spacing w:val="-30"/>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
          <w:sz w:val="21"/>
          <w:szCs w:val="21"/>
          <w:highlight w:val="none"/>
        </w:rPr>
        <w:t>。</w:t>
      </w:r>
    </w:p>
    <w:p>
      <w:pPr>
        <w:spacing w:before="125"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5"/>
          <w:sz w:val="24"/>
          <w:szCs w:val="24"/>
          <w:highlight w:val="none"/>
        </w:rPr>
        <w:t>1.3</w:t>
      </w:r>
      <w:r>
        <w:rPr>
          <w:rFonts w:ascii="Times New Roman" w:hAnsi="Times New Roman" w:eastAsia="Times New Roman" w:cs="Times New Roman"/>
          <w:b/>
          <w:bCs/>
          <w:color w:val="auto"/>
          <w:spacing w:val="15"/>
          <w:sz w:val="24"/>
          <w:szCs w:val="24"/>
          <w:highlight w:val="none"/>
        </w:rPr>
        <w:t xml:space="preserve"> </w:t>
      </w:r>
      <w:r>
        <w:rPr>
          <w:rFonts w:ascii="黑体" w:hAnsi="黑体" w:eastAsia="黑体" w:cs="黑体"/>
          <w:color w:val="auto"/>
          <w:spacing w:val="-5"/>
          <w:sz w:val="24"/>
          <w:szCs w:val="24"/>
          <w:highlight w:val="none"/>
          <w14:textOutline w14:w="4354" w14:cap="flat" w14:cmpd="sng">
            <w14:solidFill>
              <w14:srgbClr w14:val="000000"/>
            </w14:solidFill>
            <w14:prstDash w14:val="solid"/>
            <w14:miter w14:val="0"/>
          </w14:textOutline>
        </w:rPr>
        <w:t>法律</w:t>
      </w:r>
    </w:p>
    <w:p>
      <w:pPr>
        <w:spacing w:before="137" w:line="221" w:lineRule="auto"/>
        <w:ind w:left="428"/>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适用于合同的其他规范性文件：</w:t>
      </w:r>
      <w:r>
        <w:rPr>
          <w:rFonts w:hint="eastAsia" w:ascii="宋体" w:hAnsi="宋体" w:eastAsia="宋体" w:cs="宋体"/>
          <w:color w:val="auto"/>
          <w:spacing w:val="-2"/>
          <w:sz w:val="21"/>
          <w:szCs w:val="21"/>
          <w:highlight w:val="none"/>
        </w:rPr>
        <w:t>本合同适用我国现行的《</w:t>
      </w:r>
      <w:r>
        <w:rPr>
          <w:rFonts w:hint="eastAsia" w:ascii="宋体" w:hAnsi="宋体" w:eastAsia="宋体" w:cs="宋体"/>
          <w:color w:val="auto"/>
          <w:spacing w:val="-2"/>
          <w:sz w:val="21"/>
          <w:szCs w:val="21"/>
          <w:highlight w:val="none"/>
          <w:lang w:eastAsia="zh-CN"/>
        </w:rPr>
        <w:t>民法典</w:t>
      </w:r>
      <w:r>
        <w:rPr>
          <w:rFonts w:hint="eastAsia" w:ascii="宋体" w:hAnsi="宋体" w:eastAsia="宋体" w:cs="宋体"/>
          <w:color w:val="auto"/>
          <w:spacing w:val="-2"/>
          <w:sz w:val="21"/>
          <w:szCs w:val="21"/>
          <w:highlight w:val="none"/>
        </w:rPr>
        <w:t>》、《水土保持法》、《环境保护法》及相关条例、办法、规定等法律、法规。</w:t>
      </w:r>
    </w:p>
    <w:p>
      <w:pPr>
        <w:tabs>
          <w:tab w:val="left" w:pos="8122"/>
        </w:tabs>
        <w:spacing w:before="23" w:line="174"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75"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1.4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标准和规范</w:t>
      </w:r>
    </w:p>
    <w:p>
      <w:pPr>
        <w:spacing w:before="137" w:line="221" w:lineRule="auto"/>
        <w:ind w:left="428"/>
        <w:rPr>
          <w:rFonts w:ascii="宋体" w:hAnsi="宋体" w:eastAsia="宋体" w:cs="宋体"/>
          <w:color w:val="auto"/>
          <w:sz w:val="21"/>
          <w:szCs w:val="21"/>
          <w:highlight w:val="none"/>
          <w:u w:val="single" w:color="auto"/>
        </w:rPr>
      </w:pPr>
      <w:r>
        <w:rPr>
          <w:rFonts w:ascii="Times New Roman" w:hAnsi="Times New Roman" w:eastAsia="Times New Roman" w:cs="Times New Roman"/>
          <w:color w:val="auto"/>
          <w:spacing w:val="-2"/>
          <w:sz w:val="21"/>
          <w:szCs w:val="21"/>
          <w:highlight w:val="none"/>
        </w:rPr>
        <w:t xml:space="preserve">1.4.1 </w:t>
      </w:r>
      <w:r>
        <w:rPr>
          <w:rFonts w:ascii="宋体" w:hAnsi="宋体" w:eastAsia="宋体" w:cs="宋体"/>
          <w:color w:val="auto"/>
          <w:spacing w:val="-2"/>
          <w:sz w:val="21"/>
          <w:szCs w:val="21"/>
          <w:highlight w:val="none"/>
        </w:rPr>
        <w:t>适用于工程的标准规范包括：</w:t>
      </w:r>
    </w:p>
    <w:p>
      <w:pPr>
        <w:spacing w:before="137" w:line="221" w:lineRule="auto"/>
        <w:ind w:left="428"/>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1、《农田排水工程技术规范》；</w:t>
      </w:r>
    </w:p>
    <w:p>
      <w:pPr>
        <w:spacing w:before="137" w:line="221" w:lineRule="auto"/>
        <w:ind w:left="428"/>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2、《水土保持综合治理技术规范》；</w:t>
      </w:r>
    </w:p>
    <w:p>
      <w:pPr>
        <w:spacing w:before="137" w:line="221" w:lineRule="auto"/>
        <w:ind w:left="428"/>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3、《灌溉与排水工程技术规范》；</w:t>
      </w:r>
    </w:p>
    <w:p>
      <w:pPr>
        <w:spacing w:before="137" w:line="221" w:lineRule="auto"/>
        <w:ind w:left="428"/>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4、《国家农业综合开发土地治理项目建设标准》；</w:t>
      </w:r>
    </w:p>
    <w:p>
      <w:pPr>
        <w:spacing w:before="137" w:line="221" w:lineRule="auto"/>
        <w:ind w:left="428"/>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5、《节水灌溉技术规范》SL207-98；</w:t>
      </w:r>
    </w:p>
    <w:p>
      <w:pPr>
        <w:spacing w:before="137" w:line="221" w:lineRule="auto"/>
        <w:ind w:left="428"/>
        <w:rPr>
          <w:rFonts w:hint="eastAsia" w:ascii="宋体" w:hAnsi="宋体" w:eastAsia="宋体" w:cs="宋体"/>
          <w:color w:val="auto"/>
          <w:sz w:val="21"/>
          <w:szCs w:val="21"/>
          <w:highlight w:val="none"/>
          <w:u w:val="none" w:color="auto"/>
        </w:rPr>
      </w:pPr>
      <w:r>
        <w:rPr>
          <w:rFonts w:hint="eastAsia" w:ascii="宋体" w:hAnsi="宋体" w:eastAsia="宋体" w:cs="宋体"/>
          <w:color w:val="auto"/>
          <w:sz w:val="21"/>
          <w:szCs w:val="21"/>
          <w:highlight w:val="none"/>
          <w:u w:val="none" w:color="auto"/>
        </w:rPr>
        <w:t>6、《水工混凝土结构设计规范》SL/T191-96；</w:t>
      </w:r>
    </w:p>
    <w:p>
      <w:pPr>
        <w:spacing w:before="137" w:line="221" w:lineRule="auto"/>
        <w:ind w:left="428"/>
        <w:rPr>
          <w:color w:val="auto"/>
          <w:highlight w:val="none"/>
        </w:rPr>
      </w:pPr>
      <w:r>
        <w:rPr>
          <w:rFonts w:hint="eastAsia" w:ascii="宋体" w:hAnsi="宋体" w:eastAsia="宋体" w:cs="宋体"/>
          <w:color w:val="auto"/>
          <w:sz w:val="21"/>
          <w:szCs w:val="21"/>
          <w:highlight w:val="none"/>
          <w:u w:val="none" w:color="auto"/>
        </w:rPr>
        <w:t>7、国家和省颁布的其他相关的行业标准、规范等。</w:t>
      </w:r>
      <w:r>
        <w:rPr>
          <w:rFonts w:ascii="宋体" w:hAnsi="宋体" w:eastAsia="宋体" w:cs="宋体"/>
          <w:color w:val="auto"/>
          <w:sz w:val="21"/>
          <w:szCs w:val="21"/>
          <w:highlight w:val="none"/>
          <w:u w:val="none" w:color="auto"/>
        </w:rPr>
        <w:t xml:space="preserve"> </w:t>
      </w:r>
    </w:p>
    <w:p>
      <w:pPr>
        <w:tabs>
          <w:tab w:val="left" w:pos="8122"/>
        </w:tabs>
        <w:spacing w:before="23" w:line="174"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9" w:line="220" w:lineRule="auto"/>
        <w:ind w:left="428"/>
        <w:rPr>
          <w:rFonts w:ascii="宋体" w:hAnsi="宋体" w:eastAsia="宋体" w:cs="宋体"/>
          <w:color w:val="auto"/>
          <w:sz w:val="21"/>
          <w:szCs w:val="21"/>
          <w:highlight w:val="none"/>
          <w:u w:val="single" w:color="auto"/>
        </w:rPr>
      </w:pPr>
      <w:r>
        <w:rPr>
          <w:rFonts w:ascii="Times New Roman" w:hAnsi="Times New Roman" w:eastAsia="Times New Roman" w:cs="Times New Roman"/>
          <w:color w:val="auto"/>
          <w:spacing w:val="-2"/>
          <w:sz w:val="21"/>
          <w:szCs w:val="21"/>
          <w:highlight w:val="none"/>
        </w:rPr>
        <w:t xml:space="preserve">1.4.2  </w:t>
      </w:r>
      <w:r>
        <w:rPr>
          <w:rFonts w:ascii="宋体" w:hAnsi="宋体" w:eastAsia="宋体" w:cs="宋体"/>
          <w:color w:val="auto"/>
          <w:spacing w:val="-2"/>
          <w:sz w:val="21"/>
          <w:szCs w:val="21"/>
          <w:highlight w:val="none"/>
        </w:rPr>
        <w:t>发包人提供国外标准、规范的名称：</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eastAsia="zh-CN"/>
        </w:rPr>
        <w:t>；</w:t>
      </w:r>
      <w:r>
        <w:rPr>
          <w:rFonts w:ascii="宋体" w:hAnsi="宋体" w:eastAsia="宋体" w:cs="宋体"/>
          <w:color w:val="auto"/>
          <w:sz w:val="21"/>
          <w:szCs w:val="21"/>
          <w:highlight w:val="none"/>
          <w:u w:val="single" w:color="auto"/>
        </w:rPr>
        <w:t xml:space="preserve"> </w:t>
      </w:r>
    </w:p>
    <w:p>
      <w:pPr>
        <w:tabs>
          <w:tab w:val="left" w:pos="8122"/>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pacing w:val="-5"/>
          <w:sz w:val="7"/>
          <w:szCs w:val="7"/>
          <w:highlight w:val="none"/>
        </w:rPr>
        <w:t xml:space="preserve"> </w:t>
      </w:r>
    </w:p>
    <w:p>
      <w:pPr>
        <w:spacing w:before="125" w:line="240" w:lineRule="auto"/>
        <w:ind w:left="43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发包人提供国外标准、规范的份数</w:t>
      </w:r>
      <w:r>
        <w:rPr>
          <w:rFonts w:ascii="宋体" w:hAnsi="宋体" w:eastAsia="宋体" w:cs="宋体"/>
          <w:color w:val="auto"/>
          <w:spacing w:val="2"/>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pPr>
        <w:spacing w:line="240" w:lineRule="auto"/>
        <w:ind w:left="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发包人提供国外标准、规范的名称：</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0" w:line="240"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发包人对工程的技术标准和功能要求的特殊要求：</w:t>
      </w:r>
    </w:p>
    <w:p>
      <w:pPr>
        <w:pStyle w:val="2"/>
        <w:tabs>
          <w:tab w:val="left" w:pos="8820"/>
        </w:tabs>
        <w:spacing w:before="160" w:line="240" w:lineRule="auto"/>
        <w:rPr>
          <w:color w:val="auto"/>
          <w:highlight w:val="none"/>
        </w:rPr>
      </w:pPr>
      <w:r>
        <w:rPr>
          <w:color w:val="auto"/>
          <w:highlight w:val="none"/>
          <w:u w:val="single" w:color="auto"/>
        </w:rPr>
        <w:tab/>
      </w:r>
    </w:p>
    <w:p>
      <w:pPr>
        <w:tabs>
          <w:tab w:val="left" w:pos="8822"/>
        </w:tabs>
        <w:spacing w:before="23" w:line="174" w:lineRule="auto"/>
        <w:rPr>
          <w:rFonts w:ascii="宋体" w:hAnsi="宋体" w:eastAsia="宋体" w:cs="宋体"/>
          <w:color w:val="auto"/>
          <w:sz w:val="7"/>
          <w:szCs w:val="7"/>
          <w:highlight w:val="none"/>
        </w:rPr>
      </w:pPr>
      <w:r>
        <w:rPr>
          <w:rFonts w:ascii="宋体" w:hAnsi="宋体" w:eastAsia="宋体" w:cs="宋体"/>
          <w:color w:val="auto"/>
          <w:spacing w:val="11"/>
          <w:sz w:val="7"/>
          <w:szCs w:val="7"/>
          <w:highlight w:val="none"/>
        </w:rPr>
        <w:t>。</w:t>
      </w:r>
    </w:p>
    <w:p>
      <w:pPr>
        <w:spacing w:before="174" w:line="218" w:lineRule="auto"/>
        <w:ind w:left="15"/>
        <w:outlineLvl w:val="6"/>
        <w:rPr>
          <w:rFonts w:ascii="黑体" w:hAnsi="黑体" w:eastAsia="黑体" w:cs="黑体"/>
          <w:color w:val="auto"/>
          <w:sz w:val="24"/>
          <w:szCs w:val="24"/>
          <w:highlight w:val="none"/>
        </w:rPr>
      </w:pPr>
      <w:bookmarkStart w:id="319" w:name="bookmark358"/>
      <w:bookmarkEnd w:id="319"/>
      <w:bookmarkStart w:id="320" w:name="bookmark360"/>
      <w:bookmarkEnd w:id="320"/>
      <w:bookmarkStart w:id="321" w:name="bookmark365"/>
      <w:bookmarkEnd w:id="321"/>
      <w:bookmarkStart w:id="322" w:name="bookmark359"/>
      <w:bookmarkEnd w:id="322"/>
      <w:bookmarkStart w:id="323" w:name="bookmark361"/>
      <w:bookmarkEnd w:id="323"/>
      <w:bookmarkStart w:id="324" w:name="bookmark363"/>
      <w:bookmarkEnd w:id="324"/>
      <w:bookmarkStart w:id="325" w:name="bookmark366"/>
      <w:bookmarkEnd w:id="325"/>
      <w:bookmarkStart w:id="326" w:name="bookmark362"/>
      <w:bookmarkEnd w:id="326"/>
      <w:bookmarkStart w:id="327" w:name="bookmark364"/>
      <w:bookmarkEnd w:id="327"/>
      <w:r>
        <w:rPr>
          <w:rFonts w:ascii="Times New Roman" w:hAnsi="Times New Roman" w:eastAsia="Times New Roman" w:cs="Times New Roman"/>
          <w:b/>
          <w:bCs/>
          <w:color w:val="auto"/>
          <w:spacing w:val="-1"/>
          <w:sz w:val="24"/>
          <w:szCs w:val="24"/>
          <w:highlight w:val="none"/>
        </w:rPr>
        <w:t xml:space="preserve">1.5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合同文件的优先顺序</w:t>
      </w:r>
    </w:p>
    <w:p>
      <w:pPr>
        <w:spacing w:before="139" w:line="221" w:lineRule="auto"/>
        <w:ind w:left="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合同文件组成及优先顺序为：</w:t>
      </w:r>
    </w:p>
    <w:p>
      <w:pPr>
        <w:pStyle w:val="2"/>
        <w:tabs>
          <w:tab w:val="left" w:pos="8820"/>
        </w:tabs>
        <w:spacing w:before="164" w:line="241" w:lineRule="exact"/>
        <w:ind w:firstLine="420" w:firstLineChars="200"/>
        <w:rPr>
          <w:rFonts w:ascii="宋体" w:hAnsi="宋体" w:eastAsia="宋体" w:cs="宋体"/>
          <w:color w:val="auto"/>
          <w:sz w:val="7"/>
          <w:szCs w:val="7"/>
          <w:highlight w:val="none"/>
        </w:rPr>
      </w:pPr>
      <w:r>
        <w:rPr>
          <w:rFonts w:hint="eastAsia"/>
          <w:color w:val="auto"/>
          <w:highlight w:val="none"/>
          <w:u w:val="single" w:color="auto"/>
        </w:rPr>
        <w:t>按本合同第一部分，</w:t>
      </w:r>
      <w:r>
        <w:rPr>
          <w:rFonts w:hint="eastAsia" w:eastAsia="宋体"/>
          <w:color w:val="auto"/>
          <w:highlight w:val="none"/>
          <w:u w:val="single" w:color="auto"/>
          <w:lang w:eastAsia="zh-CN"/>
        </w:rPr>
        <w:t>六</w:t>
      </w:r>
      <w:r>
        <w:rPr>
          <w:rFonts w:hint="eastAsia"/>
          <w:color w:val="auto"/>
          <w:highlight w:val="none"/>
          <w:u w:val="single" w:color="auto"/>
        </w:rPr>
        <w:t>、所列先后顺序</w:t>
      </w:r>
      <w:r>
        <w:rPr>
          <w:color w:val="auto"/>
          <w:highlight w:val="none"/>
          <w:u w:val="single" w:color="auto"/>
        </w:rPr>
        <w:tab/>
      </w:r>
      <w:r>
        <w:rPr>
          <w:rFonts w:ascii="宋体" w:hAnsi="宋体" w:eastAsia="宋体" w:cs="宋体"/>
          <w:color w:val="auto"/>
          <w:spacing w:val="11"/>
          <w:sz w:val="7"/>
          <w:szCs w:val="7"/>
          <w:highlight w:val="none"/>
        </w:rPr>
        <w:t>。</w:t>
      </w:r>
    </w:p>
    <w:p>
      <w:pPr>
        <w:spacing w:before="172" w:line="219" w:lineRule="auto"/>
        <w:ind w:left="15"/>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1.6</w:t>
      </w:r>
      <w:r>
        <w:rPr>
          <w:rFonts w:ascii="Times New Roman" w:hAnsi="Times New Roman" w:eastAsia="Times New Roman" w:cs="Times New Roman"/>
          <w:b/>
          <w:bCs/>
          <w:color w:val="auto"/>
          <w:spacing w:val="11"/>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图纸和承包人文件</w:t>
      </w:r>
    </w:p>
    <w:p>
      <w:pPr>
        <w:spacing w:before="141" w:line="220"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1.6.1</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5"/>
          <w:sz w:val="21"/>
          <w:szCs w:val="21"/>
          <w:highlight w:val="none"/>
        </w:rPr>
        <w:t>图纸的提供</w:t>
      </w:r>
    </w:p>
    <w:p>
      <w:pPr>
        <w:spacing w:before="151" w:line="350" w:lineRule="auto"/>
        <w:ind w:left="4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发包人向承包人提供图纸的期限</w:t>
      </w:r>
      <w:r>
        <w:rPr>
          <w:rFonts w:ascii="宋体" w:hAnsi="宋体" w:eastAsia="宋体" w:cs="宋体"/>
          <w:color w:val="auto"/>
          <w:spacing w:val="2"/>
          <w:sz w:val="21"/>
          <w:szCs w:val="21"/>
          <w:highlight w:val="none"/>
        </w:rPr>
        <w:t>：</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发包人于开工前14天向承包人提供本工程图纸1套</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rPr>
        <w:t>；</w:t>
      </w:r>
    </w:p>
    <w:p>
      <w:pPr>
        <w:spacing w:line="219" w:lineRule="auto"/>
        <w:ind w:left="431"/>
        <w:rPr>
          <w:rFonts w:hint="eastAsia" w:ascii="宋体" w:hAnsi="宋体" w:eastAsia="宋体" w:cs="宋体"/>
          <w:color w:val="auto"/>
          <w:sz w:val="21"/>
          <w:szCs w:val="21"/>
          <w:highlight w:val="none"/>
          <w:lang w:eastAsia="zh-CN"/>
        </w:rPr>
      </w:pPr>
      <w:r>
        <w:rPr>
          <w:rFonts w:ascii="宋体" w:hAnsi="宋体" w:eastAsia="宋体" w:cs="宋体"/>
          <w:color w:val="auto"/>
          <w:spacing w:val="-1"/>
          <w:sz w:val="21"/>
          <w:szCs w:val="21"/>
          <w:highlight w:val="none"/>
        </w:rPr>
        <w:t>发包人向承包人提供图纸的数量</w:t>
      </w:r>
      <w:r>
        <w:rPr>
          <w:rFonts w:ascii="宋体" w:hAnsi="宋体" w:eastAsia="宋体" w:cs="宋体"/>
          <w:color w:val="auto"/>
          <w:spacing w:val="2"/>
          <w:sz w:val="21"/>
          <w:szCs w:val="21"/>
          <w:highlight w:val="none"/>
        </w:rPr>
        <w:t>：</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发包人于开工前14天向承包人提供本工程图纸1套</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eastAsia="zh-CN"/>
        </w:rPr>
        <w:t>；</w:t>
      </w:r>
    </w:p>
    <w:p>
      <w:pPr>
        <w:spacing w:before="151" w:line="220" w:lineRule="auto"/>
        <w:ind w:left="431"/>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发包人向承包人提供图纸的内容：</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50" w:line="221"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1.6.4  </w:t>
      </w:r>
      <w:r>
        <w:rPr>
          <w:rFonts w:ascii="宋体" w:hAnsi="宋体" w:eastAsia="宋体" w:cs="宋体"/>
          <w:color w:val="auto"/>
          <w:spacing w:val="-2"/>
          <w:sz w:val="21"/>
          <w:szCs w:val="21"/>
          <w:highlight w:val="none"/>
        </w:rPr>
        <w:t>承包人文件</w:t>
      </w:r>
    </w:p>
    <w:p>
      <w:pPr>
        <w:spacing w:before="147" w:line="353"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需要由承包人提供的文件，包括：</w:t>
      </w:r>
      <w:r>
        <w:rPr>
          <w:rFonts w:ascii="宋体" w:hAnsi="宋体" w:eastAsia="宋体" w:cs="宋体"/>
          <w:color w:val="auto"/>
          <w:sz w:val="21"/>
          <w:szCs w:val="21"/>
          <w:highlight w:val="none"/>
          <w:u w:val="single" w:color="auto"/>
        </w:rPr>
        <w:t xml:space="preserve">                                                 </w:t>
      </w:r>
    </w:p>
    <w:p>
      <w:pPr>
        <w:tabs>
          <w:tab w:val="left" w:pos="7400"/>
        </w:tabs>
        <w:spacing w:before="1" w:line="222" w:lineRule="auto"/>
        <w:ind w:left="42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rPr>
        <w:t>;</w:t>
      </w:r>
    </w:p>
    <w:p>
      <w:pPr>
        <w:spacing w:before="148" w:line="350" w:lineRule="auto"/>
        <w:ind w:left="42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承包人提供的文件的期限为</w:t>
      </w:r>
      <w:r>
        <w:rPr>
          <w:rFonts w:ascii="宋体" w:hAnsi="宋体" w:eastAsia="宋体" w:cs="宋体"/>
          <w:color w:val="auto"/>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 w:line="219" w:lineRule="auto"/>
        <w:ind w:left="42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承包人提供的文件的数量为</w:t>
      </w:r>
      <w:r>
        <w:rPr>
          <w:rFonts w:ascii="宋体" w:hAnsi="宋体" w:eastAsia="宋体" w:cs="宋体"/>
          <w:color w:val="auto"/>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51" w:line="220" w:lineRule="auto"/>
        <w:ind w:left="42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承包人提供的文件的形式为</w:t>
      </w:r>
      <w:r>
        <w:rPr>
          <w:rFonts w:ascii="宋体" w:hAnsi="宋体" w:eastAsia="宋体" w:cs="宋体"/>
          <w:color w:val="auto"/>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w:t>
      </w:r>
    </w:p>
    <w:p>
      <w:pPr>
        <w:spacing w:before="150" w:line="221" w:lineRule="auto"/>
        <w:ind w:left="43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发包人审批承包人文件的期限：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pPr>
        <w:spacing w:before="148" w:line="221"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1.6.5  </w:t>
      </w:r>
      <w:r>
        <w:rPr>
          <w:rFonts w:ascii="宋体" w:hAnsi="宋体" w:eastAsia="宋体" w:cs="宋体"/>
          <w:color w:val="auto"/>
          <w:spacing w:val="-2"/>
          <w:sz w:val="21"/>
          <w:szCs w:val="21"/>
          <w:highlight w:val="none"/>
        </w:rPr>
        <w:t>现场图纸准备</w:t>
      </w:r>
    </w:p>
    <w:p>
      <w:pPr>
        <w:spacing w:before="149" w:line="221" w:lineRule="auto"/>
        <w:ind w:left="431"/>
        <w:rPr>
          <w:rFonts w:ascii="宋体" w:hAnsi="宋体" w:eastAsia="宋体" w:cs="宋体"/>
          <w:color w:val="auto"/>
          <w:sz w:val="21"/>
          <w:szCs w:val="21"/>
          <w:highlight w:val="none"/>
        </w:rPr>
      </w:pPr>
      <w:r>
        <w:rPr>
          <w:rFonts w:ascii="宋体" w:hAnsi="宋体" w:eastAsia="宋体" w:cs="宋体"/>
          <w:color w:val="auto"/>
          <w:sz w:val="21"/>
          <w:szCs w:val="21"/>
          <w:highlight w:val="none"/>
        </w:rPr>
        <w:t>关于现场图纸准备的约定：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24" w:line="218" w:lineRule="auto"/>
        <w:ind w:left="15"/>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1.7</w:t>
      </w:r>
      <w:r>
        <w:rPr>
          <w:rFonts w:ascii="Times New Roman" w:hAnsi="Times New Roman" w:eastAsia="Times New Roman" w:cs="Times New Roman"/>
          <w:b/>
          <w:bCs/>
          <w:color w:val="auto"/>
          <w:spacing w:val="5"/>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联络</w:t>
      </w:r>
    </w:p>
    <w:p>
      <w:pPr>
        <w:spacing w:before="141" w:line="352"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1.7.1 </w:t>
      </w:r>
      <w:r>
        <w:rPr>
          <w:rFonts w:ascii="宋体" w:hAnsi="宋体" w:eastAsia="宋体" w:cs="宋体"/>
          <w:color w:val="auto"/>
          <w:spacing w:val="-1"/>
          <w:sz w:val="21"/>
          <w:szCs w:val="21"/>
          <w:highlight w:val="none"/>
        </w:rPr>
        <w:t>发包人和承包人应当在</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
          <w:sz w:val="21"/>
          <w:szCs w:val="21"/>
          <w:highlight w:val="none"/>
        </w:rPr>
        <w:t>天内将与合同有关的通知、批准、证明、证书、</w:t>
      </w:r>
      <w:r>
        <w:rPr>
          <w:rFonts w:ascii="宋体" w:hAnsi="宋体" w:eastAsia="宋体" w:cs="宋体"/>
          <w:color w:val="auto"/>
          <w:spacing w:val="-2"/>
          <w:sz w:val="21"/>
          <w:szCs w:val="21"/>
          <w:highlight w:val="none"/>
        </w:rPr>
        <w:t>指示、指</w:t>
      </w:r>
      <w:r>
        <w:rPr>
          <w:rFonts w:ascii="宋体" w:hAnsi="宋体" w:eastAsia="宋体" w:cs="宋体"/>
          <w:color w:val="auto"/>
          <w:sz w:val="21"/>
          <w:szCs w:val="21"/>
          <w:highlight w:val="none"/>
        </w:rPr>
        <w:t>令、要求、请求、同意、意见、确定和决定等书面函件送达对方</w:t>
      </w:r>
      <w:r>
        <w:rPr>
          <w:rFonts w:ascii="宋体" w:hAnsi="宋体" w:eastAsia="宋体" w:cs="宋体"/>
          <w:color w:val="auto"/>
          <w:spacing w:val="-1"/>
          <w:sz w:val="21"/>
          <w:szCs w:val="21"/>
          <w:highlight w:val="none"/>
        </w:rPr>
        <w:t>当事人。</w:t>
      </w:r>
    </w:p>
    <w:p>
      <w:pPr>
        <w:spacing w:before="151" w:line="350"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 xml:space="preserve">1.7.2  </w:t>
      </w:r>
      <w:r>
        <w:rPr>
          <w:rFonts w:ascii="宋体" w:hAnsi="宋体" w:eastAsia="宋体" w:cs="宋体"/>
          <w:color w:val="auto"/>
          <w:spacing w:val="-6"/>
          <w:sz w:val="21"/>
          <w:szCs w:val="21"/>
          <w:highlight w:val="none"/>
        </w:rPr>
        <w:t>发包人接收文件的地点</w:t>
      </w:r>
      <w:r>
        <w:rPr>
          <w:rFonts w:ascii="宋体" w:hAnsi="宋体" w:eastAsia="宋体" w:cs="宋体"/>
          <w:color w:val="auto"/>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 w:line="220" w:lineRule="auto"/>
        <w:ind w:left="43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发包人指定的接收人为：</w:t>
      </w:r>
      <w:r>
        <w:rPr>
          <w:rFonts w:ascii="宋体" w:hAnsi="宋体" w:eastAsia="宋体" w:cs="宋体"/>
          <w:color w:val="auto"/>
          <w:spacing w:val="-20"/>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8"/>
          <w:sz w:val="21"/>
          <w:szCs w:val="21"/>
          <w:highlight w:val="none"/>
        </w:rPr>
        <w:t>。</w:t>
      </w:r>
    </w:p>
    <w:p>
      <w:pPr>
        <w:spacing w:before="149" w:line="221" w:lineRule="auto"/>
        <w:ind w:left="42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承包人接收文件的地点</w:t>
      </w:r>
      <w:r>
        <w:rPr>
          <w:rFonts w:ascii="宋体" w:hAnsi="宋体" w:eastAsia="宋体" w:cs="宋体"/>
          <w:color w:val="auto"/>
          <w:spacing w:val="3"/>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0" w:line="221" w:lineRule="auto"/>
        <w:ind w:left="4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承包人指定的接收人为：</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w:t>
      </w:r>
    </w:p>
    <w:p>
      <w:pPr>
        <w:spacing w:before="147" w:line="221" w:lineRule="auto"/>
        <w:ind w:left="42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监理人接收文件的地点</w:t>
      </w:r>
      <w:r>
        <w:rPr>
          <w:rFonts w:ascii="宋体" w:hAnsi="宋体" w:eastAsia="宋体" w:cs="宋体"/>
          <w:color w:val="auto"/>
          <w:spacing w:val="3"/>
          <w:sz w:val="21"/>
          <w:szCs w:val="21"/>
          <w:highlight w:val="none"/>
        </w:rPr>
        <w:t>：</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49" w:line="221" w:lineRule="auto"/>
        <w:ind w:left="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监理人指定的接收人为：</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w:t>
      </w:r>
    </w:p>
    <w:p>
      <w:pPr>
        <w:spacing w:before="125" w:line="219" w:lineRule="auto"/>
        <w:ind w:left="15"/>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1.10</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交通运输</w:t>
      </w:r>
    </w:p>
    <w:p>
      <w:pPr>
        <w:spacing w:before="138" w:line="221" w:lineRule="auto"/>
        <w:ind w:left="444"/>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1.10.1</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4"/>
          <w:sz w:val="21"/>
          <w:szCs w:val="21"/>
          <w:highlight w:val="none"/>
        </w:rPr>
        <w:t>出入现场的权利</w:t>
      </w:r>
    </w:p>
    <w:p>
      <w:pPr>
        <w:spacing w:before="150" w:line="221" w:lineRule="auto"/>
        <w:ind w:left="431"/>
        <w:rPr>
          <w:color w:val="auto"/>
          <w:highlight w:val="none"/>
        </w:rPr>
      </w:pPr>
      <w:r>
        <w:rPr>
          <w:rFonts w:ascii="宋体" w:hAnsi="宋体" w:eastAsia="宋体" w:cs="宋体"/>
          <w:color w:val="auto"/>
          <w:spacing w:val="-3"/>
          <w:sz w:val="21"/>
          <w:szCs w:val="21"/>
          <w:highlight w:val="none"/>
        </w:rPr>
        <w:t>关于出入现场的权利的约定：</w:t>
      </w:r>
      <w:r>
        <w:rPr>
          <w:color w:val="auto"/>
          <w:highlight w:val="none"/>
        </w:rPr>
        <w:pict>
          <v:shape id="_x0000_s1029" o:spid="_x0000_s1029" style="position:absolute;left:0pt;margin-left:97.55pt;margin-top:88.1pt;height:0.5pt;width:384.45pt;mso-position-horizontal-relative:page;mso-position-vertical-relative:page;z-index:251662336;mso-width-relative:page;mso-height-relative:page;" fillcolor="#000000" filled="t" stroked="f" coordsize="7689,10" o:allowincell="f" path="m0,9l7688,9,7688,0,0,0,0,9xe">
            <v:path/>
            <v:fill on="t" focussize="0,0"/>
            <v:stroke on="f"/>
            <v:imagedata o:title=""/>
            <o:lock v:ext="edit"/>
          </v:shape>
        </w:pict>
      </w:r>
    </w:p>
    <w:p>
      <w:pPr>
        <w:pStyle w:val="2"/>
        <w:spacing w:line="295" w:lineRule="auto"/>
        <w:rPr>
          <w:color w:val="auto"/>
          <w:highlight w:val="none"/>
        </w:rPr>
      </w:pPr>
    </w:p>
    <w:p>
      <w:pPr>
        <w:spacing w:before="68" w:line="46" w:lineRule="exact"/>
        <w:ind w:left="8033"/>
        <w:rPr>
          <w:rFonts w:ascii="宋体" w:hAnsi="宋体" w:eastAsia="宋体" w:cs="宋体"/>
          <w:color w:val="auto"/>
          <w:sz w:val="21"/>
          <w:szCs w:val="21"/>
          <w:highlight w:val="none"/>
        </w:rPr>
      </w:pPr>
      <w:r>
        <w:rPr>
          <w:color w:val="auto"/>
          <w:highlight w:val="none"/>
        </w:rPr>
        <w:pict>
          <v:shape id="_x0000_s1030" o:spid="_x0000_s1030" o:spt="202" type="#_x0000_t202" style="position:absolute;left:0pt;margin-left:19.55pt;margin-top:-3.7pt;height:33.95pt;width:381.65pt;z-index:251661312;mso-width-relative:page;mso-height-relative:page;" filled="f" stroked="f" coordsize="21600,21600">
            <v:path/>
            <v:fill on="f" focussize="0,0"/>
            <v:stroke on="f"/>
            <v:imagedata o:title=""/>
            <o:lock v:ext="edit" aspectratio="f"/>
            <v:textbox inset="0mm,0mm,0mm,0mm">
              <w:txbxContent>
                <w:p>
                  <w:pPr>
                    <w:pStyle w:val="2"/>
                    <w:tabs>
                      <w:tab w:val="left" w:pos="7612"/>
                    </w:tabs>
                    <w:spacing w:before="20" w:line="241" w:lineRule="exact"/>
                    <w:ind w:left="20"/>
                  </w:pPr>
                  <w:r>
                    <w:rPr>
                      <w:u w:val="single" w:color="auto"/>
                    </w:rPr>
                    <w:tab/>
                  </w:r>
                </w:p>
                <w:p>
                  <w:pPr>
                    <w:spacing w:before="145" w:line="221" w:lineRule="auto"/>
                    <w:ind w:left="44"/>
                    <w:rPr>
                      <w:rFonts w:ascii="宋体" w:hAnsi="宋体" w:eastAsia="宋体" w:cs="宋体"/>
                      <w:sz w:val="21"/>
                      <w:szCs w:val="21"/>
                    </w:rPr>
                  </w:pPr>
                  <w:bookmarkStart w:id="431" w:name="bookmark367"/>
                  <w:bookmarkEnd w:id="431"/>
                  <w:r>
                    <w:rPr>
                      <w:rFonts w:ascii="Times New Roman" w:hAnsi="Times New Roman" w:eastAsia="Times New Roman" w:cs="Times New Roman"/>
                      <w:spacing w:val="-2"/>
                      <w:sz w:val="21"/>
                      <w:szCs w:val="21"/>
                    </w:rPr>
                    <w:t xml:space="preserve">1.10.3  </w:t>
                  </w:r>
                  <w:r>
                    <w:rPr>
                      <w:rFonts w:ascii="宋体" w:hAnsi="宋体" w:eastAsia="宋体" w:cs="宋体"/>
                      <w:spacing w:val="-2"/>
                      <w:sz w:val="21"/>
                      <w:szCs w:val="21"/>
                    </w:rPr>
                    <w:t>场内交通</w:t>
                  </w:r>
                </w:p>
              </w:txbxContent>
            </v:textbox>
          </v:shape>
        </w:pict>
      </w:r>
      <w:r>
        <w:rPr>
          <w:rFonts w:ascii="宋体" w:hAnsi="宋体" w:eastAsia="宋体" w:cs="宋体"/>
          <w:color w:val="auto"/>
          <w:position w:val="-1"/>
          <w:sz w:val="21"/>
          <w:szCs w:val="21"/>
          <w:highlight w:val="none"/>
        </w:rPr>
        <w:t>。</w:t>
      </w:r>
    </w:p>
    <w:p>
      <w:pPr>
        <w:pStyle w:val="2"/>
        <w:spacing w:line="272" w:lineRule="auto"/>
        <w:rPr>
          <w:color w:val="auto"/>
          <w:highlight w:val="none"/>
        </w:rPr>
      </w:pPr>
    </w:p>
    <w:p>
      <w:pPr>
        <w:pStyle w:val="2"/>
        <w:spacing w:line="273" w:lineRule="auto"/>
        <w:rPr>
          <w:color w:val="auto"/>
          <w:highlight w:val="none"/>
        </w:rPr>
      </w:pPr>
    </w:p>
    <w:p>
      <w:pPr>
        <w:spacing w:before="68" w:line="221" w:lineRule="auto"/>
        <w:ind w:left="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关于场外交通和场内交通的边界的约定：</w:t>
      </w:r>
    </w:p>
    <w:p>
      <w:pPr>
        <w:pStyle w:val="2"/>
        <w:tabs>
          <w:tab w:val="left" w:pos="8100"/>
        </w:tabs>
        <w:spacing w:before="163" w:line="241" w:lineRule="exact"/>
        <w:ind w:left="411"/>
        <w:rPr>
          <w:color w:val="auto"/>
          <w:highlight w:val="none"/>
        </w:rPr>
      </w:pPr>
      <w:r>
        <w:rPr>
          <w:color w:val="auto"/>
          <w:highlight w:val="none"/>
          <w:u w:val="single" w:color="auto"/>
        </w:rPr>
        <w:tab/>
      </w:r>
    </w:p>
    <w:p>
      <w:pPr>
        <w:pStyle w:val="2"/>
        <w:spacing w:line="257" w:lineRule="auto"/>
        <w:rPr>
          <w:color w:val="auto"/>
          <w:highlight w:val="none"/>
        </w:rPr>
      </w:pPr>
    </w:p>
    <w:p>
      <w:pPr>
        <w:tabs>
          <w:tab w:val="left" w:pos="8004"/>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2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关于发包人向承包人免费提供满足工程施工需要的场内道路和交通设施的约定：</w:t>
      </w:r>
    </w:p>
    <w:p>
      <w:pPr>
        <w:pStyle w:val="2"/>
        <w:tabs>
          <w:tab w:val="left" w:pos="8100"/>
        </w:tabs>
        <w:spacing w:before="164" w:line="241" w:lineRule="exact"/>
        <w:ind w:left="411"/>
        <w:rPr>
          <w:color w:val="auto"/>
          <w:highlight w:val="none"/>
        </w:rPr>
      </w:pPr>
      <w:r>
        <w:rPr>
          <w:color w:val="auto"/>
          <w:highlight w:val="none"/>
          <w:u w:val="single" w:color="auto"/>
        </w:rPr>
        <w:tab/>
      </w:r>
    </w:p>
    <w:p>
      <w:pPr>
        <w:pStyle w:val="2"/>
        <w:spacing w:line="258" w:lineRule="auto"/>
        <w:rPr>
          <w:color w:val="auto"/>
          <w:highlight w:val="none"/>
        </w:rPr>
      </w:pPr>
    </w:p>
    <w:p>
      <w:pPr>
        <w:tabs>
          <w:tab w:val="left" w:pos="8004"/>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1.10.4 </w:t>
      </w:r>
      <w:r>
        <w:rPr>
          <w:rFonts w:ascii="宋体" w:hAnsi="宋体" w:eastAsia="宋体" w:cs="宋体"/>
          <w:color w:val="auto"/>
          <w:spacing w:val="-2"/>
          <w:sz w:val="21"/>
          <w:szCs w:val="21"/>
          <w:highlight w:val="none"/>
        </w:rPr>
        <w:t>超大件和超重件的运输</w:t>
      </w:r>
    </w:p>
    <w:p>
      <w:pPr>
        <w:spacing w:before="150" w:line="352" w:lineRule="auto"/>
        <w:ind w:left="42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运输超大件或超重件所需的道路和桥梁临时加固改造费用和其他有关</w:t>
      </w:r>
      <w:r>
        <w:rPr>
          <w:rFonts w:ascii="宋体" w:hAnsi="宋体" w:eastAsia="宋体" w:cs="宋体"/>
          <w:color w:val="auto"/>
          <w:spacing w:val="18"/>
          <w:sz w:val="21"/>
          <w:szCs w:val="21"/>
          <w:highlight w:val="none"/>
        </w:rPr>
        <w:t>费用由</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承担。</w:t>
      </w:r>
    </w:p>
    <w:p>
      <w:pPr>
        <w:spacing w:before="122" w:line="220"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6"/>
          <w:sz w:val="24"/>
          <w:szCs w:val="24"/>
          <w:highlight w:val="none"/>
        </w:rPr>
        <w:t>1.11</w:t>
      </w:r>
      <w:r>
        <w:rPr>
          <w:rFonts w:ascii="Times New Roman" w:hAnsi="Times New Roman" w:eastAsia="Times New Roman" w:cs="Times New Roman"/>
          <w:b/>
          <w:bCs/>
          <w:color w:val="auto"/>
          <w:spacing w:val="10"/>
          <w:sz w:val="24"/>
          <w:szCs w:val="24"/>
          <w:highlight w:val="none"/>
        </w:rPr>
        <w:t xml:space="preserve">  </w:t>
      </w:r>
      <w:r>
        <w:rPr>
          <w:rFonts w:ascii="黑体" w:hAnsi="黑体" w:eastAsia="黑体" w:cs="黑体"/>
          <w:color w:val="auto"/>
          <w:spacing w:val="-6"/>
          <w:sz w:val="24"/>
          <w:szCs w:val="24"/>
          <w:highlight w:val="none"/>
          <w14:textOutline w14:w="4354" w14:cap="flat" w14:cmpd="sng">
            <w14:solidFill>
              <w14:srgbClr w14:val="000000"/>
            </w14:solidFill>
            <w14:prstDash w14:val="solid"/>
            <w14:miter w14:val="0"/>
          </w14:textOutline>
        </w:rPr>
        <w:t>知识产权</w:t>
      </w:r>
    </w:p>
    <w:p>
      <w:pPr>
        <w:pStyle w:val="2"/>
        <w:tabs>
          <w:tab w:val="left" w:pos="8100"/>
        </w:tabs>
        <w:spacing w:before="161" w:line="240" w:lineRule="auto"/>
        <w:ind w:left="411"/>
        <w:rPr>
          <w:color w:val="auto"/>
          <w:highlight w:val="none"/>
        </w:rPr>
      </w:pPr>
      <w:r>
        <w:rPr>
          <w:rFonts w:ascii="宋体" w:hAnsi="宋体" w:eastAsia="宋体" w:cs="宋体"/>
          <w:color w:val="auto"/>
          <w:position w:val="14"/>
          <w:sz w:val="21"/>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position w:val="14"/>
          <w:sz w:val="21"/>
          <w:szCs w:val="21"/>
          <w:highlight w:val="none"/>
          <w:u w:val="single"/>
          <w:lang w:eastAsia="zh-CN"/>
        </w:rPr>
        <w:t>发包人</w:t>
      </w:r>
    </w:p>
    <w:p>
      <w:pPr>
        <w:tabs>
          <w:tab w:val="left" w:pos="8004"/>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9" w:line="22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关于发包人提供的上述文件的使用限制的要求：</w:t>
      </w:r>
    </w:p>
    <w:p>
      <w:pPr>
        <w:spacing w:before="140" w:line="401" w:lineRule="exact"/>
        <w:ind w:left="436"/>
        <w:rPr>
          <w:rFonts w:hint="eastAsia" w:ascii="宋体" w:hAnsi="宋体" w:eastAsia="宋体" w:cs="宋体"/>
          <w:color w:val="auto"/>
          <w:position w:val="14"/>
          <w:sz w:val="21"/>
          <w:szCs w:val="21"/>
          <w:highlight w:val="none"/>
          <w:u w:val="single"/>
        </w:rPr>
      </w:pPr>
      <w:r>
        <w:rPr>
          <w:rFonts w:hint="eastAsia" w:ascii="宋体" w:hAnsi="宋体" w:eastAsia="宋体" w:cs="宋体"/>
          <w:color w:val="auto"/>
          <w:position w:val="14"/>
          <w:sz w:val="21"/>
          <w:szCs w:val="21"/>
          <w:highlight w:val="none"/>
          <w:u w:val="single"/>
        </w:rPr>
        <w:t>承包人对发包人提供的工程图纸负有保密义务。未经发包人同意不得将工程图纸转让、转借给第三人。否则应赔偿由此给发包人经济损失。</w:t>
      </w:r>
    </w:p>
    <w:p>
      <w:pPr>
        <w:spacing w:before="140" w:line="401" w:lineRule="exact"/>
        <w:ind w:left="436"/>
        <w:rPr>
          <w:color w:val="auto"/>
          <w:highlight w:val="none"/>
        </w:rPr>
      </w:pPr>
      <w:r>
        <w:rPr>
          <w:rFonts w:hint="eastAsia" w:ascii="宋体" w:hAnsi="宋体" w:eastAsia="宋体" w:cs="宋体"/>
          <w:color w:val="auto"/>
          <w:position w:val="14"/>
          <w:sz w:val="21"/>
          <w:szCs w:val="21"/>
          <w:highlight w:val="none"/>
          <w:u w:val="single"/>
        </w:rPr>
        <w:t>本工程保修期满后，除承包人存档需要的图纸外，其余全部图纸应移交给发包人。</w:t>
      </w:r>
    </w:p>
    <w:p>
      <w:pPr>
        <w:tabs>
          <w:tab w:val="left" w:pos="8600"/>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1.11.2  </w:t>
      </w:r>
      <w:r>
        <w:rPr>
          <w:rFonts w:ascii="宋体" w:hAnsi="宋体" w:eastAsia="宋体" w:cs="宋体"/>
          <w:color w:val="auto"/>
          <w:spacing w:val="-1"/>
          <w:sz w:val="21"/>
          <w:szCs w:val="21"/>
          <w:highlight w:val="none"/>
        </w:rPr>
        <w:t>关于承包人为实施工程所编制文件的著作权的归属：</w:t>
      </w:r>
    </w:p>
    <w:p>
      <w:pPr>
        <w:pStyle w:val="2"/>
        <w:tabs>
          <w:tab w:val="left" w:pos="8100"/>
        </w:tabs>
        <w:spacing w:before="160" w:line="242" w:lineRule="exact"/>
        <w:ind w:left="411"/>
        <w:rPr>
          <w:color w:val="auto"/>
          <w:highlight w:val="none"/>
        </w:rPr>
      </w:pPr>
      <w:r>
        <w:rPr>
          <w:color w:val="auto"/>
          <w:highlight w:val="none"/>
          <w:u w:val="single" w:color="auto"/>
        </w:rPr>
        <w:tab/>
      </w:r>
    </w:p>
    <w:p>
      <w:pPr>
        <w:pStyle w:val="2"/>
        <w:spacing w:line="257" w:lineRule="auto"/>
        <w:rPr>
          <w:color w:val="auto"/>
          <w:highlight w:val="none"/>
        </w:rPr>
      </w:pPr>
    </w:p>
    <w:p>
      <w:pPr>
        <w:tabs>
          <w:tab w:val="left" w:pos="8004"/>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9" w:line="22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关于承包人提供的上述文件的使用限制的要求：</w:t>
      </w:r>
    </w:p>
    <w:p>
      <w:pPr>
        <w:pStyle w:val="2"/>
        <w:tabs>
          <w:tab w:val="left" w:pos="8100"/>
        </w:tabs>
        <w:spacing w:before="162" w:line="242" w:lineRule="exact"/>
        <w:ind w:left="411"/>
        <w:rPr>
          <w:color w:val="auto"/>
          <w:highlight w:val="none"/>
        </w:rPr>
      </w:pPr>
      <w:r>
        <w:rPr>
          <w:color w:val="auto"/>
          <w:highlight w:val="none"/>
          <w:u w:val="single" w:color="auto"/>
        </w:rPr>
        <w:tab/>
      </w:r>
    </w:p>
    <w:p>
      <w:pPr>
        <w:pStyle w:val="2"/>
        <w:spacing w:line="257" w:lineRule="auto"/>
        <w:rPr>
          <w:color w:val="auto"/>
          <w:highlight w:val="none"/>
        </w:rPr>
      </w:pPr>
    </w:p>
    <w:p>
      <w:pPr>
        <w:tabs>
          <w:tab w:val="left" w:pos="8600"/>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9" w:line="22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1.11.4  </w:t>
      </w:r>
      <w:r>
        <w:rPr>
          <w:rFonts w:ascii="宋体" w:hAnsi="宋体" w:eastAsia="宋体" w:cs="宋体"/>
          <w:color w:val="auto"/>
          <w:spacing w:val="-1"/>
          <w:sz w:val="21"/>
          <w:szCs w:val="21"/>
          <w:highlight w:val="none"/>
        </w:rPr>
        <w:t>承包人在施工过程中所采用的专利、专有技术、技术秘密的</w:t>
      </w:r>
      <w:r>
        <w:rPr>
          <w:rFonts w:ascii="宋体" w:hAnsi="宋体" w:eastAsia="宋体" w:cs="宋体"/>
          <w:color w:val="auto"/>
          <w:spacing w:val="-2"/>
          <w:sz w:val="21"/>
          <w:szCs w:val="21"/>
          <w:highlight w:val="none"/>
        </w:rPr>
        <w:t>使用费的承担方式：</w:t>
      </w:r>
    </w:p>
    <w:p>
      <w:pPr>
        <w:pStyle w:val="2"/>
        <w:spacing w:line="260" w:lineRule="auto"/>
        <w:rPr>
          <w:color w:val="auto"/>
          <w:highlight w:val="none"/>
        </w:rPr>
      </w:pPr>
    </w:p>
    <w:p>
      <w:pPr>
        <w:tabs>
          <w:tab w:val="left" w:pos="8522"/>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3" w:line="219"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1.13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工程量清单错误的修正</w:t>
      </w:r>
    </w:p>
    <w:p>
      <w:pPr>
        <w:spacing w:before="141" w:line="240" w:lineRule="auto"/>
        <w:ind w:left="438"/>
        <w:rPr>
          <w:rFonts w:hint="eastAsia" w:ascii="宋体" w:hAnsi="宋体" w:eastAsia="宋体" w:cs="宋体"/>
          <w:color w:val="auto"/>
          <w:position w:val="14"/>
          <w:sz w:val="21"/>
          <w:szCs w:val="21"/>
          <w:highlight w:val="none"/>
          <w:u w:val="single"/>
        </w:rPr>
      </w:pPr>
      <w:r>
        <w:rPr>
          <w:rFonts w:ascii="宋体" w:hAnsi="宋体" w:eastAsia="宋体" w:cs="宋体"/>
          <w:color w:val="auto"/>
          <w:spacing w:val="-8"/>
          <w:sz w:val="21"/>
          <w:szCs w:val="21"/>
          <w:highlight w:val="none"/>
        </w:rPr>
        <w:t>出现工程量清单错误时， 是否调整合同价格：</w:t>
      </w:r>
    </w:p>
    <w:p>
      <w:pPr>
        <w:spacing w:before="140" w:line="401" w:lineRule="exact"/>
        <w:ind w:left="436"/>
        <w:rPr>
          <w:rFonts w:ascii="宋体" w:hAnsi="宋体" w:eastAsia="宋体" w:cs="宋体"/>
          <w:color w:val="auto"/>
          <w:sz w:val="7"/>
          <w:szCs w:val="7"/>
          <w:highlight w:val="none"/>
        </w:rPr>
      </w:pPr>
      <w:r>
        <w:rPr>
          <w:rFonts w:hint="eastAsia" w:ascii="宋体" w:hAnsi="宋体" w:eastAsia="宋体" w:cs="宋体"/>
          <w:color w:val="auto"/>
          <w:position w:val="14"/>
          <w:sz w:val="21"/>
          <w:szCs w:val="21"/>
          <w:highlight w:val="none"/>
          <w:u w:val="single"/>
        </w:rPr>
        <w:t>不调整，采用清单定额报价方式。固定总价合同。</w:t>
      </w: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p>
    <w:p>
      <w:pPr>
        <w:spacing w:before="199" w:line="24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允许调整合同价格的工程量偏差范围：</w:t>
      </w:r>
    </w:p>
    <w:p>
      <w:pPr>
        <w:pStyle w:val="2"/>
        <w:tabs>
          <w:tab w:val="left" w:pos="574"/>
        </w:tabs>
        <w:spacing w:before="165" w:line="240" w:lineRule="auto"/>
        <w:ind w:left="411"/>
        <w:rPr>
          <w:rFonts w:ascii="宋体" w:hAnsi="宋体" w:eastAsia="宋体" w:cs="宋体"/>
          <w:color w:val="auto"/>
          <w:sz w:val="7"/>
          <w:szCs w:val="7"/>
          <w:highlight w:val="none"/>
        </w:rPr>
        <w:sectPr>
          <w:footerReference r:id="rId57" w:type="default"/>
          <w:pgSz w:w="11905" w:h="16843"/>
          <w:pgMar w:top="1769" w:right="1548" w:bottom="1003" w:left="1542" w:header="0" w:footer="828" w:gutter="0"/>
          <w:pgNumType w:fmt="numberInDash"/>
          <w:cols w:space="0" w:num="1"/>
          <w:rtlGutter w:val="0"/>
          <w:docGrid w:linePitch="0" w:charSpace="0"/>
        </w:sectPr>
      </w:pPr>
      <w:r>
        <w:rPr>
          <w:color w:val="auto"/>
          <w:highlight w:val="none"/>
          <w:u w:val="single" w:color="auto"/>
        </w:rPr>
        <w:tab/>
      </w:r>
      <w:r>
        <w:rPr>
          <w:rFonts w:hint="eastAsia" w:eastAsia="宋体"/>
          <w:color w:val="auto"/>
          <w:highlight w:val="none"/>
          <w:u w:val="single" w:color="auto"/>
          <w:lang w:val="en-US" w:eastAsia="zh-CN"/>
        </w:rPr>
        <w:t xml:space="preserve">                                                                                                                                   </w:t>
      </w: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p>
    <w:p>
      <w:pPr>
        <w:spacing w:before="64" w:line="219" w:lineRule="auto"/>
        <w:ind w:left="2"/>
        <w:rPr>
          <w:rFonts w:ascii="黑体" w:hAnsi="黑体" w:eastAsia="黑体" w:cs="黑体"/>
          <w:color w:val="auto"/>
          <w:sz w:val="28"/>
          <w:szCs w:val="28"/>
          <w:highlight w:val="none"/>
        </w:rPr>
      </w:pPr>
      <w:bookmarkStart w:id="328" w:name="bookmark368"/>
      <w:bookmarkEnd w:id="328"/>
      <w:r>
        <w:rPr>
          <w:rFonts w:ascii="Times New Roman" w:hAnsi="Times New Roman" w:eastAsia="Times New Roman" w:cs="Times New Roman"/>
          <w:b/>
          <w:bCs/>
          <w:color w:val="auto"/>
          <w:spacing w:val="-3"/>
          <w:sz w:val="28"/>
          <w:szCs w:val="28"/>
          <w:highlight w:val="none"/>
        </w:rPr>
        <w:t>2.</w:t>
      </w:r>
      <w:r>
        <w:rPr>
          <w:rFonts w:ascii="Times New Roman" w:hAnsi="Times New Roman" w:eastAsia="Times New Roman" w:cs="Times New Roman"/>
          <w:b/>
          <w:bCs/>
          <w:color w:val="auto"/>
          <w:spacing w:val="6"/>
          <w:sz w:val="28"/>
          <w:szCs w:val="28"/>
          <w:highlight w:val="none"/>
        </w:rPr>
        <w:t xml:space="preserve">  </w:t>
      </w:r>
      <w:r>
        <w:rPr>
          <w:rFonts w:ascii="黑体" w:hAnsi="黑体" w:eastAsia="黑体" w:cs="黑体"/>
          <w:color w:val="auto"/>
          <w:spacing w:val="-3"/>
          <w:sz w:val="28"/>
          <w:szCs w:val="28"/>
          <w:highlight w:val="none"/>
          <w14:textOutline w14:w="5094" w14:cap="flat" w14:cmpd="sng">
            <w14:solidFill>
              <w14:srgbClr w14:val="000000"/>
            </w14:solidFill>
            <w14:prstDash w14:val="solid"/>
            <w14:miter w14:val="0"/>
          </w14:textOutline>
        </w:rPr>
        <w:t>发包人</w:t>
      </w:r>
    </w:p>
    <w:p>
      <w:pPr>
        <w:spacing w:before="104" w:line="218" w:lineRule="auto"/>
        <w:ind w:left="1"/>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发包人代表</w:t>
      </w:r>
    </w:p>
    <w:p>
      <w:pPr>
        <w:spacing w:before="141"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发包人代表：</w:t>
      </w:r>
    </w:p>
    <w:p>
      <w:pPr>
        <w:spacing w:before="147" w:line="352" w:lineRule="auto"/>
        <w:ind w:left="424"/>
        <w:rPr>
          <w:rFonts w:ascii="宋体" w:hAnsi="宋体" w:eastAsia="宋体" w:cs="宋体"/>
          <w:color w:val="auto"/>
          <w:sz w:val="21"/>
          <w:szCs w:val="21"/>
          <w:highlight w:val="none"/>
        </w:rPr>
      </w:pPr>
      <w:r>
        <w:rPr>
          <w:rFonts w:ascii="宋体" w:hAnsi="宋体" w:eastAsia="宋体" w:cs="宋体"/>
          <w:color w:val="auto"/>
          <w:spacing w:val="-16"/>
          <w:w w:val="86"/>
          <w:sz w:val="21"/>
          <w:szCs w:val="21"/>
          <w:highlight w:val="none"/>
        </w:rPr>
        <w:t>姓</w:t>
      </w:r>
      <w:r>
        <w:rPr>
          <w:rFonts w:ascii="宋体" w:hAnsi="宋体" w:eastAsia="宋体" w:cs="宋体"/>
          <w:color w:val="auto"/>
          <w:spacing w:val="3"/>
          <w:sz w:val="21"/>
          <w:szCs w:val="21"/>
          <w:highlight w:val="none"/>
        </w:rPr>
        <w:t xml:space="preserve">    </w:t>
      </w:r>
      <w:r>
        <w:rPr>
          <w:rFonts w:ascii="宋体" w:hAnsi="宋体" w:eastAsia="宋体" w:cs="宋体"/>
          <w:color w:val="auto"/>
          <w:spacing w:val="-16"/>
          <w:w w:val="86"/>
          <w:sz w:val="21"/>
          <w:szCs w:val="21"/>
          <w:highlight w:val="none"/>
        </w:rPr>
        <w:t>名</w:t>
      </w:r>
      <w:r>
        <w:rPr>
          <w:rFonts w:ascii="宋体" w:hAnsi="宋体" w:eastAsia="宋体" w:cs="宋体"/>
          <w:color w:val="auto"/>
          <w:sz w:val="21"/>
          <w:szCs w:val="21"/>
          <w:highlight w:val="none"/>
        </w:rPr>
        <w:t>：</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z w:val="21"/>
          <w:szCs w:val="21"/>
          <w:highlight w:val="none"/>
        </w:rPr>
        <w:t>；</w:t>
      </w:r>
    </w:p>
    <w:p>
      <w:pPr>
        <w:spacing w:before="1" w:line="220" w:lineRule="auto"/>
        <w:ind w:left="430"/>
        <w:rPr>
          <w:rFonts w:ascii="宋体" w:hAnsi="宋体" w:eastAsia="宋体" w:cs="宋体"/>
          <w:color w:val="auto"/>
          <w:sz w:val="21"/>
          <w:szCs w:val="21"/>
          <w:highlight w:val="none"/>
        </w:rPr>
      </w:pPr>
      <w:r>
        <w:rPr>
          <w:rFonts w:ascii="宋体" w:hAnsi="宋体" w:eastAsia="宋体" w:cs="宋体"/>
          <w:color w:val="auto"/>
          <w:spacing w:val="-21"/>
          <w:w w:val="99"/>
          <w:sz w:val="21"/>
          <w:szCs w:val="21"/>
          <w:highlight w:val="none"/>
        </w:rPr>
        <w:t>身份证号</w:t>
      </w:r>
      <w:r>
        <w:rPr>
          <w:rFonts w:ascii="宋体" w:hAnsi="宋体" w:eastAsia="宋体" w:cs="宋体"/>
          <w:color w:val="auto"/>
          <w:spacing w:val="2"/>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49" w:line="221" w:lineRule="auto"/>
        <w:ind w:left="425"/>
        <w:rPr>
          <w:rFonts w:ascii="宋体" w:hAnsi="宋体" w:eastAsia="宋体" w:cs="宋体"/>
          <w:color w:val="auto"/>
          <w:sz w:val="21"/>
          <w:szCs w:val="21"/>
          <w:highlight w:val="none"/>
        </w:rPr>
      </w:pPr>
      <w:r>
        <w:rPr>
          <w:rFonts w:ascii="宋体" w:hAnsi="宋体" w:eastAsia="宋体" w:cs="宋体"/>
          <w:color w:val="auto"/>
          <w:spacing w:val="-16"/>
          <w:w w:val="86"/>
          <w:sz w:val="21"/>
          <w:szCs w:val="21"/>
          <w:highlight w:val="none"/>
        </w:rPr>
        <w:t>职</w:t>
      </w:r>
      <w:r>
        <w:rPr>
          <w:rFonts w:ascii="宋体" w:hAnsi="宋体" w:eastAsia="宋体" w:cs="宋体"/>
          <w:color w:val="auto"/>
          <w:spacing w:val="2"/>
          <w:sz w:val="21"/>
          <w:szCs w:val="21"/>
          <w:highlight w:val="none"/>
        </w:rPr>
        <w:t xml:space="preserve">    </w:t>
      </w:r>
      <w:r>
        <w:rPr>
          <w:rFonts w:ascii="宋体" w:hAnsi="宋体" w:eastAsia="宋体" w:cs="宋体"/>
          <w:color w:val="auto"/>
          <w:spacing w:val="-16"/>
          <w:w w:val="86"/>
          <w:sz w:val="21"/>
          <w:szCs w:val="21"/>
          <w:highlight w:val="none"/>
        </w:rPr>
        <w:t>务</w:t>
      </w:r>
      <w:r>
        <w:rPr>
          <w:rFonts w:ascii="宋体" w:hAnsi="宋体" w:eastAsia="宋体" w:cs="宋体"/>
          <w:color w:val="auto"/>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w:t>
      </w:r>
    </w:p>
    <w:p>
      <w:pPr>
        <w:spacing w:before="148" w:line="223" w:lineRule="auto"/>
        <w:ind w:left="425"/>
        <w:rPr>
          <w:rFonts w:ascii="宋体" w:hAnsi="宋体" w:eastAsia="宋体" w:cs="宋体"/>
          <w:color w:val="auto"/>
          <w:sz w:val="21"/>
          <w:szCs w:val="21"/>
          <w:highlight w:val="none"/>
        </w:rPr>
      </w:pPr>
      <w:r>
        <w:rPr>
          <w:rFonts w:ascii="宋体" w:hAnsi="宋体" w:eastAsia="宋体" w:cs="宋体"/>
          <w:color w:val="auto"/>
          <w:spacing w:val="-20"/>
          <w:w w:val="99"/>
          <w:sz w:val="21"/>
          <w:szCs w:val="21"/>
          <w:highlight w:val="none"/>
        </w:rPr>
        <w:t>联系电话</w:t>
      </w:r>
      <w:r>
        <w:rPr>
          <w:rFonts w:ascii="宋体" w:hAnsi="宋体" w:eastAsia="宋体" w:cs="宋体"/>
          <w:color w:val="auto"/>
          <w:spacing w:val="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46" w:line="221" w:lineRule="auto"/>
        <w:ind w:left="449"/>
        <w:rPr>
          <w:rFonts w:ascii="宋体" w:hAnsi="宋体" w:eastAsia="宋体" w:cs="宋体"/>
          <w:color w:val="auto"/>
          <w:sz w:val="21"/>
          <w:szCs w:val="21"/>
          <w:highlight w:val="none"/>
        </w:rPr>
      </w:pPr>
      <w:r>
        <w:rPr>
          <w:rFonts w:ascii="宋体" w:hAnsi="宋体" w:eastAsia="宋体" w:cs="宋体"/>
          <w:color w:val="auto"/>
          <w:spacing w:val="-18"/>
          <w:w w:val="95"/>
          <w:sz w:val="21"/>
          <w:szCs w:val="21"/>
          <w:highlight w:val="none"/>
        </w:rPr>
        <w:t>电子信箱</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1" w:line="221" w:lineRule="auto"/>
        <w:ind w:left="4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通信地址：</w:t>
      </w:r>
      <w:r>
        <w:rPr>
          <w:rFonts w:ascii="宋体" w:hAnsi="宋体" w:eastAsia="宋体" w:cs="宋体"/>
          <w:color w:val="auto"/>
          <w:spacing w:val="-28"/>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w:t>
      </w:r>
    </w:p>
    <w:p>
      <w:pPr>
        <w:spacing w:before="147"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发包人对发包人代表的授权范围如下：</w:t>
      </w:r>
    </w:p>
    <w:p>
      <w:pPr>
        <w:pStyle w:val="2"/>
        <w:tabs>
          <w:tab w:val="left" w:pos="8234"/>
        </w:tabs>
        <w:spacing w:before="163" w:line="240" w:lineRule="auto"/>
        <w:ind w:left="416"/>
        <w:rPr>
          <w:rFonts w:ascii="宋体" w:hAnsi="宋体" w:eastAsia="宋体" w:cs="宋体"/>
          <w:color w:val="auto"/>
          <w:sz w:val="7"/>
          <w:szCs w:val="7"/>
          <w:highlight w:val="none"/>
        </w:rPr>
      </w:pPr>
      <w:r>
        <w:rPr>
          <w:rFonts w:hint="eastAsia"/>
          <w:color w:val="auto"/>
          <w:highlight w:val="none"/>
          <w:u w:val="single"/>
        </w:rPr>
        <w:t>负责发包人与承包人之间的业务联系:代表发包人从事具体事务性工作:配合监理工程师参加工程进度、质量、资金使用初审工作；检查承包人、施工人员资质和合同履行情况等。</w:t>
      </w:r>
      <w:r>
        <w:rPr>
          <w:rFonts w:ascii="宋体" w:hAnsi="宋体" w:eastAsia="宋体" w:cs="宋体"/>
          <w:color w:val="auto"/>
          <w:spacing w:val="11"/>
          <w:sz w:val="7"/>
          <w:szCs w:val="7"/>
          <w:highlight w:val="none"/>
        </w:rPr>
        <w:t>。</w:t>
      </w:r>
    </w:p>
    <w:p>
      <w:pPr>
        <w:spacing w:before="171" w:line="218"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2.4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施工现场、施工条件和基础资料的提供</w:t>
      </w:r>
    </w:p>
    <w:p>
      <w:pPr>
        <w:spacing w:before="142" w:line="22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2.4.1  </w:t>
      </w:r>
      <w:r>
        <w:rPr>
          <w:rFonts w:ascii="宋体" w:hAnsi="宋体" w:eastAsia="宋体" w:cs="宋体"/>
          <w:color w:val="auto"/>
          <w:spacing w:val="-1"/>
          <w:sz w:val="21"/>
          <w:szCs w:val="21"/>
          <w:highlight w:val="none"/>
        </w:rPr>
        <w:t>提供施工现场</w:t>
      </w:r>
    </w:p>
    <w:p>
      <w:pPr>
        <w:spacing w:before="151"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关于发包人移交施工现场的期限要求：</w:t>
      </w:r>
    </w:p>
    <w:p>
      <w:pPr>
        <w:pStyle w:val="2"/>
        <w:tabs>
          <w:tab w:val="left" w:pos="8234"/>
        </w:tabs>
        <w:spacing w:before="160" w:line="242" w:lineRule="exact"/>
        <w:ind w:left="416"/>
        <w:rPr>
          <w:color w:val="auto"/>
          <w:highlight w:val="none"/>
        </w:rPr>
      </w:pPr>
      <w:r>
        <w:rPr>
          <w:color w:val="auto"/>
          <w:highlight w:val="none"/>
          <w:u w:val="single" w:color="auto"/>
        </w:rPr>
        <w:tab/>
      </w:r>
    </w:p>
    <w:p>
      <w:pPr>
        <w:spacing w:before="198" w:line="22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2.4.2  </w:t>
      </w:r>
      <w:r>
        <w:rPr>
          <w:rFonts w:ascii="宋体" w:hAnsi="宋体" w:eastAsia="宋体" w:cs="宋体"/>
          <w:color w:val="auto"/>
          <w:spacing w:val="-1"/>
          <w:sz w:val="21"/>
          <w:szCs w:val="21"/>
          <w:highlight w:val="none"/>
        </w:rPr>
        <w:t>提供施工条件</w:t>
      </w:r>
    </w:p>
    <w:p>
      <w:pPr>
        <w:spacing w:before="148" w:line="240" w:lineRule="auto"/>
        <w:ind w:left="427"/>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关于发包人应负责提供施工所需要的条件，包括：</w:t>
      </w:r>
    </w:p>
    <w:p>
      <w:pPr>
        <w:spacing w:before="148" w:line="240" w:lineRule="auto"/>
        <w:ind w:left="427"/>
        <w:rPr>
          <w:rFonts w:ascii="宋体" w:hAnsi="宋体" w:eastAsia="宋体" w:cs="宋体"/>
          <w:color w:val="auto"/>
          <w:spacing w:val="-2"/>
          <w:sz w:val="21"/>
          <w:szCs w:val="21"/>
          <w:highlight w:val="none"/>
        </w:rPr>
      </w:pPr>
    </w:p>
    <w:p>
      <w:pPr>
        <w:tabs>
          <w:tab w:val="left" w:pos="8315"/>
        </w:tabs>
        <w:spacing w:before="24" w:line="240" w:lineRule="auto"/>
        <w:rPr>
          <w:rFonts w:ascii="宋体" w:hAnsi="宋体" w:eastAsia="宋体" w:cs="宋体"/>
          <w:color w:val="auto"/>
          <w:sz w:val="7"/>
          <w:szCs w:val="7"/>
          <w:highlight w:val="none"/>
        </w:rPr>
      </w:pPr>
      <w:r>
        <w:rPr>
          <w:color w:val="auto"/>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71" w:line="218"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2.5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资金来源证明及支付担保</w:t>
      </w:r>
    </w:p>
    <w:p>
      <w:pPr>
        <w:spacing w:before="142" w:line="220"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发包人提供资金来源证明的期限要求：</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51" w:line="220"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发包人是否提供支付担保：</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48"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发包人提供支付担保的形式：</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w:t>
      </w:r>
    </w:p>
    <w:p>
      <w:pPr>
        <w:spacing w:before="190" w:line="220" w:lineRule="auto"/>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z w:val="28"/>
          <w:szCs w:val="28"/>
          <w:highlight w:val="none"/>
        </w:rPr>
        <w:t xml:space="preserve">3.  </w:t>
      </w:r>
      <w:r>
        <w:rPr>
          <w:rFonts w:ascii="黑体" w:hAnsi="黑体" w:eastAsia="黑体" w:cs="黑体"/>
          <w:color w:val="auto"/>
          <w:sz w:val="28"/>
          <w:szCs w:val="28"/>
          <w:highlight w:val="none"/>
          <w14:textOutline w14:w="5094" w14:cap="flat" w14:cmpd="sng">
            <w14:solidFill>
              <w14:srgbClr w14:val="000000"/>
            </w14:solidFill>
            <w14:prstDash w14:val="solid"/>
            <w14:miter w14:val="0"/>
          </w14:textOutline>
        </w:rPr>
        <w:t>承包人</w:t>
      </w:r>
    </w:p>
    <w:p>
      <w:pPr>
        <w:spacing w:before="102"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3.1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承包人的一般义务</w:t>
      </w:r>
    </w:p>
    <w:p>
      <w:pPr>
        <w:spacing w:before="141" w:line="221" w:lineRule="auto"/>
        <w:ind w:left="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9</w:t>
      </w:r>
      <w:r>
        <w:rPr>
          <w:rFonts w:ascii="宋体" w:hAnsi="宋体" w:eastAsia="宋体" w:cs="宋体"/>
          <w:color w:val="auto"/>
          <w:spacing w:val="-3"/>
          <w:sz w:val="21"/>
          <w:szCs w:val="21"/>
          <w:highlight w:val="none"/>
        </w:rPr>
        <w:t>）承包人提交的竣工资料的内容：</w:t>
      </w:r>
    </w:p>
    <w:p>
      <w:pPr>
        <w:pStyle w:val="2"/>
        <w:tabs>
          <w:tab w:val="left" w:pos="8234"/>
        </w:tabs>
        <w:spacing w:before="164" w:line="241" w:lineRule="exact"/>
        <w:ind w:left="416"/>
        <w:rPr>
          <w:rFonts w:hint="eastAsia"/>
          <w:color w:val="auto"/>
          <w:highlight w:val="none"/>
          <w:u w:val="single"/>
        </w:rPr>
      </w:pPr>
      <w:r>
        <w:rPr>
          <w:rFonts w:hint="eastAsia"/>
          <w:color w:val="auto"/>
          <w:highlight w:val="none"/>
          <w:u w:val="single"/>
        </w:rPr>
        <w:t>（1）施工设计图、竣工图、设计变更等文件和图纸。</w:t>
      </w:r>
    </w:p>
    <w:p>
      <w:pPr>
        <w:pStyle w:val="2"/>
        <w:tabs>
          <w:tab w:val="left" w:pos="8234"/>
        </w:tabs>
        <w:spacing w:before="164" w:line="241" w:lineRule="exact"/>
        <w:ind w:left="416"/>
        <w:rPr>
          <w:rFonts w:hint="eastAsia"/>
          <w:color w:val="auto"/>
          <w:highlight w:val="none"/>
          <w:u w:val="single"/>
        </w:rPr>
      </w:pPr>
      <w:r>
        <w:rPr>
          <w:rFonts w:hint="eastAsia"/>
          <w:color w:val="auto"/>
          <w:highlight w:val="none"/>
          <w:u w:val="single"/>
        </w:rPr>
        <w:t>（2）隐蔽工程质量检验记录，施工记录，实际完成工程量明细表。</w:t>
      </w:r>
    </w:p>
    <w:p>
      <w:pPr>
        <w:pStyle w:val="2"/>
        <w:tabs>
          <w:tab w:val="left" w:pos="8234"/>
        </w:tabs>
        <w:spacing w:before="164" w:line="241" w:lineRule="exact"/>
        <w:ind w:left="416"/>
        <w:rPr>
          <w:rFonts w:hint="eastAsia"/>
          <w:color w:val="auto"/>
          <w:highlight w:val="none"/>
          <w:u w:val="single"/>
        </w:rPr>
      </w:pPr>
      <w:r>
        <w:rPr>
          <w:rFonts w:hint="eastAsia"/>
          <w:color w:val="auto"/>
          <w:highlight w:val="none"/>
          <w:u w:val="single"/>
        </w:rPr>
        <w:t>（3）质量评定表和工程结算报告及结算资料等。</w:t>
      </w:r>
    </w:p>
    <w:p>
      <w:pPr>
        <w:pStyle w:val="2"/>
        <w:tabs>
          <w:tab w:val="left" w:pos="8234"/>
        </w:tabs>
        <w:spacing w:before="164" w:line="241" w:lineRule="exact"/>
        <w:ind w:left="416"/>
        <w:rPr>
          <w:color w:val="auto"/>
          <w:highlight w:val="none"/>
        </w:rPr>
      </w:pPr>
      <w:r>
        <w:rPr>
          <w:rFonts w:hint="eastAsia"/>
          <w:color w:val="auto"/>
          <w:highlight w:val="none"/>
          <w:u w:val="single"/>
        </w:rPr>
        <w:t>（4）上级机关批准工程的有关文件</w:t>
      </w:r>
      <w:r>
        <w:rPr>
          <w:rFonts w:hint="eastAsia"/>
          <w:color w:val="auto"/>
          <w:highlight w:val="none"/>
        </w:rPr>
        <w:t>。</w:t>
      </w:r>
    </w:p>
    <w:p>
      <w:pPr>
        <w:tabs>
          <w:tab w:val="left" w:pos="8315"/>
        </w:tabs>
        <w:spacing w:before="23" w:line="174" w:lineRule="auto"/>
        <w:rPr>
          <w:rFonts w:ascii="宋体" w:hAnsi="宋体" w:eastAsia="宋体" w:cs="宋体"/>
          <w:color w:val="auto"/>
          <w:sz w:val="7"/>
          <w:szCs w:val="7"/>
          <w:highlight w:val="none"/>
        </w:rPr>
      </w:pP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9" w:line="352"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承包人需要提交的竣工资料套数：</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4套</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 w:line="220"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承包人提交的竣工资料的费用承担：</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lang w:eastAsia="zh-CN"/>
        </w:rPr>
        <w:t>承包人</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48" w:line="221"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承包人提交的竣工资料移交时间：</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highlight w:val="none"/>
          <w:u w:val="single"/>
          <w:lang w:eastAsia="zh-CN"/>
        </w:rPr>
        <w:t>提供《竣工报告》之日起3 日内</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9" w:line="221"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承包人提交的竣工资料形式要求：</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highlight w:val="none"/>
          <w:u w:val="single"/>
          <w:lang w:eastAsia="zh-CN"/>
        </w:rPr>
        <w:t>按资料归档要求</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numPr>
          <w:ilvl w:val="0"/>
          <w:numId w:val="0"/>
        </w:numPr>
        <w:spacing w:before="124" w:line="221" w:lineRule="auto"/>
        <w:ind w:left="430" w:leftChars="0"/>
        <w:rPr>
          <w:rFonts w:ascii="宋体" w:hAnsi="宋体" w:eastAsia="宋体" w:cs="宋体"/>
          <w:color w:val="auto"/>
          <w:spacing w:val="-1"/>
          <w:sz w:val="21"/>
          <w:szCs w:val="21"/>
          <w:highlight w:val="none"/>
        </w:rPr>
      </w:pPr>
      <w:r>
        <w:rPr>
          <w:rFonts w:ascii="宋体" w:hAnsi="宋体" w:eastAsia="宋体" w:cs="宋体"/>
          <w:snapToGrid w:val="0"/>
          <w:color w:val="auto"/>
          <w:spacing w:val="-1"/>
          <w:kern w:val="0"/>
          <w:sz w:val="21"/>
          <w:szCs w:val="21"/>
          <w:highlight w:val="none"/>
          <w:lang w:val="en-US" w:eastAsia="en-US" w:bidi="ar-SA"/>
        </w:rPr>
        <w:t>（10）</w:t>
      </w:r>
      <w:r>
        <w:rPr>
          <w:rFonts w:ascii="宋体" w:hAnsi="宋体" w:eastAsia="宋体" w:cs="宋体"/>
          <w:color w:val="auto"/>
          <w:spacing w:val="-1"/>
          <w:sz w:val="21"/>
          <w:szCs w:val="21"/>
          <w:highlight w:val="none"/>
        </w:rPr>
        <w:t>承包人应履行的其他义务：</w:t>
      </w:r>
    </w:p>
    <w:p>
      <w:pPr>
        <w:numPr>
          <w:ilvl w:val="0"/>
          <w:numId w:val="0"/>
        </w:numPr>
        <w:spacing w:before="124" w:line="240" w:lineRule="auto"/>
        <w:ind w:left="430" w:leftChars="0" w:firstLine="416" w:firstLineChars="200"/>
        <w:rPr>
          <w:rFonts w:hint="eastAsia" w:ascii="宋体" w:hAnsi="宋体" w:eastAsia="宋体" w:cs="宋体"/>
          <w:color w:val="auto"/>
          <w:spacing w:val="-1"/>
          <w:sz w:val="21"/>
          <w:szCs w:val="21"/>
          <w:highlight w:val="none"/>
          <w:u w:val="single" w:color="auto"/>
        </w:rPr>
      </w:pPr>
      <w:r>
        <w:rPr>
          <w:rFonts w:hint="eastAsia" w:ascii="宋体" w:hAnsi="宋体" w:eastAsia="宋体" w:cs="宋体"/>
          <w:color w:val="auto"/>
          <w:spacing w:val="-1"/>
          <w:sz w:val="21"/>
          <w:szCs w:val="21"/>
          <w:highlight w:val="none"/>
          <w:u w:val="single" w:color="auto"/>
        </w:rPr>
        <w:t>承包人应对其承包的全部工程的数量和质量承担责任。</w:t>
      </w:r>
    </w:p>
    <w:p>
      <w:pPr>
        <w:numPr>
          <w:ilvl w:val="0"/>
          <w:numId w:val="0"/>
        </w:numPr>
        <w:spacing w:before="124" w:line="240" w:lineRule="auto"/>
        <w:ind w:left="430" w:leftChars="0" w:firstLine="416" w:firstLineChars="200"/>
        <w:rPr>
          <w:rFonts w:ascii="宋体" w:hAnsi="宋体" w:eastAsia="宋体" w:cs="宋体"/>
          <w:color w:val="auto"/>
          <w:spacing w:val="-1"/>
          <w:sz w:val="21"/>
          <w:szCs w:val="21"/>
          <w:highlight w:val="none"/>
          <w:u w:val="single" w:color="auto"/>
        </w:rPr>
      </w:pPr>
      <w:r>
        <w:rPr>
          <w:rFonts w:hint="eastAsia" w:ascii="宋体" w:hAnsi="宋体" w:eastAsia="宋体" w:cs="宋体"/>
          <w:color w:val="auto"/>
          <w:spacing w:val="-1"/>
          <w:sz w:val="21"/>
          <w:szCs w:val="21"/>
          <w:highlight w:val="none"/>
          <w:u w:val="single" w:color="auto"/>
        </w:rPr>
        <w:t>工程竣工后，承包人认为所承包的工程项目已具备本合同约定的竣工验收条件，应及时向发包人提供《竣工报告》，并从提供《竣工报告》之日起3 日内向发包人提供下列完整的文件、图纸、资料各4套：</w:t>
      </w:r>
    </w:p>
    <w:p>
      <w:pPr>
        <w:spacing w:before="149" w:line="240" w:lineRule="auto"/>
        <w:ind w:left="424"/>
        <w:rPr>
          <w:rFonts w:hint="eastAsia" w:ascii="宋体" w:hAnsi="宋体" w:eastAsia="宋体" w:cs="宋体"/>
          <w:color w:val="auto"/>
          <w:sz w:val="21"/>
          <w:szCs w:val="21"/>
          <w:highlight w:val="none"/>
          <w:u w:val="single" w:color="auto"/>
        </w:rPr>
      </w:pPr>
      <w:r>
        <w:rPr>
          <w:rFonts w:hint="eastAsia" w:ascii="宋体" w:hAnsi="宋体" w:eastAsia="宋体" w:cs="宋体"/>
          <w:color w:val="auto"/>
          <w:sz w:val="21"/>
          <w:szCs w:val="21"/>
          <w:highlight w:val="none"/>
          <w:u w:val="single" w:color="auto"/>
        </w:rPr>
        <w:t>承包人未按上述约定的时间和份数提供文件图纸资料，应承担工程款总额1%的违约金。</w:t>
      </w:r>
    </w:p>
    <w:p>
      <w:pPr>
        <w:spacing w:before="149" w:line="240" w:lineRule="auto"/>
        <w:ind w:left="424"/>
        <w:rPr>
          <w:rFonts w:hint="eastAsia" w:ascii="宋体" w:hAnsi="宋体" w:eastAsia="宋体" w:cs="宋体"/>
          <w:color w:val="auto"/>
          <w:sz w:val="21"/>
          <w:szCs w:val="21"/>
          <w:highlight w:val="none"/>
          <w:u w:val="single" w:color="auto"/>
        </w:rPr>
      </w:pPr>
      <w:r>
        <w:rPr>
          <w:rFonts w:hint="eastAsia" w:ascii="宋体" w:hAnsi="宋体" w:eastAsia="宋体" w:cs="宋体"/>
          <w:color w:val="auto"/>
          <w:sz w:val="21"/>
          <w:szCs w:val="21"/>
          <w:highlight w:val="none"/>
          <w:u w:val="single" w:color="auto"/>
        </w:rPr>
        <w:t>检查与验收时，应严格按本《专用条款》所列的相关标准、规范，对承包工程的数量、质量、工序，逐一进行检查与验收。</w:t>
      </w:r>
    </w:p>
    <w:p>
      <w:pPr>
        <w:spacing w:before="171"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3.2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项目经理</w:t>
      </w:r>
    </w:p>
    <w:p>
      <w:pPr>
        <w:spacing w:before="141"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项目经理：</w:t>
      </w:r>
    </w:p>
    <w:p>
      <w:pPr>
        <w:spacing w:before="150" w:line="350" w:lineRule="auto"/>
        <w:ind w:left="424"/>
        <w:rPr>
          <w:rFonts w:ascii="宋体" w:hAnsi="宋体" w:eastAsia="宋体" w:cs="宋体"/>
          <w:color w:val="auto"/>
          <w:sz w:val="21"/>
          <w:szCs w:val="21"/>
          <w:highlight w:val="none"/>
        </w:rPr>
      </w:pPr>
      <w:r>
        <w:rPr>
          <w:rFonts w:ascii="宋体" w:hAnsi="宋体" w:eastAsia="宋体" w:cs="宋体"/>
          <w:color w:val="auto"/>
          <w:spacing w:val="-16"/>
          <w:w w:val="86"/>
          <w:sz w:val="21"/>
          <w:szCs w:val="21"/>
          <w:highlight w:val="none"/>
        </w:rPr>
        <w:t>姓</w:t>
      </w:r>
      <w:r>
        <w:rPr>
          <w:rFonts w:ascii="宋体" w:hAnsi="宋体" w:eastAsia="宋体" w:cs="宋体"/>
          <w:color w:val="auto"/>
          <w:spacing w:val="3"/>
          <w:sz w:val="21"/>
          <w:szCs w:val="21"/>
          <w:highlight w:val="none"/>
        </w:rPr>
        <w:t xml:space="preserve">    </w:t>
      </w:r>
      <w:r>
        <w:rPr>
          <w:rFonts w:ascii="宋体" w:hAnsi="宋体" w:eastAsia="宋体" w:cs="宋体"/>
          <w:color w:val="auto"/>
          <w:spacing w:val="-16"/>
          <w:w w:val="86"/>
          <w:sz w:val="21"/>
          <w:szCs w:val="21"/>
          <w:highlight w:val="none"/>
        </w:rPr>
        <w:t>名</w:t>
      </w:r>
      <w:r>
        <w:rPr>
          <w:rFonts w:ascii="宋体" w:hAnsi="宋体" w:eastAsia="宋体" w:cs="宋体"/>
          <w:color w:val="auto"/>
          <w:sz w:val="21"/>
          <w:szCs w:val="21"/>
          <w:highlight w:val="none"/>
        </w:rPr>
        <w:t>：</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line="220" w:lineRule="auto"/>
        <w:ind w:left="430"/>
        <w:rPr>
          <w:rFonts w:ascii="宋体" w:hAnsi="宋体" w:eastAsia="宋体" w:cs="宋体"/>
          <w:color w:val="auto"/>
          <w:sz w:val="21"/>
          <w:szCs w:val="21"/>
          <w:highlight w:val="none"/>
        </w:rPr>
      </w:pPr>
      <w:r>
        <w:rPr>
          <w:rFonts w:ascii="宋体" w:hAnsi="宋体" w:eastAsia="宋体" w:cs="宋体"/>
          <w:color w:val="auto"/>
          <w:spacing w:val="-21"/>
          <w:w w:val="99"/>
          <w:sz w:val="21"/>
          <w:szCs w:val="21"/>
          <w:highlight w:val="none"/>
        </w:rPr>
        <w:t>身份证号</w:t>
      </w:r>
      <w:r>
        <w:rPr>
          <w:rFonts w:ascii="宋体" w:hAnsi="宋体" w:eastAsia="宋体" w:cs="宋体"/>
          <w:color w:val="auto"/>
          <w:spacing w:val="2"/>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50" w:line="221"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建造师执业资格等级</w:t>
      </w:r>
      <w:r>
        <w:rPr>
          <w:rFonts w:ascii="宋体" w:hAnsi="宋体" w:eastAsia="宋体" w:cs="宋体"/>
          <w:color w:val="auto"/>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w:t>
      </w:r>
    </w:p>
    <w:p>
      <w:pPr>
        <w:spacing w:before="150" w:line="220" w:lineRule="auto"/>
        <w:ind w:left="42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建造师注册证书号</w:t>
      </w:r>
      <w:r>
        <w:rPr>
          <w:rFonts w:ascii="宋体" w:hAnsi="宋体" w:eastAsia="宋体" w:cs="宋体"/>
          <w:color w:val="auto"/>
          <w:spacing w:val="1"/>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8" w:line="220" w:lineRule="auto"/>
        <w:ind w:left="42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建造师执业印章号</w:t>
      </w:r>
      <w:r>
        <w:rPr>
          <w:rFonts w:ascii="宋体" w:hAnsi="宋体" w:eastAsia="宋体" w:cs="宋体"/>
          <w:color w:val="auto"/>
          <w:spacing w:val="1"/>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51" w:line="220" w:lineRule="auto"/>
        <w:ind w:left="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安全生产考核合格证书号</w:t>
      </w:r>
      <w:r>
        <w:rPr>
          <w:rFonts w:ascii="宋体" w:hAnsi="宋体" w:eastAsia="宋体" w:cs="宋体"/>
          <w:color w:val="auto"/>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z w:val="21"/>
          <w:szCs w:val="21"/>
          <w:highlight w:val="none"/>
        </w:rPr>
        <w:t>；</w:t>
      </w:r>
    </w:p>
    <w:p>
      <w:pPr>
        <w:spacing w:before="150" w:line="223" w:lineRule="auto"/>
        <w:ind w:left="425"/>
        <w:rPr>
          <w:rFonts w:ascii="宋体" w:hAnsi="宋体" w:eastAsia="宋体" w:cs="宋体"/>
          <w:color w:val="auto"/>
          <w:sz w:val="21"/>
          <w:szCs w:val="21"/>
          <w:highlight w:val="none"/>
        </w:rPr>
      </w:pPr>
      <w:r>
        <w:rPr>
          <w:rFonts w:ascii="宋体" w:hAnsi="宋体" w:eastAsia="宋体" w:cs="宋体"/>
          <w:color w:val="auto"/>
          <w:spacing w:val="-20"/>
          <w:w w:val="99"/>
          <w:sz w:val="21"/>
          <w:szCs w:val="21"/>
          <w:highlight w:val="none"/>
        </w:rPr>
        <w:t>联系电话</w:t>
      </w:r>
      <w:r>
        <w:rPr>
          <w:rFonts w:ascii="宋体" w:hAnsi="宋体" w:eastAsia="宋体" w:cs="宋体"/>
          <w:color w:val="auto"/>
          <w:spacing w:val="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45" w:line="221" w:lineRule="auto"/>
        <w:ind w:left="449"/>
        <w:rPr>
          <w:rFonts w:ascii="宋体" w:hAnsi="宋体" w:eastAsia="宋体" w:cs="宋体"/>
          <w:color w:val="auto"/>
          <w:sz w:val="21"/>
          <w:szCs w:val="21"/>
          <w:highlight w:val="none"/>
        </w:rPr>
      </w:pPr>
      <w:r>
        <w:rPr>
          <w:rFonts w:ascii="宋体" w:hAnsi="宋体" w:eastAsia="宋体" w:cs="宋体"/>
          <w:color w:val="auto"/>
          <w:spacing w:val="-18"/>
          <w:w w:val="95"/>
          <w:sz w:val="21"/>
          <w:szCs w:val="21"/>
          <w:highlight w:val="none"/>
        </w:rPr>
        <w:t>电子信箱</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49" w:line="221" w:lineRule="auto"/>
        <w:ind w:left="424"/>
        <w:rPr>
          <w:rFonts w:ascii="宋体" w:hAnsi="宋体" w:eastAsia="宋体" w:cs="宋体"/>
          <w:color w:val="auto"/>
          <w:sz w:val="21"/>
          <w:szCs w:val="21"/>
          <w:highlight w:val="none"/>
        </w:rPr>
      </w:pPr>
      <w:r>
        <w:rPr>
          <w:rFonts w:ascii="宋体" w:hAnsi="宋体" w:eastAsia="宋体" w:cs="宋体"/>
          <w:color w:val="auto"/>
          <w:spacing w:val="-16"/>
          <w:w w:val="97"/>
          <w:sz w:val="21"/>
          <w:szCs w:val="21"/>
          <w:highlight w:val="none"/>
        </w:rPr>
        <w:t>通信地址</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0" w:line="221"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承包人对项目经理的授权范围如下：</w:t>
      </w:r>
    </w:p>
    <w:p>
      <w:pPr>
        <w:pStyle w:val="2"/>
        <w:tabs>
          <w:tab w:val="left" w:pos="8234"/>
        </w:tabs>
        <w:spacing w:before="160" w:line="242" w:lineRule="exact"/>
        <w:ind w:left="416"/>
        <w:rPr>
          <w:color w:val="auto"/>
          <w:highlight w:val="none"/>
        </w:rPr>
      </w:pPr>
      <w:r>
        <w:rPr>
          <w:color w:val="auto"/>
          <w:highlight w:val="none"/>
          <w:u w:val="single" w:color="auto"/>
        </w:rPr>
        <w:tab/>
      </w:r>
    </w:p>
    <w:p>
      <w:pPr>
        <w:tabs>
          <w:tab w:val="left" w:pos="8315"/>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关于项目经理每月在施工现场的时间要求：</w:t>
      </w:r>
    </w:p>
    <w:p>
      <w:pPr>
        <w:pStyle w:val="2"/>
        <w:tabs>
          <w:tab w:val="left" w:pos="8234"/>
        </w:tabs>
        <w:spacing w:before="161" w:line="241" w:lineRule="exact"/>
        <w:ind w:left="416"/>
        <w:rPr>
          <w:color w:val="auto"/>
          <w:highlight w:val="none"/>
        </w:rPr>
      </w:pPr>
      <w:r>
        <w:rPr>
          <w:color w:val="auto"/>
          <w:highlight w:val="none"/>
          <w:u w:val="single" w:color="auto"/>
        </w:rPr>
        <w:tab/>
      </w:r>
    </w:p>
    <w:p>
      <w:pPr>
        <w:tabs>
          <w:tab w:val="left" w:pos="8315"/>
        </w:tabs>
        <w:spacing w:before="24" w:line="174" w:lineRule="auto"/>
        <w:rPr>
          <w:rFonts w:ascii="宋体" w:hAnsi="宋体" w:eastAsia="宋体" w:cs="宋体"/>
          <w:color w:val="auto"/>
          <w:sz w:val="7"/>
          <w:szCs w:val="7"/>
          <w:highlight w:val="none"/>
        </w:rPr>
      </w:pP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8" w:line="220" w:lineRule="auto"/>
        <w:ind w:left="424"/>
        <w:rPr>
          <w:rFonts w:ascii="宋体" w:hAnsi="宋体" w:eastAsia="宋体" w:cs="宋体"/>
          <w:color w:val="auto"/>
          <w:spacing w:val="-4"/>
          <w:sz w:val="21"/>
          <w:szCs w:val="21"/>
          <w:highlight w:val="none"/>
        </w:rPr>
      </w:pPr>
      <w:r>
        <w:rPr>
          <w:rFonts w:ascii="宋体" w:hAnsi="宋体" w:eastAsia="宋体" w:cs="宋体"/>
          <w:color w:val="auto"/>
          <w:spacing w:val="-3"/>
          <w:sz w:val="21"/>
          <w:szCs w:val="21"/>
          <w:highlight w:val="none"/>
        </w:rPr>
        <w:t>承包人未提交劳动合同， 以及没有为项目经理缴纳社会保险证明的违约</w:t>
      </w:r>
      <w:r>
        <w:rPr>
          <w:rFonts w:ascii="宋体" w:hAnsi="宋体" w:eastAsia="宋体" w:cs="宋体"/>
          <w:color w:val="auto"/>
          <w:spacing w:val="-4"/>
          <w:sz w:val="21"/>
          <w:szCs w:val="21"/>
          <w:highlight w:val="none"/>
        </w:rPr>
        <w:t>责任：</w:t>
      </w:r>
    </w:p>
    <w:p>
      <w:pPr>
        <w:spacing w:before="198" w:line="220" w:lineRule="auto"/>
        <w:ind w:left="424"/>
        <w:rPr>
          <w:rFonts w:ascii="宋体" w:hAnsi="宋体" w:eastAsia="宋体" w:cs="宋体"/>
          <w:color w:val="auto"/>
          <w:spacing w:val="-4"/>
          <w:sz w:val="21"/>
          <w:szCs w:val="21"/>
          <w:highlight w:val="none"/>
        </w:rPr>
      </w:pPr>
    </w:p>
    <w:p>
      <w:pPr>
        <w:tabs>
          <w:tab w:val="left" w:pos="8315"/>
        </w:tabs>
        <w:spacing w:before="24" w:line="174" w:lineRule="auto"/>
        <w:rPr>
          <w:rFonts w:ascii="宋体" w:hAnsi="宋体" w:eastAsia="宋体" w:cs="宋体"/>
          <w:color w:val="auto"/>
          <w:sz w:val="7"/>
          <w:szCs w:val="7"/>
          <w:highlight w:val="none"/>
        </w:rPr>
      </w:pPr>
      <w:r>
        <w:rPr>
          <w:color w:val="auto"/>
          <w:highlight w:val="none"/>
          <w:u w:val="single" w:color="auto"/>
        </w:rPr>
        <w:tab/>
      </w:r>
      <w:r>
        <w:rPr>
          <w:rFonts w:ascii="宋体" w:hAnsi="宋体" w:eastAsia="宋体" w:cs="宋体"/>
          <w:color w:val="auto"/>
          <w:spacing w:val="11"/>
          <w:sz w:val="7"/>
          <w:szCs w:val="7"/>
          <w:highlight w:val="none"/>
        </w:rPr>
        <w:t>。</w:t>
      </w:r>
    </w:p>
    <w:p>
      <w:pPr>
        <w:spacing w:before="198" w:line="221" w:lineRule="auto"/>
        <w:ind w:left="427"/>
        <w:rPr>
          <w:rFonts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项目经理未经批准，</w:t>
      </w:r>
      <w:r>
        <w:rPr>
          <w:rFonts w:ascii="宋体" w:hAnsi="宋体" w:eastAsia="宋体" w:cs="宋体"/>
          <w:color w:val="auto"/>
          <w:spacing w:val="-21"/>
          <w:sz w:val="21"/>
          <w:szCs w:val="21"/>
          <w:highlight w:val="none"/>
        </w:rPr>
        <w:t xml:space="preserve"> </w:t>
      </w:r>
      <w:r>
        <w:rPr>
          <w:rFonts w:ascii="宋体" w:hAnsi="宋体" w:eastAsia="宋体" w:cs="宋体"/>
          <w:color w:val="auto"/>
          <w:spacing w:val="-4"/>
          <w:sz w:val="21"/>
          <w:szCs w:val="21"/>
          <w:highlight w:val="none"/>
        </w:rPr>
        <w:t>擅自离开施工现场的违约责任：</w:t>
      </w:r>
    </w:p>
    <w:p>
      <w:pPr>
        <w:spacing w:before="198" w:line="221" w:lineRule="auto"/>
        <w:ind w:left="427"/>
        <w:rPr>
          <w:rFonts w:ascii="宋体" w:hAnsi="宋体" w:eastAsia="宋体" w:cs="宋体"/>
          <w:color w:val="auto"/>
          <w:spacing w:val="-4"/>
          <w:sz w:val="21"/>
          <w:szCs w:val="21"/>
          <w:highlight w:val="none"/>
        </w:rPr>
      </w:pPr>
    </w:p>
    <w:p>
      <w:pPr>
        <w:tabs>
          <w:tab w:val="left" w:pos="8315"/>
        </w:tabs>
        <w:spacing w:before="24" w:line="174" w:lineRule="auto"/>
        <w:ind w:left="416"/>
        <w:rPr>
          <w:rFonts w:ascii="宋体" w:hAnsi="宋体" w:eastAsia="宋体" w:cs="宋体"/>
          <w:color w:val="auto"/>
          <w:sz w:val="7"/>
          <w:szCs w:val="7"/>
          <w:highlight w:val="none"/>
        </w:rPr>
      </w:pPr>
      <w:r>
        <w:rPr>
          <w:color w:val="auto"/>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4"/>
        <w:rPr>
          <w:rFonts w:ascii="宋体" w:hAnsi="宋体" w:eastAsia="宋体" w:cs="宋体"/>
          <w:color w:val="auto"/>
          <w:spacing w:val="-1"/>
          <w:sz w:val="21"/>
          <w:szCs w:val="21"/>
          <w:highlight w:val="none"/>
        </w:rPr>
      </w:pPr>
      <w:r>
        <w:rPr>
          <w:rFonts w:ascii="Times New Roman" w:hAnsi="Times New Roman" w:eastAsia="Times New Roman" w:cs="Times New Roman"/>
          <w:color w:val="auto"/>
          <w:spacing w:val="-1"/>
          <w:sz w:val="21"/>
          <w:szCs w:val="21"/>
          <w:highlight w:val="none"/>
        </w:rPr>
        <w:t xml:space="preserve">3.2.3  </w:t>
      </w:r>
      <w:r>
        <w:rPr>
          <w:rFonts w:ascii="宋体" w:hAnsi="宋体" w:eastAsia="宋体" w:cs="宋体"/>
          <w:color w:val="auto"/>
          <w:spacing w:val="-1"/>
          <w:sz w:val="21"/>
          <w:szCs w:val="21"/>
          <w:highlight w:val="none"/>
        </w:rPr>
        <w:t>承包人擅自更换项目经理的违约责任：</w:t>
      </w:r>
    </w:p>
    <w:p>
      <w:pPr>
        <w:spacing w:before="198" w:line="221" w:lineRule="auto"/>
        <w:ind w:left="424"/>
        <w:rPr>
          <w:rFonts w:ascii="宋体" w:hAnsi="宋体" w:eastAsia="宋体" w:cs="宋体"/>
          <w:color w:val="auto"/>
          <w:spacing w:val="-1"/>
          <w:sz w:val="21"/>
          <w:szCs w:val="21"/>
          <w:highlight w:val="none"/>
        </w:rPr>
      </w:pPr>
    </w:p>
    <w:p>
      <w:pPr>
        <w:tabs>
          <w:tab w:val="left" w:pos="8315"/>
        </w:tabs>
        <w:spacing w:before="24" w:line="174" w:lineRule="auto"/>
        <w:ind w:left="416"/>
        <w:rPr>
          <w:rFonts w:ascii="宋体" w:hAnsi="宋体" w:eastAsia="宋体" w:cs="宋体"/>
          <w:color w:val="auto"/>
          <w:sz w:val="7"/>
          <w:szCs w:val="7"/>
          <w:highlight w:val="none"/>
        </w:rPr>
      </w:pPr>
      <w:r>
        <w:rPr>
          <w:color w:val="auto"/>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承包人无正当理由拒绝更换项目经理的违约责</w:t>
      </w:r>
      <w:r>
        <w:rPr>
          <w:rFonts w:ascii="宋体" w:hAnsi="宋体" w:eastAsia="宋体" w:cs="宋体"/>
          <w:color w:val="auto"/>
          <w:spacing w:val="-2"/>
          <w:sz w:val="21"/>
          <w:szCs w:val="21"/>
          <w:highlight w:val="none"/>
        </w:rPr>
        <w:t>任：</w:t>
      </w:r>
    </w:p>
    <w:p>
      <w:pPr>
        <w:pStyle w:val="2"/>
        <w:tabs>
          <w:tab w:val="left" w:pos="8234"/>
        </w:tabs>
        <w:spacing w:before="161" w:line="241" w:lineRule="exact"/>
        <w:ind w:left="416"/>
        <w:rPr>
          <w:color w:val="auto"/>
          <w:highlight w:val="none"/>
        </w:rPr>
      </w:pPr>
      <w:r>
        <w:rPr>
          <w:color w:val="auto"/>
          <w:highlight w:val="none"/>
          <w:u w:val="single" w:color="auto"/>
        </w:rPr>
        <w:tab/>
      </w:r>
    </w:p>
    <w:p>
      <w:pPr>
        <w:pStyle w:val="2"/>
        <w:spacing w:line="257" w:lineRule="auto"/>
        <w:rPr>
          <w:color w:val="auto"/>
          <w:highlight w:val="none"/>
        </w:rPr>
      </w:pPr>
    </w:p>
    <w:p>
      <w:pPr>
        <w:tabs>
          <w:tab w:val="left" w:pos="8315"/>
        </w:tabs>
        <w:spacing w:before="24"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74"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3.3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承包人人员</w:t>
      </w:r>
    </w:p>
    <w:p>
      <w:pPr>
        <w:spacing w:before="124" w:line="221" w:lineRule="auto"/>
        <w:ind w:left="424"/>
        <w:rPr>
          <w:rFonts w:ascii="宋体" w:hAnsi="宋体" w:eastAsia="宋体" w:cs="宋体"/>
          <w:color w:val="auto"/>
          <w:spacing w:val="-1"/>
          <w:sz w:val="21"/>
          <w:szCs w:val="21"/>
          <w:highlight w:val="none"/>
        </w:rPr>
      </w:pPr>
      <w:r>
        <w:rPr>
          <w:rFonts w:ascii="Times New Roman" w:hAnsi="Times New Roman" w:eastAsia="Times New Roman" w:cs="Times New Roman"/>
          <w:color w:val="auto"/>
          <w:sz w:val="21"/>
          <w:szCs w:val="21"/>
          <w:highlight w:val="none"/>
        </w:rPr>
        <w:t xml:space="preserve">3.3.1  </w:t>
      </w:r>
      <w:r>
        <w:rPr>
          <w:rFonts w:ascii="宋体" w:hAnsi="宋体" w:eastAsia="宋体" w:cs="宋体"/>
          <w:color w:val="auto"/>
          <w:sz w:val="21"/>
          <w:szCs w:val="21"/>
          <w:highlight w:val="none"/>
        </w:rPr>
        <w:t>承包人提交项目管理机构及施工现场管理人员安排报</w:t>
      </w:r>
      <w:r>
        <w:rPr>
          <w:rFonts w:ascii="宋体" w:hAnsi="宋体" w:eastAsia="宋体" w:cs="宋体"/>
          <w:color w:val="auto"/>
          <w:spacing w:val="-1"/>
          <w:sz w:val="21"/>
          <w:szCs w:val="21"/>
          <w:highlight w:val="none"/>
        </w:rPr>
        <w:t>告的期限：</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124"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3.3.3  </w:t>
      </w:r>
      <w:r>
        <w:rPr>
          <w:rFonts w:ascii="宋体" w:hAnsi="宋体" w:eastAsia="宋体" w:cs="宋体"/>
          <w:color w:val="auto"/>
          <w:sz w:val="21"/>
          <w:szCs w:val="21"/>
          <w:highlight w:val="none"/>
        </w:rPr>
        <w:t>承包人无正当理由拒绝撤换主要施工管理人员的</w:t>
      </w:r>
      <w:r>
        <w:rPr>
          <w:rFonts w:ascii="宋体" w:hAnsi="宋体" w:eastAsia="宋体" w:cs="宋体"/>
          <w:color w:val="auto"/>
          <w:spacing w:val="-1"/>
          <w:sz w:val="21"/>
          <w:szCs w:val="21"/>
          <w:highlight w:val="none"/>
        </w:rPr>
        <w:t>违约责任：</w:t>
      </w:r>
    </w:p>
    <w:p>
      <w:pPr>
        <w:pStyle w:val="2"/>
        <w:spacing w:line="261" w:lineRule="auto"/>
        <w:rPr>
          <w:rFonts w:hint="default" w:eastAsia="宋体"/>
          <w:color w:val="auto"/>
          <w:highlight w:val="none"/>
          <w:lang w:val="en-US" w:eastAsia="zh-CN"/>
        </w:rPr>
      </w:pPr>
      <w:r>
        <w:rPr>
          <w:rFonts w:hint="eastAsia"/>
          <w:color w:val="auto"/>
          <w:highlight w:val="none"/>
        </w:rPr>
        <w:tab/>
      </w:r>
      <w:r>
        <w:rPr>
          <w:color w:val="auto"/>
          <w:highlight w:val="none"/>
          <w:u w:val="single" w:color="auto"/>
        </w:rPr>
        <w:tab/>
      </w:r>
      <w:r>
        <w:rPr>
          <w:rFonts w:hint="eastAsia" w:eastAsia="宋体"/>
          <w:color w:val="auto"/>
          <w:highlight w:val="none"/>
          <w:u w:val="single" w:color="auto"/>
          <w:lang w:val="en-US" w:eastAsia="zh-CN"/>
        </w:rPr>
        <w:t xml:space="preserve">                                                                                                                             </w:t>
      </w:r>
    </w:p>
    <w:p>
      <w:pPr>
        <w:tabs>
          <w:tab w:val="left" w:pos="8317"/>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3.3.4  </w:t>
      </w:r>
      <w:r>
        <w:rPr>
          <w:rFonts w:ascii="宋体" w:hAnsi="宋体" w:eastAsia="宋体" w:cs="宋体"/>
          <w:color w:val="auto"/>
          <w:spacing w:val="-1"/>
          <w:sz w:val="21"/>
          <w:szCs w:val="21"/>
          <w:highlight w:val="none"/>
        </w:rPr>
        <w:t>承包人主要施工管理人员离开施工</w:t>
      </w:r>
      <w:r>
        <w:rPr>
          <w:rFonts w:ascii="宋体" w:hAnsi="宋体" w:eastAsia="宋体" w:cs="宋体"/>
          <w:color w:val="auto"/>
          <w:spacing w:val="-2"/>
          <w:sz w:val="21"/>
          <w:szCs w:val="21"/>
          <w:highlight w:val="none"/>
        </w:rPr>
        <w:t>现场的批准要求：</w:t>
      </w:r>
      <w:r>
        <w:rPr>
          <w:color w:val="auto"/>
          <w:highlight w:val="none"/>
          <w:u w:val="single" w:color="auto"/>
        </w:rPr>
        <w:tab/>
      </w:r>
      <w:r>
        <w:rPr>
          <w:rFonts w:hint="eastAsia" w:eastAsia="宋体"/>
          <w:color w:val="auto"/>
          <w:highlight w:val="none"/>
          <w:u w:val="single" w:color="auto"/>
          <w:lang w:val="en-US" w:eastAsia="zh-CN"/>
        </w:rPr>
        <w:t xml:space="preserve">                                                                                                                               </w:t>
      </w:r>
    </w:p>
    <w:p>
      <w:pPr>
        <w:pStyle w:val="2"/>
        <w:spacing w:line="259" w:lineRule="auto"/>
        <w:rPr>
          <w:rFonts w:ascii="宋体" w:hAnsi="宋体" w:eastAsia="宋体" w:cs="宋体"/>
          <w:color w:val="auto"/>
          <w:sz w:val="7"/>
          <w:szCs w:val="7"/>
          <w:highlight w:val="none"/>
        </w:rPr>
      </w:pPr>
      <w:r>
        <w:rPr>
          <w:rFonts w:hint="eastAsia" w:eastAsia="宋体"/>
          <w:color w:val="auto"/>
          <w:highlight w:val="none"/>
          <w:u w:val="none" w:color="auto"/>
          <w:lang w:val="en-US" w:eastAsia="zh-CN"/>
        </w:rPr>
        <w:t xml:space="preserve">   </w:t>
      </w:r>
    </w:p>
    <w:p>
      <w:pPr>
        <w:spacing w:before="198"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3.3.5 </w:t>
      </w:r>
      <w:r>
        <w:rPr>
          <w:rFonts w:ascii="宋体" w:hAnsi="宋体" w:eastAsia="宋体" w:cs="宋体"/>
          <w:color w:val="auto"/>
          <w:sz w:val="21"/>
          <w:szCs w:val="21"/>
          <w:highlight w:val="none"/>
        </w:rPr>
        <w:t>承包人擅自更换主要施工管理人</w:t>
      </w:r>
      <w:r>
        <w:rPr>
          <w:rFonts w:ascii="宋体" w:hAnsi="宋体" w:eastAsia="宋体" w:cs="宋体"/>
          <w:color w:val="auto"/>
          <w:spacing w:val="-1"/>
          <w:sz w:val="21"/>
          <w:szCs w:val="21"/>
          <w:highlight w:val="none"/>
        </w:rPr>
        <w:t>员的违约责任：</w:t>
      </w:r>
    </w:p>
    <w:p>
      <w:pPr>
        <w:pStyle w:val="2"/>
        <w:spacing w:line="261" w:lineRule="auto"/>
        <w:rPr>
          <w:color w:val="auto"/>
          <w:highlight w:val="none"/>
        </w:rPr>
      </w:pPr>
    </w:p>
    <w:p>
      <w:pPr>
        <w:tabs>
          <w:tab w:val="left" w:pos="8212"/>
        </w:tabs>
        <w:spacing w:before="23" w:line="174" w:lineRule="auto"/>
        <w:ind w:left="416"/>
        <w:rPr>
          <w:rFonts w:ascii="宋体" w:hAnsi="宋体" w:eastAsia="宋体" w:cs="宋体"/>
          <w:color w:val="auto"/>
          <w:sz w:val="7"/>
          <w:szCs w:val="7"/>
          <w:highlight w:val="none"/>
        </w:rPr>
      </w:pPr>
      <w:r>
        <w:rPr>
          <w:color w:val="auto"/>
          <w:highlight w:val="none"/>
          <w:u w:val="single" w:color="auto"/>
        </w:rPr>
        <w:tab/>
      </w:r>
      <w:r>
        <w:rPr>
          <w:rFonts w:hint="eastAsia" w:eastAsia="宋体"/>
          <w:color w:val="auto"/>
          <w:highlight w:val="none"/>
          <w:u w:val="single" w:color="auto"/>
          <w:lang w:val="en-US" w:eastAsia="zh-CN"/>
        </w:rPr>
        <w:t xml:space="preserve">           </w:t>
      </w:r>
    </w:p>
    <w:p>
      <w:pPr>
        <w:spacing w:before="195" w:line="221"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承包人主要施工管理人员擅自离开施工现场的违约责任：</w:t>
      </w:r>
    </w:p>
    <w:p>
      <w:pPr>
        <w:pStyle w:val="2"/>
        <w:spacing w:line="261" w:lineRule="auto"/>
        <w:rPr>
          <w:color w:val="auto"/>
          <w:highlight w:val="none"/>
        </w:rPr>
      </w:pPr>
    </w:p>
    <w:p>
      <w:pPr>
        <w:tabs>
          <w:tab w:val="left" w:pos="8315"/>
        </w:tabs>
        <w:spacing w:before="24"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74"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3.5</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分包</w:t>
      </w:r>
    </w:p>
    <w:p>
      <w:pPr>
        <w:spacing w:before="138" w:line="400" w:lineRule="exact"/>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3.5.1  </w:t>
      </w:r>
      <w:r>
        <w:rPr>
          <w:rFonts w:ascii="宋体" w:hAnsi="宋体" w:eastAsia="宋体" w:cs="宋体"/>
          <w:color w:val="auto"/>
          <w:spacing w:val="-1"/>
          <w:position w:val="14"/>
          <w:sz w:val="21"/>
          <w:szCs w:val="21"/>
          <w:highlight w:val="none"/>
        </w:rPr>
        <w:t>分包的一般约定</w:t>
      </w:r>
    </w:p>
    <w:p>
      <w:pPr>
        <w:spacing w:before="1" w:line="220" w:lineRule="auto"/>
        <w:ind w:left="424"/>
        <w:rPr>
          <w:color w:val="auto"/>
          <w:highlight w:val="none"/>
        </w:rPr>
      </w:pPr>
      <w:r>
        <w:rPr>
          <w:rFonts w:ascii="宋体" w:hAnsi="宋体" w:eastAsia="宋体" w:cs="宋体"/>
          <w:color w:val="auto"/>
          <w:spacing w:val="-1"/>
          <w:sz w:val="21"/>
          <w:szCs w:val="21"/>
          <w:highlight w:val="none"/>
        </w:rPr>
        <w:t>禁止分包的工程包括：</w:t>
      </w:r>
      <w:r>
        <w:rPr>
          <w:rFonts w:hint="eastAsia" w:eastAsia="宋体"/>
          <w:color w:val="auto"/>
          <w:highlight w:val="none"/>
          <w:u w:val="single" w:color="auto"/>
          <w:lang w:val="en-US" w:eastAsia="zh-CN"/>
        </w:rPr>
        <w:t xml:space="preserve"> 本工程不得分包、转包或者变相分包、转包。如需分包、转包，须经发包人审查并书面同意。否则分包、转包无效，由此造成的一切后果由承包人承担。                                             </w:t>
      </w:r>
    </w:p>
    <w:p>
      <w:pPr>
        <w:tabs>
          <w:tab w:val="left" w:pos="8210"/>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7" w:line="221" w:lineRule="auto"/>
        <w:ind w:left="426"/>
        <w:rPr>
          <w:color w:val="auto"/>
          <w:highlight w:val="none"/>
        </w:rPr>
      </w:pPr>
      <w:r>
        <w:rPr>
          <w:rFonts w:ascii="宋体" w:hAnsi="宋体" w:eastAsia="宋体" w:cs="宋体"/>
          <w:color w:val="auto"/>
          <w:spacing w:val="-3"/>
          <w:sz w:val="21"/>
          <w:szCs w:val="21"/>
          <w:highlight w:val="none"/>
        </w:rPr>
        <w:t>主体结构、关键性工作的范围：</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197" w:line="221"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分包的确定</w:t>
      </w:r>
    </w:p>
    <w:p>
      <w:pPr>
        <w:spacing w:before="149" w:line="221" w:lineRule="auto"/>
        <w:ind w:left="431"/>
        <w:rPr>
          <w:color w:val="auto"/>
          <w:highlight w:val="none"/>
          <w:u w:val="single" w:color="auto"/>
        </w:rPr>
      </w:pPr>
      <w:r>
        <w:rPr>
          <w:rFonts w:ascii="宋体" w:hAnsi="宋体" w:eastAsia="宋体" w:cs="宋体"/>
          <w:color w:val="auto"/>
          <w:spacing w:val="-1"/>
          <w:sz w:val="21"/>
          <w:szCs w:val="21"/>
          <w:highlight w:val="none"/>
        </w:rPr>
        <w:t>允许分包的专业工程包括：</w:t>
      </w:r>
    </w:p>
    <w:p>
      <w:pPr>
        <w:pStyle w:val="2"/>
        <w:spacing w:line="261" w:lineRule="auto"/>
        <w:rPr>
          <w:color w:val="auto"/>
          <w:highlight w:val="none"/>
        </w:rPr>
      </w:pPr>
      <w:r>
        <w:rPr>
          <w:rFonts w:hint="eastAsia" w:eastAsia="宋体"/>
          <w:color w:val="auto"/>
          <w:highlight w:val="none"/>
          <w:u w:val="none" w:color="auto"/>
          <w:lang w:val="en-US" w:eastAsia="zh-CN"/>
        </w:rPr>
        <w:t xml:space="preserve">         </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197" w:line="221" w:lineRule="auto"/>
        <w:ind w:left="425"/>
        <w:rPr>
          <w:color w:val="auto"/>
          <w:highlight w:val="none"/>
          <w:u w:val="single" w:color="auto"/>
        </w:rPr>
      </w:pPr>
      <w:r>
        <w:rPr>
          <w:rFonts w:ascii="宋体" w:hAnsi="宋体" w:eastAsia="宋体" w:cs="宋体"/>
          <w:color w:val="auto"/>
          <w:spacing w:val="-1"/>
          <w:sz w:val="21"/>
          <w:szCs w:val="21"/>
          <w:highlight w:val="none"/>
        </w:rPr>
        <w:t>其他关于分包的约定：</w:t>
      </w:r>
      <w:r>
        <w:rPr>
          <w:rFonts w:hint="eastAsia" w:ascii="宋体" w:hAnsi="宋体" w:eastAsia="宋体" w:cs="宋体"/>
          <w:color w:val="auto"/>
          <w:spacing w:val="-1"/>
          <w:sz w:val="21"/>
          <w:szCs w:val="21"/>
          <w:highlight w:val="none"/>
        </w:rPr>
        <w:t>如需劳动力应优先雇用当地农民。</w:t>
      </w:r>
    </w:p>
    <w:p>
      <w:pPr>
        <w:pStyle w:val="2"/>
        <w:spacing w:line="329" w:lineRule="auto"/>
        <w:rPr>
          <w:color w:val="auto"/>
          <w:highlight w:val="none"/>
          <w:u w:val="single"/>
        </w:rPr>
      </w:pPr>
      <w:r>
        <w:rPr>
          <w:rFonts w:hint="eastAsia" w:eastAsia="宋体"/>
          <w:color w:val="auto"/>
          <w:highlight w:val="none"/>
          <w:u w:val="none" w:color="auto"/>
          <w:lang w:val="en-US" w:eastAsia="zh-CN"/>
        </w:rPr>
        <w:t xml:space="preserve"> </w:t>
      </w:r>
      <w:r>
        <w:rPr>
          <w:color w:val="auto"/>
          <w:highlight w:val="none"/>
          <w:u w:val="none" w:color="auto"/>
        </w:rPr>
        <w:tab/>
      </w:r>
      <w:r>
        <w:rPr>
          <w:rFonts w:hint="eastAsia" w:eastAsia="宋体"/>
          <w:color w:val="auto"/>
          <w:highlight w:val="none"/>
          <w:u w:val="single" w:color="auto"/>
          <w:lang w:val="en-US" w:eastAsia="zh-CN"/>
        </w:rPr>
        <w:t xml:space="preserve">                                                                                                                                      </w:t>
      </w:r>
    </w:p>
    <w:p>
      <w:pPr>
        <w:tabs>
          <w:tab w:val="left" w:pos="8210"/>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19" w:lineRule="auto"/>
        <w:ind w:left="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分包合同价款</w:t>
      </w:r>
    </w:p>
    <w:p>
      <w:pPr>
        <w:spacing w:before="152" w:line="219"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关于分包合同价款支付的约定：</w:t>
      </w:r>
    </w:p>
    <w:p>
      <w:pPr>
        <w:pStyle w:val="2"/>
        <w:spacing w:line="263" w:lineRule="auto"/>
        <w:rPr>
          <w:color w:val="auto"/>
          <w:highlight w:val="none"/>
        </w:rPr>
      </w:pPr>
      <w:r>
        <w:rPr>
          <w:rFonts w:hint="eastAsia" w:eastAsia="宋体"/>
          <w:color w:val="auto"/>
          <w:highlight w:val="none"/>
          <w:u w:val="none" w:color="auto"/>
          <w:lang w:val="en-US" w:eastAsia="zh-CN"/>
        </w:rPr>
        <w:t xml:space="preserve">       </w:t>
      </w:r>
      <w:r>
        <w:rPr>
          <w:rFonts w:hint="eastAsia" w:eastAsia="宋体"/>
          <w:color w:val="auto"/>
          <w:highlight w:val="none"/>
          <w:u w:val="single" w:color="auto"/>
          <w:lang w:val="en-US" w:eastAsia="zh-CN"/>
        </w:rPr>
        <w:t xml:space="preserve">                                                                                                                           </w:t>
      </w:r>
      <w:r>
        <w:rPr>
          <w:color w:val="auto"/>
          <w:highlight w:val="none"/>
          <w:u w:val="single" w:color="auto"/>
        </w:rPr>
        <w:tab/>
      </w:r>
      <w:r>
        <w:rPr>
          <w:rFonts w:hint="eastAsia" w:eastAsia="宋体"/>
          <w:color w:val="auto"/>
          <w:highlight w:val="none"/>
          <w:u w:val="single" w:color="auto"/>
          <w:lang w:val="en-US" w:eastAsia="zh-CN"/>
        </w:rPr>
        <w:t xml:space="preserve">     </w:t>
      </w:r>
    </w:p>
    <w:p>
      <w:pPr>
        <w:tabs>
          <w:tab w:val="left" w:pos="8210"/>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2"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3.6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工程照管与成品、半成品保护</w:t>
      </w:r>
    </w:p>
    <w:p>
      <w:pPr>
        <w:spacing w:before="141" w:line="220"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承包人负责照管工程及工程相关的材料、工程设备的起始</w:t>
      </w:r>
      <w:r>
        <w:rPr>
          <w:rFonts w:ascii="宋体" w:hAnsi="宋体" w:eastAsia="宋体" w:cs="宋体"/>
          <w:color w:val="auto"/>
          <w:spacing w:val="-1"/>
          <w:sz w:val="21"/>
          <w:szCs w:val="21"/>
          <w:highlight w:val="none"/>
        </w:rPr>
        <w:t>时间：</w:t>
      </w:r>
    </w:p>
    <w:p>
      <w:pPr>
        <w:pStyle w:val="2"/>
        <w:spacing w:line="262" w:lineRule="auto"/>
        <w:rPr>
          <w:color w:val="auto"/>
          <w:highlight w:val="none"/>
        </w:rPr>
      </w:pPr>
      <w:r>
        <w:rPr>
          <w:color w:val="auto"/>
          <w:highlight w:val="none"/>
          <w:u w:val="single" w:color="auto"/>
        </w:rPr>
        <w:tab/>
      </w:r>
      <w:r>
        <w:rPr>
          <w:rFonts w:hint="eastAsia" w:eastAsia="宋体"/>
          <w:color w:val="auto"/>
          <w:highlight w:val="none"/>
          <w:u w:val="single" w:color="auto"/>
          <w:lang w:val="en-US" w:eastAsia="zh-CN"/>
        </w:rPr>
        <w:t xml:space="preserve">                                                                                                                               </w:t>
      </w:r>
    </w:p>
    <w:p>
      <w:pPr>
        <w:tabs>
          <w:tab w:val="left" w:pos="8210"/>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3.7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履约担保</w:t>
      </w:r>
    </w:p>
    <w:p>
      <w:pPr>
        <w:spacing w:before="141" w:line="220" w:lineRule="auto"/>
        <w:ind w:left="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承包人是否提供履约担保：</w:t>
      </w:r>
      <w:r>
        <w:rPr>
          <w:rFonts w:hint="eastAsia" w:ascii="宋体" w:hAnsi="宋体" w:eastAsia="宋体" w:cs="宋体"/>
          <w:color w:val="auto"/>
          <w:spacing w:val="-1"/>
          <w:sz w:val="21"/>
          <w:szCs w:val="21"/>
          <w:highlight w:val="none"/>
        </w:rPr>
        <w:t>是</w:t>
      </w:r>
    </w:p>
    <w:p>
      <w:pPr>
        <w:pStyle w:val="2"/>
        <w:spacing w:line="262" w:lineRule="auto"/>
        <w:rPr>
          <w:color w:val="auto"/>
          <w:highlight w:val="none"/>
        </w:rPr>
      </w:pPr>
    </w:p>
    <w:p>
      <w:pPr>
        <w:tabs>
          <w:tab w:val="left" w:pos="8210"/>
        </w:tabs>
        <w:spacing w:before="23" w:line="174" w:lineRule="auto"/>
        <w:ind w:left="416"/>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tabs>
          <w:tab w:val="left" w:pos="8210"/>
        </w:tabs>
        <w:spacing w:before="24" w:line="240" w:lineRule="auto"/>
        <w:ind w:left="416"/>
        <w:rPr>
          <w:rFonts w:hint="eastAsia" w:ascii="宋体" w:hAnsi="宋体" w:eastAsia="宋体" w:cs="宋体"/>
          <w:color w:val="auto"/>
          <w:spacing w:val="-1"/>
          <w:sz w:val="21"/>
          <w:szCs w:val="21"/>
          <w:highlight w:val="none"/>
          <w:u w:val="single"/>
        </w:rPr>
      </w:pPr>
      <w:r>
        <w:rPr>
          <w:rFonts w:ascii="宋体" w:hAnsi="宋体" w:eastAsia="宋体" w:cs="宋体"/>
          <w:color w:val="auto"/>
          <w:spacing w:val="-1"/>
          <w:sz w:val="21"/>
          <w:szCs w:val="21"/>
          <w:highlight w:val="none"/>
        </w:rPr>
        <w:t>承包人提供履约担保的形式、金额及期限的：</w:t>
      </w:r>
      <w:r>
        <w:rPr>
          <w:rFonts w:hint="eastAsia" w:ascii="宋体" w:hAnsi="宋体" w:eastAsia="宋体" w:cs="宋体"/>
          <w:color w:val="auto"/>
          <w:spacing w:val="-1"/>
          <w:sz w:val="21"/>
          <w:szCs w:val="21"/>
          <w:highlight w:val="none"/>
          <w:u w:val="single"/>
        </w:rPr>
        <w:t>1.履约担保形式：电汇或银行保函。银行保函应当从项目所在地市范围内的全国性国有银行出具，保函格式可采用银行格式。</w:t>
      </w:r>
    </w:p>
    <w:p>
      <w:pPr>
        <w:tabs>
          <w:tab w:val="left" w:pos="8210"/>
        </w:tabs>
        <w:spacing w:before="24" w:line="240" w:lineRule="auto"/>
        <w:ind w:left="416"/>
        <w:rPr>
          <w:rFonts w:ascii="宋体" w:hAnsi="宋体" w:eastAsia="宋体" w:cs="宋体"/>
          <w:color w:val="auto"/>
          <w:sz w:val="7"/>
          <w:szCs w:val="7"/>
          <w:highlight w:val="none"/>
          <w:u w:val="single"/>
        </w:rPr>
      </w:pPr>
      <w:r>
        <w:rPr>
          <w:rFonts w:hint="eastAsia" w:ascii="宋体" w:hAnsi="宋体" w:eastAsia="宋体" w:cs="宋体"/>
          <w:color w:val="auto"/>
          <w:spacing w:val="-1"/>
          <w:sz w:val="21"/>
          <w:szCs w:val="21"/>
          <w:highlight w:val="none"/>
          <w:u w:val="single"/>
        </w:rPr>
        <w:t>2.履约担保金额：中标金额的5%（与中标通知书所标注的金额相一致。中标人提供履约担保时间为取得中标通知书后签订施工合同前）。</w:t>
      </w:r>
      <w:r>
        <w:rPr>
          <w:rFonts w:ascii="宋体" w:hAnsi="宋体" w:eastAsia="宋体" w:cs="宋体"/>
          <w:color w:val="auto"/>
          <w:spacing w:val="-6"/>
          <w:sz w:val="7"/>
          <w:szCs w:val="7"/>
          <w:highlight w:val="none"/>
          <w:u w:val="single"/>
        </w:rPr>
        <w:t xml:space="preserve"> </w:t>
      </w:r>
      <w:r>
        <w:rPr>
          <w:rFonts w:ascii="宋体" w:hAnsi="宋体" w:eastAsia="宋体" w:cs="宋体"/>
          <w:color w:val="auto"/>
          <w:spacing w:val="11"/>
          <w:sz w:val="7"/>
          <w:szCs w:val="7"/>
          <w:highlight w:val="none"/>
          <w:u w:val="single"/>
        </w:rPr>
        <w:t>。</w:t>
      </w:r>
    </w:p>
    <w:p>
      <w:pPr>
        <w:spacing w:line="174" w:lineRule="auto"/>
        <w:rPr>
          <w:rFonts w:ascii="宋体" w:hAnsi="宋体" w:eastAsia="宋体" w:cs="宋体"/>
          <w:color w:val="auto"/>
          <w:sz w:val="7"/>
          <w:szCs w:val="7"/>
          <w:highlight w:val="none"/>
          <w:u w:val="single"/>
        </w:rPr>
        <w:sectPr>
          <w:footerReference r:id="rId58" w:type="default"/>
          <w:pgSz w:w="11905" w:h="16843"/>
          <w:pgMar w:top="1769" w:right="1548" w:bottom="1003" w:left="1542" w:header="0" w:footer="828" w:gutter="0"/>
          <w:pgNumType w:fmt="numberInDash"/>
          <w:cols w:space="0" w:num="1"/>
          <w:rtlGutter w:val="0"/>
          <w:docGrid w:linePitch="0" w:charSpace="0"/>
        </w:sectPr>
      </w:pPr>
    </w:p>
    <w:p>
      <w:pPr>
        <w:spacing w:before="65" w:line="222" w:lineRule="auto"/>
        <w:ind w:left="1"/>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sz w:val="28"/>
          <w:szCs w:val="28"/>
          <w:highlight w:val="none"/>
        </w:rPr>
        <w:t xml:space="preserve">4.  </w:t>
      </w:r>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监理人</w:t>
      </w:r>
    </w:p>
    <w:p>
      <w:pPr>
        <w:spacing w:before="98"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4.1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监理人的一般规定</w:t>
      </w:r>
    </w:p>
    <w:p>
      <w:pPr>
        <w:spacing w:before="141" w:line="221" w:lineRule="auto"/>
        <w:ind w:left="425"/>
        <w:rPr>
          <w:color w:val="auto"/>
          <w:highlight w:val="none"/>
        </w:rPr>
      </w:pPr>
      <w:r>
        <w:rPr>
          <w:rFonts w:ascii="宋体" w:hAnsi="宋体" w:eastAsia="宋体" w:cs="宋体"/>
          <w:color w:val="auto"/>
          <w:spacing w:val="-3"/>
          <w:sz w:val="21"/>
          <w:szCs w:val="21"/>
          <w:highlight w:val="none"/>
        </w:rPr>
        <w:t>关于监理人的监理内容：</w:t>
      </w:r>
      <w:r>
        <w:rPr>
          <w:color w:val="auto"/>
          <w:highlight w:val="none"/>
          <w:u w:val="single" w:color="auto"/>
        </w:rPr>
        <w:tab/>
      </w:r>
      <w:r>
        <w:rPr>
          <w:rFonts w:hint="eastAsia" w:eastAsia="宋体"/>
          <w:color w:val="auto"/>
          <w:highlight w:val="none"/>
          <w:u w:val="single" w:color="auto"/>
          <w:lang w:val="en-US" w:eastAsia="zh-CN"/>
        </w:rPr>
        <w:t xml:space="preserve">                                                                                                                               </w:t>
      </w: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5"/>
        <w:rPr>
          <w:rFonts w:ascii="宋体" w:hAnsi="宋体" w:eastAsia="宋体" w:cs="宋体"/>
          <w:color w:val="auto"/>
          <w:sz w:val="7"/>
          <w:szCs w:val="7"/>
          <w:highlight w:val="none"/>
        </w:rPr>
      </w:pPr>
      <w:r>
        <w:rPr>
          <w:rFonts w:ascii="宋体" w:hAnsi="宋体" w:eastAsia="宋体" w:cs="宋体"/>
          <w:color w:val="auto"/>
          <w:spacing w:val="-3"/>
          <w:sz w:val="21"/>
          <w:szCs w:val="21"/>
          <w:highlight w:val="none"/>
        </w:rPr>
        <w:t>关于监理人的监理权限：</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196" w:line="220"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关于监理人在施工现场的办公场所、生活场所的提供和费用</w:t>
      </w:r>
      <w:r>
        <w:rPr>
          <w:rFonts w:ascii="宋体" w:hAnsi="宋体" w:eastAsia="宋体" w:cs="宋体"/>
          <w:color w:val="auto"/>
          <w:spacing w:val="-1"/>
          <w:sz w:val="21"/>
          <w:szCs w:val="21"/>
          <w:highlight w:val="none"/>
        </w:rPr>
        <w:t>承担的约定：</w:t>
      </w:r>
      <w:r>
        <w:rPr>
          <w:color w:val="auto"/>
          <w:highlight w:val="none"/>
          <w:u w:val="single" w:color="auto"/>
        </w:rPr>
        <w:tab/>
      </w:r>
      <w:r>
        <w:rPr>
          <w:rFonts w:hint="eastAsia" w:eastAsia="宋体"/>
          <w:color w:val="auto"/>
          <w:highlight w:val="none"/>
          <w:u w:val="single" w:color="auto"/>
          <w:lang w:val="en-US" w:eastAsia="zh-CN"/>
        </w:rPr>
        <w:t xml:space="preserve">                                                                                                                               </w:t>
      </w:r>
    </w:p>
    <w:p>
      <w:pPr>
        <w:pStyle w:val="2"/>
        <w:spacing w:line="262" w:lineRule="auto"/>
        <w:rPr>
          <w:color w:val="auto"/>
          <w:highlight w:val="none"/>
        </w:rPr>
      </w:pP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5"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监理人员</w:t>
      </w:r>
    </w:p>
    <w:p>
      <w:pPr>
        <w:spacing w:before="139" w:line="221" w:lineRule="auto"/>
        <w:ind w:left="42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总监理工程师：</w:t>
      </w:r>
    </w:p>
    <w:p>
      <w:pPr>
        <w:spacing w:before="149" w:line="221" w:lineRule="auto"/>
        <w:ind w:left="422"/>
        <w:rPr>
          <w:rFonts w:ascii="宋体" w:hAnsi="宋体" w:eastAsia="宋体" w:cs="宋体"/>
          <w:color w:val="auto"/>
          <w:sz w:val="21"/>
          <w:szCs w:val="21"/>
          <w:highlight w:val="none"/>
        </w:rPr>
      </w:pPr>
      <w:r>
        <w:rPr>
          <w:rFonts w:ascii="宋体" w:hAnsi="宋体" w:eastAsia="宋体" w:cs="宋体"/>
          <w:color w:val="auto"/>
          <w:spacing w:val="-16"/>
          <w:w w:val="86"/>
          <w:sz w:val="21"/>
          <w:szCs w:val="21"/>
          <w:highlight w:val="none"/>
        </w:rPr>
        <w:t>姓</w:t>
      </w:r>
      <w:r>
        <w:rPr>
          <w:rFonts w:ascii="宋体" w:hAnsi="宋体" w:eastAsia="宋体" w:cs="宋体"/>
          <w:color w:val="auto"/>
          <w:spacing w:val="3"/>
          <w:sz w:val="21"/>
          <w:szCs w:val="21"/>
          <w:highlight w:val="none"/>
        </w:rPr>
        <w:t xml:space="preserve">    </w:t>
      </w:r>
      <w:r>
        <w:rPr>
          <w:rFonts w:ascii="宋体" w:hAnsi="宋体" w:eastAsia="宋体" w:cs="宋体"/>
          <w:color w:val="auto"/>
          <w:spacing w:val="-16"/>
          <w:w w:val="86"/>
          <w:sz w:val="21"/>
          <w:szCs w:val="21"/>
          <w:highlight w:val="none"/>
        </w:rPr>
        <w:t>名</w:t>
      </w:r>
      <w:r>
        <w:rPr>
          <w:rFonts w:ascii="宋体" w:hAnsi="宋体" w:eastAsia="宋体" w:cs="宋体"/>
          <w:color w:val="auto"/>
          <w:sz w:val="21"/>
          <w:szCs w:val="21"/>
          <w:highlight w:val="none"/>
        </w:rPr>
        <w:t>：</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w:t>
      </w:r>
    </w:p>
    <w:p>
      <w:pPr>
        <w:spacing w:before="149" w:line="221" w:lineRule="auto"/>
        <w:ind w:left="423"/>
        <w:rPr>
          <w:rFonts w:ascii="宋体" w:hAnsi="宋体" w:eastAsia="宋体" w:cs="宋体"/>
          <w:color w:val="auto"/>
          <w:sz w:val="21"/>
          <w:szCs w:val="21"/>
          <w:highlight w:val="none"/>
        </w:rPr>
      </w:pPr>
      <w:r>
        <w:rPr>
          <w:rFonts w:ascii="宋体" w:hAnsi="宋体" w:eastAsia="宋体" w:cs="宋体"/>
          <w:color w:val="auto"/>
          <w:spacing w:val="-16"/>
          <w:w w:val="86"/>
          <w:sz w:val="21"/>
          <w:szCs w:val="21"/>
          <w:highlight w:val="none"/>
        </w:rPr>
        <w:t>职</w:t>
      </w:r>
      <w:r>
        <w:rPr>
          <w:rFonts w:ascii="宋体" w:hAnsi="宋体" w:eastAsia="宋体" w:cs="宋体"/>
          <w:color w:val="auto"/>
          <w:spacing w:val="2"/>
          <w:sz w:val="21"/>
          <w:szCs w:val="21"/>
          <w:highlight w:val="none"/>
        </w:rPr>
        <w:t xml:space="preserve">    </w:t>
      </w:r>
      <w:r>
        <w:rPr>
          <w:rFonts w:ascii="宋体" w:hAnsi="宋体" w:eastAsia="宋体" w:cs="宋体"/>
          <w:color w:val="auto"/>
          <w:spacing w:val="-16"/>
          <w:w w:val="86"/>
          <w:sz w:val="21"/>
          <w:szCs w:val="21"/>
          <w:highlight w:val="none"/>
        </w:rPr>
        <w:t>务</w:t>
      </w:r>
      <w:r>
        <w:rPr>
          <w:rFonts w:ascii="宋体" w:hAnsi="宋体" w:eastAsia="宋体" w:cs="宋体"/>
          <w:color w:val="auto"/>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w:t>
      </w:r>
    </w:p>
    <w:p>
      <w:pPr>
        <w:spacing w:before="148" w:line="352" w:lineRule="auto"/>
        <w:ind w:left="42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监理工程师执业资格证书号</w:t>
      </w:r>
      <w:r>
        <w:rPr>
          <w:rFonts w:ascii="宋体" w:hAnsi="宋体" w:eastAsia="宋体" w:cs="宋体"/>
          <w:color w:val="auto"/>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z w:val="21"/>
          <w:szCs w:val="21"/>
          <w:highlight w:val="none"/>
        </w:rPr>
        <w:t>；</w:t>
      </w:r>
    </w:p>
    <w:p>
      <w:pPr>
        <w:spacing w:before="1" w:line="222" w:lineRule="auto"/>
        <w:ind w:left="423"/>
        <w:rPr>
          <w:rFonts w:ascii="宋体" w:hAnsi="宋体" w:eastAsia="宋体" w:cs="宋体"/>
          <w:color w:val="auto"/>
          <w:sz w:val="21"/>
          <w:szCs w:val="21"/>
          <w:highlight w:val="none"/>
        </w:rPr>
      </w:pPr>
      <w:r>
        <w:rPr>
          <w:rFonts w:ascii="宋体" w:hAnsi="宋体" w:eastAsia="宋体" w:cs="宋体"/>
          <w:color w:val="auto"/>
          <w:spacing w:val="-20"/>
          <w:w w:val="99"/>
          <w:sz w:val="21"/>
          <w:szCs w:val="21"/>
          <w:highlight w:val="none"/>
        </w:rPr>
        <w:t>联系电话</w:t>
      </w:r>
      <w:r>
        <w:rPr>
          <w:rFonts w:ascii="宋体" w:hAnsi="宋体" w:eastAsia="宋体" w:cs="宋体"/>
          <w:color w:val="auto"/>
          <w:spacing w:val="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rPr>
        <w:t>；</w:t>
      </w:r>
    </w:p>
    <w:p>
      <w:pPr>
        <w:spacing w:before="147" w:line="221" w:lineRule="auto"/>
        <w:ind w:left="446"/>
        <w:rPr>
          <w:rFonts w:ascii="宋体" w:hAnsi="宋体" w:eastAsia="宋体" w:cs="宋体"/>
          <w:color w:val="auto"/>
          <w:sz w:val="21"/>
          <w:szCs w:val="21"/>
          <w:highlight w:val="none"/>
        </w:rPr>
      </w:pPr>
      <w:r>
        <w:rPr>
          <w:rFonts w:ascii="宋体" w:hAnsi="宋体" w:eastAsia="宋体" w:cs="宋体"/>
          <w:color w:val="auto"/>
          <w:spacing w:val="-18"/>
          <w:w w:val="95"/>
          <w:sz w:val="21"/>
          <w:szCs w:val="21"/>
          <w:highlight w:val="none"/>
        </w:rPr>
        <w:t>电子信箱</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47" w:line="221" w:lineRule="auto"/>
        <w:ind w:left="422"/>
        <w:rPr>
          <w:rFonts w:ascii="宋体" w:hAnsi="宋体" w:eastAsia="宋体" w:cs="宋体"/>
          <w:color w:val="auto"/>
          <w:sz w:val="21"/>
          <w:szCs w:val="21"/>
          <w:highlight w:val="none"/>
        </w:rPr>
      </w:pPr>
      <w:r>
        <w:rPr>
          <w:rFonts w:ascii="宋体" w:hAnsi="宋体" w:eastAsia="宋体" w:cs="宋体"/>
          <w:color w:val="auto"/>
          <w:spacing w:val="-16"/>
          <w:w w:val="97"/>
          <w:sz w:val="21"/>
          <w:szCs w:val="21"/>
          <w:highlight w:val="none"/>
        </w:rPr>
        <w:t>通信地址</w:t>
      </w:r>
      <w:r>
        <w:rPr>
          <w:rFonts w:ascii="宋体" w:hAnsi="宋体" w:eastAsia="宋体" w:cs="宋体"/>
          <w:color w:val="auto"/>
          <w:spacing w:val="3"/>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1" w:line="221" w:lineRule="auto"/>
        <w:ind w:left="42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关于监理人的其他约定：</w:t>
      </w:r>
      <w:r>
        <w:rPr>
          <w:rFonts w:ascii="宋体" w:hAnsi="宋体" w:eastAsia="宋体" w:cs="宋体"/>
          <w:color w:val="auto"/>
          <w:spacing w:val="-20"/>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highlight w:val="none"/>
          <w:u w:val="single"/>
          <w:lang w:eastAsia="zh-CN"/>
        </w:rPr>
        <w:t>发包人委托授权：监理单位和监理工程师依据本合同，按照设计图纸和本项目标准及该项目所涉及的其他行业标准、规范，在施工现场进行工程进度、质量、资金、施工安全等监督管理，行使工程监理职权。</w:t>
      </w:r>
      <w:r>
        <w:rPr>
          <w:rFonts w:ascii="宋体" w:hAnsi="宋体" w:eastAsia="宋体" w:cs="宋体"/>
          <w:color w:val="auto"/>
          <w:spacing w:val="7"/>
          <w:highlight w:val="none"/>
          <w:u w:val="single"/>
          <w:lang w:eastAsia="zh-CN"/>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8"/>
          <w:sz w:val="21"/>
          <w:szCs w:val="21"/>
          <w:highlight w:val="none"/>
        </w:rPr>
        <w:t>。</w:t>
      </w:r>
    </w:p>
    <w:p>
      <w:pPr>
        <w:spacing w:before="124"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4.4</w:t>
      </w:r>
      <w:r>
        <w:rPr>
          <w:rFonts w:ascii="Times New Roman" w:hAnsi="Times New Roman" w:eastAsia="Times New Roman" w:cs="Times New Roman"/>
          <w:b/>
          <w:bCs/>
          <w:color w:val="auto"/>
          <w:spacing w:val="10"/>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商定或确定</w:t>
      </w:r>
    </w:p>
    <w:p>
      <w:pPr>
        <w:spacing w:before="139" w:line="400"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在发包人和承包人不能通过协商达成一致意见时，</w:t>
      </w:r>
      <w:r>
        <w:rPr>
          <w:rFonts w:ascii="宋体" w:hAnsi="宋体" w:eastAsia="宋体" w:cs="宋体"/>
          <w:color w:val="auto"/>
          <w:spacing w:val="-19"/>
          <w:position w:val="14"/>
          <w:sz w:val="21"/>
          <w:szCs w:val="21"/>
          <w:highlight w:val="none"/>
        </w:rPr>
        <w:t xml:space="preserve"> </w:t>
      </w:r>
      <w:r>
        <w:rPr>
          <w:rFonts w:ascii="宋体" w:hAnsi="宋体" w:eastAsia="宋体" w:cs="宋体"/>
          <w:color w:val="auto"/>
          <w:spacing w:val="-4"/>
          <w:position w:val="14"/>
          <w:sz w:val="21"/>
          <w:szCs w:val="21"/>
          <w:highlight w:val="none"/>
        </w:rPr>
        <w:t>发包人授权监理人对以下事项进行确定：</w:t>
      </w:r>
    </w:p>
    <w:p>
      <w:pPr>
        <w:spacing w:before="1" w:line="222" w:lineRule="auto"/>
        <w:ind w:left="42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1</w:t>
      </w:r>
      <w:r>
        <w:rPr>
          <w:rFonts w:ascii="宋体" w:hAnsi="宋体" w:eastAsia="宋体" w:cs="宋体"/>
          <w:color w:val="auto"/>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z w:val="21"/>
          <w:szCs w:val="21"/>
          <w:highlight w:val="none"/>
        </w:rPr>
        <w:t>；</w:t>
      </w:r>
    </w:p>
    <w:p>
      <w:pPr>
        <w:spacing w:before="148" w:line="350" w:lineRule="auto"/>
        <w:ind w:left="42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z w:val="21"/>
          <w:szCs w:val="21"/>
          <w:highlight w:val="none"/>
        </w:rPr>
        <w:t>；</w:t>
      </w:r>
    </w:p>
    <w:p>
      <w:pPr>
        <w:spacing w:before="1" w:line="232" w:lineRule="auto"/>
        <w:ind w:left="4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74" w:line="436" w:lineRule="exact"/>
        <w:ind w:left="3"/>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5.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工程质量</w:t>
      </w:r>
    </w:p>
    <w:p>
      <w:pPr>
        <w:spacing w:before="1" w:line="219" w:lineRule="auto"/>
        <w:ind w:left="2"/>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5.1</w:t>
      </w:r>
      <w:r>
        <w:rPr>
          <w:rFonts w:ascii="Times New Roman" w:hAnsi="Times New Roman" w:eastAsia="Times New Roman" w:cs="Times New Roman"/>
          <w:b/>
          <w:bCs/>
          <w:color w:val="auto"/>
          <w:spacing w:val="8"/>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质量要求</w:t>
      </w:r>
    </w:p>
    <w:p>
      <w:pPr>
        <w:spacing w:before="140" w:line="221" w:lineRule="auto"/>
        <w:ind w:left="424"/>
        <w:rPr>
          <w:color w:val="auto"/>
          <w:highlight w:val="none"/>
        </w:rPr>
      </w:pPr>
      <w:r>
        <w:rPr>
          <w:rFonts w:ascii="Times New Roman" w:hAnsi="Times New Roman" w:eastAsia="Times New Roman" w:cs="Times New Roman"/>
          <w:color w:val="auto"/>
          <w:spacing w:val="-1"/>
          <w:sz w:val="21"/>
          <w:szCs w:val="21"/>
          <w:highlight w:val="none"/>
        </w:rPr>
        <w:t xml:space="preserve">5.1.1  </w:t>
      </w:r>
      <w:r>
        <w:rPr>
          <w:rFonts w:ascii="宋体" w:hAnsi="宋体" w:eastAsia="宋体" w:cs="宋体"/>
          <w:color w:val="auto"/>
          <w:spacing w:val="-1"/>
          <w:sz w:val="21"/>
          <w:szCs w:val="21"/>
          <w:highlight w:val="none"/>
        </w:rPr>
        <w:t>特殊质量标准和要求：</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196" w:line="221" w:lineRule="auto"/>
        <w:ind w:left="425"/>
        <w:rPr>
          <w:color w:val="auto"/>
          <w:highlight w:val="none"/>
        </w:rPr>
      </w:pPr>
      <w:r>
        <w:rPr>
          <w:rFonts w:ascii="宋体" w:hAnsi="宋体" w:eastAsia="宋体" w:cs="宋体"/>
          <w:color w:val="auto"/>
          <w:spacing w:val="-1"/>
          <w:sz w:val="21"/>
          <w:szCs w:val="21"/>
          <w:highlight w:val="none"/>
        </w:rPr>
        <w:t>关于工程奖项的约定：</w:t>
      </w:r>
      <w:r>
        <w:rPr>
          <w:color w:val="auto"/>
          <w:highlight w:val="none"/>
          <w:u w:val="single" w:color="auto"/>
        </w:rPr>
        <w:tab/>
      </w:r>
      <w:r>
        <w:rPr>
          <w:rFonts w:hint="eastAsia" w:eastAsia="宋体"/>
          <w:color w:val="auto"/>
          <w:highlight w:val="none"/>
          <w:u w:val="single" w:color="auto"/>
          <w:lang w:val="en-US" w:eastAsia="zh-CN"/>
        </w:rPr>
        <w:t xml:space="preserve">                                                                                                                               </w:t>
      </w:r>
    </w:p>
    <w:p>
      <w:pPr>
        <w:spacing w:before="174" w:line="219" w:lineRule="auto"/>
        <w:ind w:left="2"/>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5.3</w:t>
      </w:r>
      <w:r>
        <w:rPr>
          <w:rFonts w:ascii="Times New Roman" w:hAnsi="Times New Roman" w:eastAsia="Times New Roman" w:cs="Times New Roman"/>
          <w:b/>
          <w:bCs/>
          <w:color w:val="auto"/>
          <w:spacing w:val="12"/>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隐蔽工程检查</w:t>
      </w:r>
    </w:p>
    <w:p>
      <w:pPr>
        <w:spacing w:before="138" w:line="221" w:lineRule="auto"/>
        <w:ind w:left="424"/>
        <w:rPr>
          <w:rFonts w:ascii="宋体" w:hAnsi="宋体" w:eastAsia="宋体" w:cs="宋体"/>
          <w:color w:val="auto"/>
          <w:spacing w:val="-2"/>
          <w:sz w:val="21"/>
          <w:szCs w:val="21"/>
          <w:highlight w:val="none"/>
        </w:rPr>
      </w:pPr>
      <w:r>
        <w:rPr>
          <w:rFonts w:ascii="Times New Roman" w:hAnsi="Times New Roman" w:eastAsia="Times New Roman" w:cs="Times New Roman"/>
          <w:color w:val="auto"/>
          <w:spacing w:val="-2"/>
          <w:sz w:val="21"/>
          <w:szCs w:val="21"/>
          <w:highlight w:val="none"/>
        </w:rPr>
        <w:t xml:space="preserve">5.3.2 </w:t>
      </w:r>
      <w:r>
        <w:rPr>
          <w:rFonts w:ascii="宋体" w:hAnsi="宋体" w:eastAsia="宋体" w:cs="宋体"/>
          <w:color w:val="auto"/>
          <w:spacing w:val="-2"/>
          <w:sz w:val="21"/>
          <w:szCs w:val="21"/>
          <w:highlight w:val="none"/>
        </w:rPr>
        <w:t>承包人提前通知监理人隐蔽工程检查的期限的约定：</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1、隐蔽工程和分项工程中间验收：承包人应在隐蔽工程和分项工程覆盖或进入下一道工序2 日前，书面通知监理工程师验收时间、地区、内容。经验收，工程质量符合设计标准，监理工程师在验收记录上签字认可后，方可覆盖或进入下一道工序。</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2、本工程项目涉及水、电设备安装等分项工程，承包人应进行试车、通电、通水调试。经调试后认为已达到设计标准和要求，应提前48小时书面通知监理工程师验收。《验收通知》应明确验收的时间、地区和内容。</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3、经验收后，达到质量标准和设计要求，监理工程师在《验收记录》上签字认可后，方可进入下一道工序，试车、通电、通水验收所需费用由承包人承担。</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4、经验收，水、电设备未达到质量标准和设计要求的责任承担：</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（1）由于规划设计原因，致使水、电设备未达到质量标准和设计要求，发包人应承担修改设计、拆除及重新安装的全部费用。承包人负责拆除、重新安装。工期相应顺延。</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（2）由于设备制造原因，致使安装的设备未达到质量标准和设计要求。发包人采购的，由发包人承担重新购置、修理、拆除、重新安装的全部费用。承包人负责拆除、重新安装。工期相应顺延。</w:t>
      </w:r>
    </w:p>
    <w:p>
      <w:pPr>
        <w:spacing w:before="138" w:line="221" w:lineRule="auto"/>
        <w:ind w:left="424"/>
        <w:rPr>
          <w:rFonts w:hint="eastAsia" w:ascii="宋体" w:hAnsi="宋体" w:eastAsia="宋体" w:cs="宋体"/>
          <w:color w:val="auto"/>
          <w:spacing w:val="-2"/>
          <w:sz w:val="21"/>
          <w:szCs w:val="21"/>
          <w:highlight w:val="none"/>
          <w:u w:val="single"/>
        </w:rPr>
      </w:pPr>
      <w:r>
        <w:rPr>
          <w:rFonts w:hint="eastAsia" w:ascii="宋体" w:hAnsi="宋体" w:eastAsia="宋体" w:cs="宋体"/>
          <w:color w:val="auto"/>
          <w:spacing w:val="-2"/>
          <w:sz w:val="21"/>
          <w:szCs w:val="21"/>
          <w:highlight w:val="none"/>
          <w:u w:val="single"/>
        </w:rPr>
        <w:t>设备是承包人采购的，由承包人负责重新购置、修理、拆除、重新安装的全部费用。工期不顺延。</w:t>
      </w:r>
    </w:p>
    <w:p>
      <w:pPr>
        <w:spacing w:before="138" w:line="221" w:lineRule="auto"/>
        <w:ind w:left="424"/>
        <w:rPr>
          <w:color w:val="auto"/>
          <w:highlight w:val="none"/>
          <w:u w:val="single"/>
        </w:rPr>
      </w:pPr>
      <w:r>
        <w:rPr>
          <w:rFonts w:hint="eastAsia" w:ascii="宋体" w:hAnsi="宋体" w:eastAsia="宋体" w:cs="宋体"/>
          <w:color w:val="auto"/>
          <w:spacing w:val="-2"/>
          <w:sz w:val="21"/>
          <w:szCs w:val="21"/>
          <w:highlight w:val="none"/>
          <w:u w:val="single"/>
        </w:rPr>
        <w:t>（3）由于设备是安装原因，致使水、电设备未达到质量标准和设计要求，由承包人自行拆除、重新安装，其发生的费用由承包人承担，工期不顺延。</w:t>
      </w: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351"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监理人不能按时进行检查时，应提前</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87"/>
          <w:sz w:val="21"/>
          <w:szCs w:val="21"/>
          <w:highlight w:val="none"/>
        </w:rPr>
        <w:t xml:space="preserve"> </w:t>
      </w:r>
      <w:r>
        <w:rPr>
          <w:rFonts w:ascii="宋体" w:hAnsi="宋体" w:eastAsia="宋体" w:cs="宋体"/>
          <w:color w:val="auto"/>
          <w:spacing w:val="-1"/>
          <w:sz w:val="21"/>
          <w:szCs w:val="21"/>
          <w:highlight w:val="none"/>
        </w:rPr>
        <w:t>小时提交书面延期要求。</w:t>
      </w:r>
    </w:p>
    <w:p>
      <w:pPr>
        <w:spacing w:before="1" w:line="220" w:lineRule="auto"/>
        <w:ind w:left="42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关于延期最长不得超过：</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9"/>
          <w:sz w:val="21"/>
          <w:szCs w:val="21"/>
          <w:highlight w:val="none"/>
        </w:rPr>
        <w:t>小时。</w:t>
      </w:r>
    </w:p>
    <w:p>
      <w:pPr>
        <w:spacing w:before="65" w:line="436" w:lineRule="exact"/>
        <w:ind w:left="2"/>
        <w:rPr>
          <w:rFonts w:ascii="黑体" w:hAnsi="黑体" w:eastAsia="黑体" w:cs="黑体"/>
          <w:color w:val="auto"/>
          <w:sz w:val="28"/>
          <w:szCs w:val="28"/>
          <w:highlight w:val="none"/>
        </w:rPr>
      </w:pPr>
      <w:r>
        <w:rPr>
          <w:rFonts w:ascii="Times New Roman" w:hAnsi="Times New Roman" w:eastAsia="Times New Roman" w:cs="Times New Roman"/>
          <w:b/>
          <w:bCs/>
          <w:color w:val="auto"/>
          <w:position w:val="11"/>
          <w:sz w:val="28"/>
          <w:szCs w:val="28"/>
          <w:highlight w:val="none"/>
        </w:rPr>
        <w:t xml:space="preserve">6.  </w:t>
      </w:r>
      <w:r>
        <w:rPr>
          <w:rFonts w:ascii="黑体" w:hAnsi="黑体" w:eastAsia="黑体" w:cs="黑体"/>
          <w:color w:val="auto"/>
          <w:position w:val="11"/>
          <w:sz w:val="28"/>
          <w:szCs w:val="28"/>
          <w:highlight w:val="none"/>
          <w14:textOutline w14:w="5094" w14:cap="flat" w14:cmpd="sng">
            <w14:solidFill>
              <w14:srgbClr w14:val="000000"/>
            </w14:solidFill>
            <w14:prstDash w14:val="solid"/>
            <w14:miter w14:val="0"/>
          </w14:textOutline>
        </w:rPr>
        <w:t>安全文明施工与环境保护</w:t>
      </w:r>
    </w:p>
    <w:p>
      <w:pPr>
        <w:spacing w:line="218"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6.1</w:t>
      </w:r>
      <w:r>
        <w:rPr>
          <w:rFonts w:ascii="Times New Roman" w:hAnsi="Times New Roman" w:eastAsia="Times New Roman" w:cs="Times New Roman"/>
          <w:b/>
          <w:bCs/>
          <w:color w:val="auto"/>
          <w:spacing w:val="23"/>
          <w:w w:val="101"/>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安全文明施工</w:t>
      </w:r>
    </w:p>
    <w:p>
      <w:pPr>
        <w:spacing w:before="141"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6.1.1  </w:t>
      </w:r>
      <w:r>
        <w:rPr>
          <w:rFonts w:ascii="宋体" w:hAnsi="宋体" w:eastAsia="宋体" w:cs="宋体"/>
          <w:color w:val="auto"/>
          <w:spacing w:val="-1"/>
          <w:sz w:val="21"/>
          <w:szCs w:val="21"/>
          <w:highlight w:val="none"/>
        </w:rPr>
        <w:t>项目安全生产的达标目标及相应事</w:t>
      </w:r>
      <w:r>
        <w:rPr>
          <w:rFonts w:ascii="宋体" w:hAnsi="宋体" w:eastAsia="宋体" w:cs="宋体"/>
          <w:color w:val="auto"/>
          <w:spacing w:val="-2"/>
          <w:sz w:val="21"/>
          <w:szCs w:val="21"/>
          <w:highlight w:val="none"/>
        </w:rPr>
        <w:t>项的约定：</w:t>
      </w:r>
      <w:r>
        <w:rPr>
          <w:rFonts w:ascii="宋体" w:hAnsi="宋体" w:eastAsia="宋体" w:cs="宋体"/>
          <w:color w:val="auto"/>
          <w:sz w:val="21"/>
          <w:szCs w:val="21"/>
          <w:highlight w:val="none"/>
          <w:u w:val="single" w:color="auto"/>
        </w:rPr>
        <w:t xml:space="preserve">       </w:t>
      </w:r>
    </w:p>
    <w:p>
      <w:pPr>
        <w:tabs>
          <w:tab w:val="left" w:pos="8205"/>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6.1.4  </w:t>
      </w:r>
      <w:r>
        <w:rPr>
          <w:rFonts w:ascii="宋体" w:hAnsi="宋体" w:eastAsia="宋体" w:cs="宋体"/>
          <w:color w:val="auto"/>
          <w:spacing w:val="-3"/>
          <w:sz w:val="21"/>
          <w:szCs w:val="21"/>
          <w:highlight w:val="none"/>
        </w:rPr>
        <w:t>关于治安保卫的特别约定：</w:t>
      </w:r>
      <w:r>
        <w:rPr>
          <w:rFonts w:ascii="宋体" w:hAnsi="宋体" w:eastAsia="宋体" w:cs="宋体"/>
          <w:color w:val="auto"/>
          <w:sz w:val="21"/>
          <w:szCs w:val="21"/>
          <w:highlight w:val="none"/>
          <w:u w:val="single" w:color="auto"/>
        </w:rPr>
        <w:t xml:space="preserve">       </w:t>
      </w:r>
    </w:p>
    <w:p>
      <w:pPr>
        <w:pStyle w:val="2"/>
        <w:spacing w:line="261" w:lineRule="auto"/>
        <w:rPr>
          <w:color w:val="auto"/>
          <w:highlight w:val="none"/>
        </w:rPr>
      </w:pPr>
    </w:p>
    <w:p>
      <w:pPr>
        <w:tabs>
          <w:tab w:val="left" w:pos="8205"/>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5" w:line="221" w:lineRule="auto"/>
        <w:ind w:left="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关于编制施工场地治安管理计划的约定：</w:t>
      </w:r>
      <w:r>
        <w:rPr>
          <w:rFonts w:ascii="宋体" w:hAnsi="宋体" w:eastAsia="宋体" w:cs="宋体"/>
          <w:color w:val="auto"/>
          <w:sz w:val="21"/>
          <w:szCs w:val="21"/>
          <w:highlight w:val="none"/>
          <w:u w:val="single" w:color="auto"/>
        </w:rPr>
        <w:t xml:space="preserve">       </w:t>
      </w:r>
    </w:p>
    <w:p>
      <w:pPr>
        <w:tabs>
          <w:tab w:val="left" w:pos="8205"/>
        </w:tabs>
        <w:spacing w:before="23" w:line="174"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9"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6.1.5  </w:t>
      </w:r>
      <w:r>
        <w:rPr>
          <w:rFonts w:ascii="宋体" w:hAnsi="宋体" w:eastAsia="宋体" w:cs="宋体"/>
          <w:color w:val="auto"/>
          <w:spacing w:val="-1"/>
          <w:sz w:val="21"/>
          <w:szCs w:val="21"/>
          <w:highlight w:val="none"/>
        </w:rPr>
        <w:t>文明施工</w:t>
      </w:r>
    </w:p>
    <w:p>
      <w:pPr>
        <w:spacing w:before="147" w:line="221" w:lineRule="auto"/>
        <w:ind w:left="420"/>
        <w:rPr>
          <w:color w:val="auto"/>
          <w:highlight w:val="none"/>
        </w:rPr>
      </w:pPr>
      <w:r>
        <w:rPr>
          <w:rFonts w:ascii="宋体" w:hAnsi="宋体" w:eastAsia="宋体" w:cs="宋体"/>
          <w:color w:val="auto"/>
          <w:spacing w:val="-3"/>
          <w:sz w:val="21"/>
          <w:szCs w:val="21"/>
          <w:highlight w:val="none"/>
        </w:rPr>
        <w:t>合同当事人对文明施工的要求：</w:t>
      </w:r>
      <w:r>
        <w:rPr>
          <w:rFonts w:ascii="宋体" w:hAnsi="宋体" w:eastAsia="宋体" w:cs="宋体"/>
          <w:color w:val="auto"/>
          <w:sz w:val="21"/>
          <w:szCs w:val="21"/>
          <w:highlight w:val="none"/>
          <w:u w:val="single" w:color="auto"/>
        </w:rPr>
        <w:t xml:space="preserve">       </w:t>
      </w:r>
    </w:p>
    <w:p>
      <w:pPr>
        <w:tabs>
          <w:tab w:val="left" w:pos="8205"/>
        </w:tabs>
        <w:spacing w:before="24"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6.1.6  </w:t>
      </w:r>
      <w:r>
        <w:rPr>
          <w:rFonts w:ascii="宋体" w:hAnsi="宋体" w:eastAsia="宋体" w:cs="宋体"/>
          <w:color w:val="auto"/>
          <w:spacing w:val="-1"/>
          <w:sz w:val="21"/>
          <w:szCs w:val="21"/>
          <w:highlight w:val="none"/>
        </w:rPr>
        <w:t>关于安全文明施工费支付比例和支付期限的</w:t>
      </w:r>
      <w:r>
        <w:rPr>
          <w:rFonts w:ascii="宋体" w:hAnsi="宋体" w:eastAsia="宋体" w:cs="宋体"/>
          <w:color w:val="auto"/>
          <w:spacing w:val="-2"/>
          <w:sz w:val="21"/>
          <w:szCs w:val="21"/>
          <w:highlight w:val="none"/>
        </w:rPr>
        <w:t>约定：</w:t>
      </w:r>
    </w:p>
    <w:p>
      <w:pPr>
        <w:pStyle w:val="2"/>
        <w:spacing w:line="259" w:lineRule="auto"/>
        <w:rPr>
          <w:color w:val="auto"/>
          <w:highlight w:val="none"/>
        </w:rPr>
      </w:pPr>
    </w:p>
    <w:p>
      <w:pPr>
        <w:tabs>
          <w:tab w:val="left" w:pos="8205"/>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7" w:line="436" w:lineRule="exact"/>
        <w:ind w:left="1"/>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7.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工期和进度</w:t>
      </w:r>
    </w:p>
    <w:p>
      <w:pPr>
        <w:spacing w:before="1" w:line="218"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施工组织设计</w:t>
      </w:r>
    </w:p>
    <w:p>
      <w:pPr>
        <w:spacing w:before="141" w:line="221" w:lineRule="auto"/>
        <w:ind w:left="419"/>
        <w:rPr>
          <w:color w:val="auto"/>
          <w:highlight w:val="none"/>
        </w:rPr>
      </w:pPr>
      <w:r>
        <w:rPr>
          <w:rFonts w:ascii="Times New Roman" w:hAnsi="Times New Roman" w:eastAsia="Times New Roman" w:cs="Times New Roman"/>
          <w:color w:val="auto"/>
          <w:sz w:val="21"/>
          <w:szCs w:val="21"/>
          <w:highlight w:val="none"/>
        </w:rPr>
        <w:t xml:space="preserve">7.1.1  </w:t>
      </w:r>
      <w:r>
        <w:rPr>
          <w:rFonts w:ascii="宋体" w:hAnsi="宋体" w:eastAsia="宋体" w:cs="宋体"/>
          <w:color w:val="auto"/>
          <w:sz w:val="21"/>
          <w:szCs w:val="21"/>
          <w:highlight w:val="none"/>
        </w:rPr>
        <w:t>合同当事人约定的施工组织设计应包括</w:t>
      </w:r>
      <w:r>
        <w:rPr>
          <w:rFonts w:ascii="宋体" w:hAnsi="宋体" w:eastAsia="宋体" w:cs="宋体"/>
          <w:color w:val="auto"/>
          <w:spacing w:val="-1"/>
          <w:sz w:val="21"/>
          <w:szCs w:val="21"/>
          <w:highlight w:val="none"/>
        </w:rPr>
        <w:t>的其他内容：</w:t>
      </w:r>
      <w:r>
        <w:rPr>
          <w:rFonts w:ascii="宋体" w:hAnsi="宋体" w:eastAsia="宋体" w:cs="宋体"/>
          <w:color w:val="auto"/>
          <w:sz w:val="21"/>
          <w:szCs w:val="21"/>
          <w:highlight w:val="none"/>
          <w:u w:val="single" w:color="auto"/>
        </w:rPr>
        <w:t xml:space="preserve">       </w:t>
      </w:r>
    </w:p>
    <w:p>
      <w:pPr>
        <w:tabs>
          <w:tab w:val="left" w:pos="8205"/>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5" w:line="221" w:lineRule="auto"/>
        <w:ind w:left="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7.1.2  </w:t>
      </w:r>
      <w:r>
        <w:rPr>
          <w:rFonts w:ascii="宋体" w:hAnsi="宋体" w:eastAsia="宋体" w:cs="宋体"/>
          <w:color w:val="auto"/>
          <w:spacing w:val="-1"/>
          <w:sz w:val="21"/>
          <w:szCs w:val="21"/>
          <w:highlight w:val="none"/>
        </w:rPr>
        <w:t>施工组织设计的提交和修改</w:t>
      </w:r>
    </w:p>
    <w:p>
      <w:pPr>
        <w:spacing w:before="150" w:line="221" w:lineRule="auto"/>
        <w:ind w:left="420"/>
        <w:rPr>
          <w:color w:val="auto"/>
          <w:highlight w:val="none"/>
        </w:rPr>
      </w:pPr>
      <w:r>
        <w:rPr>
          <w:rFonts w:ascii="宋体" w:hAnsi="宋体" w:eastAsia="宋体" w:cs="宋体"/>
          <w:color w:val="auto"/>
          <w:spacing w:val="-2"/>
          <w:sz w:val="21"/>
          <w:szCs w:val="21"/>
          <w:highlight w:val="none"/>
        </w:rPr>
        <w:t>承包人提交详细施工组织设计的期限的约定：</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2"/>
          <w:highlight w:val="none"/>
          <w:u w:val="single"/>
          <w:lang w:eastAsia="zh-CN"/>
        </w:rPr>
        <w:t>承包人于开工前20 日向发包人和监理工程师提供组织设计（施工方案）和工程进度计划。</w:t>
      </w:r>
      <w:r>
        <w:rPr>
          <w:rFonts w:ascii="宋体" w:hAnsi="宋体" w:eastAsia="宋体" w:cs="宋体"/>
          <w:color w:val="auto"/>
          <w:sz w:val="21"/>
          <w:szCs w:val="21"/>
          <w:highlight w:val="none"/>
          <w:u w:val="single" w:color="auto"/>
        </w:rPr>
        <w:t xml:space="preserve">      </w:t>
      </w:r>
    </w:p>
    <w:p>
      <w:pPr>
        <w:tabs>
          <w:tab w:val="left" w:pos="8205"/>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21"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发包人和监理人在收到详细的施工组织设计后确认或提出修改意见的期限：</w:t>
      </w:r>
      <w:r>
        <w:rPr>
          <w:rFonts w:hint="eastAsia" w:ascii="宋体" w:hAnsi="宋体" w:eastAsia="宋体" w:cs="宋体"/>
          <w:color w:val="auto"/>
          <w:spacing w:val="-1"/>
          <w:highlight w:val="none"/>
          <w:u w:val="single"/>
          <w:lang w:eastAsia="zh-CN"/>
        </w:rPr>
        <w:t>监理工程师于开工前7 日对施工组织设计和工程进度计划进行确认。</w:t>
      </w:r>
    </w:p>
    <w:p>
      <w:pPr>
        <w:pStyle w:val="2"/>
        <w:spacing w:line="261" w:lineRule="auto"/>
        <w:rPr>
          <w:color w:val="auto"/>
          <w:highlight w:val="none"/>
        </w:rPr>
      </w:pPr>
    </w:p>
    <w:p>
      <w:pPr>
        <w:tabs>
          <w:tab w:val="left" w:pos="8205"/>
        </w:tabs>
        <w:spacing w:before="23" w:line="174"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施工进度计划</w:t>
      </w:r>
    </w:p>
    <w:p>
      <w:pPr>
        <w:spacing w:before="138" w:line="221" w:lineRule="auto"/>
        <w:ind w:left="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7.2.2  </w:t>
      </w:r>
      <w:r>
        <w:rPr>
          <w:rFonts w:ascii="宋体" w:hAnsi="宋体" w:eastAsia="宋体" w:cs="宋体"/>
          <w:color w:val="auto"/>
          <w:spacing w:val="-1"/>
          <w:sz w:val="21"/>
          <w:szCs w:val="21"/>
          <w:highlight w:val="none"/>
        </w:rPr>
        <w:t>施工进度计划的修订</w:t>
      </w:r>
    </w:p>
    <w:p>
      <w:pPr>
        <w:spacing w:before="196" w:line="221" w:lineRule="auto"/>
        <w:ind w:left="423"/>
        <w:rPr>
          <w:rFonts w:ascii="宋体" w:hAnsi="宋体" w:eastAsia="宋体" w:cs="宋体"/>
          <w:color w:val="auto"/>
          <w:sz w:val="7"/>
          <w:szCs w:val="7"/>
          <w:highlight w:val="none"/>
          <w:lang w:eastAsia="zh-CN"/>
        </w:rPr>
      </w:pPr>
      <w:r>
        <w:rPr>
          <w:rFonts w:ascii="宋体" w:hAnsi="宋体" w:eastAsia="宋体" w:cs="宋体"/>
          <w:color w:val="auto"/>
          <w:spacing w:val="-1"/>
          <w:sz w:val="21"/>
          <w:szCs w:val="21"/>
          <w:highlight w:val="none"/>
        </w:rPr>
        <w:t>发包人和监理人在收到修订的施工进度计划后确认或提出修改意见的期限：</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
          <w:highlight w:val="none"/>
          <w:u w:val="single"/>
          <w:lang w:eastAsia="zh-CN"/>
        </w:rPr>
        <w:t>监理工程师于开工前7 日对施工组织设计和工程进度计划进行确认。</w:t>
      </w:r>
    </w:p>
    <w:p>
      <w:pPr>
        <w:spacing w:before="171" w:line="222"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7.3</w:t>
      </w:r>
      <w:r>
        <w:rPr>
          <w:rFonts w:ascii="Times New Roman" w:hAnsi="Times New Roman" w:eastAsia="Times New Roman" w:cs="Times New Roman"/>
          <w:b/>
          <w:bCs/>
          <w:color w:val="auto"/>
          <w:spacing w:val="6"/>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开工</w:t>
      </w:r>
    </w:p>
    <w:p>
      <w:pPr>
        <w:spacing w:before="137" w:line="222" w:lineRule="auto"/>
        <w:ind w:left="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开工准备</w:t>
      </w:r>
    </w:p>
    <w:p>
      <w:pPr>
        <w:spacing w:before="148" w:line="221" w:lineRule="auto"/>
        <w:ind w:left="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关于承包人提交工程开工报审表的期限：</w:t>
      </w:r>
      <w:r>
        <w:rPr>
          <w:rFonts w:ascii="宋体" w:hAnsi="宋体" w:eastAsia="宋体" w:cs="宋体"/>
          <w:color w:val="auto"/>
          <w:sz w:val="21"/>
          <w:szCs w:val="21"/>
          <w:highlight w:val="none"/>
          <w:u w:val="single" w:color="auto"/>
        </w:rPr>
        <w:t xml:space="preserve">       </w:t>
      </w:r>
    </w:p>
    <w:p>
      <w:pPr>
        <w:tabs>
          <w:tab w:val="left" w:pos="8205"/>
        </w:tabs>
        <w:spacing w:before="23" w:line="174" w:lineRule="auto"/>
        <w:rPr>
          <w:rFonts w:ascii="宋体" w:hAnsi="宋体" w:eastAsia="宋体" w:cs="宋体"/>
          <w:color w:val="auto"/>
          <w:sz w:val="7"/>
          <w:szCs w:val="7"/>
          <w:highlight w:val="none"/>
        </w:rPr>
      </w:pP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43" w:line="220" w:lineRule="auto"/>
        <w:ind w:left="420"/>
        <w:rPr>
          <w:rFonts w:ascii="宋体" w:hAnsi="宋体" w:eastAsia="宋体" w:cs="宋体"/>
          <w:color w:val="auto"/>
          <w:sz w:val="21"/>
          <w:szCs w:val="21"/>
          <w:highlight w:val="none"/>
          <w:u w:val="single" w:color="auto"/>
        </w:rPr>
      </w:pPr>
      <w:r>
        <w:rPr>
          <w:rFonts w:ascii="宋体" w:hAnsi="宋体" w:eastAsia="宋体" w:cs="宋体"/>
          <w:color w:val="auto"/>
          <w:spacing w:val="-1"/>
          <w:sz w:val="21"/>
          <w:szCs w:val="21"/>
          <w:highlight w:val="none"/>
        </w:rPr>
        <w:t>关于发包人应完成的其他开工准备工作及期限：</w:t>
      </w:r>
      <w:r>
        <w:rPr>
          <w:rFonts w:ascii="宋体" w:hAnsi="宋体" w:eastAsia="宋体" w:cs="宋体"/>
          <w:color w:val="auto"/>
          <w:sz w:val="21"/>
          <w:szCs w:val="21"/>
          <w:highlight w:val="none"/>
          <w:u w:val="single" w:color="auto"/>
        </w:rPr>
        <w:t xml:space="preserve">  </w:t>
      </w:r>
    </w:p>
    <w:p>
      <w:pPr>
        <w:spacing w:before="143" w:line="220" w:lineRule="auto"/>
        <w:ind w:left="420"/>
        <w:rPr>
          <w:rFonts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（1）协助承包人于开工7 日前，完成项目区应具备的施工条件。</w:t>
      </w:r>
    </w:p>
    <w:p>
      <w:pPr>
        <w:spacing w:before="143" w:line="220" w:lineRule="auto"/>
        <w:ind w:left="420"/>
        <w:rPr>
          <w:rFonts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（2）根据规划设计坐标控制点，协助承包人于开工7天前确定项目区四至界线。</w:t>
      </w:r>
    </w:p>
    <w:p>
      <w:pPr>
        <w:spacing w:before="143" w:line="220" w:lineRule="auto"/>
        <w:ind w:left="420"/>
        <w:rPr>
          <w:rFonts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（3）发包人于开工7 日前，组织图纸会审和设计技术交底。</w:t>
      </w:r>
    </w:p>
    <w:p>
      <w:pPr>
        <w:spacing w:before="143" w:line="220" w:lineRule="auto"/>
        <w:ind w:left="420"/>
        <w:rPr>
          <w:rFonts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（4）发包人于开工7 日前，办理开工报告，协助承包人办理其他相关的施工手续。</w:t>
      </w:r>
    </w:p>
    <w:p>
      <w:pPr>
        <w:tabs>
          <w:tab w:val="left" w:pos="8205"/>
        </w:tabs>
        <w:spacing w:before="24" w:line="174" w:lineRule="auto"/>
        <w:rPr>
          <w:rFonts w:ascii="宋体" w:hAnsi="宋体" w:eastAsia="宋体" w:cs="宋体"/>
          <w:color w:val="auto"/>
          <w:sz w:val="7"/>
          <w:szCs w:val="7"/>
          <w:highlight w:val="none"/>
        </w:rPr>
      </w:pPr>
      <w:r>
        <w:rPr>
          <w:rFonts w:ascii="宋体" w:hAnsi="宋体" w:eastAsia="宋体" w:cs="宋体"/>
          <w:color w:val="auto"/>
          <w:spacing w:val="11"/>
          <w:sz w:val="7"/>
          <w:szCs w:val="7"/>
          <w:highlight w:val="none"/>
        </w:rPr>
        <w:t>。</w:t>
      </w:r>
    </w:p>
    <w:p>
      <w:pPr>
        <w:spacing w:before="196" w:line="221" w:lineRule="auto"/>
        <w:ind w:left="423"/>
        <w:rPr>
          <w:rFonts w:ascii="宋体" w:hAnsi="宋体" w:eastAsia="宋体" w:cs="宋体"/>
          <w:color w:val="auto"/>
          <w:sz w:val="21"/>
          <w:szCs w:val="21"/>
          <w:highlight w:val="none"/>
          <w:u w:val="single" w:color="auto"/>
        </w:rPr>
      </w:pPr>
      <w:r>
        <w:rPr>
          <w:rFonts w:ascii="宋体" w:hAnsi="宋体" w:eastAsia="宋体" w:cs="宋体"/>
          <w:color w:val="auto"/>
          <w:spacing w:val="-1"/>
          <w:sz w:val="21"/>
          <w:szCs w:val="21"/>
          <w:highlight w:val="none"/>
        </w:rPr>
        <w:t>关于承包人应完成的其他开工准备工作及期限：</w:t>
      </w:r>
    </w:p>
    <w:p>
      <w:pPr>
        <w:spacing w:before="143" w:line="220" w:lineRule="auto"/>
        <w:ind w:left="420"/>
        <w:rPr>
          <w:rFonts w:hint="eastAsia"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（1）根据发包人委托，承包人在其资质等级和业务允许的范围内，于开工前日完成工作。</w:t>
      </w:r>
    </w:p>
    <w:p>
      <w:pPr>
        <w:spacing w:before="143" w:line="220" w:lineRule="auto"/>
        <w:ind w:left="420"/>
        <w:rPr>
          <w:rFonts w:hint="eastAsia"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（2）于开工7 日前办完施工期间的临时用房、用水、用电等各项准备工作。并承担相应的费用。</w:t>
      </w:r>
    </w:p>
    <w:p>
      <w:pPr>
        <w:spacing w:before="143" w:line="220" w:lineRule="auto"/>
        <w:ind w:left="420"/>
        <w:rPr>
          <w:rFonts w:hint="eastAsia" w:ascii="宋体" w:hAnsi="宋体" w:eastAsia="宋体" w:cs="宋体"/>
          <w:color w:val="auto"/>
          <w:spacing w:val="-1"/>
          <w:highlight w:val="none"/>
          <w:u w:val="single"/>
          <w:lang w:eastAsia="zh-CN"/>
        </w:rPr>
      </w:pPr>
      <w:r>
        <w:rPr>
          <w:rFonts w:hint="eastAsia" w:ascii="宋体" w:hAnsi="宋体" w:eastAsia="宋体" w:cs="宋体"/>
          <w:color w:val="auto"/>
          <w:spacing w:val="-1"/>
          <w:highlight w:val="none"/>
          <w:u w:val="single"/>
          <w:lang w:eastAsia="zh-CN"/>
        </w:rPr>
        <w:t>（3）采取有效地防护措施，保护项目区原有的地上、地下管线和设施、树木不受损坏。造成损坏的，应恢复原状或给予经济赔偿。</w:t>
      </w:r>
    </w:p>
    <w:p>
      <w:pPr>
        <w:tabs>
          <w:tab w:val="left" w:pos="8205"/>
        </w:tabs>
        <w:spacing w:before="23" w:line="174" w:lineRule="auto"/>
        <w:rPr>
          <w:rFonts w:ascii="宋体" w:hAnsi="宋体" w:eastAsia="宋体" w:cs="宋体"/>
          <w:color w:val="auto"/>
          <w:sz w:val="7"/>
          <w:szCs w:val="7"/>
          <w:highlight w:val="none"/>
        </w:rPr>
      </w:pPr>
    </w:p>
    <w:p>
      <w:pPr>
        <w:spacing w:before="125" w:line="222"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开工通知</w:t>
      </w:r>
    </w:p>
    <w:p>
      <w:pPr>
        <w:spacing w:before="148" w:line="352" w:lineRule="auto"/>
        <w:ind w:left="43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因发包人原因造成监理人未能在计划开工日期之日</w:t>
      </w:r>
      <w:r>
        <w:rPr>
          <w:rFonts w:ascii="宋体" w:hAnsi="宋体" w:eastAsia="宋体" w:cs="宋体"/>
          <w:color w:val="auto"/>
          <w:spacing w:val="1"/>
          <w:sz w:val="21"/>
          <w:szCs w:val="21"/>
          <w:highlight w:val="none"/>
        </w:rPr>
        <w:t>起</w:t>
      </w:r>
      <w:r>
        <w:rPr>
          <w:rFonts w:ascii="宋体" w:hAnsi="宋体" w:eastAsia="宋体" w:cs="宋体"/>
          <w:color w:val="auto"/>
          <w:spacing w:val="-9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1"/>
          <w:sz w:val="21"/>
          <w:szCs w:val="21"/>
          <w:highlight w:val="none"/>
        </w:rPr>
        <w:t>天内发出开工通知的，承包人有</w:t>
      </w:r>
    </w:p>
    <w:p>
      <w:pPr>
        <w:spacing w:line="219"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权提出价格调整要求，或者解除合同。</w:t>
      </w:r>
    </w:p>
    <w:p>
      <w:pPr>
        <w:spacing w:before="123" w:line="217"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测量放线</w:t>
      </w:r>
    </w:p>
    <w:p>
      <w:pPr>
        <w:spacing w:before="143" w:line="22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7.4.1 </w:t>
      </w:r>
      <w:r>
        <w:rPr>
          <w:rFonts w:ascii="宋体" w:hAnsi="宋体" w:eastAsia="宋体" w:cs="宋体"/>
          <w:color w:val="auto"/>
          <w:sz w:val="21"/>
          <w:szCs w:val="21"/>
          <w:highlight w:val="none"/>
        </w:rPr>
        <w:t>发包人通过监理人向承包人提供测量基准点、基准线和水准点及其书面资料的</w:t>
      </w:r>
      <w:r>
        <w:rPr>
          <w:rFonts w:ascii="宋体" w:hAnsi="宋体" w:eastAsia="宋体" w:cs="宋体"/>
          <w:color w:val="auto"/>
          <w:spacing w:val="-1"/>
          <w:sz w:val="21"/>
          <w:szCs w:val="21"/>
          <w:highlight w:val="none"/>
        </w:rPr>
        <w:t>期限：</w:t>
      </w:r>
    </w:p>
    <w:p>
      <w:pPr>
        <w:pStyle w:val="2"/>
        <w:spacing w:line="262" w:lineRule="auto"/>
        <w:rPr>
          <w:color w:val="auto"/>
          <w:highlight w:val="none"/>
        </w:rPr>
      </w:pPr>
    </w:p>
    <w:p>
      <w:pPr>
        <w:tabs>
          <w:tab w:val="left" w:pos="8810"/>
        </w:tabs>
        <w:spacing w:before="24"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工期延误</w:t>
      </w:r>
    </w:p>
    <w:p>
      <w:pPr>
        <w:spacing w:before="141"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7.5.1  </w:t>
      </w:r>
      <w:r>
        <w:rPr>
          <w:rFonts w:ascii="宋体" w:hAnsi="宋体" w:eastAsia="宋体" w:cs="宋体"/>
          <w:color w:val="auto"/>
          <w:spacing w:val="-1"/>
          <w:sz w:val="21"/>
          <w:szCs w:val="21"/>
          <w:highlight w:val="none"/>
        </w:rPr>
        <w:t>因发包人原因导致工期延误</w:t>
      </w:r>
    </w:p>
    <w:p>
      <w:pPr>
        <w:spacing w:before="150"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）因发包人原因导致工期延误的其他情形：</w:t>
      </w:r>
    </w:p>
    <w:p>
      <w:pPr>
        <w:pStyle w:val="2"/>
        <w:spacing w:line="240" w:lineRule="auto"/>
        <w:rPr>
          <w:color w:val="auto"/>
          <w:highlight w:val="none"/>
        </w:rPr>
      </w:pPr>
    </w:p>
    <w:p>
      <w:pPr>
        <w:tabs>
          <w:tab w:val="left" w:pos="8205"/>
        </w:tabs>
        <w:spacing w:before="24" w:line="240"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7.5.2  </w:t>
      </w:r>
      <w:r>
        <w:rPr>
          <w:rFonts w:ascii="宋体" w:hAnsi="宋体" w:eastAsia="宋体" w:cs="宋体"/>
          <w:color w:val="auto"/>
          <w:spacing w:val="-1"/>
          <w:sz w:val="21"/>
          <w:szCs w:val="21"/>
          <w:highlight w:val="none"/>
        </w:rPr>
        <w:t>因承包人原因导致工期延误</w:t>
      </w:r>
    </w:p>
    <w:p>
      <w:pPr>
        <w:spacing w:before="149" w:line="240" w:lineRule="auto"/>
        <w:ind w:left="43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因承包人原因造成工期延误，逾期竣工违约金的计算方法为：</w:t>
      </w:r>
    </w:p>
    <w:p>
      <w:pPr>
        <w:pStyle w:val="2"/>
        <w:spacing w:line="240" w:lineRule="auto"/>
        <w:rPr>
          <w:color w:val="auto"/>
          <w:highlight w:val="none"/>
        </w:rPr>
      </w:pPr>
    </w:p>
    <w:p>
      <w:pPr>
        <w:tabs>
          <w:tab w:val="left" w:pos="8205"/>
        </w:tabs>
        <w:spacing w:before="23" w:line="240"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3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因承包人原因造成工期延误，逾期竣工违约金的上限：</w:t>
      </w:r>
    </w:p>
    <w:p>
      <w:pPr>
        <w:pStyle w:val="2"/>
        <w:spacing w:line="240" w:lineRule="auto"/>
        <w:rPr>
          <w:color w:val="auto"/>
          <w:highlight w:val="none"/>
        </w:rPr>
      </w:pPr>
    </w:p>
    <w:p>
      <w:pPr>
        <w:tabs>
          <w:tab w:val="left" w:pos="8205"/>
        </w:tabs>
        <w:spacing w:before="24" w:line="240"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7.6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不利物质条件</w:t>
      </w:r>
    </w:p>
    <w:p>
      <w:pPr>
        <w:spacing w:before="141" w:line="240" w:lineRule="auto"/>
        <w:ind w:left="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不利物质条件的其他情形和有关约定：</w:t>
      </w:r>
    </w:p>
    <w:p>
      <w:pPr>
        <w:pStyle w:val="2"/>
        <w:spacing w:line="240" w:lineRule="auto"/>
        <w:rPr>
          <w:color w:val="auto"/>
          <w:highlight w:val="none"/>
        </w:rPr>
      </w:pPr>
    </w:p>
    <w:p>
      <w:pPr>
        <w:tabs>
          <w:tab w:val="left" w:pos="8205"/>
        </w:tabs>
        <w:spacing w:before="24"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7.7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异常恶劣的气候条件</w:t>
      </w:r>
    </w:p>
    <w:p>
      <w:pPr>
        <w:spacing w:before="142" w:line="401" w:lineRule="exact"/>
        <w:ind w:left="424"/>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发包人和承包人同意以下情形视为异常恶劣的气候条件：</w:t>
      </w:r>
    </w:p>
    <w:p>
      <w:pPr>
        <w:spacing w:before="1" w:line="222" w:lineRule="auto"/>
        <w:ind w:left="4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1</w:t>
      </w:r>
      <w:r>
        <w:rPr>
          <w:rFonts w:ascii="宋体" w:hAnsi="宋体" w:eastAsia="宋体" w:cs="宋体"/>
          <w:color w:val="auto"/>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w:t>
      </w:r>
    </w:p>
    <w:p>
      <w:pPr>
        <w:spacing w:before="145" w:line="223" w:lineRule="auto"/>
        <w:ind w:left="4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z w:val="21"/>
          <w:szCs w:val="21"/>
          <w:highlight w:val="none"/>
        </w:rPr>
        <w:t>；</w:t>
      </w:r>
    </w:p>
    <w:p>
      <w:pPr>
        <w:spacing w:before="147" w:line="233"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11"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7.9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提前竣工的奖励</w:t>
      </w:r>
    </w:p>
    <w:p>
      <w:pPr>
        <w:spacing w:before="140" w:line="221" w:lineRule="auto"/>
        <w:ind w:left="4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7.9.2 </w:t>
      </w:r>
      <w:r>
        <w:rPr>
          <w:rFonts w:ascii="宋体" w:hAnsi="宋体" w:eastAsia="宋体" w:cs="宋体"/>
          <w:color w:val="auto"/>
          <w:spacing w:val="-3"/>
          <w:sz w:val="21"/>
          <w:szCs w:val="21"/>
          <w:highlight w:val="none"/>
        </w:rPr>
        <w:t>提前竣工的奖励：</w:t>
      </w:r>
    </w:p>
    <w:p>
      <w:pPr>
        <w:tabs>
          <w:tab w:val="left" w:pos="8205"/>
        </w:tabs>
        <w:spacing w:before="23" w:line="174"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8" w:line="219" w:lineRule="auto"/>
        <w:ind w:left="2"/>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sz w:val="28"/>
          <w:szCs w:val="28"/>
          <w:highlight w:val="none"/>
        </w:rPr>
        <w:t xml:space="preserve">8.  </w:t>
      </w:r>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材料与设备</w:t>
      </w:r>
    </w:p>
    <w:p>
      <w:pPr>
        <w:spacing w:before="103" w:line="219"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z w:val="24"/>
          <w:szCs w:val="24"/>
          <w:highlight w:val="none"/>
        </w:rPr>
        <w:t xml:space="preserve">8.4 </w:t>
      </w:r>
      <w:r>
        <w:rPr>
          <w:rFonts w:ascii="黑体" w:hAnsi="黑体" w:eastAsia="黑体" w:cs="黑体"/>
          <w:color w:val="auto"/>
          <w:sz w:val="24"/>
          <w:szCs w:val="24"/>
          <w:highlight w:val="none"/>
          <w14:textOutline w14:w="4354" w14:cap="flat" w14:cmpd="sng">
            <w14:solidFill>
              <w14:srgbClr w14:val="000000"/>
            </w14:solidFill>
            <w14:prstDash w14:val="solid"/>
            <w14:miter w14:val="0"/>
          </w14:textOutline>
        </w:rPr>
        <w:t>材料与工程设备的保管与使用</w:t>
      </w:r>
    </w:p>
    <w:p>
      <w:pPr>
        <w:spacing w:before="141" w:line="220" w:lineRule="auto"/>
        <w:ind w:left="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8.4.1 </w:t>
      </w:r>
      <w:r>
        <w:rPr>
          <w:rFonts w:ascii="宋体" w:hAnsi="宋体" w:eastAsia="宋体" w:cs="宋体"/>
          <w:color w:val="auto"/>
          <w:spacing w:val="-1"/>
          <w:sz w:val="21"/>
          <w:szCs w:val="21"/>
          <w:highlight w:val="none"/>
        </w:rPr>
        <w:t>发包人供应的材料设备的保管费用的承担：</w:t>
      </w:r>
      <w:r>
        <w:rPr>
          <w:rFonts w:ascii="宋体" w:hAnsi="宋体" w:eastAsia="宋体" w:cs="宋体"/>
          <w:color w:val="auto"/>
          <w:sz w:val="21"/>
          <w:szCs w:val="21"/>
          <w:highlight w:val="none"/>
          <w:u w:val="single" w:color="auto"/>
        </w:rPr>
        <w:t xml:space="preserve">       </w:t>
      </w:r>
    </w:p>
    <w:p>
      <w:pPr>
        <w:tabs>
          <w:tab w:val="left" w:pos="8205"/>
        </w:tabs>
        <w:spacing w:before="23" w:line="174"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21" w:lineRule="auto"/>
        <w:ind w:left="1"/>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8.6</w:t>
      </w:r>
      <w:r>
        <w:rPr>
          <w:rFonts w:ascii="Times New Roman" w:hAnsi="Times New Roman" w:eastAsia="Times New Roman" w:cs="Times New Roman"/>
          <w:b/>
          <w:bCs/>
          <w:color w:val="auto"/>
          <w:spacing w:val="5"/>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样品</w:t>
      </w:r>
    </w:p>
    <w:p>
      <w:pPr>
        <w:spacing w:before="138" w:line="221" w:lineRule="auto"/>
        <w:ind w:left="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8.6.1 </w:t>
      </w:r>
      <w:r>
        <w:rPr>
          <w:rFonts w:ascii="宋体" w:hAnsi="宋体" w:eastAsia="宋体" w:cs="宋体"/>
          <w:color w:val="auto"/>
          <w:spacing w:val="-1"/>
          <w:sz w:val="21"/>
          <w:szCs w:val="21"/>
          <w:highlight w:val="none"/>
        </w:rPr>
        <w:t>样品的报送与封存</w:t>
      </w:r>
    </w:p>
    <w:p>
      <w:pPr>
        <w:spacing w:before="147" w:line="220" w:lineRule="auto"/>
        <w:ind w:left="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需要承包人报送样品的材料或工程设备，</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样品</w:t>
      </w:r>
      <w:r>
        <w:rPr>
          <w:rFonts w:ascii="宋体" w:hAnsi="宋体" w:eastAsia="宋体" w:cs="宋体"/>
          <w:color w:val="auto"/>
          <w:spacing w:val="-4"/>
          <w:sz w:val="21"/>
          <w:szCs w:val="21"/>
          <w:highlight w:val="none"/>
        </w:rPr>
        <w:t>的种类、名称、规格、数量要求：</w:t>
      </w:r>
    </w:p>
    <w:p>
      <w:pPr>
        <w:pStyle w:val="2"/>
        <w:spacing w:line="262" w:lineRule="auto"/>
        <w:rPr>
          <w:color w:val="auto"/>
          <w:highlight w:val="none"/>
        </w:rPr>
      </w:pPr>
    </w:p>
    <w:p>
      <w:pPr>
        <w:tabs>
          <w:tab w:val="left" w:pos="8205"/>
        </w:tabs>
        <w:spacing w:before="24"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00" w:line="219"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8.8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施工设备和临时设施</w:t>
      </w:r>
    </w:p>
    <w:p>
      <w:pPr>
        <w:spacing w:before="141" w:line="400" w:lineRule="exact"/>
        <w:ind w:left="425"/>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8.8.1  </w:t>
      </w:r>
      <w:r>
        <w:rPr>
          <w:rFonts w:ascii="宋体" w:hAnsi="宋体" w:eastAsia="宋体" w:cs="宋体"/>
          <w:color w:val="auto"/>
          <w:spacing w:val="-1"/>
          <w:position w:val="14"/>
          <w:sz w:val="21"/>
          <w:szCs w:val="21"/>
          <w:highlight w:val="none"/>
        </w:rPr>
        <w:t>承包人提供的施工设备和临时设施</w:t>
      </w:r>
    </w:p>
    <w:p>
      <w:pPr>
        <w:spacing w:line="220"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关于修建临时设施费用承担的约定：</w:t>
      </w:r>
      <w:r>
        <w:rPr>
          <w:rFonts w:ascii="宋体" w:hAnsi="宋体" w:eastAsia="宋体" w:cs="宋体"/>
          <w:color w:val="auto"/>
          <w:sz w:val="21"/>
          <w:szCs w:val="21"/>
          <w:highlight w:val="none"/>
          <w:u w:val="single" w:color="auto"/>
        </w:rPr>
        <w:t xml:space="preserve">       </w:t>
      </w:r>
    </w:p>
    <w:p>
      <w:pPr>
        <w:tabs>
          <w:tab w:val="left" w:pos="8205"/>
        </w:tabs>
        <w:spacing w:before="23" w:line="174"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6" w:line="219" w:lineRule="auto"/>
        <w:ind w:left="1"/>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sz w:val="28"/>
          <w:szCs w:val="28"/>
          <w:highlight w:val="none"/>
        </w:rPr>
        <w:t xml:space="preserve">9.  </w:t>
      </w:r>
      <w:r>
        <w:rPr>
          <w:rFonts w:ascii="黑体" w:hAnsi="黑体" w:eastAsia="黑体" w:cs="黑体"/>
          <w:color w:val="auto"/>
          <w:spacing w:val="-1"/>
          <w:sz w:val="28"/>
          <w:szCs w:val="28"/>
          <w:highlight w:val="none"/>
          <w14:textOutline w14:w="5094" w14:cap="flat" w14:cmpd="sng">
            <w14:solidFill>
              <w14:srgbClr w14:val="000000"/>
            </w14:solidFill>
            <w14:prstDash w14:val="solid"/>
            <w14:miter w14:val="0"/>
          </w14:textOutline>
        </w:rPr>
        <w:t>试验与检验</w:t>
      </w:r>
    </w:p>
    <w:p>
      <w:pPr>
        <w:spacing w:before="105"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试验设备与试验人员</w:t>
      </w:r>
    </w:p>
    <w:p>
      <w:pPr>
        <w:spacing w:before="142" w:line="222" w:lineRule="auto"/>
        <w:ind w:left="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9.1.2  </w:t>
      </w:r>
      <w:r>
        <w:rPr>
          <w:rFonts w:ascii="宋体" w:hAnsi="宋体" w:eastAsia="宋体" w:cs="宋体"/>
          <w:color w:val="auto"/>
          <w:spacing w:val="-1"/>
          <w:sz w:val="21"/>
          <w:szCs w:val="21"/>
          <w:highlight w:val="none"/>
        </w:rPr>
        <w:t>试验设备</w:t>
      </w:r>
    </w:p>
    <w:p>
      <w:pPr>
        <w:spacing w:before="148" w:line="221" w:lineRule="auto"/>
        <w:ind w:left="419"/>
        <w:rPr>
          <w:color w:val="auto"/>
          <w:highlight w:val="none"/>
        </w:rPr>
      </w:pPr>
      <w:r>
        <w:rPr>
          <w:rFonts w:ascii="宋体" w:hAnsi="宋体" w:eastAsia="宋体" w:cs="宋体"/>
          <w:color w:val="auto"/>
          <w:spacing w:val="-3"/>
          <w:sz w:val="21"/>
          <w:szCs w:val="21"/>
          <w:highlight w:val="none"/>
        </w:rPr>
        <w:t>施工现场需要配置的试验场所：</w:t>
      </w:r>
      <w:r>
        <w:rPr>
          <w:rFonts w:ascii="宋体" w:hAnsi="宋体" w:eastAsia="宋体" w:cs="宋体"/>
          <w:color w:val="auto"/>
          <w:sz w:val="21"/>
          <w:szCs w:val="21"/>
          <w:highlight w:val="none"/>
          <w:u w:val="single" w:color="auto"/>
        </w:rPr>
        <w:t xml:space="preserve">       </w:t>
      </w:r>
    </w:p>
    <w:p>
      <w:pPr>
        <w:tabs>
          <w:tab w:val="left" w:pos="8205"/>
        </w:tabs>
        <w:spacing w:before="23"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tabs>
          <w:tab w:val="left" w:pos="8205"/>
        </w:tabs>
        <w:spacing w:before="24" w:line="174" w:lineRule="auto"/>
        <w:ind w:left="412"/>
        <w:rPr>
          <w:rFonts w:ascii="宋体" w:hAnsi="宋体" w:eastAsia="宋体" w:cs="宋体"/>
          <w:color w:val="auto"/>
          <w:sz w:val="7"/>
          <w:szCs w:val="7"/>
          <w:highlight w:val="none"/>
        </w:rPr>
      </w:pPr>
      <w:r>
        <w:rPr>
          <w:rFonts w:ascii="宋体" w:hAnsi="宋体" w:eastAsia="宋体" w:cs="宋体"/>
          <w:color w:val="auto"/>
          <w:spacing w:val="-3"/>
          <w:sz w:val="21"/>
          <w:szCs w:val="21"/>
          <w:highlight w:val="none"/>
        </w:rPr>
        <w:t>施工现场需要配备的试验设备：</w:t>
      </w:r>
      <w:r>
        <w:rPr>
          <w:rFonts w:ascii="宋体" w:hAnsi="宋体" w:eastAsia="宋体" w:cs="宋体"/>
          <w:color w:val="auto"/>
          <w:sz w:val="21"/>
          <w:szCs w:val="21"/>
          <w:highlight w:val="none"/>
          <w:u w:val="single" w:color="auto"/>
        </w:rPr>
        <w:t xml:space="preserve">       </w:t>
      </w:r>
    </w:p>
    <w:p>
      <w:pPr>
        <w:spacing w:before="195" w:line="221" w:lineRule="auto"/>
        <w:ind w:left="419"/>
        <w:rPr>
          <w:color w:val="auto"/>
          <w:highlight w:val="none"/>
        </w:rPr>
      </w:pPr>
      <w:r>
        <w:rPr>
          <w:rFonts w:ascii="宋体" w:hAnsi="宋体" w:eastAsia="宋体" w:cs="宋体"/>
          <w:color w:val="auto"/>
          <w:spacing w:val="-2"/>
          <w:sz w:val="21"/>
          <w:szCs w:val="21"/>
          <w:highlight w:val="none"/>
        </w:rPr>
        <w:t>施工现场需要具备的其他试验条件：</w:t>
      </w:r>
      <w:r>
        <w:rPr>
          <w:rFonts w:ascii="宋体" w:hAnsi="宋体" w:eastAsia="宋体" w:cs="宋体"/>
          <w:color w:val="auto"/>
          <w:sz w:val="21"/>
          <w:szCs w:val="21"/>
          <w:highlight w:val="none"/>
          <w:u w:val="single" w:color="auto"/>
        </w:rPr>
        <w:t xml:space="preserve">       </w:t>
      </w:r>
    </w:p>
    <w:p>
      <w:pPr>
        <w:tabs>
          <w:tab w:val="left" w:pos="8205"/>
        </w:tabs>
        <w:spacing w:before="24"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现场工艺试验</w:t>
      </w:r>
    </w:p>
    <w:p>
      <w:pPr>
        <w:spacing w:before="140" w:line="221"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现场工艺试验的有关约定：</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pPr>
        <w:tabs>
          <w:tab w:val="left" w:pos="8205"/>
        </w:tabs>
        <w:spacing w:before="23" w:line="174" w:lineRule="auto"/>
        <w:ind w:firstLine="70" w:firstLineChars="10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9" w:line="219" w:lineRule="auto"/>
        <w:ind w:left="11"/>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5"/>
          <w:sz w:val="28"/>
          <w:szCs w:val="28"/>
          <w:highlight w:val="none"/>
        </w:rPr>
        <w:t>10.</w:t>
      </w:r>
      <w:r>
        <w:rPr>
          <w:rFonts w:ascii="Times New Roman" w:hAnsi="Times New Roman" w:eastAsia="Times New Roman" w:cs="Times New Roman"/>
          <w:b/>
          <w:bCs/>
          <w:color w:val="auto"/>
          <w:spacing w:val="8"/>
          <w:sz w:val="28"/>
          <w:szCs w:val="28"/>
          <w:highlight w:val="none"/>
        </w:rPr>
        <w:t xml:space="preserve">  </w:t>
      </w:r>
      <w:r>
        <w:rPr>
          <w:rFonts w:ascii="黑体" w:hAnsi="黑体" w:eastAsia="黑体" w:cs="黑体"/>
          <w:color w:val="auto"/>
          <w:spacing w:val="-5"/>
          <w:sz w:val="28"/>
          <w:szCs w:val="28"/>
          <w:highlight w:val="none"/>
          <w14:textOutline w14:w="5094" w14:cap="flat" w14:cmpd="sng">
            <w14:solidFill>
              <w14:srgbClr w14:val="000000"/>
            </w14:solidFill>
            <w14:prstDash w14:val="solid"/>
            <w14:miter w14:val="0"/>
          </w14:textOutline>
        </w:rPr>
        <w:t>变更</w:t>
      </w:r>
    </w:p>
    <w:p>
      <w:pPr>
        <w:spacing w:before="103" w:line="219"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10.1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变更的范围</w:t>
      </w:r>
    </w:p>
    <w:p>
      <w:pPr>
        <w:spacing w:before="141" w:line="221" w:lineRule="auto"/>
        <w:ind w:left="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关于变更的范围的约定：</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pPr>
        <w:tabs>
          <w:tab w:val="left" w:pos="8205"/>
        </w:tabs>
        <w:spacing w:before="23" w:line="174" w:lineRule="auto"/>
        <w:rPr>
          <w:rFonts w:ascii="宋体" w:hAnsi="宋体" w:eastAsia="宋体" w:cs="宋体"/>
          <w:color w:val="auto"/>
          <w:sz w:val="7"/>
          <w:szCs w:val="7"/>
          <w:highlight w:val="none"/>
        </w:rPr>
      </w:pP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19"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10.4</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变更估价</w:t>
      </w:r>
    </w:p>
    <w:p>
      <w:pPr>
        <w:spacing w:before="141" w:line="398"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10.4.1  </w:t>
      </w:r>
      <w:r>
        <w:rPr>
          <w:rFonts w:ascii="宋体" w:hAnsi="宋体" w:eastAsia="宋体" w:cs="宋体"/>
          <w:color w:val="auto"/>
          <w:spacing w:val="-2"/>
          <w:position w:val="14"/>
          <w:sz w:val="21"/>
          <w:szCs w:val="21"/>
          <w:highlight w:val="none"/>
        </w:rPr>
        <w:t>变更估价原则</w:t>
      </w:r>
    </w:p>
    <w:p>
      <w:pPr>
        <w:spacing w:before="1" w:line="240" w:lineRule="auto"/>
        <w:ind w:left="424"/>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关于变更估价的约定</w:t>
      </w:r>
      <w:r>
        <w:rPr>
          <w:rFonts w:ascii="Times New Roman" w:hAnsi="Times New Roman" w:eastAsia="Times New Roman" w:cs="Times New Roman"/>
          <w:color w:val="auto"/>
          <w:spacing w:val="-1"/>
          <w:sz w:val="21"/>
          <w:szCs w:val="21"/>
          <w:highlight w:val="none"/>
        </w:rPr>
        <w:t>:</w:t>
      </w:r>
    </w:p>
    <w:p>
      <w:pPr>
        <w:pStyle w:val="2"/>
        <w:spacing w:line="240" w:lineRule="auto"/>
        <w:rPr>
          <w:color w:val="auto"/>
          <w:highlight w:val="none"/>
        </w:rPr>
      </w:pPr>
    </w:p>
    <w:p>
      <w:pPr>
        <w:tabs>
          <w:tab w:val="left" w:pos="8205"/>
        </w:tabs>
        <w:spacing w:before="23"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19"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10.5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承包人的合理化建议</w:t>
      </w:r>
    </w:p>
    <w:p>
      <w:pPr>
        <w:spacing w:before="139" w:line="352" w:lineRule="auto"/>
        <w:ind w:left="421"/>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监理人审查承包人合理化建议的期限：</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 w:line="220"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发包人审批承包人合理化建议的期限：</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50"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承包人提出的合理化建议降低了合同价格或者提高了工程经济</w:t>
      </w:r>
      <w:r>
        <w:rPr>
          <w:rFonts w:ascii="宋体" w:hAnsi="宋体" w:eastAsia="宋体" w:cs="宋体"/>
          <w:color w:val="auto"/>
          <w:spacing w:val="-2"/>
          <w:sz w:val="21"/>
          <w:szCs w:val="21"/>
          <w:highlight w:val="none"/>
        </w:rPr>
        <w:t>效益的奖励的方法和金额为：</w:t>
      </w:r>
    </w:p>
    <w:p>
      <w:pPr>
        <w:pStyle w:val="2"/>
        <w:spacing w:line="260" w:lineRule="auto"/>
        <w:rPr>
          <w:color w:val="auto"/>
          <w:highlight w:val="none"/>
        </w:rPr>
      </w:pPr>
    </w:p>
    <w:p>
      <w:pPr>
        <w:tabs>
          <w:tab w:val="left" w:pos="8205"/>
        </w:tabs>
        <w:spacing w:before="24" w:line="174" w:lineRule="auto"/>
        <w:ind w:left="412"/>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3" w:line="219" w:lineRule="auto"/>
        <w:ind w:left="8"/>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5"/>
          <w:sz w:val="24"/>
          <w:szCs w:val="24"/>
          <w:highlight w:val="none"/>
        </w:rPr>
        <w:t>10.7</w:t>
      </w:r>
      <w:r>
        <w:rPr>
          <w:rFonts w:ascii="Times New Roman" w:hAnsi="Times New Roman" w:eastAsia="Times New Roman" w:cs="Times New Roman"/>
          <w:b/>
          <w:bCs/>
          <w:color w:val="auto"/>
          <w:spacing w:val="10"/>
          <w:sz w:val="24"/>
          <w:szCs w:val="24"/>
          <w:highlight w:val="none"/>
        </w:rPr>
        <w:t xml:space="preserve">  </w:t>
      </w:r>
      <w:r>
        <w:rPr>
          <w:rFonts w:ascii="黑体" w:hAnsi="黑体" w:eastAsia="黑体" w:cs="黑体"/>
          <w:color w:val="auto"/>
          <w:spacing w:val="-5"/>
          <w:sz w:val="24"/>
          <w:szCs w:val="24"/>
          <w:highlight w:val="none"/>
          <w14:textOutline w14:w="4354" w14:cap="flat" w14:cmpd="sng">
            <w14:solidFill>
              <w14:srgbClr w14:val="000000"/>
            </w14:solidFill>
            <w14:prstDash w14:val="solid"/>
            <w14:miter w14:val="0"/>
          </w14:textOutline>
        </w:rPr>
        <w:t>暂估价</w:t>
      </w:r>
    </w:p>
    <w:p>
      <w:pPr>
        <w:spacing w:before="142" w:line="219" w:lineRule="auto"/>
        <w:ind w:left="42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暂估价材料和工程设备的明细详见附件</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8"/>
          <w:sz w:val="21"/>
          <w:szCs w:val="21"/>
          <w:highlight w:val="none"/>
        </w:rPr>
        <w:t>11</w:t>
      </w:r>
      <w:r>
        <w:rPr>
          <w:rFonts w:ascii="宋体" w:hAnsi="宋体" w:eastAsia="宋体" w:cs="宋体"/>
          <w:color w:val="auto"/>
          <w:spacing w:val="-8"/>
          <w:sz w:val="21"/>
          <w:szCs w:val="21"/>
          <w:highlight w:val="none"/>
        </w:rPr>
        <w:t>：《暂估价一览表》。</w:t>
      </w:r>
    </w:p>
    <w:p>
      <w:pPr>
        <w:spacing w:before="149"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10.7.1  </w:t>
      </w:r>
      <w:r>
        <w:rPr>
          <w:rFonts w:ascii="宋体" w:hAnsi="宋体" w:eastAsia="宋体" w:cs="宋体"/>
          <w:color w:val="auto"/>
          <w:spacing w:val="-1"/>
          <w:sz w:val="21"/>
          <w:szCs w:val="21"/>
          <w:highlight w:val="none"/>
        </w:rPr>
        <w:t>依法必须招标的暂估价项目</w:t>
      </w:r>
    </w:p>
    <w:p>
      <w:pPr>
        <w:spacing w:before="152" w:line="219" w:lineRule="auto"/>
        <w:ind w:left="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对于依法必须招标的暂估价项目的确认和批准采取第</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1"/>
          <w:sz w:val="21"/>
          <w:szCs w:val="21"/>
          <w:highlight w:val="none"/>
        </w:rPr>
        <w:t>种方式确定。</w:t>
      </w:r>
    </w:p>
    <w:p>
      <w:pPr>
        <w:spacing w:before="152"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10.7.2  </w:t>
      </w:r>
      <w:r>
        <w:rPr>
          <w:rFonts w:ascii="宋体" w:hAnsi="宋体" w:eastAsia="宋体" w:cs="宋体"/>
          <w:color w:val="auto"/>
          <w:spacing w:val="-1"/>
          <w:sz w:val="21"/>
          <w:szCs w:val="21"/>
          <w:highlight w:val="none"/>
        </w:rPr>
        <w:t>不属于依法必须招标的暂估价项目</w:t>
      </w:r>
    </w:p>
    <w:p>
      <w:pPr>
        <w:spacing w:before="125" w:line="219" w:lineRule="auto"/>
        <w:ind w:left="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对于不属于依法必须招标的暂估价项目的确认和批准采取第</w:t>
      </w:r>
      <w:r>
        <w:rPr>
          <w:rFonts w:ascii="宋体" w:hAnsi="宋体" w:eastAsia="宋体" w:cs="宋体"/>
          <w:color w:val="auto"/>
          <w:spacing w:val="-98"/>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
          <w:sz w:val="21"/>
          <w:szCs w:val="21"/>
          <w:highlight w:val="none"/>
        </w:rPr>
        <w:t>种方式确定。</w:t>
      </w:r>
    </w:p>
    <w:p>
      <w:pPr>
        <w:spacing w:before="151" w:line="401" w:lineRule="exact"/>
        <w:ind w:left="419"/>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第</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3 </w:t>
      </w:r>
      <w:r>
        <w:rPr>
          <w:rFonts w:ascii="宋体" w:hAnsi="宋体" w:eastAsia="宋体" w:cs="宋体"/>
          <w:color w:val="auto"/>
          <w:spacing w:val="-1"/>
          <w:position w:val="14"/>
          <w:sz w:val="21"/>
          <w:szCs w:val="21"/>
          <w:highlight w:val="none"/>
        </w:rPr>
        <w:t>种方式：承包人直接实施的暂估价项目</w:t>
      </w:r>
    </w:p>
    <w:p>
      <w:pPr>
        <w:spacing w:line="219" w:lineRule="auto"/>
        <w:ind w:left="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承包人直接实施的暂估价项目的约定：</w:t>
      </w:r>
    </w:p>
    <w:p>
      <w:pPr>
        <w:pStyle w:val="2"/>
        <w:spacing w:line="260" w:lineRule="auto"/>
        <w:rPr>
          <w:color w:val="auto"/>
          <w:highlight w:val="none"/>
        </w:rPr>
      </w:pPr>
    </w:p>
    <w:p>
      <w:pPr>
        <w:tabs>
          <w:tab w:val="left" w:pos="8205"/>
        </w:tabs>
        <w:spacing w:before="23" w:line="174"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3" w:line="219" w:lineRule="auto"/>
        <w:ind w:left="6"/>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10.8</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暂列金额</w:t>
      </w:r>
    </w:p>
    <w:p>
      <w:pPr>
        <w:spacing w:before="140"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合同当事人关于暂列金额使用的约定：</w:t>
      </w:r>
    </w:p>
    <w:p>
      <w:pPr>
        <w:pStyle w:val="2"/>
        <w:spacing w:line="259" w:lineRule="auto"/>
        <w:rPr>
          <w:color w:val="auto"/>
          <w:highlight w:val="none"/>
        </w:rPr>
      </w:pPr>
    </w:p>
    <w:p>
      <w:pPr>
        <w:tabs>
          <w:tab w:val="left" w:pos="8205"/>
        </w:tabs>
        <w:spacing w:before="23" w:line="174"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8" w:line="219" w:lineRule="auto"/>
        <w:ind w:left="9"/>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4"/>
          <w:sz w:val="28"/>
          <w:szCs w:val="28"/>
          <w:highlight w:val="none"/>
        </w:rPr>
        <w:t xml:space="preserve">11.  </w:t>
      </w:r>
      <w:r>
        <w:rPr>
          <w:rFonts w:ascii="黑体" w:hAnsi="黑体" w:eastAsia="黑体" w:cs="黑体"/>
          <w:color w:val="auto"/>
          <w:spacing w:val="-4"/>
          <w:sz w:val="28"/>
          <w:szCs w:val="28"/>
          <w:highlight w:val="none"/>
          <w14:textOutline w14:w="5094" w14:cap="flat" w14:cmpd="sng">
            <w14:solidFill>
              <w14:srgbClr w14:val="000000"/>
            </w14:solidFill>
            <w14:prstDash w14:val="solid"/>
            <w14:miter w14:val="0"/>
          </w14:textOutline>
        </w:rPr>
        <w:t>价格调整</w:t>
      </w:r>
    </w:p>
    <w:p>
      <w:pPr>
        <w:spacing w:before="104" w:line="219" w:lineRule="auto"/>
        <w:ind w:left="6"/>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市场价格波动引起的调整</w:t>
      </w:r>
    </w:p>
    <w:p>
      <w:pPr>
        <w:spacing w:before="141" w:line="219"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市场价格波动是否调整合同价格的约定：</w:t>
      </w:r>
      <w:r>
        <w:rPr>
          <w:rFonts w:hint="eastAsia" w:ascii="宋体" w:hAnsi="宋体" w:eastAsia="宋体" w:cs="宋体"/>
          <w:color w:val="auto"/>
          <w:spacing w:val="-2"/>
          <w:highlight w:val="none"/>
          <w:u w:val="single"/>
          <w:lang w:eastAsia="zh-CN"/>
        </w:rPr>
        <w:t>不调整</w:t>
      </w:r>
    </w:p>
    <w:p>
      <w:pPr>
        <w:tabs>
          <w:tab w:val="left" w:pos="8205"/>
        </w:tabs>
        <w:spacing w:before="23" w:line="174"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7" w:line="352" w:lineRule="auto"/>
        <w:ind w:left="4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因市场价格波动调整合同价格， 采用以下第</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4"/>
          <w:sz w:val="21"/>
          <w:szCs w:val="21"/>
          <w:highlight w:val="none"/>
        </w:rPr>
        <w:t>种方式对合同价格进行调整：</w:t>
      </w:r>
    </w:p>
    <w:p>
      <w:pPr>
        <w:spacing w:line="219" w:lineRule="auto"/>
        <w:ind w:left="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种方式：采用价格指数进行价格调整。</w:t>
      </w:r>
    </w:p>
    <w:p>
      <w:pPr>
        <w:spacing w:before="152" w:line="219" w:lineRule="auto"/>
        <w:ind w:left="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关于各可调因子、定值和变值权重， 以及基本</w:t>
      </w:r>
      <w:r>
        <w:rPr>
          <w:rFonts w:ascii="宋体" w:hAnsi="宋体" w:eastAsia="宋体" w:cs="宋体"/>
          <w:color w:val="auto"/>
          <w:spacing w:val="-4"/>
          <w:sz w:val="21"/>
          <w:szCs w:val="21"/>
          <w:highlight w:val="none"/>
        </w:rPr>
        <w:t>价格指数及其来源的约定：</w:t>
      </w:r>
    </w:p>
    <w:p>
      <w:pPr>
        <w:tabs>
          <w:tab w:val="left" w:pos="8392"/>
        </w:tabs>
        <w:spacing w:before="149" w:line="352" w:lineRule="auto"/>
        <w:ind w:left="4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w:t>
      </w:r>
    </w:p>
    <w:p>
      <w:pPr>
        <w:spacing w:line="219" w:lineRule="auto"/>
        <w:ind w:left="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 </w:t>
      </w:r>
      <w:r>
        <w:rPr>
          <w:rFonts w:ascii="宋体" w:hAnsi="宋体" w:eastAsia="宋体" w:cs="宋体"/>
          <w:color w:val="auto"/>
          <w:spacing w:val="-1"/>
          <w:sz w:val="21"/>
          <w:szCs w:val="21"/>
          <w:highlight w:val="none"/>
        </w:rPr>
        <w:t>种方式：采用造价信息进行价格调整。</w:t>
      </w:r>
    </w:p>
    <w:p>
      <w:pPr>
        <w:spacing w:before="152" w:line="219"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）关于基准价格的约定：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p>
    <w:p>
      <w:pPr>
        <w:spacing w:before="150" w:line="352" w:lineRule="auto"/>
        <w:ind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专用合同条款①承包人在已标价工程量清单或预算书中载明的材料单价低于基准</w:t>
      </w:r>
      <w:r>
        <w:rPr>
          <w:rFonts w:ascii="宋体" w:hAnsi="宋体" w:eastAsia="宋体" w:cs="宋体"/>
          <w:color w:val="auto"/>
          <w:spacing w:val="-1"/>
          <w:sz w:val="21"/>
          <w:szCs w:val="21"/>
          <w:highlight w:val="none"/>
        </w:rPr>
        <w:t>价格的：专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用合同条款合同履行期间材料单价涨幅以基准价格为基础超过</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时，</w:t>
      </w:r>
      <w:r>
        <w:rPr>
          <w:rFonts w:ascii="宋体" w:hAnsi="宋体" w:eastAsia="宋体" w:cs="宋体"/>
          <w:color w:val="auto"/>
          <w:spacing w:val="-20"/>
          <w:sz w:val="21"/>
          <w:szCs w:val="21"/>
          <w:highlight w:val="none"/>
        </w:rPr>
        <w:t xml:space="preserve"> </w:t>
      </w:r>
      <w:r>
        <w:rPr>
          <w:rFonts w:ascii="宋体" w:hAnsi="宋体" w:eastAsia="宋体" w:cs="宋体"/>
          <w:color w:val="auto"/>
          <w:spacing w:val="-2"/>
          <w:sz w:val="21"/>
          <w:szCs w:val="21"/>
          <w:highlight w:val="none"/>
        </w:rPr>
        <w:t>或材料单价跌幅以已</w:t>
      </w:r>
    </w:p>
    <w:p>
      <w:pPr>
        <w:spacing w:line="233"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标价工程量清单或预算书中载明材料单价为基础超过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时，</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其超过部分据实调整。</w:t>
      </w:r>
    </w:p>
    <w:p>
      <w:pPr>
        <w:spacing w:before="135" w:line="352" w:lineRule="auto"/>
        <w:ind w:left="19" w:firstLine="39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②承包人在已标价工程量清单或预算书中载明的材料单价高于基准价格的：</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专</w:t>
      </w:r>
      <w:r>
        <w:rPr>
          <w:rFonts w:ascii="宋体" w:hAnsi="宋体" w:eastAsia="宋体" w:cs="宋体"/>
          <w:color w:val="auto"/>
          <w:spacing w:val="-3"/>
          <w:sz w:val="21"/>
          <w:szCs w:val="21"/>
          <w:highlight w:val="none"/>
        </w:rPr>
        <w:t>用合同条款合</w:t>
      </w:r>
      <w:r>
        <w:rPr>
          <w:rFonts w:ascii="宋体" w:hAnsi="宋体" w:eastAsia="宋体" w:cs="宋体"/>
          <w:color w:val="auto"/>
          <w:sz w:val="21"/>
          <w:szCs w:val="21"/>
          <w:highlight w:val="none"/>
        </w:rPr>
        <w:t xml:space="preserve"> 同履行期间材料单价跌幅以基准价格为基础超过</w:t>
      </w:r>
      <w:r>
        <w:rPr>
          <w:rFonts w:ascii="宋体" w:hAnsi="宋体" w:eastAsia="宋体" w:cs="宋体"/>
          <w:color w:val="auto"/>
          <w:spacing w:val="-101"/>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时，材料单价涨幅以已标价工程量清单</w:t>
      </w:r>
    </w:p>
    <w:p>
      <w:pPr>
        <w:spacing w:line="233" w:lineRule="auto"/>
        <w:ind w:left="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或预算书中载明材料单价为基础超过</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时，</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其超过部分据实调整。</w:t>
      </w:r>
    </w:p>
    <w:p>
      <w:pPr>
        <w:spacing w:before="133" w:line="401"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③承包人在已标价工程量清单或预算书中载明的材料单价等于基准单价的：</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2"/>
          <w:position w:val="14"/>
          <w:sz w:val="21"/>
          <w:szCs w:val="21"/>
          <w:highlight w:val="none"/>
        </w:rPr>
        <w:t>专</w:t>
      </w:r>
      <w:r>
        <w:rPr>
          <w:rFonts w:ascii="宋体" w:hAnsi="宋体" w:eastAsia="宋体" w:cs="宋体"/>
          <w:color w:val="auto"/>
          <w:spacing w:val="-3"/>
          <w:position w:val="14"/>
          <w:sz w:val="21"/>
          <w:szCs w:val="21"/>
          <w:highlight w:val="none"/>
        </w:rPr>
        <w:t>用合同条款合</w:t>
      </w:r>
    </w:p>
    <w:p>
      <w:pPr>
        <w:spacing w:line="233"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同履行期间材料单价涨跌幅以基准单价为基础超过</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1"/>
          <w:sz w:val="21"/>
          <w:szCs w:val="21"/>
          <w:highlight w:val="none"/>
          <w:u w:val="single" w:color="auto"/>
        </w:rPr>
        <w:t xml:space="preserve">            </w:t>
      </w:r>
      <w:r>
        <w:rPr>
          <w:rFonts w:ascii="Times New Roman" w:hAnsi="Times New Roman" w:eastAsia="Times New Roman" w:cs="Times New Roman"/>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时，其超过部分据实调整。</w:t>
      </w:r>
    </w:p>
    <w:p>
      <w:pPr>
        <w:spacing w:before="136" w:line="219" w:lineRule="auto"/>
        <w:ind w:left="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 </w:t>
      </w:r>
      <w:r>
        <w:rPr>
          <w:rFonts w:ascii="宋体" w:hAnsi="宋体" w:eastAsia="宋体" w:cs="宋体"/>
          <w:color w:val="auto"/>
          <w:spacing w:val="-1"/>
          <w:sz w:val="21"/>
          <w:szCs w:val="21"/>
          <w:highlight w:val="none"/>
        </w:rPr>
        <w:t>种方式：其他价格调整方式：</w:t>
      </w:r>
    </w:p>
    <w:p>
      <w:pPr>
        <w:pStyle w:val="2"/>
        <w:spacing w:line="260" w:lineRule="auto"/>
        <w:rPr>
          <w:color w:val="auto"/>
          <w:highlight w:val="none"/>
        </w:rPr>
      </w:pPr>
    </w:p>
    <w:p>
      <w:pPr>
        <w:tabs>
          <w:tab w:val="left" w:pos="8205"/>
        </w:tabs>
        <w:spacing w:before="24" w:line="174"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7" w:line="436" w:lineRule="exact"/>
        <w:ind w:left="9"/>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12.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合同价格、计量与支付</w:t>
      </w:r>
    </w:p>
    <w:p>
      <w:pPr>
        <w:spacing w:before="1" w:line="218" w:lineRule="auto"/>
        <w:ind w:left="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12.1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合同价格形式</w:t>
      </w:r>
    </w:p>
    <w:p>
      <w:pPr>
        <w:spacing w:before="141" w:line="219"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1</w:t>
      </w:r>
      <w:r>
        <w:rPr>
          <w:rFonts w:ascii="Times New Roman" w:hAnsi="Times New Roman" w:eastAsia="Times New Roman" w:cs="Times New Roman"/>
          <w:color w:val="auto"/>
          <w:spacing w:val="-28"/>
          <w:sz w:val="21"/>
          <w:szCs w:val="21"/>
          <w:highlight w:val="none"/>
        </w:rPr>
        <w:t xml:space="preserve"> </w:t>
      </w:r>
      <w:r>
        <w:rPr>
          <w:rFonts w:ascii="宋体" w:hAnsi="宋体" w:eastAsia="宋体" w:cs="宋体"/>
          <w:color w:val="auto"/>
          <w:spacing w:val="-9"/>
          <w:sz w:val="21"/>
          <w:szCs w:val="21"/>
          <w:highlight w:val="none"/>
        </w:rPr>
        <w:t>、单价合同。</w:t>
      </w:r>
    </w:p>
    <w:p>
      <w:pPr>
        <w:spacing w:before="152" w:line="240" w:lineRule="auto"/>
        <w:ind w:left="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综合单价包含的风险范围：</w:t>
      </w:r>
    </w:p>
    <w:p>
      <w:pPr>
        <w:pStyle w:val="2"/>
        <w:spacing w:line="240" w:lineRule="auto"/>
        <w:rPr>
          <w:color w:val="auto"/>
          <w:highlight w:val="none"/>
        </w:rPr>
      </w:pPr>
    </w:p>
    <w:p>
      <w:pPr>
        <w:tabs>
          <w:tab w:val="left" w:pos="8205"/>
        </w:tabs>
        <w:spacing w:before="24" w:line="240"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风险费用的计算方法：</w:t>
      </w:r>
    </w:p>
    <w:p>
      <w:pPr>
        <w:pStyle w:val="2"/>
        <w:spacing w:line="240" w:lineRule="auto"/>
        <w:rPr>
          <w:color w:val="auto"/>
          <w:highlight w:val="none"/>
        </w:rPr>
      </w:pPr>
    </w:p>
    <w:p>
      <w:pPr>
        <w:tabs>
          <w:tab w:val="left" w:pos="8205"/>
        </w:tabs>
        <w:spacing w:before="24" w:line="174" w:lineRule="auto"/>
        <w:ind w:left="410"/>
        <w:rPr>
          <w:rFonts w:ascii="宋体" w:hAnsi="宋体" w:eastAsia="宋体" w:cs="宋体"/>
          <w:color w:val="auto"/>
          <w:sz w:val="7"/>
          <w:szCs w:val="7"/>
          <w:highlight w:val="none"/>
          <w:u w:val="single" w:color="auto"/>
        </w:rPr>
      </w:pPr>
      <w:r>
        <w:rPr>
          <w:rFonts w:ascii="宋体" w:hAnsi="宋体" w:eastAsia="宋体" w:cs="宋体"/>
          <w:color w:val="auto"/>
          <w:sz w:val="7"/>
          <w:szCs w:val="7"/>
          <w:highlight w:val="none"/>
          <w:u w:val="single" w:color="auto"/>
        </w:rPr>
        <w:tab/>
      </w:r>
    </w:p>
    <w:p>
      <w:pPr>
        <w:tabs>
          <w:tab w:val="left" w:pos="8205"/>
        </w:tabs>
        <w:spacing w:before="24" w:line="174" w:lineRule="auto"/>
        <w:ind w:left="4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风险范围以外合同价格的调整方法：</w:t>
      </w:r>
    </w:p>
    <w:p>
      <w:pPr>
        <w:pStyle w:val="2"/>
        <w:spacing w:line="263" w:lineRule="auto"/>
        <w:rPr>
          <w:color w:val="auto"/>
          <w:highlight w:val="none"/>
        </w:rPr>
      </w:pP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19" w:lineRule="auto"/>
        <w:ind w:left="41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、总价合同。</w:t>
      </w:r>
    </w:p>
    <w:p>
      <w:pPr>
        <w:spacing w:before="149" w:line="219"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总价包含的风险范围：</w:t>
      </w:r>
    </w:p>
    <w:p>
      <w:pPr>
        <w:pStyle w:val="2"/>
        <w:spacing w:line="263" w:lineRule="auto"/>
        <w:rPr>
          <w:color w:val="auto"/>
          <w:highlight w:val="none"/>
        </w:rPr>
      </w:pP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21"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风险费用的计算方法：</w:t>
      </w:r>
    </w:p>
    <w:p>
      <w:pPr>
        <w:pStyle w:val="2"/>
        <w:spacing w:line="259" w:lineRule="auto"/>
        <w:rPr>
          <w:color w:val="auto"/>
          <w:highlight w:val="none"/>
        </w:rPr>
      </w:pP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19" w:lineRule="auto"/>
        <w:ind w:left="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风险范围以外合同价格的调整方法：</w:t>
      </w:r>
    </w:p>
    <w:p>
      <w:pPr>
        <w:pStyle w:val="2"/>
        <w:spacing w:line="263" w:lineRule="auto"/>
        <w:rPr>
          <w:color w:val="auto"/>
          <w:highlight w:val="none"/>
        </w:rPr>
      </w:pPr>
    </w:p>
    <w:p>
      <w:pPr>
        <w:tabs>
          <w:tab w:val="left" w:pos="8207"/>
        </w:tabs>
        <w:spacing w:before="24"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19" w:lineRule="auto"/>
        <w:ind w:left="422"/>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、其他价格方式：</w:t>
      </w:r>
    </w:p>
    <w:p>
      <w:pPr>
        <w:pStyle w:val="2"/>
        <w:spacing w:line="263" w:lineRule="auto"/>
        <w:rPr>
          <w:color w:val="auto"/>
          <w:highlight w:val="none"/>
        </w:rPr>
      </w:pPr>
    </w:p>
    <w:p>
      <w:pPr>
        <w:tabs>
          <w:tab w:val="left" w:pos="8207"/>
        </w:tabs>
        <w:spacing w:before="23" w:line="174"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19"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12.2</w:t>
      </w:r>
      <w:r>
        <w:rPr>
          <w:rFonts w:ascii="Times New Roman" w:hAnsi="Times New Roman" w:eastAsia="Times New Roman" w:cs="Times New Roman"/>
          <w:b/>
          <w:bCs/>
          <w:color w:val="auto"/>
          <w:spacing w:val="6"/>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预付款</w:t>
      </w:r>
    </w:p>
    <w:p>
      <w:pPr>
        <w:spacing w:before="138" w:line="221"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12.2.1  </w:t>
      </w:r>
      <w:r>
        <w:rPr>
          <w:rFonts w:ascii="宋体" w:hAnsi="宋体" w:eastAsia="宋体" w:cs="宋体"/>
          <w:color w:val="auto"/>
          <w:spacing w:val="-2"/>
          <w:sz w:val="21"/>
          <w:szCs w:val="21"/>
          <w:highlight w:val="none"/>
        </w:rPr>
        <w:t>预付款的支付</w:t>
      </w:r>
    </w:p>
    <w:p>
      <w:pPr>
        <w:spacing w:before="151" w:line="352" w:lineRule="auto"/>
        <w:ind w:left="4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预付款支付比例或金额：</w:t>
      </w:r>
      <w:r>
        <w:rPr>
          <w:rFonts w:ascii="宋体" w:hAnsi="宋体" w:eastAsia="宋体" w:cs="宋体"/>
          <w:color w:val="auto"/>
          <w:spacing w:val="-3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pPr>
        <w:spacing w:line="220" w:lineRule="auto"/>
        <w:ind w:left="423"/>
        <w:rPr>
          <w:rFonts w:ascii="宋体" w:hAnsi="宋体" w:eastAsia="宋体" w:cs="宋体"/>
          <w:color w:val="auto"/>
          <w:sz w:val="21"/>
          <w:szCs w:val="21"/>
          <w:highlight w:val="none"/>
        </w:rPr>
      </w:pPr>
      <w:r>
        <w:rPr>
          <w:rFonts w:ascii="宋体" w:hAnsi="宋体" w:eastAsia="宋体" w:cs="宋体"/>
          <w:color w:val="auto"/>
          <w:sz w:val="21"/>
          <w:szCs w:val="21"/>
          <w:highlight w:val="none"/>
        </w:rPr>
        <w:t>预付款支付期限：</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7" w:line="240" w:lineRule="auto"/>
        <w:ind w:left="4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预付款扣回的方式：</w:t>
      </w:r>
      <w:r>
        <w:rPr>
          <w:rFonts w:ascii="宋体" w:hAnsi="宋体" w:eastAsia="宋体" w:cs="宋体"/>
          <w:color w:val="auto"/>
          <w:spacing w:val="-3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w:t>
      </w:r>
    </w:p>
    <w:p>
      <w:pPr>
        <w:spacing w:before="150"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12.2.2  </w:t>
      </w:r>
      <w:r>
        <w:rPr>
          <w:rFonts w:ascii="宋体" w:hAnsi="宋体" w:eastAsia="宋体" w:cs="宋体"/>
          <w:color w:val="auto"/>
          <w:spacing w:val="-2"/>
          <w:sz w:val="21"/>
          <w:szCs w:val="21"/>
          <w:highlight w:val="none"/>
        </w:rPr>
        <w:t>预付款担保</w:t>
      </w:r>
    </w:p>
    <w:p>
      <w:pPr>
        <w:spacing w:before="150" w:line="240" w:lineRule="auto"/>
        <w:ind w:left="42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 xml:space="preserve">承包人提交预付款担保的期限：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7"/>
          <w:sz w:val="21"/>
          <w:szCs w:val="21"/>
          <w:highlight w:val="none"/>
        </w:rPr>
        <w:t>。</w:t>
      </w:r>
    </w:p>
    <w:p>
      <w:pPr>
        <w:spacing w:before="1" w:line="240" w:lineRule="auto"/>
        <w:ind w:left="423"/>
        <w:rPr>
          <w:rFonts w:ascii="宋体" w:hAnsi="宋体" w:eastAsia="宋体" w:cs="宋体"/>
          <w:color w:val="auto"/>
          <w:sz w:val="21"/>
          <w:szCs w:val="21"/>
          <w:highlight w:val="none"/>
        </w:rPr>
      </w:pPr>
      <w:r>
        <w:rPr>
          <w:rFonts w:ascii="宋体" w:hAnsi="宋体" w:eastAsia="宋体" w:cs="宋体"/>
          <w:color w:val="auto"/>
          <w:sz w:val="21"/>
          <w:szCs w:val="21"/>
          <w:highlight w:val="none"/>
        </w:rPr>
        <w:t>预付款担保的形式为：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26" w:line="240"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12.3</w:t>
      </w:r>
      <w:r>
        <w:rPr>
          <w:rFonts w:ascii="Times New Roman" w:hAnsi="Times New Roman" w:eastAsia="Times New Roman" w:cs="Times New Roman"/>
          <w:b/>
          <w:bCs/>
          <w:color w:val="auto"/>
          <w:spacing w:val="6"/>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计量</w:t>
      </w:r>
    </w:p>
    <w:p>
      <w:pPr>
        <w:spacing w:before="136"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12.3.1  </w:t>
      </w:r>
      <w:r>
        <w:rPr>
          <w:rFonts w:ascii="宋体" w:hAnsi="宋体" w:eastAsia="宋体" w:cs="宋体"/>
          <w:color w:val="auto"/>
          <w:spacing w:val="-2"/>
          <w:sz w:val="21"/>
          <w:szCs w:val="21"/>
          <w:highlight w:val="none"/>
        </w:rPr>
        <w:t>计量原则</w:t>
      </w:r>
    </w:p>
    <w:p>
      <w:pPr>
        <w:spacing w:before="147" w:line="240"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工程量计算规则：</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50"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12.3.2  </w:t>
      </w:r>
      <w:r>
        <w:rPr>
          <w:rFonts w:ascii="宋体" w:hAnsi="宋体" w:eastAsia="宋体" w:cs="宋体"/>
          <w:color w:val="auto"/>
          <w:spacing w:val="-2"/>
          <w:sz w:val="21"/>
          <w:szCs w:val="21"/>
          <w:highlight w:val="none"/>
        </w:rPr>
        <w:t>计量周期</w:t>
      </w:r>
    </w:p>
    <w:p>
      <w:pPr>
        <w:spacing w:before="149" w:line="240"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关于计量周期的约定：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8"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12.3.3  </w:t>
      </w:r>
      <w:r>
        <w:rPr>
          <w:rFonts w:ascii="宋体" w:hAnsi="宋体" w:eastAsia="宋体" w:cs="宋体"/>
          <w:color w:val="auto"/>
          <w:spacing w:val="-2"/>
          <w:sz w:val="21"/>
          <w:szCs w:val="21"/>
          <w:highlight w:val="none"/>
        </w:rPr>
        <w:t>单价合同的计量</w:t>
      </w:r>
    </w:p>
    <w:p>
      <w:pPr>
        <w:spacing w:before="151" w:line="240"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关于单价合同计量的约定：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52"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12.3.4  </w:t>
      </w:r>
      <w:r>
        <w:rPr>
          <w:rFonts w:ascii="宋体" w:hAnsi="宋体" w:eastAsia="宋体" w:cs="宋体"/>
          <w:color w:val="auto"/>
          <w:spacing w:val="-2"/>
          <w:sz w:val="21"/>
          <w:szCs w:val="21"/>
          <w:highlight w:val="none"/>
        </w:rPr>
        <w:t>总价合同的计量</w:t>
      </w:r>
    </w:p>
    <w:p>
      <w:pPr>
        <w:spacing w:before="149" w:line="240"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关于总价合同计量的约定：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52" w:line="240"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12.3.5 </w:t>
      </w:r>
      <w:r>
        <w:rPr>
          <w:rFonts w:ascii="宋体" w:hAnsi="宋体" w:eastAsia="宋体" w:cs="宋体"/>
          <w:color w:val="auto"/>
          <w:spacing w:val="-2"/>
          <w:position w:val="14"/>
          <w:sz w:val="21"/>
          <w:szCs w:val="21"/>
          <w:highlight w:val="none"/>
        </w:rPr>
        <w:t>总价合同采用支付分解表计</w:t>
      </w:r>
      <w:r>
        <w:rPr>
          <w:rFonts w:ascii="宋体" w:hAnsi="宋体" w:eastAsia="宋体" w:cs="宋体"/>
          <w:color w:val="auto"/>
          <w:spacing w:val="-3"/>
          <w:position w:val="14"/>
          <w:sz w:val="21"/>
          <w:szCs w:val="21"/>
          <w:highlight w:val="none"/>
        </w:rPr>
        <w:t>量支付的，</w:t>
      </w:r>
      <w:r>
        <w:rPr>
          <w:rFonts w:ascii="宋体" w:hAnsi="宋体" w:eastAsia="宋体" w:cs="宋体"/>
          <w:color w:val="auto"/>
          <w:spacing w:val="-20"/>
          <w:position w:val="14"/>
          <w:sz w:val="21"/>
          <w:szCs w:val="21"/>
          <w:highlight w:val="none"/>
        </w:rPr>
        <w:t xml:space="preserve"> </w:t>
      </w:r>
      <w:r>
        <w:rPr>
          <w:rFonts w:ascii="宋体" w:hAnsi="宋体" w:eastAsia="宋体" w:cs="宋体"/>
          <w:color w:val="auto"/>
          <w:spacing w:val="-3"/>
          <w:position w:val="14"/>
          <w:sz w:val="21"/>
          <w:szCs w:val="21"/>
          <w:highlight w:val="none"/>
        </w:rPr>
        <w:t>是否适用第</w:t>
      </w:r>
      <w:r>
        <w:rPr>
          <w:rFonts w:ascii="宋体" w:hAnsi="宋体" w:eastAsia="宋体" w:cs="宋体"/>
          <w:color w:val="auto"/>
          <w:spacing w:val="-29"/>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12.3.4  </w:t>
      </w:r>
      <w:r>
        <w:rPr>
          <w:rFonts w:ascii="宋体" w:hAnsi="宋体" w:eastAsia="宋体" w:cs="宋体"/>
          <w:color w:val="auto"/>
          <w:spacing w:val="-3"/>
          <w:position w:val="14"/>
          <w:sz w:val="21"/>
          <w:szCs w:val="21"/>
          <w:highlight w:val="none"/>
        </w:rPr>
        <w:t>项〔总价合同的计量〕约定</w:t>
      </w:r>
    </w:p>
    <w:p>
      <w:pPr>
        <w:spacing w:line="240" w:lineRule="auto"/>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进行计量：</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2"/>
          <w:sz w:val="21"/>
          <w:szCs w:val="21"/>
          <w:highlight w:val="none"/>
        </w:rPr>
        <w:t xml:space="preserve"> 。</w:t>
      </w:r>
    </w:p>
    <w:p>
      <w:pPr>
        <w:spacing w:before="147"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12.3.6  </w:t>
      </w:r>
      <w:r>
        <w:rPr>
          <w:rFonts w:ascii="宋体" w:hAnsi="宋体" w:eastAsia="宋体" w:cs="宋体"/>
          <w:color w:val="auto"/>
          <w:spacing w:val="-2"/>
          <w:position w:val="14"/>
          <w:sz w:val="21"/>
          <w:szCs w:val="21"/>
          <w:highlight w:val="none"/>
        </w:rPr>
        <w:t>其他价格形式合同的计量</w:t>
      </w:r>
    </w:p>
    <w:p>
      <w:pPr>
        <w:spacing w:before="1" w:line="240" w:lineRule="auto"/>
        <w:ind w:left="422"/>
        <w:rPr>
          <w:color w:val="auto"/>
          <w:highlight w:val="none"/>
        </w:rPr>
      </w:pPr>
      <w:r>
        <w:rPr>
          <w:rFonts w:ascii="宋体" w:hAnsi="宋体" w:eastAsia="宋体" w:cs="宋体"/>
          <w:color w:val="auto"/>
          <w:spacing w:val="-1"/>
          <w:sz w:val="21"/>
          <w:szCs w:val="21"/>
          <w:highlight w:val="none"/>
        </w:rPr>
        <w:t>其他价格形式的计量方式和程序：</w:t>
      </w:r>
    </w:p>
    <w:p>
      <w:pPr>
        <w:tabs>
          <w:tab w:val="left" w:pos="8207"/>
        </w:tabs>
        <w:spacing w:before="23" w:line="240" w:lineRule="auto"/>
        <w:ind w:left="413"/>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40" w:lineRule="auto"/>
        <w:ind w:left="9"/>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12.4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工程进度款支付</w:t>
      </w:r>
    </w:p>
    <w:p>
      <w:pPr>
        <w:spacing w:before="141" w:line="240" w:lineRule="auto"/>
        <w:ind w:left="43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12.4.1  </w:t>
      </w:r>
      <w:r>
        <w:rPr>
          <w:rFonts w:ascii="宋体" w:hAnsi="宋体" w:eastAsia="宋体" w:cs="宋体"/>
          <w:color w:val="auto"/>
          <w:spacing w:val="-2"/>
          <w:sz w:val="21"/>
          <w:szCs w:val="21"/>
          <w:highlight w:val="none"/>
        </w:rPr>
        <w:t>付款周期</w:t>
      </w:r>
    </w:p>
    <w:p>
      <w:pPr>
        <w:spacing w:before="124" w:line="240" w:lineRule="auto"/>
        <w:ind w:left="415"/>
        <w:rPr>
          <w:color w:val="auto"/>
          <w:highlight w:val="none"/>
          <w:u w:val="single" w:color="auto"/>
        </w:rPr>
      </w:pPr>
      <w:r>
        <w:rPr>
          <w:rFonts w:ascii="宋体" w:hAnsi="宋体" w:eastAsia="宋体" w:cs="宋体"/>
          <w:color w:val="auto"/>
          <w:spacing w:val="-1"/>
          <w:sz w:val="21"/>
          <w:szCs w:val="21"/>
          <w:highlight w:val="none"/>
          <w:u w:val="single" w:color="auto"/>
        </w:rPr>
        <w:t>关于付款周期的约定：</w:t>
      </w:r>
      <w:r>
        <w:rPr>
          <w:rFonts w:hint="eastAsia" w:ascii="宋体" w:hAnsi="宋体" w:eastAsia="宋体" w:cs="宋体"/>
          <w:color w:val="auto"/>
          <w:spacing w:val="-1"/>
          <w:sz w:val="21"/>
          <w:szCs w:val="21"/>
          <w:highlight w:val="none"/>
          <w:u w:val="single" w:color="auto"/>
        </w:rPr>
        <w:t>完成工程量的50%后支付总工程款（中标价）的40%，完成工程量90%后支付到总工程款（中标价）的80%，工程竣工验收合格审计决算后支付到总工程款（结算价）的97%，余下3%的工程质保金，质保期一年，期满后无质量问题一次性结清（不计利息）。</w:t>
      </w:r>
    </w:p>
    <w:p>
      <w:pPr>
        <w:spacing w:before="198"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12.4.2  </w:t>
      </w:r>
      <w:r>
        <w:rPr>
          <w:rFonts w:ascii="宋体" w:hAnsi="宋体" w:eastAsia="宋体" w:cs="宋体"/>
          <w:color w:val="auto"/>
          <w:spacing w:val="-2"/>
          <w:sz w:val="21"/>
          <w:szCs w:val="21"/>
          <w:highlight w:val="none"/>
        </w:rPr>
        <w:t>进度付款申请单的编制</w:t>
      </w:r>
    </w:p>
    <w:p>
      <w:pPr>
        <w:spacing w:before="147" w:line="240" w:lineRule="auto"/>
        <w:ind w:left="4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关于进度付款申请单编制的约定：</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12.4.3  </w:t>
      </w:r>
      <w:r>
        <w:rPr>
          <w:rFonts w:ascii="宋体" w:hAnsi="宋体" w:eastAsia="宋体" w:cs="宋体"/>
          <w:color w:val="auto"/>
          <w:spacing w:val="-2"/>
          <w:sz w:val="21"/>
          <w:szCs w:val="21"/>
          <w:highlight w:val="none"/>
        </w:rPr>
        <w:t>进度付款申请单的提交</w:t>
      </w:r>
    </w:p>
    <w:p>
      <w:pPr>
        <w:spacing w:before="147" w:line="240" w:lineRule="auto"/>
        <w:ind w:left="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）单价合同进度付款申请单提交的约定：</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00" w:line="240" w:lineRule="auto"/>
        <w:ind w:left="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）总价合同进度付款申请单提交的约定：</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9" w:line="240" w:lineRule="auto"/>
        <w:ind w:left="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）其他价格形式合同进度付款申请单提交的约定：</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12.4.4  </w:t>
      </w:r>
      <w:r>
        <w:rPr>
          <w:rFonts w:ascii="宋体" w:hAnsi="宋体" w:eastAsia="宋体" w:cs="宋体"/>
          <w:color w:val="auto"/>
          <w:spacing w:val="-2"/>
          <w:sz w:val="21"/>
          <w:szCs w:val="21"/>
          <w:highlight w:val="none"/>
        </w:rPr>
        <w:t>进度款审核和支付</w:t>
      </w:r>
    </w:p>
    <w:p>
      <w:pPr>
        <w:spacing w:before="150" w:line="240" w:lineRule="auto"/>
        <w:ind w:left="41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）监理人审查并报送发包人的期限：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 w:line="240" w:lineRule="auto"/>
        <w:ind w:left="415"/>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发包人完成审批并签发进度款支付证书的期限：</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8" w:line="240" w:lineRule="auto"/>
        <w:ind w:left="41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pacing w:val="-7"/>
          <w:sz w:val="21"/>
          <w:szCs w:val="21"/>
          <w:highlight w:val="none"/>
        </w:rPr>
        <w:t xml:space="preserve">）发包人支付进度款的期限：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
          <w:sz w:val="21"/>
          <w:szCs w:val="21"/>
          <w:highlight w:val="none"/>
        </w:rPr>
        <w:t>。</w:t>
      </w:r>
    </w:p>
    <w:p>
      <w:pPr>
        <w:spacing w:before="150" w:line="240" w:lineRule="auto"/>
        <w:ind w:left="4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发包人逾期支付进度款的违约金的计算方式：</w:t>
      </w:r>
      <w:r>
        <w:rPr>
          <w:rFonts w:hint="eastAsia" w:ascii="宋体" w:hAnsi="宋体" w:eastAsia="宋体" w:cs="宋体"/>
          <w:color w:val="auto"/>
          <w:spacing w:val="-2"/>
          <w:highlight w:val="none"/>
          <w:u w:val="single"/>
          <w:lang w:eastAsia="zh-CN"/>
        </w:rPr>
        <w:t>按通用条款</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12.4.6  </w:t>
      </w:r>
      <w:r>
        <w:rPr>
          <w:rFonts w:ascii="宋体" w:hAnsi="宋体" w:eastAsia="宋体" w:cs="宋体"/>
          <w:color w:val="auto"/>
          <w:spacing w:val="-2"/>
          <w:sz w:val="21"/>
          <w:szCs w:val="21"/>
          <w:highlight w:val="none"/>
        </w:rPr>
        <w:t>支付分解表的编制</w:t>
      </w:r>
    </w:p>
    <w:p>
      <w:pPr>
        <w:spacing w:before="150" w:line="240" w:lineRule="auto"/>
        <w:ind w:left="40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、总价合同支付分解表的编制与审批：</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7" w:line="240" w:lineRule="auto"/>
        <w:ind w:left="41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、单价合同的总价项目支付分解表的编制与审批：</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7" w:line="240" w:lineRule="auto"/>
        <w:ind w:left="2"/>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13.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验收和工程试车</w:t>
      </w:r>
    </w:p>
    <w:p>
      <w:pPr>
        <w:spacing w:before="1" w:line="240"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分部分项工程验收</w:t>
      </w:r>
    </w:p>
    <w:p>
      <w:pPr>
        <w:spacing w:before="141"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13.1.2 </w:t>
      </w:r>
      <w:r>
        <w:rPr>
          <w:rFonts w:ascii="宋体" w:hAnsi="宋体" w:eastAsia="宋体" w:cs="宋体"/>
          <w:color w:val="auto"/>
          <w:spacing w:val="-4"/>
          <w:sz w:val="21"/>
          <w:szCs w:val="21"/>
          <w:highlight w:val="none"/>
        </w:rPr>
        <w:t>监理人不能按时进行验收时，</w:t>
      </w:r>
      <w:r>
        <w:rPr>
          <w:rFonts w:ascii="宋体" w:hAnsi="宋体" w:eastAsia="宋体" w:cs="宋体"/>
          <w:color w:val="auto"/>
          <w:spacing w:val="-17"/>
          <w:sz w:val="21"/>
          <w:szCs w:val="21"/>
          <w:highlight w:val="none"/>
        </w:rPr>
        <w:t xml:space="preserve"> </w:t>
      </w:r>
      <w:r>
        <w:rPr>
          <w:rFonts w:ascii="宋体" w:hAnsi="宋体" w:eastAsia="宋体" w:cs="宋体"/>
          <w:color w:val="auto"/>
          <w:spacing w:val="-4"/>
          <w:sz w:val="21"/>
          <w:szCs w:val="21"/>
          <w:highlight w:val="none"/>
        </w:rPr>
        <w:t>应提前</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4"/>
          <w:sz w:val="21"/>
          <w:szCs w:val="21"/>
          <w:highlight w:val="none"/>
        </w:rPr>
        <w:t>小时提交书面延期要求。</w:t>
      </w:r>
    </w:p>
    <w:p>
      <w:pPr>
        <w:spacing w:before="1" w:line="240" w:lineRule="auto"/>
        <w:ind w:left="41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关于延期最长不得超过：</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9"/>
          <w:sz w:val="21"/>
          <w:szCs w:val="21"/>
          <w:highlight w:val="none"/>
        </w:rPr>
        <w:t>小时。</w:t>
      </w:r>
    </w:p>
    <w:p>
      <w:pPr>
        <w:spacing w:before="125" w:line="24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竣工验收</w:t>
      </w:r>
    </w:p>
    <w:p>
      <w:pPr>
        <w:spacing w:before="141"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13.2.2 </w:t>
      </w:r>
      <w:r>
        <w:rPr>
          <w:rFonts w:ascii="宋体" w:hAnsi="宋体" w:eastAsia="宋体" w:cs="宋体"/>
          <w:color w:val="auto"/>
          <w:spacing w:val="-2"/>
          <w:sz w:val="21"/>
          <w:szCs w:val="21"/>
          <w:highlight w:val="none"/>
        </w:rPr>
        <w:t>竣工验收程序</w:t>
      </w:r>
    </w:p>
    <w:p>
      <w:pPr>
        <w:spacing w:before="147" w:line="240" w:lineRule="auto"/>
        <w:ind w:left="415"/>
        <w:rPr>
          <w:rFonts w:hint="eastAsia" w:ascii="宋体" w:hAnsi="宋体" w:eastAsia="宋体" w:cs="宋体"/>
          <w:color w:val="auto"/>
          <w:spacing w:val="-1"/>
          <w:sz w:val="21"/>
          <w:szCs w:val="21"/>
          <w:highlight w:val="none"/>
          <w:u w:val="single"/>
        </w:rPr>
      </w:pPr>
      <w:r>
        <w:rPr>
          <w:rFonts w:ascii="宋体" w:hAnsi="宋体" w:eastAsia="宋体" w:cs="宋体"/>
          <w:color w:val="auto"/>
          <w:spacing w:val="-1"/>
          <w:sz w:val="21"/>
          <w:szCs w:val="21"/>
          <w:highlight w:val="none"/>
        </w:rPr>
        <w:t>关于竣工验收程序的约定：</w:t>
      </w:r>
      <w:r>
        <w:rPr>
          <w:rFonts w:hint="eastAsia" w:ascii="宋体" w:hAnsi="宋体" w:eastAsia="宋体" w:cs="宋体"/>
          <w:color w:val="auto"/>
          <w:spacing w:val="-1"/>
          <w:sz w:val="21"/>
          <w:szCs w:val="21"/>
          <w:highlight w:val="none"/>
          <w:u w:val="single"/>
        </w:rPr>
        <w:t>发包人自收到承包人提供的《竣工报告》之日起14 日内组织初步验收，并在初步验收后14 日内做出认可或修改意见。需要修改的，承包人应按修改意见要求修改，并承担因修改所发生的费用。</w:t>
      </w:r>
    </w:p>
    <w:p>
      <w:pPr>
        <w:spacing w:before="147" w:line="240" w:lineRule="auto"/>
        <w:ind w:left="415"/>
        <w:rPr>
          <w:rFonts w:hint="eastAsia" w:ascii="宋体" w:hAnsi="宋体" w:eastAsia="宋体" w:cs="宋体"/>
          <w:color w:val="auto"/>
          <w:spacing w:val="-1"/>
          <w:sz w:val="21"/>
          <w:szCs w:val="21"/>
          <w:highlight w:val="none"/>
          <w:u w:val="single"/>
        </w:rPr>
      </w:pPr>
      <w:r>
        <w:rPr>
          <w:rFonts w:hint="eastAsia" w:ascii="宋体" w:hAnsi="宋体" w:eastAsia="宋体" w:cs="宋体"/>
          <w:color w:val="auto"/>
          <w:spacing w:val="-1"/>
          <w:sz w:val="21"/>
          <w:szCs w:val="21"/>
          <w:highlight w:val="none"/>
          <w:u w:val="single"/>
        </w:rPr>
        <w:t>初验合格后由发包人申请上级部门组织终验。终验期限不在本合同约定之内。</w:t>
      </w:r>
    </w:p>
    <w:p>
      <w:pPr>
        <w:spacing w:before="147" w:line="240" w:lineRule="auto"/>
        <w:ind w:left="415"/>
        <w:rPr>
          <w:rFonts w:ascii="宋体" w:hAnsi="宋体" w:eastAsia="宋体" w:cs="宋体"/>
          <w:color w:val="auto"/>
          <w:sz w:val="21"/>
          <w:szCs w:val="21"/>
          <w:highlight w:val="none"/>
          <w:u w:val="single"/>
        </w:rPr>
      </w:pPr>
      <w:r>
        <w:rPr>
          <w:rFonts w:hint="eastAsia" w:ascii="宋体" w:hAnsi="宋体" w:eastAsia="宋体" w:cs="宋体"/>
          <w:color w:val="auto"/>
          <w:spacing w:val="-1"/>
          <w:sz w:val="21"/>
          <w:szCs w:val="21"/>
          <w:highlight w:val="none"/>
          <w:u w:val="single"/>
        </w:rPr>
        <w:t>工程移交：承包人自竣工工程经省农业综合开发办公室验收合格之日起，20日内工程移交完结。承包人不按期交付，按逾期竣工处理。</w:t>
      </w:r>
      <w:r>
        <w:rPr>
          <w:rFonts w:hint="eastAsia" w:ascii="宋体" w:hAnsi="宋体" w:eastAsia="宋体" w:cs="宋体"/>
          <w:color w:val="auto"/>
          <w:spacing w:val="-1"/>
          <w:sz w:val="21"/>
          <w:szCs w:val="21"/>
          <w:highlight w:val="none"/>
          <w:u w:val="single"/>
        </w:rPr>
        <w:tab/>
      </w:r>
      <w:r>
        <w:rPr>
          <w:rFonts w:hint="eastAsia" w:ascii="宋体" w:hAnsi="宋体" w:eastAsia="宋体" w:cs="宋体"/>
          <w:color w:val="auto"/>
          <w:spacing w:val="-1"/>
          <w:sz w:val="21"/>
          <w:szCs w:val="21"/>
          <w:highlight w:val="none"/>
          <w:u w:val="single"/>
        </w:rPr>
        <w:t xml:space="preserve"> </w:t>
      </w:r>
    </w:p>
    <w:p>
      <w:pPr>
        <w:pStyle w:val="2"/>
        <w:spacing w:line="240" w:lineRule="auto"/>
        <w:rPr>
          <w:color w:val="auto"/>
          <w:highlight w:val="none"/>
        </w:rPr>
      </w:pPr>
    </w:p>
    <w:p>
      <w:pPr>
        <w:tabs>
          <w:tab w:val="left" w:pos="8197"/>
        </w:tabs>
        <w:spacing w:before="24"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发包人不按照本项约定组织竣工验收、颁发工程接收证书的违约金的计算方法：</w:t>
      </w:r>
    </w:p>
    <w:p>
      <w:pPr>
        <w:pStyle w:val="2"/>
        <w:spacing w:line="240" w:lineRule="auto"/>
        <w:rPr>
          <w:color w:val="auto"/>
          <w:highlight w:val="none"/>
        </w:rPr>
      </w:pPr>
    </w:p>
    <w:p>
      <w:pPr>
        <w:tabs>
          <w:tab w:val="left" w:pos="8197"/>
        </w:tabs>
        <w:spacing w:before="24"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13.2.5 </w:t>
      </w:r>
      <w:r>
        <w:rPr>
          <w:rFonts w:ascii="宋体" w:hAnsi="宋体" w:eastAsia="宋体" w:cs="宋体"/>
          <w:color w:val="auto"/>
          <w:spacing w:val="-2"/>
          <w:sz w:val="21"/>
          <w:szCs w:val="21"/>
          <w:highlight w:val="none"/>
        </w:rPr>
        <w:t>移交、接收全部与部分工程</w:t>
      </w:r>
    </w:p>
    <w:p>
      <w:pPr>
        <w:spacing w:before="124" w:line="240" w:lineRule="auto"/>
        <w:ind w:left="41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承包人向发包人移交工程的期限：</w:t>
      </w:r>
    </w:p>
    <w:p>
      <w:pPr>
        <w:pStyle w:val="2"/>
        <w:spacing w:line="240" w:lineRule="auto"/>
        <w:rPr>
          <w:color w:val="auto"/>
          <w:highlight w:val="none"/>
        </w:rPr>
      </w:pPr>
    </w:p>
    <w:p>
      <w:pPr>
        <w:tabs>
          <w:tab w:val="left" w:pos="8197"/>
        </w:tabs>
        <w:spacing w:before="23"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发包人未按本合同约定接收全部或部分工程的，违约金的计算方法为：</w:t>
      </w:r>
    </w:p>
    <w:p>
      <w:pPr>
        <w:pStyle w:val="2"/>
        <w:spacing w:line="240" w:lineRule="auto"/>
        <w:rPr>
          <w:color w:val="auto"/>
          <w:highlight w:val="none"/>
        </w:rPr>
      </w:pPr>
    </w:p>
    <w:p>
      <w:pPr>
        <w:tabs>
          <w:tab w:val="left" w:pos="8197"/>
        </w:tabs>
        <w:spacing w:before="22"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1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承包人未按时移交工程的，违约金的计算方法为：</w:t>
      </w:r>
    </w:p>
    <w:p>
      <w:pPr>
        <w:pStyle w:val="2"/>
        <w:spacing w:line="240" w:lineRule="auto"/>
        <w:rPr>
          <w:color w:val="auto"/>
          <w:highlight w:val="none"/>
        </w:rPr>
      </w:pPr>
    </w:p>
    <w:p>
      <w:pPr>
        <w:tabs>
          <w:tab w:val="left" w:pos="8197"/>
        </w:tabs>
        <w:spacing w:before="24" w:line="240"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4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13.3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工程试车</w:t>
      </w:r>
    </w:p>
    <w:p>
      <w:pPr>
        <w:spacing w:before="142"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13.3.1  </w:t>
      </w:r>
      <w:r>
        <w:rPr>
          <w:rFonts w:ascii="宋体" w:hAnsi="宋体" w:eastAsia="宋体" w:cs="宋体"/>
          <w:color w:val="auto"/>
          <w:spacing w:val="-2"/>
          <w:position w:val="14"/>
          <w:sz w:val="21"/>
          <w:szCs w:val="21"/>
          <w:highlight w:val="none"/>
        </w:rPr>
        <w:t>试车程序</w:t>
      </w:r>
    </w:p>
    <w:p>
      <w:pPr>
        <w:spacing w:line="240" w:lineRule="auto"/>
        <w:ind w:left="414"/>
        <w:rPr>
          <w:color w:val="auto"/>
          <w:highlight w:val="none"/>
        </w:rPr>
      </w:pPr>
      <w:r>
        <w:rPr>
          <w:rFonts w:ascii="宋体" w:hAnsi="宋体" w:eastAsia="宋体" w:cs="宋体"/>
          <w:color w:val="auto"/>
          <w:spacing w:val="-5"/>
          <w:sz w:val="21"/>
          <w:szCs w:val="21"/>
          <w:highlight w:val="none"/>
        </w:rPr>
        <w:t>工程试车内容：</w:t>
      </w:r>
    </w:p>
    <w:p>
      <w:pPr>
        <w:tabs>
          <w:tab w:val="left" w:pos="8302"/>
        </w:tabs>
        <w:spacing w:before="24" w:line="240" w:lineRule="auto"/>
        <w:ind w:left="509"/>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9" w:line="240" w:lineRule="auto"/>
        <w:ind w:left="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 xml:space="preserve">）单机无负荷试车费用由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2"/>
          <w:sz w:val="21"/>
          <w:szCs w:val="21"/>
          <w:highlight w:val="none"/>
        </w:rPr>
        <w:t>承担；</w:t>
      </w:r>
    </w:p>
    <w:p>
      <w:pPr>
        <w:spacing w:line="240" w:lineRule="auto"/>
        <w:ind w:left="4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）无负荷联动试车费用由</w:t>
      </w:r>
      <w:r>
        <w:rPr>
          <w:rFonts w:ascii="宋体" w:hAnsi="宋体" w:eastAsia="宋体" w:cs="宋体"/>
          <w:color w:val="auto"/>
          <w:spacing w:val="-9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3"/>
          <w:sz w:val="21"/>
          <w:szCs w:val="21"/>
          <w:highlight w:val="none"/>
        </w:rPr>
        <w:t>承担。</w:t>
      </w:r>
    </w:p>
    <w:p>
      <w:pPr>
        <w:spacing w:before="147" w:line="240"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13.3.3  </w:t>
      </w:r>
      <w:r>
        <w:rPr>
          <w:rFonts w:ascii="宋体" w:hAnsi="宋体" w:eastAsia="宋体" w:cs="宋体"/>
          <w:color w:val="auto"/>
          <w:spacing w:val="-2"/>
          <w:sz w:val="21"/>
          <w:szCs w:val="21"/>
          <w:highlight w:val="none"/>
        </w:rPr>
        <w:t>投料试车</w:t>
      </w:r>
    </w:p>
    <w:p>
      <w:pPr>
        <w:spacing w:before="150" w:line="240" w:lineRule="auto"/>
        <w:ind w:left="41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关于投料试车相关事项的约定：</w:t>
      </w:r>
    </w:p>
    <w:p>
      <w:pPr>
        <w:pStyle w:val="2"/>
        <w:spacing w:line="261" w:lineRule="auto"/>
        <w:rPr>
          <w:color w:val="auto"/>
          <w:highlight w:val="none"/>
        </w:rPr>
      </w:pPr>
    </w:p>
    <w:p>
      <w:pPr>
        <w:tabs>
          <w:tab w:val="left" w:pos="8197"/>
        </w:tabs>
        <w:spacing w:before="23" w:line="174"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2"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13.6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竣工退场</w:t>
      </w:r>
    </w:p>
    <w:p>
      <w:pPr>
        <w:spacing w:before="142" w:line="221"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13.6.1  </w:t>
      </w:r>
      <w:r>
        <w:rPr>
          <w:rFonts w:ascii="宋体" w:hAnsi="宋体" w:eastAsia="宋体" w:cs="宋体"/>
          <w:color w:val="auto"/>
          <w:spacing w:val="-2"/>
          <w:sz w:val="21"/>
          <w:szCs w:val="21"/>
          <w:highlight w:val="none"/>
        </w:rPr>
        <w:t>竣工退场</w:t>
      </w:r>
    </w:p>
    <w:p>
      <w:pPr>
        <w:spacing w:before="149" w:line="221" w:lineRule="auto"/>
        <w:ind w:left="41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承包人完成竣工退场的期限：</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6"/>
          <w:sz w:val="21"/>
          <w:szCs w:val="21"/>
          <w:highlight w:val="none"/>
        </w:rPr>
        <w:t>。</w:t>
      </w:r>
    </w:p>
    <w:p>
      <w:pPr>
        <w:spacing w:before="188" w:line="219" w:lineRule="auto"/>
        <w:ind w:left="2"/>
        <w:rPr>
          <w:rFonts w:ascii="黑体" w:hAnsi="黑体" w:eastAsia="黑体" w:cs="黑体"/>
          <w:color w:val="auto"/>
          <w:sz w:val="28"/>
          <w:szCs w:val="28"/>
          <w:highlight w:val="none"/>
        </w:rPr>
      </w:pPr>
      <w:r>
        <w:rPr>
          <w:rFonts w:ascii="Times New Roman" w:hAnsi="Times New Roman" w:eastAsia="Times New Roman" w:cs="Times New Roman"/>
          <w:b/>
          <w:bCs/>
          <w:color w:val="auto"/>
          <w:spacing w:val="-2"/>
          <w:sz w:val="28"/>
          <w:szCs w:val="28"/>
          <w:highlight w:val="none"/>
        </w:rPr>
        <w:t xml:space="preserve">14.  </w:t>
      </w:r>
      <w:r>
        <w:rPr>
          <w:rFonts w:ascii="黑体" w:hAnsi="黑体" w:eastAsia="黑体" w:cs="黑体"/>
          <w:color w:val="auto"/>
          <w:spacing w:val="-2"/>
          <w:sz w:val="28"/>
          <w:szCs w:val="28"/>
          <w:highlight w:val="none"/>
          <w14:textOutline w14:w="5094" w14:cap="flat" w14:cmpd="sng">
            <w14:solidFill>
              <w14:srgbClr w14:val="000000"/>
            </w14:solidFill>
            <w14:prstDash w14:val="solid"/>
            <w14:miter w14:val="0"/>
          </w14:textOutline>
        </w:rPr>
        <w:t>竣工结算</w:t>
      </w:r>
    </w:p>
    <w:p>
      <w:pPr>
        <w:spacing w:before="104" w:line="218"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竣工结算申请</w:t>
      </w:r>
    </w:p>
    <w:p>
      <w:pPr>
        <w:spacing w:before="140" w:line="352" w:lineRule="auto"/>
        <w:ind w:left="41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承包人提交竣工结算申请单的期限：</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 xml:space="preserve"> 。</w:t>
      </w:r>
    </w:p>
    <w:p>
      <w:pPr>
        <w:spacing w:before="1" w:line="220" w:lineRule="auto"/>
        <w:ind w:left="41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竣工结算申请单应包括的内容：</w:t>
      </w:r>
    </w:p>
    <w:p>
      <w:pPr>
        <w:pStyle w:val="2"/>
        <w:spacing w:line="261" w:lineRule="auto"/>
        <w:rPr>
          <w:color w:val="auto"/>
          <w:highlight w:val="none"/>
        </w:rPr>
      </w:pPr>
    </w:p>
    <w:p>
      <w:pPr>
        <w:tabs>
          <w:tab w:val="left" w:pos="8197"/>
        </w:tabs>
        <w:spacing w:before="24" w:line="174"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18"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14.2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竣工结算审核</w:t>
      </w:r>
    </w:p>
    <w:p>
      <w:pPr>
        <w:spacing w:before="143" w:line="352" w:lineRule="auto"/>
        <w:ind w:left="41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发包人审批竣工付款申请单的期限：</w:t>
      </w:r>
      <w:r>
        <w:rPr>
          <w:rFonts w:ascii="宋体" w:hAnsi="宋体" w:eastAsia="宋体" w:cs="宋体"/>
          <w:color w:val="auto"/>
          <w:spacing w:val="-30"/>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rPr>
        <w:t>。</w:t>
      </w:r>
    </w:p>
    <w:p>
      <w:pPr>
        <w:spacing w:before="1" w:line="220" w:lineRule="auto"/>
        <w:ind w:left="4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发包人完成竣工付款的期限：</w:t>
      </w:r>
      <w:r>
        <w:rPr>
          <w:rFonts w:ascii="宋体" w:hAnsi="宋体" w:eastAsia="宋体" w:cs="宋体"/>
          <w:color w:val="auto"/>
          <w:spacing w:val="-16"/>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7"/>
          <w:sz w:val="21"/>
          <w:szCs w:val="21"/>
          <w:highlight w:val="none"/>
        </w:rPr>
        <w:t>。</w:t>
      </w:r>
    </w:p>
    <w:p>
      <w:pPr>
        <w:spacing w:before="147" w:line="220" w:lineRule="auto"/>
        <w:ind w:left="4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关于竣工付款证书异议部分复核的方式和程序：</w:t>
      </w:r>
    </w:p>
    <w:p>
      <w:pPr>
        <w:pStyle w:val="2"/>
        <w:spacing w:line="262" w:lineRule="auto"/>
        <w:rPr>
          <w:color w:val="auto"/>
          <w:highlight w:val="none"/>
        </w:rPr>
      </w:pPr>
    </w:p>
    <w:p>
      <w:pPr>
        <w:tabs>
          <w:tab w:val="left" w:pos="8197"/>
        </w:tabs>
        <w:spacing w:before="23" w:line="174" w:lineRule="auto"/>
        <w:ind w:left="40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5" w:line="220"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4"/>
          <w:sz w:val="24"/>
          <w:szCs w:val="24"/>
          <w:highlight w:val="none"/>
        </w:rPr>
        <w:t>14.4</w:t>
      </w:r>
      <w:r>
        <w:rPr>
          <w:rFonts w:ascii="Times New Roman" w:hAnsi="Times New Roman" w:eastAsia="Times New Roman" w:cs="Times New Roman"/>
          <w:b/>
          <w:bCs/>
          <w:color w:val="auto"/>
          <w:spacing w:val="9"/>
          <w:sz w:val="24"/>
          <w:szCs w:val="24"/>
          <w:highlight w:val="none"/>
        </w:rPr>
        <w:t xml:space="preserve">  </w:t>
      </w:r>
      <w:r>
        <w:rPr>
          <w:rFonts w:ascii="黑体" w:hAnsi="黑体" w:eastAsia="黑体" w:cs="黑体"/>
          <w:color w:val="auto"/>
          <w:spacing w:val="-4"/>
          <w:sz w:val="24"/>
          <w:szCs w:val="24"/>
          <w:highlight w:val="none"/>
          <w14:textOutline w14:w="4354" w14:cap="flat" w14:cmpd="sng">
            <w14:solidFill>
              <w14:srgbClr w14:val="000000"/>
            </w14:solidFill>
            <w14:prstDash w14:val="solid"/>
            <w14:miter w14:val="0"/>
          </w14:textOutline>
        </w:rPr>
        <w:t>最终结清</w:t>
      </w:r>
    </w:p>
    <w:p>
      <w:pPr>
        <w:spacing w:before="136" w:line="221"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14.4.1  </w:t>
      </w:r>
      <w:r>
        <w:rPr>
          <w:rFonts w:ascii="宋体" w:hAnsi="宋体" w:eastAsia="宋体" w:cs="宋体"/>
          <w:color w:val="auto"/>
          <w:spacing w:val="-2"/>
          <w:sz w:val="21"/>
          <w:szCs w:val="21"/>
          <w:highlight w:val="none"/>
        </w:rPr>
        <w:t>最终结清申请单</w:t>
      </w:r>
    </w:p>
    <w:p>
      <w:pPr>
        <w:spacing w:before="149" w:line="221" w:lineRule="auto"/>
        <w:ind w:left="41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承包人提交最终结清申请单的份数：</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50" w:line="351" w:lineRule="auto"/>
        <w:ind w:left="41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承包人提交最终结算申请单的期限：</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pPr>
        <w:spacing w:before="1" w:line="219" w:lineRule="auto"/>
        <w:ind w:left="428"/>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14.4.2  </w:t>
      </w:r>
      <w:r>
        <w:rPr>
          <w:rFonts w:ascii="宋体" w:hAnsi="宋体" w:eastAsia="宋体" w:cs="宋体"/>
          <w:color w:val="auto"/>
          <w:spacing w:val="-2"/>
          <w:sz w:val="21"/>
          <w:szCs w:val="21"/>
          <w:highlight w:val="none"/>
        </w:rPr>
        <w:t>最终结清证书和支付</w:t>
      </w:r>
    </w:p>
    <w:p>
      <w:pPr>
        <w:spacing w:before="150" w:line="220" w:lineRule="auto"/>
        <w:ind w:left="41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）发包人完成最终结清申请单的审批并颁</w:t>
      </w:r>
      <w:r>
        <w:rPr>
          <w:rFonts w:ascii="宋体" w:hAnsi="宋体" w:eastAsia="宋体" w:cs="宋体"/>
          <w:color w:val="auto"/>
          <w:spacing w:val="-1"/>
          <w:sz w:val="21"/>
          <w:szCs w:val="21"/>
          <w:highlight w:val="none"/>
        </w:rPr>
        <w:t>发最终结清证书的期限：</w:t>
      </w:r>
    </w:p>
    <w:p>
      <w:pPr>
        <w:spacing w:before="185" w:line="240"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）发包人完成支付的期限：</w:t>
      </w:r>
    </w:p>
    <w:p>
      <w:pPr>
        <w:tabs>
          <w:tab w:val="left" w:pos="8205"/>
        </w:tabs>
        <w:spacing w:before="23" w:line="240"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7" w:line="240" w:lineRule="auto"/>
        <w:ind w:left="9"/>
        <w:rPr>
          <w:rFonts w:ascii="黑体" w:hAnsi="黑体" w:eastAsia="黑体" w:cs="黑体"/>
          <w:color w:val="auto"/>
          <w:sz w:val="28"/>
          <w:szCs w:val="28"/>
          <w:highlight w:val="none"/>
        </w:rPr>
      </w:pPr>
      <w:r>
        <w:rPr>
          <w:rFonts w:ascii="Times New Roman" w:hAnsi="Times New Roman" w:eastAsia="Times New Roman" w:cs="Times New Roman"/>
          <w:b/>
          <w:bCs/>
          <w:color w:val="auto"/>
          <w:spacing w:val="-1"/>
          <w:position w:val="11"/>
          <w:sz w:val="28"/>
          <w:szCs w:val="28"/>
          <w:highlight w:val="none"/>
        </w:rPr>
        <w:t xml:space="preserve">15.  </w:t>
      </w:r>
      <w:r>
        <w:rPr>
          <w:rFonts w:ascii="黑体" w:hAnsi="黑体" w:eastAsia="黑体" w:cs="黑体"/>
          <w:color w:val="auto"/>
          <w:spacing w:val="-1"/>
          <w:position w:val="11"/>
          <w:sz w:val="28"/>
          <w:szCs w:val="28"/>
          <w:highlight w:val="none"/>
          <w14:textOutline w14:w="5094" w14:cap="flat" w14:cmpd="sng">
            <w14:solidFill>
              <w14:srgbClr w14:val="000000"/>
            </w14:solidFill>
            <w14:prstDash w14:val="solid"/>
            <w14:miter w14:val="0"/>
          </w14:textOutline>
        </w:rPr>
        <w:t>缺陷责任期与保修</w:t>
      </w:r>
    </w:p>
    <w:p>
      <w:pPr>
        <w:spacing w:line="218" w:lineRule="auto"/>
        <w:ind w:left="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缺陷责任期</w:t>
      </w:r>
    </w:p>
    <w:p>
      <w:pPr>
        <w:spacing w:before="139" w:line="240" w:lineRule="auto"/>
        <w:ind w:left="419"/>
        <w:rPr>
          <w:color w:val="auto"/>
          <w:highlight w:val="none"/>
        </w:rPr>
      </w:pPr>
      <w:r>
        <w:rPr>
          <w:rFonts w:ascii="宋体" w:hAnsi="宋体" w:eastAsia="宋体" w:cs="宋体"/>
          <w:color w:val="auto"/>
          <w:spacing w:val="-3"/>
          <w:sz w:val="21"/>
          <w:szCs w:val="21"/>
          <w:highlight w:val="none"/>
        </w:rPr>
        <w:t>缺陷责任期的具体期限：</w:t>
      </w:r>
    </w:p>
    <w:p>
      <w:pPr>
        <w:tabs>
          <w:tab w:val="left" w:pos="8205"/>
        </w:tabs>
        <w:spacing w:before="23" w:line="240"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3" w:line="240" w:lineRule="auto"/>
        <w:ind w:left="6"/>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15.3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质量保证金</w:t>
      </w:r>
    </w:p>
    <w:p>
      <w:pPr>
        <w:spacing w:before="138" w:line="240"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关于是否扣留质量保证金的约定：</w:t>
      </w:r>
    </w:p>
    <w:p>
      <w:pPr>
        <w:pStyle w:val="2"/>
        <w:spacing w:line="240" w:lineRule="auto"/>
        <w:rPr>
          <w:color w:val="auto"/>
          <w:highlight w:val="none"/>
        </w:rPr>
      </w:pPr>
    </w:p>
    <w:p>
      <w:pPr>
        <w:tabs>
          <w:tab w:val="left" w:pos="8205"/>
        </w:tabs>
        <w:spacing w:before="24" w:line="240"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在工程项目竣工前，</w:t>
      </w:r>
      <w:r>
        <w:rPr>
          <w:rFonts w:ascii="宋体" w:hAnsi="宋体" w:eastAsia="宋体" w:cs="宋体"/>
          <w:color w:val="auto"/>
          <w:spacing w:val="-23"/>
          <w:position w:val="14"/>
          <w:sz w:val="21"/>
          <w:szCs w:val="21"/>
          <w:highlight w:val="none"/>
        </w:rPr>
        <w:t xml:space="preserve"> </w:t>
      </w:r>
      <w:r>
        <w:rPr>
          <w:rFonts w:ascii="宋体" w:hAnsi="宋体" w:eastAsia="宋体" w:cs="宋体"/>
          <w:color w:val="auto"/>
          <w:spacing w:val="-5"/>
          <w:position w:val="14"/>
          <w:sz w:val="21"/>
          <w:szCs w:val="21"/>
          <w:highlight w:val="none"/>
        </w:rPr>
        <w:t xml:space="preserve">承包人按专用合同条款第 </w:t>
      </w:r>
      <w:r>
        <w:rPr>
          <w:rFonts w:ascii="Times New Roman" w:hAnsi="Times New Roman" w:eastAsia="Times New Roman" w:cs="Times New Roman"/>
          <w:color w:val="auto"/>
          <w:spacing w:val="-5"/>
          <w:position w:val="14"/>
          <w:sz w:val="21"/>
          <w:szCs w:val="21"/>
          <w:highlight w:val="none"/>
        </w:rPr>
        <w:t>3.7</w:t>
      </w:r>
      <w:r>
        <w:rPr>
          <w:rFonts w:ascii="Times New Roman" w:hAnsi="Times New Roman" w:eastAsia="Times New Roman" w:cs="Times New Roman"/>
          <w:color w:val="auto"/>
          <w:spacing w:val="34"/>
          <w:w w:val="101"/>
          <w:position w:val="14"/>
          <w:sz w:val="21"/>
          <w:szCs w:val="21"/>
          <w:highlight w:val="none"/>
        </w:rPr>
        <w:t xml:space="preserve"> </w:t>
      </w:r>
      <w:r>
        <w:rPr>
          <w:rFonts w:ascii="宋体" w:hAnsi="宋体" w:eastAsia="宋体" w:cs="宋体"/>
          <w:color w:val="auto"/>
          <w:spacing w:val="-5"/>
          <w:position w:val="14"/>
          <w:sz w:val="21"/>
          <w:szCs w:val="21"/>
          <w:highlight w:val="none"/>
        </w:rPr>
        <w:t xml:space="preserve">条提供履约担保的， </w:t>
      </w:r>
      <w:r>
        <w:rPr>
          <w:rFonts w:ascii="宋体" w:hAnsi="宋体" w:eastAsia="宋体" w:cs="宋体"/>
          <w:color w:val="auto"/>
          <w:spacing w:val="-6"/>
          <w:position w:val="14"/>
          <w:sz w:val="21"/>
          <w:szCs w:val="21"/>
          <w:highlight w:val="none"/>
        </w:rPr>
        <w:t>发包人不得同时预留</w:t>
      </w:r>
    </w:p>
    <w:p>
      <w:pPr>
        <w:spacing w:line="240" w:lineRule="auto"/>
        <w:ind w:left="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工程质量保证金。</w:t>
      </w:r>
    </w:p>
    <w:p>
      <w:pPr>
        <w:spacing w:before="149" w:line="240"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15.3.1  </w:t>
      </w:r>
      <w:r>
        <w:rPr>
          <w:rFonts w:ascii="宋体" w:hAnsi="宋体" w:eastAsia="宋体" w:cs="宋体"/>
          <w:color w:val="auto"/>
          <w:spacing w:val="-1"/>
          <w:position w:val="14"/>
          <w:sz w:val="21"/>
          <w:szCs w:val="21"/>
          <w:highlight w:val="none"/>
        </w:rPr>
        <w:t>承包人提供质量保证金的方式</w:t>
      </w:r>
    </w:p>
    <w:p>
      <w:pPr>
        <w:spacing w:before="1" w:line="240"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质量保证金采用以下第</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hint="eastAsia" w:ascii="宋体" w:hAnsi="宋体" w:eastAsia="宋体" w:cs="宋体"/>
          <w:color w:val="auto"/>
          <w:spacing w:val="17"/>
          <w:sz w:val="21"/>
          <w:szCs w:val="21"/>
          <w:highlight w:val="none"/>
          <w:u w:val="single" w:color="auto"/>
          <w:lang w:eastAsia="zh-CN"/>
        </w:rPr>
        <w:t>（</w:t>
      </w:r>
      <w:r>
        <w:rPr>
          <w:rFonts w:hint="eastAsia" w:ascii="宋体" w:hAnsi="宋体" w:eastAsia="宋体" w:cs="宋体"/>
          <w:color w:val="auto"/>
          <w:spacing w:val="17"/>
          <w:sz w:val="21"/>
          <w:szCs w:val="21"/>
          <w:highlight w:val="none"/>
          <w:u w:val="single" w:color="auto"/>
          <w:lang w:val="en-US" w:eastAsia="zh-CN"/>
        </w:rPr>
        <w:t>2</w:t>
      </w:r>
      <w:r>
        <w:rPr>
          <w:rFonts w:hint="eastAsia" w:ascii="宋体" w:hAnsi="宋体" w:eastAsia="宋体" w:cs="宋体"/>
          <w:color w:val="auto"/>
          <w:spacing w:val="17"/>
          <w:sz w:val="21"/>
          <w:szCs w:val="21"/>
          <w:highlight w:val="none"/>
          <w:u w:val="single" w:color="auto"/>
          <w:lang w:eastAsia="zh-CN"/>
        </w:rPr>
        <w:t>）</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
          <w:sz w:val="21"/>
          <w:szCs w:val="21"/>
          <w:highlight w:val="none"/>
        </w:rPr>
        <w:t>种方式：</w:t>
      </w:r>
    </w:p>
    <w:p>
      <w:pPr>
        <w:spacing w:before="149" w:line="240" w:lineRule="auto"/>
        <w:ind w:left="42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1</w:t>
      </w:r>
      <w:r>
        <w:rPr>
          <w:rFonts w:ascii="宋体" w:hAnsi="宋体" w:eastAsia="宋体" w:cs="宋体"/>
          <w:color w:val="auto"/>
          <w:spacing w:val="-12"/>
          <w:sz w:val="21"/>
          <w:szCs w:val="21"/>
          <w:highlight w:val="none"/>
        </w:rPr>
        <w:t>）质量保证金保函， 保证金额为</w:t>
      </w:r>
      <w:r>
        <w:rPr>
          <w:rFonts w:ascii="宋体" w:hAnsi="宋体" w:eastAsia="宋体" w:cs="宋体"/>
          <w:color w:val="auto"/>
          <w:spacing w:val="4"/>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
          <w:sz w:val="21"/>
          <w:szCs w:val="21"/>
          <w:highlight w:val="none"/>
        </w:rPr>
        <w:t>；</w:t>
      </w:r>
    </w:p>
    <w:p>
      <w:pPr>
        <w:spacing w:line="240" w:lineRule="auto"/>
        <w:ind w:left="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u w:val="single" w:color="auto"/>
        </w:rPr>
        <w:t xml:space="preserve">        </w:t>
      </w:r>
      <w:r>
        <w:rPr>
          <w:rFonts w:hint="eastAsia" w:ascii="Times New Roman" w:hAnsi="Times New Roman" w:eastAsia="宋体" w:cs="Times New Roman"/>
          <w:color w:val="auto"/>
          <w:spacing w:val="-4"/>
          <w:sz w:val="21"/>
          <w:szCs w:val="21"/>
          <w:highlight w:val="none"/>
          <w:u w:val="single" w:color="auto"/>
          <w:lang w:val="en-US" w:eastAsia="zh-CN"/>
        </w:rPr>
        <w:t>3</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的工程款；</w:t>
      </w:r>
    </w:p>
    <w:p>
      <w:pPr>
        <w:spacing w:before="134" w:line="240"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）其他方式</w:t>
      </w:r>
      <w:r>
        <w:rPr>
          <w:rFonts w:ascii="Times New Roman" w:hAnsi="Times New Roman" w:eastAsia="Times New Roman" w:cs="Times New Roman"/>
          <w:color w:val="auto"/>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line="240"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15.3.2  </w:t>
      </w:r>
      <w:r>
        <w:rPr>
          <w:rFonts w:ascii="宋体" w:hAnsi="宋体" w:eastAsia="宋体" w:cs="宋体"/>
          <w:color w:val="auto"/>
          <w:spacing w:val="-2"/>
          <w:sz w:val="21"/>
          <w:szCs w:val="21"/>
          <w:highlight w:val="none"/>
        </w:rPr>
        <w:t>质量保证金的扣留</w:t>
      </w:r>
    </w:p>
    <w:p>
      <w:pPr>
        <w:spacing w:before="149" w:line="240"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质量保证金的扣留采取以下第</w:t>
      </w:r>
      <w:r>
        <w:rPr>
          <w:rFonts w:ascii="宋体" w:hAnsi="宋体" w:eastAsia="宋体" w:cs="宋体"/>
          <w:color w:val="auto"/>
          <w:spacing w:val="-101"/>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hint="eastAsia" w:ascii="宋体" w:hAnsi="宋体" w:eastAsia="宋体" w:cs="宋体"/>
          <w:color w:val="auto"/>
          <w:spacing w:val="17"/>
          <w:sz w:val="21"/>
          <w:szCs w:val="21"/>
          <w:highlight w:val="none"/>
          <w:u w:val="single" w:color="auto"/>
          <w:lang w:val="en-US" w:eastAsia="zh-CN"/>
        </w:rPr>
        <w:t>2</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
          <w:sz w:val="21"/>
          <w:szCs w:val="21"/>
          <w:highlight w:val="none"/>
        </w:rPr>
        <w:t>种方式：</w:t>
      </w:r>
    </w:p>
    <w:p>
      <w:pPr>
        <w:spacing w:before="151" w:line="240" w:lineRule="auto"/>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）在支付工程进度款时逐次扣留， 在</w:t>
      </w:r>
      <w:r>
        <w:rPr>
          <w:rFonts w:ascii="宋体" w:hAnsi="宋体" w:eastAsia="宋体" w:cs="宋体"/>
          <w:color w:val="auto"/>
          <w:spacing w:val="-1"/>
          <w:position w:val="14"/>
          <w:sz w:val="21"/>
          <w:szCs w:val="21"/>
          <w:highlight w:val="none"/>
        </w:rPr>
        <w:t>此情形下，质量保证金的计算基数不包括预付款的</w:t>
      </w:r>
    </w:p>
    <w:p>
      <w:pPr>
        <w:spacing w:line="24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支付、扣回以及价格调整的金额；</w:t>
      </w:r>
    </w:p>
    <w:p>
      <w:pPr>
        <w:spacing w:before="151" w:line="240" w:lineRule="auto"/>
        <w:ind w:left="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）工程竣工结算时一次性扣留质量保证金；</w:t>
      </w:r>
    </w:p>
    <w:p>
      <w:pPr>
        <w:spacing w:before="151" w:line="240" w:lineRule="auto"/>
        <w:ind w:left="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）其他扣留方式</w:t>
      </w:r>
      <w:r>
        <w:rPr>
          <w:rFonts w:ascii="Times New Roman" w:hAnsi="Times New Roman" w:eastAsia="Times New Roman" w:cs="Times New Roman"/>
          <w:color w:val="auto"/>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line="240" w:lineRule="auto"/>
        <w:ind w:left="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关于质量保证金的补充约定：</w:t>
      </w:r>
    </w:p>
    <w:p>
      <w:pPr>
        <w:pStyle w:val="2"/>
        <w:spacing w:line="240" w:lineRule="auto"/>
        <w:rPr>
          <w:color w:val="auto"/>
          <w:highlight w:val="none"/>
        </w:rPr>
      </w:pPr>
    </w:p>
    <w:p>
      <w:pPr>
        <w:tabs>
          <w:tab w:val="left" w:pos="8205"/>
        </w:tabs>
        <w:spacing w:before="23" w:line="240" w:lineRule="auto"/>
        <w:ind w:left="410"/>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4" w:line="240" w:lineRule="auto"/>
        <w:ind w:left="6"/>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15.4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保修</w:t>
      </w:r>
    </w:p>
    <w:p>
      <w:pPr>
        <w:spacing w:before="138" w:line="240"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15.4.1  </w:t>
      </w:r>
      <w:r>
        <w:rPr>
          <w:rFonts w:ascii="宋体" w:hAnsi="宋体" w:eastAsia="宋体" w:cs="宋体"/>
          <w:color w:val="auto"/>
          <w:spacing w:val="-2"/>
          <w:position w:val="14"/>
          <w:sz w:val="21"/>
          <w:szCs w:val="21"/>
          <w:highlight w:val="none"/>
        </w:rPr>
        <w:t>保修责任</w:t>
      </w:r>
    </w:p>
    <w:p>
      <w:pPr>
        <w:spacing w:before="1" w:line="240" w:lineRule="auto"/>
        <w:ind w:left="4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工程保修期为：</w:t>
      </w:r>
    </w:p>
    <w:p>
      <w:pPr>
        <w:pStyle w:val="2"/>
        <w:spacing w:line="240" w:lineRule="auto"/>
        <w:rPr>
          <w:color w:val="auto"/>
          <w:highlight w:val="none"/>
        </w:rPr>
      </w:pPr>
    </w:p>
    <w:p>
      <w:pPr>
        <w:spacing w:before="138" w:line="240" w:lineRule="auto"/>
        <w:ind w:left="435"/>
        <w:rPr>
          <w:rFonts w:ascii="宋体" w:hAnsi="宋体" w:eastAsia="宋体" w:cs="宋体"/>
          <w:color w:val="auto"/>
          <w:spacing w:val="-2"/>
          <w:position w:val="14"/>
          <w:sz w:val="21"/>
          <w:szCs w:val="21"/>
          <w:highlight w:val="none"/>
          <w:u w:val="single"/>
        </w:rPr>
      </w:pPr>
      <w:r>
        <w:rPr>
          <w:rFonts w:ascii="宋体" w:hAnsi="宋体" w:eastAsia="宋体" w:cs="宋体"/>
          <w:color w:val="auto"/>
          <w:spacing w:val="-2"/>
          <w:position w:val="14"/>
          <w:sz w:val="21"/>
          <w:szCs w:val="21"/>
          <w:highlight w:val="none"/>
          <w:u w:val="single"/>
        </w:rPr>
        <w:t>1、工程竣工验收合格后，承包人应在工程移交前填写《质量保修书》。</w:t>
      </w:r>
    </w:p>
    <w:p>
      <w:pPr>
        <w:spacing w:before="138" w:line="240" w:lineRule="auto"/>
        <w:ind w:left="435"/>
        <w:rPr>
          <w:rFonts w:ascii="宋体" w:hAnsi="宋体" w:eastAsia="宋体" w:cs="宋体"/>
          <w:color w:val="auto"/>
          <w:spacing w:val="-2"/>
          <w:position w:val="14"/>
          <w:sz w:val="21"/>
          <w:szCs w:val="21"/>
          <w:highlight w:val="none"/>
          <w:u w:val="single"/>
        </w:rPr>
      </w:pPr>
      <w:r>
        <w:rPr>
          <w:rFonts w:ascii="宋体" w:hAnsi="宋体" w:eastAsia="宋体" w:cs="宋体"/>
          <w:color w:val="auto"/>
          <w:spacing w:val="-2"/>
          <w:position w:val="14"/>
          <w:sz w:val="21"/>
          <w:szCs w:val="21"/>
          <w:highlight w:val="none"/>
          <w:u w:val="single"/>
        </w:rPr>
        <w:t>2、承包人质量保修项目内容及范围：项目规划设计中工程施工图纸内的全部分项工程。</w:t>
      </w:r>
    </w:p>
    <w:p>
      <w:pPr>
        <w:spacing w:before="138" w:line="240" w:lineRule="auto"/>
        <w:ind w:left="435"/>
        <w:rPr>
          <w:rFonts w:ascii="宋体" w:hAnsi="宋体" w:eastAsia="宋体" w:cs="宋体"/>
          <w:color w:val="auto"/>
          <w:spacing w:val="-2"/>
          <w:position w:val="14"/>
          <w:sz w:val="21"/>
          <w:szCs w:val="21"/>
          <w:highlight w:val="none"/>
          <w:u w:val="single"/>
        </w:rPr>
      </w:pPr>
      <w:r>
        <w:rPr>
          <w:rFonts w:ascii="宋体" w:hAnsi="宋体" w:eastAsia="宋体" w:cs="宋体"/>
          <w:color w:val="auto"/>
          <w:spacing w:val="-2"/>
          <w:position w:val="14"/>
          <w:sz w:val="21"/>
          <w:szCs w:val="21"/>
          <w:highlight w:val="none"/>
          <w:u w:val="single"/>
        </w:rPr>
        <w:t>3、承包人质量保修期：一年，从工程移交之日起算365天。</w:t>
      </w:r>
    </w:p>
    <w:p>
      <w:pPr>
        <w:spacing w:before="138" w:line="240" w:lineRule="auto"/>
        <w:ind w:left="435"/>
        <w:rPr>
          <w:rFonts w:hint="eastAsia" w:ascii="宋体" w:hAnsi="宋体" w:eastAsia="宋体" w:cs="宋体"/>
          <w:color w:val="auto"/>
          <w:spacing w:val="-2"/>
          <w:position w:val="14"/>
          <w:sz w:val="21"/>
          <w:szCs w:val="21"/>
          <w:highlight w:val="none"/>
          <w:u w:val="single"/>
        </w:rPr>
      </w:pPr>
      <w:r>
        <w:rPr>
          <w:rFonts w:ascii="宋体" w:hAnsi="宋体" w:eastAsia="宋体" w:cs="宋体"/>
          <w:color w:val="auto"/>
          <w:spacing w:val="-2"/>
          <w:position w:val="14"/>
          <w:sz w:val="21"/>
          <w:szCs w:val="21"/>
          <w:highlight w:val="none"/>
          <w:u w:val="single"/>
        </w:rPr>
        <w:t>4、承包人质量保修责任：负责保修因施工原因出现的质量问题。</w:t>
      </w:r>
    </w:p>
    <w:p>
      <w:pPr>
        <w:spacing w:before="196" w:line="240" w:lineRule="auto"/>
        <w:ind w:left="43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15.4.3  </w:t>
      </w:r>
      <w:r>
        <w:rPr>
          <w:rFonts w:ascii="宋体" w:hAnsi="宋体" w:eastAsia="宋体" w:cs="宋体"/>
          <w:color w:val="auto"/>
          <w:spacing w:val="-2"/>
          <w:sz w:val="21"/>
          <w:szCs w:val="21"/>
          <w:highlight w:val="none"/>
        </w:rPr>
        <w:t>修复通知</w:t>
      </w:r>
    </w:p>
    <w:p>
      <w:pPr>
        <w:tabs>
          <w:tab w:val="left" w:pos="8205"/>
        </w:tabs>
        <w:spacing w:before="23" w:line="240" w:lineRule="auto"/>
        <w:ind w:left="410"/>
        <w:rPr>
          <w:color w:val="auto"/>
          <w:highlight w:val="none"/>
        </w:rPr>
      </w:pPr>
      <w:r>
        <w:rPr>
          <w:rFonts w:ascii="宋体" w:hAnsi="宋体" w:eastAsia="宋体" w:cs="宋体"/>
          <w:color w:val="auto"/>
          <w:spacing w:val="-2"/>
          <w:sz w:val="21"/>
          <w:szCs w:val="21"/>
          <w:highlight w:val="none"/>
        </w:rPr>
        <w:t>承包人收到保修通知并到达工程现场的合理时间：</w:t>
      </w: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p>
    <w:p>
      <w:pPr>
        <w:spacing w:before="91" w:line="240" w:lineRule="auto"/>
        <w:ind w:left="10"/>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5"/>
          <w:sz w:val="28"/>
          <w:szCs w:val="28"/>
          <w:highlight w:val="none"/>
        </w:rPr>
        <w:t>16.</w:t>
      </w:r>
      <w:r>
        <w:rPr>
          <w:rFonts w:ascii="Times New Roman" w:hAnsi="Times New Roman" w:eastAsia="Times New Roman" w:cs="Times New Roman"/>
          <w:b/>
          <w:bCs/>
          <w:color w:val="auto"/>
          <w:spacing w:val="6"/>
          <w:sz w:val="28"/>
          <w:szCs w:val="28"/>
          <w:highlight w:val="none"/>
        </w:rPr>
        <w:t xml:space="preserve">  </w:t>
      </w:r>
      <w:r>
        <w:rPr>
          <w:rFonts w:ascii="黑体" w:hAnsi="黑体" w:eastAsia="黑体" w:cs="黑体"/>
          <w:color w:val="auto"/>
          <w:spacing w:val="-5"/>
          <w:sz w:val="28"/>
          <w:szCs w:val="28"/>
          <w:highlight w:val="none"/>
          <w14:textOutline w14:w="5094" w14:cap="flat" w14:cmpd="sng">
            <w14:solidFill>
              <w14:srgbClr w14:val="000000"/>
            </w14:solidFill>
            <w14:prstDash w14:val="solid"/>
            <w14:miter w14:val="0"/>
          </w14:textOutline>
        </w:rPr>
        <w:t>违约</w:t>
      </w:r>
    </w:p>
    <w:p>
      <w:pPr>
        <w:spacing w:before="101" w:line="240"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16.1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发包人违约</w:t>
      </w:r>
    </w:p>
    <w:p>
      <w:pPr>
        <w:spacing w:before="142" w:line="24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16.1.1 </w:t>
      </w:r>
      <w:r>
        <w:rPr>
          <w:rFonts w:ascii="宋体" w:hAnsi="宋体" w:eastAsia="宋体" w:cs="宋体"/>
          <w:color w:val="auto"/>
          <w:spacing w:val="-2"/>
          <w:position w:val="14"/>
          <w:sz w:val="21"/>
          <w:szCs w:val="21"/>
          <w:highlight w:val="none"/>
        </w:rPr>
        <w:t>发包人违约的情形</w:t>
      </w:r>
    </w:p>
    <w:p>
      <w:pPr>
        <w:spacing w:line="240" w:lineRule="auto"/>
        <w:ind w:left="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发包人违约的其他情形：</w:t>
      </w:r>
    </w:p>
    <w:p>
      <w:pPr>
        <w:pStyle w:val="2"/>
        <w:spacing w:line="240" w:lineRule="auto"/>
        <w:rPr>
          <w:color w:val="auto"/>
          <w:highlight w:val="none"/>
        </w:rPr>
      </w:pPr>
    </w:p>
    <w:p>
      <w:pPr>
        <w:tabs>
          <w:tab w:val="left" w:pos="8205"/>
        </w:tabs>
        <w:spacing w:before="23" w:line="240"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16.1.2  </w:t>
      </w:r>
      <w:r>
        <w:rPr>
          <w:rFonts w:ascii="宋体" w:hAnsi="宋体" w:eastAsia="宋体" w:cs="宋体"/>
          <w:color w:val="auto"/>
          <w:spacing w:val="-2"/>
          <w:sz w:val="21"/>
          <w:szCs w:val="21"/>
          <w:highlight w:val="none"/>
        </w:rPr>
        <w:t>发包人违约的责任</w:t>
      </w:r>
    </w:p>
    <w:p>
      <w:pPr>
        <w:spacing w:before="147" w:line="240" w:lineRule="auto"/>
        <w:ind w:left="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发包人违约责任的承担方式和计算方法：</w:t>
      </w:r>
    </w:p>
    <w:p>
      <w:pPr>
        <w:spacing w:before="149" w:line="240" w:lineRule="auto"/>
        <w:ind w:left="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）因发包人原因未能在计划开工日期前</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天内下达开工通知的违约责任：</w:t>
      </w:r>
    </w:p>
    <w:p>
      <w:pPr>
        <w:pStyle w:val="2"/>
        <w:spacing w:line="240" w:lineRule="auto"/>
        <w:rPr>
          <w:color w:val="auto"/>
          <w:highlight w:val="none"/>
        </w:rPr>
      </w:pPr>
    </w:p>
    <w:p>
      <w:pPr>
        <w:tabs>
          <w:tab w:val="left" w:pos="8310"/>
        </w:tabs>
        <w:spacing w:before="23" w:line="240" w:lineRule="auto"/>
        <w:ind w:left="517"/>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6" w:line="240"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）因发包人原因未能按合同约定支付合同</w:t>
      </w:r>
      <w:r>
        <w:rPr>
          <w:rFonts w:ascii="宋体" w:hAnsi="宋体" w:eastAsia="宋体" w:cs="宋体"/>
          <w:color w:val="auto"/>
          <w:spacing w:val="-2"/>
          <w:sz w:val="21"/>
          <w:szCs w:val="21"/>
          <w:highlight w:val="none"/>
        </w:rPr>
        <w:t>价款的违约责任：</w:t>
      </w:r>
    </w:p>
    <w:p>
      <w:pPr>
        <w:pStyle w:val="2"/>
        <w:spacing w:line="240" w:lineRule="auto"/>
        <w:rPr>
          <w:color w:val="auto"/>
          <w:highlight w:val="none"/>
        </w:rPr>
      </w:pPr>
    </w:p>
    <w:p>
      <w:pPr>
        <w:tabs>
          <w:tab w:val="left" w:pos="8205"/>
        </w:tabs>
        <w:spacing w:before="23" w:line="240"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9" w:line="240" w:lineRule="auto"/>
        <w:ind w:left="426"/>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 xml:space="preserve">）发包人违反第 </w:t>
      </w:r>
      <w:r>
        <w:rPr>
          <w:rFonts w:ascii="Times New Roman" w:hAnsi="Times New Roman" w:eastAsia="Times New Roman" w:cs="Times New Roman"/>
          <w:color w:val="auto"/>
          <w:position w:val="14"/>
          <w:sz w:val="21"/>
          <w:szCs w:val="21"/>
          <w:highlight w:val="none"/>
        </w:rPr>
        <w:t xml:space="preserve">10.1  </w:t>
      </w:r>
      <w:r>
        <w:rPr>
          <w:rFonts w:ascii="宋体" w:hAnsi="宋体" w:eastAsia="宋体" w:cs="宋体"/>
          <w:color w:val="auto"/>
          <w:position w:val="14"/>
          <w:sz w:val="21"/>
          <w:szCs w:val="21"/>
          <w:highlight w:val="none"/>
        </w:rPr>
        <w:t>款〔变更的范围〕第（</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）项约定，自行实施被取消的工作或转由</w:t>
      </w:r>
    </w:p>
    <w:p>
      <w:pPr>
        <w:spacing w:line="24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他人实施的违约责任：</w:t>
      </w:r>
    </w:p>
    <w:p>
      <w:pPr>
        <w:pStyle w:val="2"/>
        <w:spacing w:line="240" w:lineRule="auto"/>
        <w:rPr>
          <w:color w:val="auto"/>
          <w:highlight w:val="none"/>
        </w:rPr>
      </w:pPr>
    </w:p>
    <w:p>
      <w:pPr>
        <w:tabs>
          <w:tab w:val="left" w:pos="8310"/>
        </w:tabs>
        <w:spacing w:before="24" w:line="240" w:lineRule="auto"/>
        <w:ind w:left="517"/>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6"/>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宋体" w:hAnsi="宋体" w:eastAsia="宋体" w:cs="宋体"/>
          <w:color w:val="auto"/>
          <w:position w:val="14"/>
          <w:sz w:val="21"/>
          <w:szCs w:val="21"/>
          <w:highlight w:val="none"/>
        </w:rPr>
        <w:t>）发包人提供的材料、工程设备的规格</w:t>
      </w:r>
      <w:r>
        <w:rPr>
          <w:rFonts w:ascii="宋体" w:hAnsi="宋体" w:eastAsia="宋体" w:cs="宋体"/>
          <w:color w:val="auto"/>
          <w:spacing w:val="-1"/>
          <w:position w:val="14"/>
          <w:sz w:val="21"/>
          <w:szCs w:val="21"/>
          <w:highlight w:val="none"/>
        </w:rPr>
        <w:t>、数量或质量不符合合同约定， 或因发包人原因</w:t>
      </w:r>
    </w:p>
    <w:p>
      <w:pPr>
        <w:spacing w:before="1" w:line="240" w:lineRule="auto"/>
        <w:ind w:left="5"/>
        <w:rPr>
          <w:color w:val="auto"/>
          <w:highlight w:val="none"/>
        </w:rPr>
      </w:pPr>
      <w:r>
        <w:rPr>
          <w:rFonts w:ascii="宋体" w:hAnsi="宋体" w:eastAsia="宋体" w:cs="宋体"/>
          <w:color w:val="auto"/>
          <w:spacing w:val="-2"/>
          <w:sz w:val="21"/>
          <w:szCs w:val="21"/>
          <w:highlight w:val="none"/>
        </w:rPr>
        <w:t>导致交货日期延误或交货地点变更等情况的违约责任：</w:t>
      </w:r>
    </w:p>
    <w:p>
      <w:pPr>
        <w:tabs>
          <w:tab w:val="left" w:pos="8310"/>
        </w:tabs>
        <w:spacing w:before="23" w:line="240" w:lineRule="auto"/>
        <w:ind w:left="517"/>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）因发包人违反合同约定造成暂停施工的违约责任：</w:t>
      </w:r>
    </w:p>
    <w:p>
      <w:pPr>
        <w:pStyle w:val="2"/>
        <w:spacing w:line="240" w:lineRule="auto"/>
        <w:rPr>
          <w:color w:val="auto"/>
          <w:highlight w:val="none"/>
        </w:rPr>
      </w:pPr>
    </w:p>
    <w:p>
      <w:pPr>
        <w:tabs>
          <w:tab w:val="left" w:pos="8310"/>
        </w:tabs>
        <w:spacing w:before="24" w:line="240" w:lineRule="auto"/>
        <w:ind w:left="517"/>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）发包人无正当理由没有在约定期限内发出复工指示，导致承包人无法复工的</w:t>
      </w:r>
      <w:r>
        <w:rPr>
          <w:rFonts w:ascii="宋体" w:hAnsi="宋体" w:eastAsia="宋体" w:cs="宋体"/>
          <w:color w:val="auto"/>
          <w:sz w:val="21"/>
          <w:szCs w:val="21"/>
          <w:highlight w:val="none"/>
        </w:rPr>
        <w:t>违约责任：</w:t>
      </w:r>
    </w:p>
    <w:p>
      <w:pPr>
        <w:tabs>
          <w:tab w:val="left" w:pos="8310"/>
        </w:tabs>
        <w:spacing w:before="23" w:line="240"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7" w:line="240" w:lineRule="auto"/>
        <w:ind w:left="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）其他：</w:t>
      </w:r>
    </w:p>
    <w:p>
      <w:pPr>
        <w:tabs>
          <w:tab w:val="left" w:pos="8310"/>
        </w:tabs>
        <w:spacing w:before="23" w:line="174"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9" w:line="24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16.1.3</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因发包人违约解除合同</w:t>
      </w:r>
    </w:p>
    <w:p>
      <w:pPr>
        <w:spacing w:before="148" w:line="240"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承包人按</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16.1.1 </w:t>
      </w:r>
      <w:r>
        <w:rPr>
          <w:rFonts w:ascii="宋体" w:hAnsi="宋体" w:eastAsia="宋体" w:cs="宋体"/>
          <w:color w:val="auto"/>
          <w:spacing w:val="-1"/>
          <w:sz w:val="21"/>
          <w:szCs w:val="21"/>
          <w:highlight w:val="none"/>
        </w:rPr>
        <w:t>项〔发包人违约的情形〕约定暂停施工满</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1"/>
          <w:sz w:val="21"/>
          <w:szCs w:val="21"/>
          <w:highlight w:val="none"/>
        </w:rPr>
        <w:t>天后发包人仍不纠正其违约行为并致使合同目的不能实现的，承包人有权解除</w:t>
      </w:r>
      <w:r>
        <w:rPr>
          <w:rFonts w:ascii="宋体" w:hAnsi="宋体" w:eastAsia="宋体" w:cs="宋体"/>
          <w:color w:val="auto"/>
          <w:spacing w:val="-2"/>
          <w:sz w:val="21"/>
          <w:szCs w:val="21"/>
          <w:highlight w:val="none"/>
        </w:rPr>
        <w:t>合同。</w:t>
      </w:r>
    </w:p>
    <w:p>
      <w:pPr>
        <w:spacing w:before="124" w:line="240" w:lineRule="auto"/>
        <w:ind w:left="7"/>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16.2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承包人违约</w:t>
      </w:r>
    </w:p>
    <w:p>
      <w:pPr>
        <w:spacing w:before="138" w:line="24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16.2.1  </w:t>
      </w:r>
      <w:r>
        <w:rPr>
          <w:rFonts w:ascii="宋体" w:hAnsi="宋体" w:eastAsia="宋体" w:cs="宋体"/>
          <w:color w:val="auto"/>
          <w:spacing w:val="-2"/>
          <w:position w:val="14"/>
          <w:sz w:val="21"/>
          <w:szCs w:val="21"/>
          <w:highlight w:val="none"/>
        </w:rPr>
        <w:t>承包人违约的情形</w:t>
      </w:r>
    </w:p>
    <w:p>
      <w:pPr>
        <w:spacing w:line="240" w:lineRule="auto"/>
        <w:ind w:left="420"/>
        <w:rPr>
          <w:color w:val="auto"/>
          <w:highlight w:val="none"/>
        </w:rPr>
      </w:pPr>
      <w:r>
        <w:rPr>
          <w:rFonts w:ascii="宋体" w:hAnsi="宋体" w:eastAsia="宋体" w:cs="宋体"/>
          <w:color w:val="auto"/>
          <w:spacing w:val="-3"/>
          <w:sz w:val="21"/>
          <w:szCs w:val="21"/>
          <w:highlight w:val="none"/>
        </w:rPr>
        <w:t>承包人违约的其他情形：</w:t>
      </w:r>
    </w:p>
    <w:p>
      <w:pPr>
        <w:tabs>
          <w:tab w:val="left" w:pos="8205"/>
        </w:tabs>
        <w:spacing w:before="24" w:line="240"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5"/>
          <w:sz w:val="7"/>
          <w:szCs w:val="7"/>
          <w:highlight w:val="none"/>
        </w:rPr>
        <w:t xml:space="preserve"> </w:t>
      </w:r>
      <w:r>
        <w:rPr>
          <w:rFonts w:ascii="宋体" w:hAnsi="宋体" w:eastAsia="宋体" w:cs="宋体"/>
          <w:color w:val="auto"/>
          <w:spacing w:val="11"/>
          <w:sz w:val="7"/>
          <w:szCs w:val="7"/>
          <w:highlight w:val="none"/>
        </w:rPr>
        <w:t>。</w:t>
      </w:r>
    </w:p>
    <w:p>
      <w:pPr>
        <w:spacing w:before="196" w:line="24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16.2.2 </w:t>
      </w:r>
      <w:r>
        <w:rPr>
          <w:rFonts w:ascii="宋体" w:hAnsi="宋体" w:eastAsia="宋体" w:cs="宋体"/>
          <w:color w:val="auto"/>
          <w:spacing w:val="-2"/>
          <w:sz w:val="21"/>
          <w:szCs w:val="21"/>
          <w:highlight w:val="none"/>
        </w:rPr>
        <w:t>承包人违约的责任</w:t>
      </w:r>
    </w:p>
    <w:p>
      <w:pPr>
        <w:spacing w:before="149" w:line="240" w:lineRule="auto"/>
        <w:ind w:left="420"/>
        <w:rPr>
          <w:color w:val="auto"/>
          <w:highlight w:val="none"/>
        </w:rPr>
      </w:pPr>
      <w:r>
        <w:rPr>
          <w:rFonts w:ascii="宋体" w:hAnsi="宋体" w:eastAsia="宋体" w:cs="宋体"/>
          <w:color w:val="auto"/>
          <w:spacing w:val="-2"/>
          <w:sz w:val="21"/>
          <w:szCs w:val="21"/>
          <w:highlight w:val="none"/>
        </w:rPr>
        <w:t>承包人违约责任的承担方式和计算方法：</w:t>
      </w:r>
    </w:p>
    <w:p>
      <w:pPr>
        <w:tabs>
          <w:tab w:val="left" w:pos="8205"/>
        </w:tabs>
        <w:spacing w:before="24" w:line="240" w:lineRule="auto"/>
        <w:ind w:left="411"/>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p>
    <w:p>
      <w:pPr>
        <w:spacing w:before="196" w:line="24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16.2.3</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因承包人违约解除合同</w:t>
      </w:r>
    </w:p>
    <w:p>
      <w:pPr>
        <w:spacing w:before="149" w:line="24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关于承包人违约解除合同的特别约定：</w:t>
      </w:r>
    </w:p>
    <w:p>
      <w:pPr>
        <w:spacing w:before="185" w:line="401"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发包人继续使用承包人在施工现场的材料、设备、临时工程、承包人文件和</w:t>
      </w:r>
      <w:r>
        <w:rPr>
          <w:rFonts w:ascii="宋体" w:hAnsi="宋体" w:eastAsia="宋体" w:cs="宋体"/>
          <w:color w:val="auto"/>
          <w:spacing w:val="-1"/>
          <w:position w:val="14"/>
          <w:sz w:val="21"/>
          <w:szCs w:val="21"/>
          <w:highlight w:val="none"/>
        </w:rPr>
        <w:t>由承包人或以其</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名义编制的其他文件的费用承担方式：</w:t>
      </w:r>
    </w:p>
    <w:p>
      <w:pPr>
        <w:tabs>
          <w:tab w:val="left" w:pos="8207"/>
        </w:tabs>
        <w:spacing w:before="23" w:line="174" w:lineRule="auto"/>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6" w:line="219" w:lineRule="auto"/>
        <w:ind w:left="12"/>
        <w:outlineLvl w:val="6"/>
        <w:rPr>
          <w:rFonts w:ascii="黑体" w:hAnsi="黑体" w:eastAsia="黑体" w:cs="黑体"/>
          <w:color w:val="auto"/>
          <w:sz w:val="28"/>
          <w:szCs w:val="28"/>
          <w:highlight w:val="none"/>
        </w:rPr>
      </w:pPr>
      <w:r>
        <w:rPr>
          <w:rFonts w:ascii="Times New Roman" w:hAnsi="Times New Roman" w:eastAsia="Times New Roman" w:cs="Times New Roman"/>
          <w:b/>
          <w:bCs/>
          <w:color w:val="auto"/>
          <w:spacing w:val="-4"/>
          <w:sz w:val="28"/>
          <w:szCs w:val="28"/>
          <w:highlight w:val="none"/>
        </w:rPr>
        <w:t>17.</w:t>
      </w:r>
      <w:r>
        <w:rPr>
          <w:rFonts w:ascii="Times New Roman" w:hAnsi="Times New Roman" w:eastAsia="Times New Roman" w:cs="Times New Roman"/>
          <w:b/>
          <w:bCs/>
          <w:color w:val="auto"/>
          <w:spacing w:val="8"/>
          <w:sz w:val="28"/>
          <w:szCs w:val="28"/>
          <w:highlight w:val="none"/>
        </w:rPr>
        <w:t xml:space="preserve">  </w:t>
      </w:r>
      <w:r>
        <w:rPr>
          <w:rFonts w:ascii="黑体" w:hAnsi="黑体" w:eastAsia="黑体" w:cs="黑体"/>
          <w:color w:val="auto"/>
          <w:spacing w:val="-4"/>
          <w:sz w:val="28"/>
          <w:szCs w:val="28"/>
          <w:highlight w:val="none"/>
          <w14:textOutline w14:w="5094" w14:cap="flat" w14:cmpd="sng">
            <w14:solidFill>
              <w14:srgbClr w14:val="000000"/>
            </w14:solidFill>
            <w14:prstDash w14:val="solid"/>
            <w14:miter w14:val="0"/>
          </w14:textOutline>
        </w:rPr>
        <w:t>不可抗力</w:t>
      </w:r>
    </w:p>
    <w:p>
      <w:pPr>
        <w:spacing w:before="104" w:line="240"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17.1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不可抗力的确认</w:t>
      </w:r>
    </w:p>
    <w:p>
      <w:pPr>
        <w:spacing w:before="141" w:line="240" w:lineRule="auto"/>
        <w:ind w:left="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除通用合同条款约定的不可抗力事件之外，视为不</w:t>
      </w:r>
      <w:r>
        <w:rPr>
          <w:rFonts w:ascii="宋体" w:hAnsi="宋体" w:eastAsia="宋体" w:cs="宋体"/>
          <w:color w:val="auto"/>
          <w:spacing w:val="-2"/>
          <w:sz w:val="21"/>
          <w:szCs w:val="21"/>
          <w:highlight w:val="none"/>
        </w:rPr>
        <w:t>可抗力的其他情形：</w:t>
      </w:r>
    </w:p>
    <w:p>
      <w:pPr>
        <w:pStyle w:val="2"/>
        <w:spacing w:line="240" w:lineRule="auto"/>
        <w:rPr>
          <w:color w:val="auto"/>
          <w:highlight w:val="none"/>
        </w:rPr>
      </w:pPr>
    </w:p>
    <w:p>
      <w:pPr>
        <w:spacing w:before="141" w:line="221" w:lineRule="auto"/>
        <w:ind w:left="434"/>
        <w:rPr>
          <w:rFonts w:ascii="宋体" w:hAnsi="宋体" w:eastAsia="宋体" w:cs="宋体"/>
          <w:color w:val="auto"/>
          <w:sz w:val="7"/>
          <w:szCs w:val="7"/>
          <w:highlight w:val="none"/>
          <w:lang w:eastAsia="zh-CN"/>
        </w:rPr>
      </w:pPr>
      <w:r>
        <w:rPr>
          <w:rFonts w:hint="eastAsia" w:ascii="宋体" w:hAnsi="宋体" w:eastAsia="宋体" w:cs="宋体"/>
          <w:color w:val="auto"/>
          <w:spacing w:val="-2"/>
          <w:highlight w:val="none"/>
          <w:u w:val="single"/>
          <w:lang w:eastAsia="zh-CN"/>
        </w:rPr>
        <w:t>火灾和风、雨、雪、洪、地震等自然灾害和战争、动乱、空中飞行物体坠落或其他非发包人、承包人责任造成的爆炸。</w:t>
      </w:r>
    </w:p>
    <w:p>
      <w:pPr>
        <w:tabs>
          <w:tab w:val="left" w:pos="8207"/>
        </w:tabs>
        <w:spacing w:before="24" w:line="240" w:lineRule="auto"/>
        <w:ind w:left="414"/>
        <w:rPr>
          <w:rFonts w:ascii="宋体" w:hAnsi="宋体" w:eastAsia="宋体" w:cs="宋体"/>
          <w:color w:val="auto"/>
          <w:sz w:val="7"/>
          <w:szCs w:val="7"/>
          <w:highlight w:val="none"/>
        </w:rPr>
      </w:pP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2" w:line="240"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17.4</w:t>
      </w:r>
      <w:r>
        <w:rPr>
          <w:rFonts w:ascii="Times New Roman" w:hAnsi="Times New Roman" w:eastAsia="Times New Roman" w:cs="Times New Roman"/>
          <w:b/>
          <w:bCs/>
          <w:color w:val="auto"/>
          <w:spacing w:val="15"/>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因不可抗力解除合同</w:t>
      </w:r>
    </w:p>
    <w:p>
      <w:pPr>
        <w:spacing w:before="142" w:line="24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合同解除后，发包人应在商定或确定发包人应支付款项后</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2"/>
          <w:sz w:val="21"/>
          <w:szCs w:val="21"/>
          <w:highlight w:val="none"/>
        </w:rPr>
        <w:t xml:space="preserve"> </w:t>
      </w:r>
      <w:r>
        <w:rPr>
          <w:rFonts w:ascii="宋体" w:hAnsi="宋体" w:eastAsia="宋体" w:cs="宋体"/>
          <w:color w:val="auto"/>
          <w:spacing w:val="-1"/>
          <w:sz w:val="21"/>
          <w:szCs w:val="21"/>
          <w:highlight w:val="none"/>
        </w:rPr>
        <w:t>天内完成款项的支付。</w:t>
      </w:r>
    </w:p>
    <w:p>
      <w:pPr>
        <w:spacing w:before="188" w:line="240" w:lineRule="auto"/>
        <w:ind w:left="12"/>
        <w:rPr>
          <w:rFonts w:ascii="黑体" w:hAnsi="黑体" w:eastAsia="黑体" w:cs="黑体"/>
          <w:color w:val="auto"/>
          <w:sz w:val="28"/>
          <w:szCs w:val="28"/>
          <w:highlight w:val="none"/>
        </w:rPr>
      </w:pPr>
      <w:r>
        <w:rPr>
          <w:rFonts w:ascii="Times New Roman" w:hAnsi="Times New Roman" w:eastAsia="Times New Roman" w:cs="Times New Roman"/>
          <w:b/>
          <w:bCs/>
          <w:color w:val="auto"/>
          <w:spacing w:val="-4"/>
          <w:sz w:val="28"/>
          <w:szCs w:val="28"/>
          <w:highlight w:val="none"/>
        </w:rPr>
        <w:t>18.</w:t>
      </w:r>
      <w:r>
        <w:rPr>
          <w:rFonts w:ascii="Times New Roman" w:hAnsi="Times New Roman" w:eastAsia="Times New Roman" w:cs="Times New Roman"/>
          <w:b/>
          <w:bCs/>
          <w:color w:val="auto"/>
          <w:spacing w:val="3"/>
          <w:sz w:val="28"/>
          <w:szCs w:val="28"/>
          <w:highlight w:val="none"/>
        </w:rPr>
        <w:t xml:space="preserve">  </w:t>
      </w:r>
      <w:r>
        <w:rPr>
          <w:rFonts w:ascii="黑体" w:hAnsi="黑体" w:eastAsia="黑体" w:cs="黑体"/>
          <w:color w:val="auto"/>
          <w:spacing w:val="-4"/>
          <w:sz w:val="28"/>
          <w:szCs w:val="28"/>
          <w:highlight w:val="none"/>
          <w14:textOutline w14:w="5094" w14:cap="flat" w14:cmpd="sng">
            <w14:solidFill>
              <w14:srgbClr w14:val="000000"/>
            </w14:solidFill>
            <w14:prstDash w14:val="solid"/>
            <w14:miter w14:val="0"/>
          </w14:textOutline>
        </w:rPr>
        <w:t>保险</w:t>
      </w:r>
    </w:p>
    <w:p>
      <w:pPr>
        <w:spacing w:before="102" w:line="240" w:lineRule="auto"/>
        <w:ind w:left="10"/>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18.1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工程保险</w:t>
      </w:r>
    </w:p>
    <w:p>
      <w:pPr>
        <w:spacing w:before="141" w:line="221" w:lineRule="auto"/>
        <w:ind w:left="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关于工程保险的特别约定：</w:t>
      </w:r>
      <w:r>
        <w:rPr>
          <w:rFonts w:hint="eastAsia" w:ascii="宋体" w:hAnsi="宋体" w:eastAsia="宋体" w:cs="宋体"/>
          <w:color w:val="auto"/>
          <w:spacing w:val="-1"/>
          <w:highlight w:val="none"/>
          <w:u w:val="single"/>
          <w:lang w:eastAsia="zh-CN"/>
        </w:rPr>
        <w:t>（1）承包人必须办理工程质量保险；（2）承包人应办理施工人员的工伤保险或人身意外伤害保险、工程项目财产保险等，并承担相关的保险费用，造成的人身伤亡及财产损失，均由承包人承担。</w:t>
      </w:r>
    </w:p>
    <w:p>
      <w:pPr>
        <w:pStyle w:val="2"/>
        <w:spacing w:line="240" w:lineRule="auto"/>
        <w:rPr>
          <w:color w:val="auto"/>
          <w:highlight w:val="none"/>
        </w:rPr>
      </w:pPr>
    </w:p>
    <w:p>
      <w:pPr>
        <w:tabs>
          <w:tab w:val="left" w:pos="8207"/>
        </w:tabs>
        <w:spacing w:before="23" w:line="240" w:lineRule="auto"/>
        <w:ind w:left="41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3" w:line="240"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18.3</w:t>
      </w:r>
      <w:r>
        <w:rPr>
          <w:rFonts w:ascii="Times New Roman" w:hAnsi="Times New Roman" w:eastAsia="Times New Roman" w:cs="Times New Roman"/>
          <w:b/>
          <w:bCs/>
          <w:color w:val="auto"/>
          <w:spacing w:val="6"/>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其他保险</w:t>
      </w:r>
    </w:p>
    <w:p>
      <w:pPr>
        <w:spacing w:before="141" w:line="240" w:lineRule="auto"/>
        <w:ind w:left="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关于其他保险的约定：</w:t>
      </w:r>
    </w:p>
    <w:p>
      <w:pPr>
        <w:pStyle w:val="2"/>
        <w:spacing w:line="240" w:lineRule="auto"/>
        <w:rPr>
          <w:color w:val="auto"/>
          <w:highlight w:val="none"/>
        </w:rPr>
      </w:pPr>
    </w:p>
    <w:p>
      <w:pPr>
        <w:tabs>
          <w:tab w:val="left" w:pos="8207"/>
        </w:tabs>
        <w:spacing w:before="23" w:line="240" w:lineRule="auto"/>
        <w:ind w:left="41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承包人是否应为其施工设备等办理财产保险：</w:t>
      </w:r>
    </w:p>
    <w:p>
      <w:pPr>
        <w:pStyle w:val="2"/>
        <w:spacing w:line="240" w:lineRule="auto"/>
        <w:rPr>
          <w:color w:val="auto"/>
          <w:highlight w:val="none"/>
        </w:rPr>
      </w:pPr>
    </w:p>
    <w:p>
      <w:pPr>
        <w:tabs>
          <w:tab w:val="left" w:pos="8207"/>
        </w:tabs>
        <w:spacing w:before="24" w:line="240" w:lineRule="auto"/>
        <w:ind w:left="41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71" w:line="240" w:lineRule="auto"/>
        <w:ind w:left="10"/>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18.7  </w:t>
      </w:r>
      <w:r>
        <w:rPr>
          <w:rFonts w:ascii="黑体" w:hAnsi="黑体" w:eastAsia="黑体" w:cs="黑体"/>
          <w:color w:val="auto"/>
          <w:spacing w:val="-2"/>
          <w:sz w:val="24"/>
          <w:szCs w:val="24"/>
          <w:highlight w:val="none"/>
          <w14:textOutline w14:w="4354" w14:cap="flat" w14:cmpd="sng">
            <w14:solidFill>
              <w14:srgbClr w14:val="000000"/>
            </w14:solidFill>
            <w14:prstDash w14:val="solid"/>
            <w14:miter w14:val="0"/>
          </w14:textOutline>
        </w:rPr>
        <w:t>通知义务</w:t>
      </w:r>
    </w:p>
    <w:p>
      <w:pPr>
        <w:spacing w:before="142" w:line="240" w:lineRule="auto"/>
        <w:ind w:left="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关于变更保险合同时的通知义务的约定：</w:t>
      </w:r>
    </w:p>
    <w:p>
      <w:pPr>
        <w:pStyle w:val="2"/>
        <w:spacing w:line="240" w:lineRule="auto"/>
        <w:rPr>
          <w:color w:val="auto"/>
          <w:highlight w:val="none"/>
        </w:rPr>
      </w:pPr>
    </w:p>
    <w:p>
      <w:pPr>
        <w:tabs>
          <w:tab w:val="left" w:pos="8207"/>
        </w:tabs>
        <w:spacing w:before="23" w:line="240" w:lineRule="auto"/>
        <w:ind w:left="41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238" w:line="240" w:lineRule="auto"/>
        <w:rPr>
          <w:rFonts w:ascii="黑体" w:hAnsi="黑体" w:eastAsia="黑体" w:cs="黑体"/>
          <w:color w:val="auto"/>
          <w:sz w:val="28"/>
          <w:szCs w:val="28"/>
          <w:highlight w:val="none"/>
        </w:rPr>
      </w:pPr>
      <w:r>
        <w:rPr>
          <w:rFonts w:ascii="Times New Roman" w:hAnsi="Times New Roman" w:eastAsia="Times New Roman" w:cs="Times New Roman"/>
          <w:b/>
          <w:bCs/>
          <w:color w:val="auto"/>
          <w:spacing w:val="-3"/>
          <w:position w:val="11"/>
          <w:sz w:val="28"/>
          <w:szCs w:val="28"/>
          <w:highlight w:val="none"/>
        </w:rPr>
        <w:t>20.</w:t>
      </w:r>
      <w:r>
        <w:rPr>
          <w:rFonts w:ascii="Times New Roman" w:hAnsi="Times New Roman" w:eastAsia="Times New Roman" w:cs="Times New Roman"/>
          <w:b/>
          <w:bCs/>
          <w:color w:val="auto"/>
          <w:spacing w:val="11"/>
          <w:position w:val="11"/>
          <w:sz w:val="28"/>
          <w:szCs w:val="28"/>
          <w:highlight w:val="none"/>
        </w:rPr>
        <w:t xml:space="preserve">  </w:t>
      </w:r>
      <w:r>
        <w:rPr>
          <w:rFonts w:ascii="黑体" w:hAnsi="黑体" w:eastAsia="黑体" w:cs="黑体"/>
          <w:color w:val="auto"/>
          <w:spacing w:val="-3"/>
          <w:position w:val="11"/>
          <w:sz w:val="28"/>
          <w:szCs w:val="28"/>
          <w:highlight w:val="none"/>
          <w14:textOutline w14:w="5094" w14:cap="flat" w14:cmpd="sng">
            <w14:solidFill>
              <w14:srgbClr w14:val="000000"/>
            </w14:solidFill>
            <w14:prstDash w14:val="solid"/>
            <w14:miter w14:val="0"/>
          </w14:textOutline>
        </w:rPr>
        <w:t>争议解决</w:t>
      </w:r>
    </w:p>
    <w:p>
      <w:pPr>
        <w:spacing w:before="1" w:line="240" w:lineRule="auto"/>
        <w:rPr>
          <w:rFonts w:ascii="黑体" w:hAnsi="黑体" w:eastAsia="黑体" w:cs="黑体"/>
          <w:color w:val="auto"/>
          <w:sz w:val="24"/>
          <w:szCs w:val="24"/>
          <w:highlight w:val="none"/>
        </w:rPr>
      </w:pPr>
      <w:r>
        <w:rPr>
          <w:rFonts w:ascii="Times New Roman" w:hAnsi="Times New Roman" w:eastAsia="Times New Roman" w:cs="Times New Roman"/>
          <w:b/>
          <w:bCs/>
          <w:color w:val="auto"/>
          <w:spacing w:val="-3"/>
          <w:sz w:val="24"/>
          <w:szCs w:val="24"/>
          <w:highlight w:val="none"/>
        </w:rPr>
        <w:t>20.3</w:t>
      </w:r>
      <w:r>
        <w:rPr>
          <w:rFonts w:ascii="Times New Roman" w:hAnsi="Times New Roman" w:eastAsia="Times New Roman" w:cs="Times New Roman"/>
          <w:b/>
          <w:bCs/>
          <w:color w:val="auto"/>
          <w:spacing w:val="10"/>
          <w:sz w:val="24"/>
          <w:szCs w:val="24"/>
          <w:highlight w:val="none"/>
        </w:rPr>
        <w:t xml:space="preserve">  </w:t>
      </w:r>
      <w:r>
        <w:rPr>
          <w:rFonts w:ascii="黑体" w:hAnsi="黑体" w:eastAsia="黑体" w:cs="黑体"/>
          <w:color w:val="auto"/>
          <w:spacing w:val="-3"/>
          <w:sz w:val="24"/>
          <w:szCs w:val="24"/>
          <w:highlight w:val="none"/>
          <w14:textOutline w14:w="4354" w14:cap="flat" w14:cmpd="sng">
            <w14:solidFill>
              <w14:srgbClr w14:val="000000"/>
            </w14:solidFill>
            <w14:prstDash w14:val="solid"/>
            <w14:miter w14:val="0"/>
          </w14:textOutline>
        </w:rPr>
        <w:t>争议评审</w:t>
      </w:r>
    </w:p>
    <w:p>
      <w:pPr>
        <w:spacing w:before="138" w:line="24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合同当事人是否同意将工程争议提交争议评审</w:t>
      </w:r>
      <w:r>
        <w:rPr>
          <w:rFonts w:ascii="宋体" w:hAnsi="宋体" w:eastAsia="宋体" w:cs="宋体"/>
          <w:color w:val="auto"/>
          <w:spacing w:val="-2"/>
          <w:sz w:val="21"/>
          <w:szCs w:val="21"/>
          <w:highlight w:val="none"/>
        </w:rPr>
        <w:t>小组决定：</w:t>
      </w:r>
    </w:p>
    <w:p>
      <w:pPr>
        <w:pStyle w:val="2"/>
        <w:spacing w:line="240" w:lineRule="auto"/>
        <w:rPr>
          <w:color w:val="auto"/>
          <w:highlight w:val="none"/>
        </w:rPr>
      </w:pPr>
    </w:p>
    <w:p>
      <w:pPr>
        <w:tabs>
          <w:tab w:val="left" w:pos="8207"/>
        </w:tabs>
        <w:spacing w:before="24" w:line="240" w:lineRule="auto"/>
        <w:ind w:left="414"/>
        <w:rPr>
          <w:rFonts w:ascii="宋体" w:hAnsi="宋体" w:eastAsia="宋体" w:cs="宋体"/>
          <w:color w:val="auto"/>
          <w:sz w:val="7"/>
          <w:szCs w:val="7"/>
          <w:highlight w:val="none"/>
        </w:rPr>
      </w:pPr>
      <w:r>
        <w:rPr>
          <w:rFonts w:ascii="宋体" w:hAnsi="宋体" w:eastAsia="宋体" w:cs="宋体"/>
          <w:color w:val="auto"/>
          <w:sz w:val="7"/>
          <w:szCs w:val="7"/>
          <w:highlight w:val="none"/>
          <w:u w:val="single" w:color="auto"/>
        </w:rPr>
        <w:tab/>
      </w:r>
      <w:r>
        <w:rPr>
          <w:rFonts w:ascii="宋体" w:hAnsi="宋体" w:eastAsia="宋体" w:cs="宋体"/>
          <w:color w:val="auto"/>
          <w:spacing w:val="-6"/>
          <w:sz w:val="7"/>
          <w:szCs w:val="7"/>
          <w:highlight w:val="none"/>
        </w:rPr>
        <w:t xml:space="preserve"> </w:t>
      </w:r>
      <w:r>
        <w:rPr>
          <w:rFonts w:ascii="宋体" w:hAnsi="宋体" w:eastAsia="宋体" w:cs="宋体"/>
          <w:color w:val="auto"/>
          <w:spacing w:val="11"/>
          <w:sz w:val="7"/>
          <w:szCs w:val="7"/>
          <w:highlight w:val="none"/>
        </w:rPr>
        <w:t>。</w:t>
      </w:r>
    </w:p>
    <w:p>
      <w:pPr>
        <w:spacing w:before="198" w:line="240" w:lineRule="auto"/>
        <w:ind w:left="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20.3.1  </w:t>
      </w:r>
      <w:r>
        <w:rPr>
          <w:rFonts w:ascii="宋体" w:hAnsi="宋体" w:eastAsia="宋体" w:cs="宋体"/>
          <w:color w:val="auto"/>
          <w:spacing w:val="-1"/>
          <w:sz w:val="21"/>
          <w:szCs w:val="21"/>
          <w:highlight w:val="none"/>
        </w:rPr>
        <w:t>争议评审小组的确定</w:t>
      </w:r>
    </w:p>
    <w:p>
      <w:pPr>
        <w:spacing w:before="148" w:line="240" w:lineRule="auto"/>
        <w:ind w:left="426"/>
        <w:rPr>
          <w:rFonts w:ascii="宋体" w:hAnsi="宋体" w:eastAsia="宋体" w:cs="宋体"/>
          <w:color w:val="auto"/>
          <w:sz w:val="21"/>
          <w:szCs w:val="21"/>
          <w:highlight w:val="none"/>
        </w:rPr>
      </w:pPr>
      <w:r>
        <w:rPr>
          <w:rFonts w:ascii="宋体" w:hAnsi="宋体" w:eastAsia="宋体" w:cs="宋体"/>
          <w:color w:val="auto"/>
          <w:sz w:val="21"/>
          <w:szCs w:val="21"/>
          <w:highlight w:val="none"/>
        </w:rPr>
        <w:t>争议评审小组成员的确定：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 w:line="240" w:lineRule="auto"/>
        <w:ind w:left="4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选定争议评审员的期限：</w:t>
      </w:r>
      <w:r>
        <w:rPr>
          <w:rFonts w:ascii="宋体" w:hAnsi="宋体" w:eastAsia="宋体" w:cs="宋体"/>
          <w:color w:val="auto"/>
          <w:spacing w:val="-3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pPr>
        <w:spacing w:before="149" w:line="240" w:lineRule="auto"/>
        <w:ind w:left="42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争议评审小组成员的报酬承担方式：</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
          <w:sz w:val="21"/>
          <w:szCs w:val="21"/>
          <w:highlight w:val="none"/>
        </w:rPr>
        <w:t>。</w:t>
      </w:r>
    </w:p>
    <w:p>
      <w:pPr>
        <w:spacing w:before="148" w:line="240" w:lineRule="auto"/>
        <w:ind w:left="423"/>
        <w:rPr>
          <w:rFonts w:ascii="宋体" w:hAnsi="宋体" w:eastAsia="宋体" w:cs="宋体"/>
          <w:color w:val="auto"/>
          <w:sz w:val="21"/>
          <w:szCs w:val="21"/>
          <w:highlight w:val="none"/>
        </w:rPr>
      </w:pPr>
      <w:r>
        <w:rPr>
          <w:rFonts w:ascii="宋体" w:hAnsi="宋体" w:eastAsia="宋体" w:cs="宋体"/>
          <w:color w:val="auto"/>
          <w:sz w:val="21"/>
          <w:szCs w:val="21"/>
          <w:highlight w:val="none"/>
        </w:rPr>
        <w:t>其他事项的约定：</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48" w:line="240" w:lineRule="auto"/>
        <w:ind w:left="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20.3.2  </w:t>
      </w:r>
      <w:r>
        <w:rPr>
          <w:rFonts w:ascii="宋体" w:hAnsi="宋体" w:eastAsia="宋体" w:cs="宋体"/>
          <w:color w:val="auto"/>
          <w:spacing w:val="-1"/>
          <w:sz w:val="21"/>
          <w:szCs w:val="21"/>
          <w:highlight w:val="none"/>
        </w:rPr>
        <w:t>争议评审小组的决定</w:t>
      </w:r>
    </w:p>
    <w:p>
      <w:pPr>
        <w:spacing w:before="151" w:line="240" w:lineRule="auto"/>
        <w:ind w:left="4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合同当事人关于本项的约定：</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6"/>
          <w:sz w:val="21"/>
          <w:szCs w:val="21"/>
          <w:highlight w:val="none"/>
        </w:rPr>
        <w:t>。</w:t>
      </w:r>
    </w:p>
    <w:p>
      <w:pPr>
        <w:pStyle w:val="2"/>
        <w:spacing w:line="262" w:lineRule="auto"/>
        <w:rPr>
          <w:color w:val="auto"/>
          <w:highlight w:val="none"/>
        </w:rPr>
      </w:pPr>
    </w:p>
    <w:p>
      <w:pPr>
        <w:spacing w:before="78" w:line="217" w:lineRule="auto"/>
        <w:outlineLvl w:val="6"/>
        <w:rPr>
          <w:rFonts w:ascii="黑体" w:hAnsi="黑体" w:eastAsia="黑体" w:cs="黑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20.4 </w:t>
      </w:r>
      <w:r>
        <w:rPr>
          <w:rFonts w:ascii="黑体" w:hAnsi="黑体" w:eastAsia="黑体" w:cs="黑体"/>
          <w:color w:val="auto"/>
          <w:spacing w:val="-1"/>
          <w:sz w:val="24"/>
          <w:szCs w:val="24"/>
          <w:highlight w:val="none"/>
          <w14:textOutline w14:w="4354" w14:cap="flat" w14:cmpd="sng">
            <w14:solidFill>
              <w14:srgbClr w14:val="000000"/>
            </w14:solidFill>
            <w14:prstDash w14:val="solid"/>
            <w14:miter w14:val="0"/>
          </w14:textOutline>
        </w:rPr>
        <w:t>仲裁或诉讼</w:t>
      </w:r>
    </w:p>
    <w:p>
      <w:pPr>
        <w:spacing w:before="143" w:line="352" w:lineRule="auto"/>
        <w:ind w:left="43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因合同及合同有关事项发生的争议， 按下列第</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5"/>
          <w:sz w:val="21"/>
          <w:szCs w:val="21"/>
          <w:highlight w:val="none"/>
        </w:rPr>
        <w:t>种方式解决：</w:t>
      </w:r>
    </w:p>
    <w:p>
      <w:pPr>
        <w:spacing w:line="219" w:lineRule="auto"/>
        <w:ind w:left="4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）向</w:t>
      </w:r>
      <w:r>
        <w:rPr>
          <w:rFonts w:ascii="宋体" w:hAnsi="宋体" w:eastAsia="宋体" w:cs="宋体"/>
          <w:color w:val="auto"/>
          <w:spacing w:val="-8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3"/>
          <w:sz w:val="21"/>
          <w:szCs w:val="21"/>
          <w:highlight w:val="none"/>
        </w:rPr>
        <w:t>仲裁委员会申请仲裁；</w:t>
      </w:r>
    </w:p>
    <w:p>
      <w:pPr>
        <w:spacing w:before="148" w:line="221" w:lineRule="auto"/>
        <w:ind w:left="428"/>
        <w:rPr>
          <w:rFonts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）向</w:t>
      </w:r>
      <w:r>
        <w:rPr>
          <w:rFonts w:ascii="宋体" w:hAnsi="宋体" w:eastAsia="宋体" w:cs="宋体"/>
          <w:color w:val="auto"/>
          <w:spacing w:val="-8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highlight w:val="none"/>
          <w:u w:val="single"/>
          <w:lang w:eastAsia="zh-CN"/>
        </w:rPr>
        <w:t>发包方所在地有管辖权的</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4"/>
          <w:sz w:val="21"/>
          <w:szCs w:val="21"/>
          <w:highlight w:val="none"/>
        </w:rPr>
        <w:t>人民法院起诉。</w:t>
      </w:r>
    </w:p>
    <w:p>
      <w:pPr>
        <w:spacing w:before="148" w:line="221" w:lineRule="auto"/>
        <w:ind w:left="428"/>
        <w:rPr>
          <w:rFonts w:ascii="宋体" w:hAnsi="宋体" w:eastAsia="宋体" w:cs="宋体"/>
          <w:color w:val="auto"/>
          <w:spacing w:val="-4"/>
          <w:sz w:val="21"/>
          <w:szCs w:val="21"/>
          <w:highlight w:val="none"/>
        </w:rPr>
      </w:pPr>
    </w:p>
    <w:p>
      <w:pPr>
        <w:spacing w:before="78" w:line="217" w:lineRule="auto"/>
        <w:outlineLvl w:val="6"/>
        <w:rPr>
          <w:rFonts w:ascii="宋体" w:hAnsi="宋体" w:eastAsia="宋体" w:cs="宋体"/>
          <w:b/>
          <w:bCs/>
          <w:color w:val="auto"/>
          <w:spacing w:val="-1"/>
          <w:sz w:val="24"/>
          <w:szCs w:val="24"/>
          <w:highlight w:val="none"/>
          <w:lang w:eastAsia="zh-CN"/>
        </w:rPr>
      </w:pPr>
      <w:r>
        <w:rPr>
          <w:rFonts w:hint="eastAsia" w:ascii="宋体" w:hAnsi="宋体" w:eastAsia="宋体" w:cs="宋体"/>
          <w:b/>
          <w:bCs/>
          <w:color w:val="auto"/>
          <w:spacing w:val="-1"/>
          <w:sz w:val="24"/>
          <w:szCs w:val="24"/>
          <w:highlight w:val="none"/>
          <w:lang w:eastAsia="zh-CN"/>
        </w:rPr>
        <w:t>补充条款：</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一、向监理工程师报告工程进度计划和完成工程量时间：</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①每月25 日前向监理工程师提供月工程进度计划和完成工程量报表。</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②每季度最后一个月的25 日前向监理工程师提供季度工程进度计划和完成工</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程量报告。</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③年末12月25 日前向监理工程师提供年度完成工程量报告。</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二、开工7天前为发包人驻工地代表和监理工程师，提供必要的办公和生活的房屋及设施。</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三、施工安全与保卫工作</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①负责项目区内人员及财产安全保卫工作。应遵守工程建设生产安全有关规定，按安全标准组织施工，建立项目区安全保卫制度，安全生产责任制落实到人。采取</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有效安全防护措施，消除事故隐患。</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②在动力设备、输电线路、地下管道，易燃易爆地段和道路附近施工，施工前</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应设立护拦网和明显的警示标志，经监理工程师实地查验认可后方可施工。</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③加强对施工人员安全生产教育和培训，教育施工人员严守操作规程，提高施</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工人员安全防范意识。不准无证人员操作机械和危险作业，防止人员伤亡事故发生。</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④防止无关人员和牲畜进入工作区，发生人、畜伤亡事故发生。</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⑤不得在低洼等危险地带设立生活区或存放设备和物资。</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⑥发现险情应及时排除，不能排除的应立即向有关部门报告。</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⑦发生人员伤亡事故、财产损失，承包人应承担赔偿责任。</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四、承包人应严格按图纸、工程质量标准、规范和监理工程师审批的施工组织设计和工程进度计划，发出的指令组织施工。随时授受和配合监理工程师的检查、检验。工程质量达不到质量标准和设计要求的，应按监理工程师的要求返工或重作。工期不顺延。</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五、本项目中农业措施，施肥前和施肥后，施工单位应按有关规定委托相应资质第三方出具土壤检测报告，达到相关标准。</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五、工程竣工验收合格后，对施工造成原有的道路、土地等损坏，应恢复原状。</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不能恢复的，承包人应承担相应的赔偿责任。</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六、负责保护已竣工尚未交付发包人的工程，并承担由此发生的费用。</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七、其他补充条款</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7.1鼓励通过以工代赈等方式引导农民参与高标准农田建设，支持将农民质量监督员纳入公益性岗位，开展建设质量监督。加强对农民质量监督员的技术指导和业务培训。</w:t>
      </w:r>
    </w:p>
    <w:p>
      <w:pPr>
        <w:spacing w:before="78" w:line="217" w:lineRule="auto"/>
        <w:outlineLvl w:val="6"/>
        <w:rPr>
          <w:rFonts w:ascii="宋体" w:hAnsi="宋体" w:eastAsia="宋体" w:cs="宋体"/>
          <w:color w:val="auto"/>
          <w:spacing w:val="-5"/>
          <w:highlight w:val="none"/>
          <w:lang w:eastAsia="zh-CN"/>
        </w:rPr>
      </w:pPr>
      <w:r>
        <w:rPr>
          <w:rFonts w:hint="eastAsia" w:ascii="宋体" w:hAnsi="宋体" w:eastAsia="宋体" w:cs="宋体"/>
          <w:color w:val="auto"/>
          <w:spacing w:val="-5"/>
          <w:highlight w:val="none"/>
          <w:lang w:eastAsia="zh-CN"/>
        </w:rPr>
        <w:t>7.2 承包人应按照《关于印发大石桥市解决拖欠农民工工资问题实施意见的通知》大政办发(2016)26号文件进行农民工管理。中标人在中标后需持中标通知书到项目建设所在地人社劳动部门办理存储农民工工资保证金相关手续或向发包人提供农民工工资保证金保函。</w:t>
      </w:r>
    </w:p>
    <w:p>
      <w:pPr>
        <w:spacing w:line="221" w:lineRule="auto"/>
        <w:rPr>
          <w:rFonts w:ascii="宋体" w:hAnsi="宋体" w:eastAsia="宋体" w:cs="宋体"/>
          <w:color w:val="auto"/>
          <w:sz w:val="21"/>
          <w:szCs w:val="21"/>
          <w:highlight w:val="none"/>
        </w:rPr>
        <w:sectPr>
          <w:headerReference r:id="rId59" w:type="default"/>
          <w:footerReference r:id="rId60" w:type="default"/>
          <w:pgSz w:w="11905" w:h="16843"/>
          <w:pgMar w:top="1769" w:right="1548" w:bottom="1003" w:left="1542" w:header="0" w:footer="828" w:gutter="0"/>
          <w:pgNumType w:fmt="numberInDash"/>
          <w:cols w:space="0" w:num="1"/>
          <w:rtlGutter w:val="0"/>
          <w:docGrid w:linePitch="0" w:charSpace="0"/>
        </w:sectPr>
      </w:pPr>
    </w:p>
    <w:p>
      <w:pPr>
        <w:pStyle w:val="2"/>
        <w:spacing w:line="250" w:lineRule="auto"/>
        <w:rPr>
          <w:color w:val="auto"/>
          <w:highlight w:val="none"/>
        </w:rPr>
      </w:pPr>
    </w:p>
    <w:p>
      <w:pPr>
        <w:spacing w:before="91" w:line="222" w:lineRule="auto"/>
        <w:rPr>
          <w:rFonts w:ascii="黑体" w:hAnsi="黑体" w:eastAsia="黑体" w:cs="黑体"/>
          <w:color w:val="auto"/>
          <w:sz w:val="28"/>
          <w:szCs w:val="28"/>
          <w:highlight w:val="none"/>
        </w:rPr>
      </w:pPr>
      <w:r>
        <w:rPr>
          <w:rFonts w:ascii="黑体" w:hAnsi="黑体" w:eastAsia="黑体" w:cs="黑体"/>
          <w:color w:val="auto"/>
          <w:spacing w:val="-7"/>
          <w:sz w:val="28"/>
          <w:szCs w:val="28"/>
          <w:highlight w:val="none"/>
          <w14:textOutline w14:w="5094" w14:cap="flat" w14:cmpd="sng">
            <w14:solidFill>
              <w14:srgbClr w14:val="000000"/>
            </w14:solidFill>
            <w14:prstDash w14:val="solid"/>
            <w14:miter w14:val="0"/>
          </w14:textOutline>
        </w:rPr>
        <w:t>附件</w:t>
      </w:r>
    </w:p>
    <w:p>
      <w:pPr>
        <w:spacing w:before="123" w:line="220" w:lineRule="auto"/>
        <w:ind w:left="40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协议书附件：</w:t>
      </w:r>
    </w:p>
    <w:p>
      <w:pPr>
        <w:spacing w:before="150" w:line="220" w:lineRule="auto"/>
        <w:ind w:left="418"/>
        <w:rPr>
          <w:color w:val="auto"/>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：承包人承揽工程项目一览表</w:t>
      </w:r>
    </w:p>
    <w:p>
      <w:pPr>
        <w:spacing w:before="69" w:line="220" w:lineRule="auto"/>
        <w:ind w:left="40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专用合同条款附件：</w:t>
      </w:r>
    </w:p>
    <w:p>
      <w:pPr>
        <w:spacing w:before="150" w:line="399" w:lineRule="exact"/>
        <w:ind w:left="418"/>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：发包人供应材料设备一览表</w:t>
      </w:r>
    </w:p>
    <w:p>
      <w:pPr>
        <w:spacing w:before="1" w:line="219" w:lineRule="auto"/>
        <w:ind w:left="4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：工程质量保修书</w:t>
      </w:r>
    </w:p>
    <w:p>
      <w:pPr>
        <w:spacing w:before="150" w:line="220" w:lineRule="auto"/>
        <w:ind w:left="4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：主要建设工程文件目录</w:t>
      </w:r>
    </w:p>
    <w:p>
      <w:pPr>
        <w:spacing w:before="151" w:line="399" w:lineRule="exact"/>
        <w:ind w:left="418"/>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39"/>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：承包人用于本工程施工的机械设备表</w:t>
      </w:r>
    </w:p>
    <w:p>
      <w:pPr>
        <w:spacing w:before="1" w:line="219" w:lineRule="auto"/>
        <w:ind w:left="4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：承包人主要施工管理人员表</w:t>
      </w:r>
    </w:p>
    <w:p>
      <w:pPr>
        <w:spacing w:before="150" w:line="220" w:lineRule="auto"/>
        <w:ind w:left="4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：分包人主要施工管理人员表</w:t>
      </w:r>
    </w:p>
    <w:p>
      <w:pPr>
        <w:spacing w:before="151" w:line="220" w:lineRule="auto"/>
        <w:ind w:left="4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5"/>
          <w:sz w:val="21"/>
          <w:szCs w:val="21"/>
          <w:highlight w:val="none"/>
        </w:rPr>
        <w:t xml:space="preserve"> </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：履约担保格式</w:t>
      </w:r>
    </w:p>
    <w:p>
      <w:pPr>
        <w:spacing w:before="148" w:line="401" w:lineRule="exact"/>
        <w:ind w:left="418"/>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附件</w:t>
      </w:r>
      <w:r>
        <w:rPr>
          <w:rFonts w:ascii="宋体" w:hAnsi="宋体" w:eastAsia="宋体" w:cs="宋体"/>
          <w:color w:val="auto"/>
          <w:spacing w:val="-35"/>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9</w:t>
      </w:r>
      <w:r>
        <w:rPr>
          <w:rFonts w:ascii="宋体" w:hAnsi="宋体" w:eastAsia="宋体" w:cs="宋体"/>
          <w:color w:val="auto"/>
          <w:spacing w:val="-4"/>
          <w:position w:val="14"/>
          <w:sz w:val="21"/>
          <w:szCs w:val="21"/>
          <w:highlight w:val="none"/>
        </w:rPr>
        <w:t>：预付款担保格式</w:t>
      </w:r>
    </w:p>
    <w:p>
      <w:pPr>
        <w:spacing w:before="1" w:line="219" w:lineRule="auto"/>
        <w:ind w:left="4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附件</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5"/>
          <w:sz w:val="21"/>
          <w:szCs w:val="21"/>
          <w:highlight w:val="none"/>
        </w:rPr>
        <w:t>10</w:t>
      </w:r>
      <w:r>
        <w:rPr>
          <w:rFonts w:ascii="宋体" w:hAnsi="宋体" w:eastAsia="宋体" w:cs="宋体"/>
          <w:color w:val="auto"/>
          <w:spacing w:val="-5"/>
          <w:sz w:val="21"/>
          <w:szCs w:val="21"/>
          <w:highlight w:val="none"/>
        </w:rPr>
        <w:t>：支付担保格式</w:t>
      </w:r>
    </w:p>
    <w:p>
      <w:pPr>
        <w:spacing w:before="151" w:line="219" w:lineRule="auto"/>
        <w:ind w:left="4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附件</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5"/>
          <w:sz w:val="21"/>
          <w:szCs w:val="21"/>
          <w:highlight w:val="none"/>
        </w:rPr>
        <w:t>11</w:t>
      </w:r>
      <w:r>
        <w:rPr>
          <w:rFonts w:ascii="宋体" w:hAnsi="宋体" w:eastAsia="宋体" w:cs="宋体"/>
          <w:color w:val="auto"/>
          <w:spacing w:val="-5"/>
          <w:sz w:val="21"/>
          <w:szCs w:val="21"/>
          <w:highlight w:val="none"/>
        </w:rPr>
        <w:t>：暂估价一览表</w:t>
      </w:r>
    </w:p>
    <w:p>
      <w:pPr>
        <w:spacing w:line="219" w:lineRule="auto"/>
        <w:rPr>
          <w:rFonts w:ascii="宋体" w:hAnsi="宋体" w:eastAsia="宋体" w:cs="宋体"/>
          <w:color w:val="auto"/>
          <w:sz w:val="21"/>
          <w:szCs w:val="21"/>
          <w:highlight w:val="none"/>
        </w:rPr>
        <w:sectPr>
          <w:footerReference r:id="rId61" w:type="default"/>
          <w:pgSz w:w="11905" w:h="16843"/>
          <w:pgMar w:top="1769" w:right="1548" w:bottom="1003" w:left="1542" w:header="0" w:footer="828" w:gutter="0"/>
          <w:pgNumType w:fmt="numberInDash"/>
          <w:cols w:space="0" w:num="1"/>
          <w:rtlGutter w:val="0"/>
          <w:docGrid w:linePitch="0" w:charSpace="0"/>
        </w:sectPr>
      </w:pPr>
    </w:p>
    <w:p>
      <w:pPr>
        <w:rPr>
          <w:color w:val="auto"/>
          <w:highlight w:val="none"/>
        </w:rPr>
      </w:pPr>
    </w:p>
    <w:p>
      <w:pPr>
        <w:spacing w:before="78" w:line="219" w:lineRule="auto"/>
        <w:ind w:left="426"/>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附件</w:t>
      </w:r>
      <w:r>
        <w:rPr>
          <w:rFonts w:ascii="宋体" w:hAnsi="宋体" w:eastAsia="宋体" w:cs="宋体"/>
          <w:color w:val="auto"/>
          <w:spacing w:val="-33"/>
          <w:sz w:val="24"/>
          <w:szCs w:val="24"/>
          <w:highlight w:val="none"/>
        </w:rPr>
        <w:t xml:space="preserve"> </w:t>
      </w:r>
      <w:r>
        <w:rPr>
          <w:rFonts w:ascii="宋体" w:hAnsi="宋体" w:eastAsia="宋体" w:cs="宋体"/>
          <w:color w:val="auto"/>
          <w:spacing w:val="-14"/>
          <w:sz w:val="24"/>
          <w:szCs w:val="24"/>
          <w:highlight w:val="none"/>
        </w:rPr>
        <w:t>1：</w:t>
      </w:r>
    </w:p>
    <w:p>
      <w:pPr>
        <w:spacing w:before="278" w:line="219" w:lineRule="auto"/>
        <w:ind w:left="5730"/>
        <w:rPr>
          <w:rFonts w:ascii="黑体" w:hAnsi="黑体" w:eastAsia="黑体" w:cs="黑体"/>
          <w:color w:val="auto"/>
          <w:sz w:val="28"/>
          <w:szCs w:val="28"/>
          <w:highlight w:val="none"/>
        </w:rPr>
      </w:pPr>
      <w:bookmarkStart w:id="329" w:name="bookmark369"/>
      <w:bookmarkEnd w:id="329"/>
      <w:r>
        <w:rPr>
          <w:rFonts w:ascii="黑体" w:hAnsi="黑体" w:eastAsia="黑体" w:cs="黑体"/>
          <w:color w:val="auto"/>
          <w:spacing w:val="-1"/>
          <w:sz w:val="28"/>
          <w:szCs w:val="28"/>
          <w:highlight w:val="none"/>
        </w:rPr>
        <w:t>承包人承揽工程项目一览表</w:t>
      </w:r>
    </w:p>
    <w:p>
      <w:pPr>
        <w:spacing w:line="150" w:lineRule="exact"/>
        <w:rPr>
          <w:color w:val="auto"/>
          <w:highlight w:val="none"/>
        </w:rPr>
      </w:pPr>
    </w:p>
    <w:tbl>
      <w:tblPr>
        <w:tblStyle w:val="9"/>
        <w:tblW w:w="1460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2"/>
        <w:gridCol w:w="1838"/>
        <w:gridCol w:w="1417"/>
        <w:gridCol w:w="2405"/>
        <w:gridCol w:w="848"/>
        <w:gridCol w:w="1557"/>
        <w:gridCol w:w="1982"/>
        <w:gridCol w:w="1416"/>
        <w:gridCol w:w="990"/>
        <w:gridCol w:w="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1292" w:type="dxa"/>
            <w:tcBorders>
              <w:top w:val="single" w:color="000000" w:sz="10" w:space="0"/>
              <w:left w:val="single" w:color="000000" w:sz="10" w:space="0"/>
            </w:tcBorders>
            <w:vAlign w:val="top"/>
          </w:tcPr>
          <w:p>
            <w:pPr>
              <w:pStyle w:val="10"/>
              <w:spacing w:before="177" w:line="440" w:lineRule="exact"/>
              <w:ind w:left="217"/>
              <w:rPr>
                <w:color w:val="auto"/>
                <w:highlight w:val="none"/>
              </w:rPr>
            </w:pPr>
            <w:r>
              <w:rPr>
                <w:color w:val="auto"/>
                <w:spacing w:val="-2"/>
                <w:position w:val="17"/>
                <w:highlight w:val="none"/>
              </w:rPr>
              <w:t>单位工程</w:t>
            </w:r>
          </w:p>
          <w:p>
            <w:pPr>
              <w:pStyle w:val="10"/>
              <w:spacing w:line="222" w:lineRule="auto"/>
              <w:ind w:left="429"/>
              <w:rPr>
                <w:color w:val="auto"/>
                <w:highlight w:val="none"/>
              </w:rPr>
            </w:pPr>
            <w:r>
              <w:rPr>
                <w:color w:val="auto"/>
                <w:spacing w:val="-3"/>
                <w:highlight w:val="none"/>
              </w:rPr>
              <w:t>名称</w:t>
            </w:r>
          </w:p>
        </w:tc>
        <w:tc>
          <w:tcPr>
            <w:tcW w:w="1838" w:type="dxa"/>
            <w:tcBorders>
              <w:top w:val="single" w:color="000000" w:sz="10" w:space="0"/>
            </w:tcBorders>
            <w:vAlign w:val="top"/>
          </w:tcPr>
          <w:p>
            <w:pPr>
              <w:spacing w:line="325" w:lineRule="auto"/>
              <w:rPr>
                <w:rFonts w:ascii="Arial"/>
                <w:color w:val="auto"/>
                <w:sz w:val="21"/>
                <w:highlight w:val="none"/>
              </w:rPr>
            </w:pPr>
          </w:p>
          <w:p>
            <w:pPr>
              <w:pStyle w:val="10"/>
              <w:spacing w:before="68" w:line="221" w:lineRule="auto"/>
              <w:ind w:left="494"/>
              <w:rPr>
                <w:color w:val="auto"/>
                <w:highlight w:val="none"/>
              </w:rPr>
            </w:pPr>
            <w:r>
              <w:rPr>
                <w:color w:val="auto"/>
                <w:spacing w:val="-2"/>
                <w:highlight w:val="none"/>
              </w:rPr>
              <w:t>建设规模</w:t>
            </w:r>
          </w:p>
        </w:tc>
        <w:tc>
          <w:tcPr>
            <w:tcW w:w="1417" w:type="dxa"/>
            <w:tcBorders>
              <w:top w:val="single" w:color="000000" w:sz="10" w:space="0"/>
            </w:tcBorders>
            <w:vAlign w:val="top"/>
          </w:tcPr>
          <w:p>
            <w:pPr>
              <w:pStyle w:val="10"/>
              <w:spacing w:before="177" w:line="440" w:lineRule="exact"/>
              <w:ind w:left="286"/>
              <w:rPr>
                <w:color w:val="auto"/>
                <w:highlight w:val="none"/>
              </w:rPr>
            </w:pPr>
            <w:r>
              <w:rPr>
                <w:color w:val="auto"/>
                <w:spacing w:val="-2"/>
                <w:position w:val="17"/>
                <w:highlight w:val="none"/>
              </w:rPr>
              <w:t>建筑面积</w:t>
            </w:r>
          </w:p>
          <w:p>
            <w:pPr>
              <w:pStyle w:val="10"/>
              <w:spacing w:line="220" w:lineRule="auto"/>
              <w:ind w:left="184"/>
              <w:rPr>
                <w:color w:val="auto"/>
                <w:highlight w:val="none"/>
              </w:rPr>
            </w:pPr>
            <w:r>
              <w:rPr>
                <w:color w:val="auto"/>
                <w:spacing w:val="-3"/>
                <w:highlight w:val="none"/>
              </w:rPr>
              <w:t>（平方米）</w:t>
            </w:r>
          </w:p>
        </w:tc>
        <w:tc>
          <w:tcPr>
            <w:tcW w:w="2405" w:type="dxa"/>
            <w:tcBorders>
              <w:top w:val="single" w:color="000000" w:sz="10" w:space="0"/>
            </w:tcBorders>
            <w:vAlign w:val="top"/>
          </w:tcPr>
          <w:p>
            <w:pPr>
              <w:spacing w:line="326" w:lineRule="auto"/>
              <w:rPr>
                <w:rFonts w:ascii="Arial"/>
                <w:color w:val="auto"/>
                <w:sz w:val="21"/>
                <w:highlight w:val="none"/>
              </w:rPr>
            </w:pPr>
          </w:p>
          <w:p>
            <w:pPr>
              <w:pStyle w:val="10"/>
              <w:spacing w:before="68" w:line="221" w:lineRule="auto"/>
              <w:ind w:left="785"/>
              <w:rPr>
                <w:color w:val="auto"/>
                <w:highlight w:val="none"/>
              </w:rPr>
            </w:pPr>
            <w:r>
              <w:rPr>
                <w:color w:val="auto"/>
                <w:spacing w:val="-3"/>
                <w:highlight w:val="none"/>
              </w:rPr>
              <w:t>结构形式</w:t>
            </w:r>
          </w:p>
        </w:tc>
        <w:tc>
          <w:tcPr>
            <w:tcW w:w="848" w:type="dxa"/>
            <w:tcBorders>
              <w:top w:val="single" w:color="000000" w:sz="10" w:space="0"/>
            </w:tcBorders>
            <w:vAlign w:val="top"/>
          </w:tcPr>
          <w:p>
            <w:pPr>
              <w:spacing w:line="325" w:lineRule="auto"/>
              <w:rPr>
                <w:rFonts w:ascii="Arial"/>
                <w:color w:val="auto"/>
                <w:sz w:val="21"/>
                <w:highlight w:val="none"/>
              </w:rPr>
            </w:pPr>
          </w:p>
          <w:p>
            <w:pPr>
              <w:pStyle w:val="10"/>
              <w:spacing w:before="68" w:line="221" w:lineRule="auto"/>
              <w:ind w:left="218"/>
              <w:rPr>
                <w:color w:val="auto"/>
                <w:highlight w:val="none"/>
              </w:rPr>
            </w:pPr>
            <w:r>
              <w:rPr>
                <w:color w:val="auto"/>
                <w:spacing w:val="-2"/>
                <w:highlight w:val="none"/>
              </w:rPr>
              <w:t>层数</w:t>
            </w:r>
          </w:p>
        </w:tc>
        <w:tc>
          <w:tcPr>
            <w:tcW w:w="1557" w:type="dxa"/>
            <w:tcBorders>
              <w:top w:val="single" w:color="000000" w:sz="10" w:space="0"/>
            </w:tcBorders>
            <w:vAlign w:val="top"/>
          </w:tcPr>
          <w:p>
            <w:pPr>
              <w:spacing w:line="325" w:lineRule="auto"/>
              <w:rPr>
                <w:rFonts w:ascii="Arial"/>
                <w:color w:val="auto"/>
                <w:sz w:val="21"/>
                <w:highlight w:val="none"/>
              </w:rPr>
            </w:pPr>
          </w:p>
          <w:p>
            <w:pPr>
              <w:pStyle w:val="10"/>
              <w:spacing w:before="68" w:line="221" w:lineRule="auto"/>
              <w:ind w:left="365"/>
              <w:rPr>
                <w:color w:val="auto"/>
                <w:highlight w:val="none"/>
              </w:rPr>
            </w:pPr>
            <w:r>
              <w:rPr>
                <w:color w:val="auto"/>
                <w:spacing w:val="-2"/>
                <w:highlight w:val="none"/>
              </w:rPr>
              <w:t>生产能力</w:t>
            </w:r>
          </w:p>
        </w:tc>
        <w:tc>
          <w:tcPr>
            <w:tcW w:w="1982" w:type="dxa"/>
            <w:tcBorders>
              <w:top w:val="single" w:color="000000" w:sz="10" w:space="0"/>
            </w:tcBorders>
            <w:vAlign w:val="top"/>
          </w:tcPr>
          <w:p>
            <w:pPr>
              <w:spacing w:line="325" w:lineRule="auto"/>
              <w:rPr>
                <w:rFonts w:ascii="Arial"/>
                <w:color w:val="auto"/>
                <w:sz w:val="21"/>
                <w:highlight w:val="none"/>
              </w:rPr>
            </w:pPr>
          </w:p>
          <w:p>
            <w:pPr>
              <w:pStyle w:val="10"/>
              <w:spacing w:before="68" w:line="221" w:lineRule="auto"/>
              <w:ind w:left="372"/>
              <w:rPr>
                <w:color w:val="auto"/>
                <w:highlight w:val="none"/>
              </w:rPr>
            </w:pPr>
            <w:r>
              <w:rPr>
                <w:color w:val="auto"/>
                <w:spacing w:val="-2"/>
                <w:highlight w:val="none"/>
              </w:rPr>
              <w:t>设备安装内容</w:t>
            </w:r>
          </w:p>
        </w:tc>
        <w:tc>
          <w:tcPr>
            <w:tcW w:w="1416" w:type="dxa"/>
            <w:tcBorders>
              <w:top w:val="single" w:color="000000" w:sz="10" w:space="0"/>
            </w:tcBorders>
            <w:vAlign w:val="top"/>
          </w:tcPr>
          <w:p>
            <w:pPr>
              <w:pStyle w:val="10"/>
              <w:spacing w:before="177" w:line="440" w:lineRule="exact"/>
              <w:ind w:left="296"/>
              <w:rPr>
                <w:color w:val="auto"/>
                <w:highlight w:val="none"/>
              </w:rPr>
            </w:pPr>
            <w:r>
              <w:rPr>
                <w:color w:val="auto"/>
                <w:spacing w:val="-2"/>
                <w:position w:val="17"/>
                <w:highlight w:val="none"/>
              </w:rPr>
              <w:t>合同价格</w:t>
            </w:r>
          </w:p>
          <w:p>
            <w:pPr>
              <w:pStyle w:val="10"/>
              <w:spacing w:line="221" w:lineRule="auto"/>
              <w:ind w:left="408"/>
              <w:rPr>
                <w:color w:val="auto"/>
                <w:highlight w:val="none"/>
              </w:rPr>
            </w:pPr>
            <w:r>
              <w:rPr>
                <w:color w:val="auto"/>
                <w:spacing w:val="-6"/>
                <w:highlight w:val="none"/>
              </w:rPr>
              <w:t>（元）</w:t>
            </w:r>
          </w:p>
        </w:tc>
        <w:tc>
          <w:tcPr>
            <w:tcW w:w="990" w:type="dxa"/>
            <w:tcBorders>
              <w:top w:val="single" w:color="000000" w:sz="10" w:space="0"/>
            </w:tcBorders>
            <w:vAlign w:val="top"/>
          </w:tcPr>
          <w:p>
            <w:pPr>
              <w:pStyle w:val="10"/>
              <w:spacing w:before="177" w:line="440" w:lineRule="exact"/>
              <w:ind w:left="296"/>
              <w:rPr>
                <w:color w:val="auto"/>
                <w:highlight w:val="none"/>
              </w:rPr>
            </w:pPr>
            <w:r>
              <w:rPr>
                <w:color w:val="auto"/>
                <w:spacing w:val="-2"/>
                <w:position w:val="17"/>
                <w:highlight w:val="none"/>
              </w:rPr>
              <w:t>开工</w:t>
            </w:r>
          </w:p>
          <w:p>
            <w:pPr>
              <w:pStyle w:val="10"/>
              <w:spacing w:line="221" w:lineRule="auto"/>
              <w:ind w:left="332"/>
              <w:rPr>
                <w:color w:val="auto"/>
                <w:highlight w:val="none"/>
              </w:rPr>
            </w:pPr>
            <w:r>
              <w:rPr>
                <w:color w:val="auto"/>
                <w:spacing w:val="-11"/>
                <w:highlight w:val="none"/>
              </w:rPr>
              <w:t>日期</w:t>
            </w:r>
          </w:p>
        </w:tc>
        <w:tc>
          <w:tcPr>
            <w:tcW w:w="862" w:type="dxa"/>
            <w:tcBorders>
              <w:top w:val="single" w:color="000000" w:sz="10" w:space="0"/>
              <w:right w:val="single" w:color="000000" w:sz="10" w:space="0"/>
            </w:tcBorders>
            <w:vAlign w:val="top"/>
          </w:tcPr>
          <w:p>
            <w:pPr>
              <w:pStyle w:val="10"/>
              <w:spacing w:before="177" w:line="440" w:lineRule="exact"/>
              <w:ind w:left="228"/>
              <w:rPr>
                <w:color w:val="auto"/>
                <w:highlight w:val="none"/>
              </w:rPr>
            </w:pPr>
            <w:r>
              <w:rPr>
                <w:color w:val="auto"/>
                <w:spacing w:val="-2"/>
                <w:position w:val="17"/>
                <w:highlight w:val="none"/>
              </w:rPr>
              <w:t>竣工</w:t>
            </w:r>
          </w:p>
          <w:p>
            <w:pPr>
              <w:pStyle w:val="10"/>
              <w:spacing w:line="221" w:lineRule="auto"/>
              <w:ind w:left="264"/>
              <w:rPr>
                <w:color w:val="auto"/>
                <w:highlight w:val="none"/>
              </w:rPr>
            </w:pPr>
            <w:r>
              <w:rPr>
                <w:color w:val="auto"/>
                <w:spacing w:val="-11"/>
                <w:highlight w:val="none"/>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vAlign w:val="top"/>
          </w:tcPr>
          <w:p>
            <w:pPr>
              <w:rPr>
                <w:rFonts w:ascii="Arial"/>
                <w:color w:val="auto"/>
                <w:sz w:val="21"/>
                <w:highlight w:val="none"/>
              </w:rPr>
            </w:pPr>
          </w:p>
        </w:tc>
        <w:tc>
          <w:tcPr>
            <w:tcW w:w="1838" w:type="dxa"/>
            <w:vAlign w:val="top"/>
          </w:tcPr>
          <w:p>
            <w:pPr>
              <w:rPr>
                <w:rFonts w:ascii="Arial"/>
                <w:color w:val="auto"/>
                <w:sz w:val="21"/>
                <w:highlight w:val="none"/>
              </w:rPr>
            </w:pPr>
          </w:p>
        </w:tc>
        <w:tc>
          <w:tcPr>
            <w:tcW w:w="1417" w:type="dxa"/>
            <w:vAlign w:val="top"/>
          </w:tcPr>
          <w:p>
            <w:pPr>
              <w:rPr>
                <w:rFonts w:ascii="Arial"/>
                <w:color w:val="auto"/>
                <w:sz w:val="21"/>
                <w:highlight w:val="none"/>
              </w:rPr>
            </w:pPr>
          </w:p>
        </w:tc>
        <w:tc>
          <w:tcPr>
            <w:tcW w:w="2405"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1557" w:type="dxa"/>
            <w:vAlign w:val="top"/>
          </w:tcPr>
          <w:p>
            <w:pPr>
              <w:rPr>
                <w:rFonts w:ascii="Arial"/>
                <w:color w:val="auto"/>
                <w:sz w:val="21"/>
                <w:highlight w:val="none"/>
              </w:rPr>
            </w:pPr>
          </w:p>
        </w:tc>
        <w:tc>
          <w:tcPr>
            <w:tcW w:w="1982" w:type="dxa"/>
            <w:vAlign w:val="top"/>
          </w:tcPr>
          <w:p>
            <w:pPr>
              <w:rPr>
                <w:rFonts w:ascii="Arial"/>
                <w:color w:val="auto"/>
                <w:sz w:val="21"/>
                <w:highlight w:val="none"/>
              </w:rPr>
            </w:pPr>
          </w:p>
        </w:tc>
        <w:tc>
          <w:tcPr>
            <w:tcW w:w="1416" w:type="dxa"/>
            <w:vAlign w:val="top"/>
          </w:tcPr>
          <w:p>
            <w:pPr>
              <w:rPr>
                <w:rFonts w:ascii="Arial"/>
                <w:color w:val="auto"/>
                <w:sz w:val="21"/>
                <w:highlight w:val="none"/>
              </w:rPr>
            </w:pPr>
          </w:p>
        </w:tc>
        <w:tc>
          <w:tcPr>
            <w:tcW w:w="990" w:type="dxa"/>
            <w:vAlign w:val="top"/>
          </w:tcPr>
          <w:p>
            <w:pPr>
              <w:rPr>
                <w:rFonts w:ascii="Arial"/>
                <w:color w:val="auto"/>
                <w:sz w:val="21"/>
                <w:highlight w:val="none"/>
              </w:rPr>
            </w:pPr>
          </w:p>
        </w:tc>
        <w:tc>
          <w:tcPr>
            <w:tcW w:w="86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292" w:type="dxa"/>
            <w:tcBorders>
              <w:left w:val="single" w:color="000000" w:sz="10" w:space="0"/>
              <w:bottom w:val="single" w:color="000000" w:sz="10" w:space="0"/>
            </w:tcBorders>
            <w:vAlign w:val="top"/>
          </w:tcPr>
          <w:p>
            <w:pPr>
              <w:rPr>
                <w:rFonts w:ascii="Arial"/>
                <w:color w:val="auto"/>
                <w:sz w:val="21"/>
                <w:highlight w:val="none"/>
              </w:rPr>
            </w:pPr>
          </w:p>
        </w:tc>
        <w:tc>
          <w:tcPr>
            <w:tcW w:w="1838" w:type="dxa"/>
            <w:tcBorders>
              <w:bottom w:val="single" w:color="000000" w:sz="10" w:space="0"/>
            </w:tcBorders>
            <w:vAlign w:val="top"/>
          </w:tcPr>
          <w:p>
            <w:pPr>
              <w:rPr>
                <w:rFonts w:ascii="Arial"/>
                <w:color w:val="auto"/>
                <w:sz w:val="21"/>
                <w:highlight w:val="none"/>
              </w:rPr>
            </w:pPr>
          </w:p>
        </w:tc>
        <w:tc>
          <w:tcPr>
            <w:tcW w:w="1417" w:type="dxa"/>
            <w:tcBorders>
              <w:bottom w:val="single" w:color="000000" w:sz="10" w:space="0"/>
            </w:tcBorders>
            <w:vAlign w:val="top"/>
          </w:tcPr>
          <w:p>
            <w:pPr>
              <w:rPr>
                <w:rFonts w:ascii="Arial"/>
                <w:color w:val="auto"/>
                <w:sz w:val="21"/>
                <w:highlight w:val="none"/>
              </w:rPr>
            </w:pPr>
          </w:p>
        </w:tc>
        <w:tc>
          <w:tcPr>
            <w:tcW w:w="2405" w:type="dxa"/>
            <w:tcBorders>
              <w:bottom w:val="single" w:color="000000" w:sz="10" w:space="0"/>
            </w:tcBorders>
            <w:vAlign w:val="top"/>
          </w:tcPr>
          <w:p>
            <w:pPr>
              <w:rPr>
                <w:rFonts w:ascii="Arial"/>
                <w:color w:val="auto"/>
                <w:sz w:val="21"/>
                <w:highlight w:val="none"/>
              </w:rPr>
            </w:pPr>
          </w:p>
        </w:tc>
        <w:tc>
          <w:tcPr>
            <w:tcW w:w="848" w:type="dxa"/>
            <w:tcBorders>
              <w:bottom w:val="single" w:color="000000" w:sz="10" w:space="0"/>
            </w:tcBorders>
            <w:vAlign w:val="top"/>
          </w:tcPr>
          <w:p>
            <w:pPr>
              <w:rPr>
                <w:rFonts w:ascii="Arial"/>
                <w:color w:val="auto"/>
                <w:sz w:val="21"/>
                <w:highlight w:val="none"/>
              </w:rPr>
            </w:pPr>
          </w:p>
        </w:tc>
        <w:tc>
          <w:tcPr>
            <w:tcW w:w="1557" w:type="dxa"/>
            <w:tcBorders>
              <w:bottom w:val="single" w:color="000000" w:sz="10" w:space="0"/>
            </w:tcBorders>
            <w:vAlign w:val="top"/>
          </w:tcPr>
          <w:p>
            <w:pPr>
              <w:rPr>
                <w:rFonts w:ascii="Arial"/>
                <w:color w:val="auto"/>
                <w:sz w:val="21"/>
                <w:highlight w:val="none"/>
              </w:rPr>
            </w:pPr>
          </w:p>
        </w:tc>
        <w:tc>
          <w:tcPr>
            <w:tcW w:w="1982" w:type="dxa"/>
            <w:tcBorders>
              <w:bottom w:val="single" w:color="000000" w:sz="10" w:space="0"/>
            </w:tcBorders>
            <w:vAlign w:val="top"/>
          </w:tcPr>
          <w:p>
            <w:pPr>
              <w:rPr>
                <w:rFonts w:ascii="Arial"/>
                <w:color w:val="auto"/>
                <w:sz w:val="21"/>
                <w:highlight w:val="none"/>
              </w:rPr>
            </w:pPr>
          </w:p>
        </w:tc>
        <w:tc>
          <w:tcPr>
            <w:tcW w:w="1416" w:type="dxa"/>
            <w:tcBorders>
              <w:bottom w:val="single" w:color="000000" w:sz="10" w:space="0"/>
            </w:tcBorders>
            <w:vAlign w:val="top"/>
          </w:tcPr>
          <w:p>
            <w:pPr>
              <w:rPr>
                <w:rFonts w:ascii="Arial"/>
                <w:color w:val="auto"/>
                <w:sz w:val="21"/>
                <w:highlight w:val="none"/>
              </w:rPr>
            </w:pPr>
          </w:p>
        </w:tc>
        <w:tc>
          <w:tcPr>
            <w:tcW w:w="990" w:type="dxa"/>
            <w:tcBorders>
              <w:bottom w:val="single" w:color="000000" w:sz="10" w:space="0"/>
            </w:tcBorders>
            <w:vAlign w:val="top"/>
          </w:tcPr>
          <w:p>
            <w:pPr>
              <w:rPr>
                <w:rFonts w:ascii="Arial"/>
                <w:color w:val="auto"/>
                <w:sz w:val="21"/>
                <w:highlight w:val="none"/>
              </w:rPr>
            </w:pPr>
          </w:p>
        </w:tc>
        <w:tc>
          <w:tcPr>
            <w:tcW w:w="862" w:type="dxa"/>
            <w:tcBorders>
              <w:bottom w:val="single" w:color="000000" w:sz="10" w:space="0"/>
              <w:right w:val="single" w:color="000000" w:sz="10" w:space="0"/>
            </w:tcBorders>
            <w:vAlign w:val="top"/>
          </w:tcPr>
          <w:p>
            <w:pPr>
              <w:rPr>
                <w:rFonts w:ascii="Arial"/>
                <w:color w:val="auto"/>
                <w:sz w:val="21"/>
                <w:highlight w:val="none"/>
              </w:rPr>
            </w:pPr>
          </w:p>
        </w:tc>
      </w:tr>
    </w:tbl>
    <w:p>
      <w:pPr>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br w:type="page"/>
      </w:r>
    </w:p>
    <w:p>
      <w:pPr>
        <w:rPr>
          <w:rFonts w:ascii="宋体" w:hAnsi="宋体" w:eastAsia="宋体" w:cs="宋体"/>
          <w:color w:val="auto"/>
          <w:spacing w:val="-11"/>
          <w:sz w:val="24"/>
          <w:szCs w:val="24"/>
          <w:highlight w:val="none"/>
        </w:rPr>
        <w:sectPr>
          <w:footerReference r:id="rId62" w:type="default"/>
          <w:pgSz w:w="16843" w:h="11905" w:orient="landscape"/>
          <w:pgMar w:top="1542" w:right="1769" w:bottom="1548" w:left="1003" w:header="0" w:footer="828" w:gutter="0"/>
          <w:pgNumType w:fmt="numberInDash"/>
          <w:cols w:space="0" w:num="1"/>
          <w:rtlGutter w:val="0"/>
          <w:docGrid w:linePitch="0" w:charSpace="0"/>
        </w:sectPr>
      </w:pPr>
    </w:p>
    <w:p>
      <w:pPr>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6"/>
          <w:sz w:val="24"/>
          <w:szCs w:val="24"/>
          <w:highlight w:val="none"/>
        </w:rPr>
        <w:t xml:space="preserve"> </w:t>
      </w:r>
      <w:r>
        <w:rPr>
          <w:rFonts w:ascii="宋体" w:hAnsi="宋体" w:eastAsia="宋体" w:cs="宋体"/>
          <w:color w:val="auto"/>
          <w:spacing w:val="-11"/>
          <w:sz w:val="24"/>
          <w:szCs w:val="24"/>
          <w:highlight w:val="none"/>
        </w:rPr>
        <w:t>2：</w:t>
      </w:r>
    </w:p>
    <w:p>
      <w:pPr>
        <w:spacing w:before="239" w:line="219" w:lineRule="auto"/>
        <w:ind w:left="2755"/>
        <w:rPr>
          <w:rFonts w:ascii="黑体" w:hAnsi="黑体" w:eastAsia="黑体" w:cs="黑体"/>
          <w:color w:val="auto"/>
          <w:sz w:val="28"/>
          <w:szCs w:val="28"/>
          <w:highlight w:val="none"/>
        </w:rPr>
      </w:pPr>
      <w:bookmarkStart w:id="330" w:name="bookmark370"/>
      <w:bookmarkEnd w:id="330"/>
      <w:bookmarkStart w:id="331" w:name="bookmark371"/>
      <w:bookmarkEnd w:id="331"/>
      <w:r>
        <w:rPr>
          <w:rFonts w:ascii="黑体" w:hAnsi="黑体" w:eastAsia="黑体" w:cs="黑体"/>
          <w:color w:val="auto"/>
          <w:spacing w:val="-1"/>
          <w:sz w:val="28"/>
          <w:szCs w:val="28"/>
          <w:highlight w:val="none"/>
        </w:rPr>
        <w:t>发包人供应材料设备一览表</w:t>
      </w:r>
    </w:p>
    <w:p>
      <w:pPr>
        <w:spacing w:line="116" w:lineRule="exact"/>
        <w:rPr>
          <w:color w:val="auto"/>
          <w:highlight w:val="none"/>
        </w:rPr>
      </w:pPr>
    </w:p>
    <w:tbl>
      <w:tblPr>
        <w:tblStyle w:val="9"/>
        <w:tblW w:w="8746" w:type="dxa"/>
        <w:tblInd w:w="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9"/>
        <w:gridCol w:w="1132"/>
        <w:gridCol w:w="848"/>
        <w:gridCol w:w="706"/>
        <w:gridCol w:w="708"/>
        <w:gridCol w:w="848"/>
        <w:gridCol w:w="847"/>
        <w:gridCol w:w="802"/>
        <w:gridCol w:w="1460"/>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579" w:type="dxa"/>
            <w:tcBorders>
              <w:top w:val="single" w:color="000000" w:sz="10" w:space="0"/>
              <w:left w:val="single" w:color="000000" w:sz="10" w:space="0"/>
            </w:tcBorders>
            <w:textDirection w:val="tbRlV"/>
            <w:vAlign w:val="top"/>
          </w:tcPr>
          <w:p>
            <w:pPr>
              <w:pStyle w:val="10"/>
              <w:spacing w:before="183" w:line="211" w:lineRule="auto"/>
              <w:ind w:left="177"/>
              <w:rPr>
                <w:color w:val="auto"/>
                <w:highlight w:val="none"/>
              </w:rPr>
            </w:pPr>
            <w:r>
              <w:rPr>
                <w:color w:val="auto"/>
                <w:spacing w:val="1"/>
                <w:highlight w:val="none"/>
              </w:rPr>
              <w:t>序</w:t>
            </w:r>
            <w:r>
              <w:rPr>
                <w:color w:val="auto"/>
                <w:spacing w:val="9"/>
                <w:highlight w:val="none"/>
              </w:rPr>
              <w:t xml:space="preserve">  </w:t>
            </w:r>
            <w:r>
              <w:rPr>
                <w:color w:val="auto"/>
                <w:spacing w:val="1"/>
                <w:highlight w:val="none"/>
              </w:rPr>
              <w:t>号</w:t>
            </w:r>
          </w:p>
        </w:tc>
        <w:tc>
          <w:tcPr>
            <w:tcW w:w="1132" w:type="dxa"/>
            <w:tcBorders>
              <w:top w:val="single" w:color="000000" w:sz="10" w:space="0"/>
            </w:tcBorders>
            <w:vAlign w:val="top"/>
          </w:tcPr>
          <w:p>
            <w:pPr>
              <w:pStyle w:val="10"/>
              <w:spacing w:before="177" w:line="439" w:lineRule="exact"/>
              <w:ind w:left="347"/>
              <w:rPr>
                <w:color w:val="auto"/>
                <w:highlight w:val="none"/>
              </w:rPr>
            </w:pPr>
            <w:r>
              <w:rPr>
                <w:color w:val="auto"/>
                <w:spacing w:val="-2"/>
                <w:position w:val="17"/>
                <w:highlight w:val="none"/>
              </w:rPr>
              <w:t>材料、</w:t>
            </w:r>
          </w:p>
          <w:p>
            <w:pPr>
              <w:pStyle w:val="10"/>
              <w:spacing w:line="221" w:lineRule="auto"/>
              <w:ind w:left="108"/>
              <w:rPr>
                <w:color w:val="auto"/>
                <w:highlight w:val="none"/>
              </w:rPr>
            </w:pPr>
            <w:r>
              <w:rPr>
                <w:color w:val="auto"/>
                <w:spacing w:val="-3"/>
                <w:highlight w:val="none"/>
              </w:rPr>
              <w:t>设备品种</w:t>
            </w:r>
          </w:p>
        </w:tc>
        <w:tc>
          <w:tcPr>
            <w:tcW w:w="848" w:type="dxa"/>
            <w:tcBorders>
              <w:top w:val="single" w:color="000000" w:sz="10" w:space="0"/>
            </w:tcBorders>
            <w:vAlign w:val="top"/>
          </w:tcPr>
          <w:p>
            <w:pPr>
              <w:pStyle w:val="10"/>
              <w:spacing w:before="177" w:line="439" w:lineRule="exact"/>
              <w:ind w:left="210"/>
              <w:rPr>
                <w:color w:val="auto"/>
                <w:highlight w:val="none"/>
              </w:rPr>
            </w:pPr>
            <w:r>
              <w:rPr>
                <w:color w:val="auto"/>
                <w:spacing w:val="-2"/>
                <w:position w:val="17"/>
                <w:highlight w:val="none"/>
              </w:rPr>
              <w:t>规格</w:t>
            </w:r>
          </w:p>
          <w:p>
            <w:pPr>
              <w:pStyle w:val="10"/>
              <w:spacing w:line="222" w:lineRule="auto"/>
              <w:ind w:left="215"/>
              <w:rPr>
                <w:color w:val="auto"/>
                <w:highlight w:val="none"/>
              </w:rPr>
            </w:pPr>
            <w:r>
              <w:rPr>
                <w:color w:val="auto"/>
                <w:spacing w:val="-4"/>
                <w:highlight w:val="none"/>
              </w:rPr>
              <w:t>型号</w:t>
            </w:r>
          </w:p>
        </w:tc>
        <w:tc>
          <w:tcPr>
            <w:tcW w:w="706" w:type="dxa"/>
            <w:tcBorders>
              <w:top w:val="single" w:color="000000" w:sz="10" w:space="0"/>
            </w:tcBorders>
            <w:vAlign w:val="top"/>
          </w:tcPr>
          <w:p>
            <w:pPr>
              <w:spacing w:line="328" w:lineRule="auto"/>
              <w:rPr>
                <w:rFonts w:ascii="Arial"/>
                <w:color w:val="auto"/>
                <w:sz w:val="21"/>
                <w:highlight w:val="none"/>
              </w:rPr>
            </w:pPr>
          </w:p>
          <w:p>
            <w:pPr>
              <w:pStyle w:val="10"/>
              <w:spacing w:before="68" w:line="221" w:lineRule="auto"/>
              <w:ind w:left="143"/>
              <w:rPr>
                <w:color w:val="auto"/>
                <w:highlight w:val="none"/>
              </w:rPr>
            </w:pPr>
            <w:r>
              <w:rPr>
                <w:color w:val="auto"/>
                <w:spacing w:val="-2"/>
                <w:highlight w:val="none"/>
              </w:rPr>
              <w:t>单位</w:t>
            </w:r>
          </w:p>
        </w:tc>
        <w:tc>
          <w:tcPr>
            <w:tcW w:w="708" w:type="dxa"/>
            <w:tcBorders>
              <w:top w:val="single" w:color="000000" w:sz="10" w:space="0"/>
            </w:tcBorders>
            <w:vAlign w:val="top"/>
          </w:tcPr>
          <w:p>
            <w:pPr>
              <w:spacing w:line="327" w:lineRule="auto"/>
              <w:rPr>
                <w:rFonts w:ascii="Arial"/>
                <w:color w:val="auto"/>
                <w:sz w:val="21"/>
                <w:highlight w:val="none"/>
              </w:rPr>
            </w:pPr>
          </w:p>
          <w:p>
            <w:pPr>
              <w:pStyle w:val="10"/>
              <w:spacing w:before="68" w:line="221" w:lineRule="auto"/>
              <w:ind w:left="145"/>
              <w:rPr>
                <w:color w:val="auto"/>
                <w:highlight w:val="none"/>
              </w:rPr>
            </w:pPr>
            <w:r>
              <w:rPr>
                <w:color w:val="auto"/>
                <w:spacing w:val="-2"/>
                <w:highlight w:val="none"/>
              </w:rPr>
              <w:t>数量</w:t>
            </w:r>
          </w:p>
        </w:tc>
        <w:tc>
          <w:tcPr>
            <w:tcW w:w="848" w:type="dxa"/>
            <w:tcBorders>
              <w:top w:val="single" w:color="000000" w:sz="10" w:space="0"/>
            </w:tcBorders>
            <w:vAlign w:val="top"/>
          </w:tcPr>
          <w:p>
            <w:pPr>
              <w:pStyle w:val="10"/>
              <w:spacing w:before="177" w:line="439" w:lineRule="exact"/>
              <w:ind w:left="217"/>
              <w:rPr>
                <w:color w:val="auto"/>
                <w:highlight w:val="none"/>
              </w:rPr>
            </w:pPr>
            <w:r>
              <w:rPr>
                <w:color w:val="auto"/>
                <w:spacing w:val="-2"/>
                <w:position w:val="17"/>
                <w:highlight w:val="none"/>
              </w:rPr>
              <w:t>单价</w:t>
            </w:r>
          </w:p>
          <w:p>
            <w:pPr>
              <w:pStyle w:val="10"/>
              <w:spacing w:line="221" w:lineRule="auto"/>
              <w:ind w:left="116"/>
              <w:rPr>
                <w:color w:val="auto"/>
                <w:highlight w:val="none"/>
              </w:rPr>
            </w:pPr>
            <w:r>
              <w:rPr>
                <w:color w:val="auto"/>
                <w:spacing w:val="-6"/>
                <w:highlight w:val="none"/>
              </w:rPr>
              <w:t>（元）</w:t>
            </w:r>
          </w:p>
        </w:tc>
        <w:tc>
          <w:tcPr>
            <w:tcW w:w="847" w:type="dxa"/>
            <w:tcBorders>
              <w:top w:val="single" w:color="000000" w:sz="10" w:space="0"/>
            </w:tcBorders>
            <w:vAlign w:val="top"/>
          </w:tcPr>
          <w:p>
            <w:pPr>
              <w:pStyle w:val="10"/>
              <w:spacing w:before="177" w:line="439" w:lineRule="exact"/>
              <w:ind w:left="221"/>
              <w:rPr>
                <w:color w:val="auto"/>
                <w:highlight w:val="none"/>
              </w:rPr>
            </w:pPr>
            <w:r>
              <w:rPr>
                <w:color w:val="auto"/>
                <w:spacing w:val="-2"/>
                <w:position w:val="17"/>
                <w:highlight w:val="none"/>
              </w:rPr>
              <w:t>质量</w:t>
            </w:r>
          </w:p>
          <w:p>
            <w:pPr>
              <w:pStyle w:val="10"/>
              <w:spacing w:line="220" w:lineRule="auto"/>
              <w:ind w:left="221"/>
              <w:rPr>
                <w:color w:val="auto"/>
                <w:highlight w:val="none"/>
              </w:rPr>
            </w:pPr>
            <w:r>
              <w:rPr>
                <w:color w:val="auto"/>
                <w:spacing w:val="-2"/>
                <w:highlight w:val="none"/>
              </w:rPr>
              <w:t>等级</w:t>
            </w:r>
          </w:p>
        </w:tc>
        <w:tc>
          <w:tcPr>
            <w:tcW w:w="802" w:type="dxa"/>
            <w:tcBorders>
              <w:top w:val="single" w:color="000000" w:sz="10" w:space="0"/>
            </w:tcBorders>
            <w:vAlign w:val="top"/>
          </w:tcPr>
          <w:p>
            <w:pPr>
              <w:pStyle w:val="10"/>
              <w:spacing w:before="177" w:line="439" w:lineRule="exact"/>
              <w:ind w:left="198"/>
              <w:rPr>
                <w:color w:val="auto"/>
                <w:highlight w:val="none"/>
              </w:rPr>
            </w:pPr>
            <w:r>
              <w:rPr>
                <w:color w:val="auto"/>
                <w:spacing w:val="-2"/>
                <w:position w:val="17"/>
                <w:highlight w:val="none"/>
              </w:rPr>
              <w:t>供应</w:t>
            </w:r>
          </w:p>
          <w:p>
            <w:pPr>
              <w:pStyle w:val="10"/>
              <w:spacing w:line="222" w:lineRule="auto"/>
              <w:ind w:left="208"/>
              <w:rPr>
                <w:color w:val="auto"/>
                <w:highlight w:val="none"/>
              </w:rPr>
            </w:pPr>
            <w:r>
              <w:rPr>
                <w:color w:val="auto"/>
                <w:spacing w:val="-4"/>
                <w:highlight w:val="none"/>
              </w:rPr>
              <w:t>时间</w:t>
            </w:r>
          </w:p>
        </w:tc>
        <w:tc>
          <w:tcPr>
            <w:tcW w:w="1460" w:type="dxa"/>
            <w:tcBorders>
              <w:top w:val="single" w:color="000000" w:sz="10" w:space="0"/>
            </w:tcBorders>
            <w:vAlign w:val="top"/>
          </w:tcPr>
          <w:p>
            <w:pPr>
              <w:spacing w:line="327" w:lineRule="auto"/>
              <w:rPr>
                <w:rFonts w:ascii="Arial"/>
                <w:color w:val="auto"/>
                <w:sz w:val="21"/>
                <w:highlight w:val="none"/>
              </w:rPr>
            </w:pPr>
          </w:p>
          <w:p>
            <w:pPr>
              <w:pStyle w:val="10"/>
              <w:spacing w:before="69" w:line="225" w:lineRule="auto"/>
              <w:ind w:left="316"/>
              <w:rPr>
                <w:color w:val="auto"/>
                <w:highlight w:val="none"/>
              </w:rPr>
            </w:pPr>
            <w:r>
              <w:rPr>
                <w:color w:val="auto"/>
                <w:spacing w:val="-1"/>
                <w:highlight w:val="none"/>
              </w:rPr>
              <w:t>送达地点</w:t>
            </w:r>
          </w:p>
        </w:tc>
        <w:tc>
          <w:tcPr>
            <w:tcW w:w="816" w:type="dxa"/>
            <w:tcBorders>
              <w:top w:val="single" w:color="000000" w:sz="10" w:space="0"/>
              <w:right w:val="single" w:color="000000" w:sz="10" w:space="0"/>
            </w:tcBorders>
            <w:vAlign w:val="top"/>
          </w:tcPr>
          <w:p>
            <w:pPr>
              <w:spacing w:line="328" w:lineRule="auto"/>
              <w:rPr>
                <w:rFonts w:ascii="Arial"/>
                <w:color w:val="auto"/>
                <w:sz w:val="21"/>
                <w:highlight w:val="none"/>
              </w:rPr>
            </w:pPr>
          </w:p>
          <w:p>
            <w:pPr>
              <w:pStyle w:val="10"/>
              <w:spacing w:before="68" w:line="222" w:lineRule="auto"/>
              <w:ind w:left="207"/>
              <w:rPr>
                <w:color w:val="auto"/>
                <w:highlight w:val="none"/>
              </w:rPr>
            </w:pPr>
            <w:r>
              <w:rPr>
                <w:color w:val="auto"/>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vAlign w:val="top"/>
          </w:tcPr>
          <w:p>
            <w:pPr>
              <w:rPr>
                <w:rFonts w:ascii="Arial"/>
                <w:color w:val="auto"/>
                <w:sz w:val="21"/>
                <w:highlight w:val="none"/>
              </w:rPr>
            </w:pPr>
          </w:p>
        </w:tc>
        <w:tc>
          <w:tcPr>
            <w:tcW w:w="1132"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708" w:type="dxa"/>
            <w:vAlign w:val="top"/>
          </w:tcPr>
          <w:p>
            <w:pPr>
              <w:rPr>
                <w:rFonts w:ascii="Arial"/>
                <w:color w:val="auto"/>
                <w:sz w:val="21"/>
                <w:highlight w:val="none"/>
              </w:rPr>
            </w:pPr>
          </w:p>
        </w:tc>
        <w:tc>
          <w:tcPr>
            <w:tcW w:w="848"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02" w:type="dxa"/>
            <w:vAlign w:val="top"/>
          </w:tcPr>
          <w:p>
            <w:pPr>
              <w:rPr>
                <w:rFonts w:ascii="Arial"/>
                <w:color w:val="auto"/>
                <w:sz w:val="21"/>
                <w:highlight w:val="none"/>
              </w:rPr>
            </w:pPr>
          </w:p>
        </w:tc>
        <w:tc>
          <w:tcPr>
            <w:tcW w:w="1460" w:type="dxa"/>
            <w:vAlign w:val="top"/>
          </w:tcPr>
          <w:p>
            <w:pPr>
              <w:rPr>
                <w:rFonts w:ascii="Arial"/>
                <w:color w:val="auto"/>
                <w:sz w:val="21"/>
                <w:highlight w:val="none"/>
              </w:rPr>
            </w:pPr>
          </w:p>
        </w:tc>
        <w:tc>
          <w:tcPr>
            <w:tcW w:w="816"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79" w:type="dxa"/>
            <w:tcBorders>
              <w:left w:val="single" w:color="000000" w:sz="10" w:space="0"/>
              <w:bottom w:val="single" w:color="000000" w:sz="10" w:space="0"/>
            </w:tcBorders>
            <w:vAlign w:val="top"/>
          </w:tcPr>
          <w:p>
            <w:pPr>
              <w:rPr>
                <w:rFonts w:ascii="Arial"/>
                <w:color w:val="auto"/>
                <w:sz w:val="21"/>
                <w:highlight w:val="none"/>
              </w:rPr>
            </w:pPr>
          </w:p>
        </w:tc>
        <w:tc>
          <w:tcPr>
            <w:tcW w:w="1132" w:type="dxa"/>
            <w:tcBorders>
              <w:bottom w:val="single" w:color="000000" w:sz="10" w:space="0"/>
            </w:tcBorders>
            <w:vAlign w:val="top"/>
          </w:tcPr>
          <w:p>
            <w:pPr>
              <w:rPr>
                <w:rFonts w:ascii="Arial"/>
                <w:color w:val="auto"/>
                <w:sz w:val="21"/>
                <w:highlight w:val="none"/>
              </w:rPr>
            </w:pPr>
          </w:p>
        </w:tc>
        <w:tc>
          <w:tcPr>
            <w:tcW w:w="848" w:type="dxa"/>
            <w:tcBorders>
              <w:bottom w:val="single" w:color="000000" w:sz="10" w:space="0"/>
            </w:tcBorders>
            <w:vAlign w:val="top"/>
          </w:tcPr>
          <w:p>
            <w:pPr>
              <w:rPr>
                <w:rFonts w:ascii="Arial"/>
                <w:color w:val="auto"/>
                <w:sz w:val="21"/>
                <w:highlight w:val="none"/>
              </w:rPr>
            </w:pPr>
          </w:p>
        </w:tc>
        <w:tc>
          <w:tcPr>
            <w:tcW w:w="706" w:type="dxa"/>
            <w:tcBorders>
              <w:bottom w:val="single" w:color="000000" w:sz="10" w:space="0"/>
            </w:tcBorders>
            <w:vAlign w:val="top"/>
          </w:tcPr>
          <w:p>
            <w:pPr>
              <w:rPr>
                <w:rFonts w:ascii="Arial"/>
                <w:color w:val="auto"/>
                <w:sz w:val="21"/>
                <w:highlight w:val="none"/>
              </w:rPr>
            </w:pPr>
          </w:p>
        </w:tc>
        <w:tc>
          <w:tcPr>
            <w:tcW w:w="708" w:type="dxa"/>
            <w:tcBorders>
              <w:bottom w:val="single" w:color="000000" w:sz="10" w:space="0"/>
            </w:tcBorders>
            <w:vAlign w:val="top"/>
          </w:tcPr>
          <w:p>
            <w:pPr>
              <w:rPr>
                <w:rFonts w:ascii="Arial"/>
                <w:color w:val="auto"/>
                <w:sz w:val="21"/>
                <w:highlight w:val="none"/>
              </w:rPr>
            </w:pPr>
          </w:p>
        </w:tc>
        <w:tc>
          <w:tcPr>
            <w:tcW w:w="848" w:type="dxa"/>
            <w:tcBorders>
              <w:bottom w:val="single" w:color="000000" w:sz="10" w:space="0"/>
            </w:tcBorders>
            <w:vAlign w:val="top"/>
          </w:tcPr>
          <w:p>
            <w:pPr>
              <w:rPr>
                <w:rFonts w:ascii="Arial"/>
                <w:color w:val="auto"/>
                <w:sz w:val="21"/>
                <w:highlight w:val="none"/>
              </w:rPr>
            </w:pPr>
          </w:p>
        </w:tc>
        <w:tc>
          <w:tcPr>
            <w:tcW w:w="847" w:type="dxa"/>
            <w:tcBorders>
              <w:bottom w:val="single" w:color="000000" w:sz="10" w:space="0"/>
            </w:tcBorders>
            <w:vAlign w:val="top"/>
          </w:tcPr>
          <w:p>
            <w:pPr>
              <w:rPr>
                <w:rFonts w:ascii="Arial"/>
                <w:color w:val="auto"/>
                <w:sz w:val="21"/>
                <w:highlight w:val="none"/>
              </w:rPr>
            </w:pPr>
          </w:p>
        </w:tc>
        <w:tc>
          <w:tcPr>
            <w:tcW w:w="802" w:type="dxa"/>
            <w:tcBorders>
              <w:bottom w:val="single" w:color="000000" w:sz="10" w:space="0"/>
            </w:tcBorders>
            <w:vAlign w:val="top"/>
          </w:tcPr>
          <w:p>
            <w:pPr>
              <w:rPr>
                <w:rFonts w:ascii="Arial"/>
                <w:color w:val="auto"/>
                <w:sz w:val="21"/>
                <w:highlight w:val="none"/>
              </w:rPr>
            </w:pPr>
          </w:p>
        </w:tc>
        <w:tc>
          <w:tcPr>
            <w:tcW w:w="1460" w:type="dxa"/>
            <w:tcBorders>
              <w:bottom w:val="single" w:color="000000" w:sz="10" w:space="0"/>
            </w:tcBorders>
            <w:vAlign w:val="top"/>
          </w:tcPr>
          <w:p>
            <w:pPr>
              <w:rPr>
                <w:rFonts w:ascii="Arial"/>
                <w:color w:val="auto"/>
                <w:sz w:val="21"/>
                <w:highlight w:val="none"/>
              </w:rPr>
            </w:pPr>
          </w:p>
        </w:tc>
        <w:tc>
          <w:tcPr>
            <w:tcW w:w="816" w:type="dxa"/>
            <w:tcBorders>
              <w:bottom w:val="single" w:color="000000" w:sz="10" w:space="0"/>
              <w:right w:val="single" w:color="000000" w:sz="10" w:space="0"/>
            </w:tcBorders>
            <w:vAlign w:val="top"/>
          </w:tcPr>
          <w:p>
            <w:pPr>
              <w:rPr>
                <w:rFonts w:ascii="Arial"/>
                <w:color w:val="auto"/>
                <w:sz w:val="21"/>
                <w:highlight w:val="none"/>
              </w:rPr>
            </w:pPr>
          </w:p>
        </w:tc>
      </w:tr>
    </w:tbl>
    <w:p>
      <w:pPr>
        <w:pStyle w:val="2"/>
        <w:rPr>
          <w:color w:val="auto"/>
          <w:highlight w:val="none"/>
        </w:rPr>
      </w:pPr>
    </w:p>
    <w:p>
      <w:pPr>
        <w:rPr>
          <w:color w:val="auto"/>
          <w:highlight w:val="none"/>
        </w:rPr>
        <w:sectPr>
          <w:pgSz w:w="11905" w:h="16843"/>
          <w:pgMar w:top="1769" w:right="1548" w:bottom="1003" w:left="1542" w:header="0" w:footer="828" w:gutter="0"/>
          <w:pgNumType w:fmt="numberInDash"/>
          <w:cols w:space="0" w:num="1"/>
          <w:rtlGutter w:val="0"/>
          <w:docGrid w:linePitch="0" w:charSpace="0"/>
        </w:sectPr>
      </w:pPr>
    </w:p>
    <w:p>
      <w:pPr>
        <w:pStyle w:val="2"/>
        <w:spacing w:line="272" w:lineRule="auto"/>
        <w:rPr>
          <w:color w:val="auto"/>
          <w:highlight w:val="none"/>
        </w:rPr>
      </w:pPr>
    </w:p>
    <w:p>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6"/>
          <w:sz w:val="24"/>
          <w:szCs w:val="24"/>
          <w:highlight w:val="none"/>
        </w:rPr>
        <w:t xml:space="preserve"> </w:t>
      </w:r>
      <w:r>
        <w:rPr>
          <w:rFonts w:ascii="宋体" w:hAnsi="宋体" w:eastAsia="宋体" w:cs="宋体"/>
          <w:color w:val="auto"/>
          <w:spacing w:val="-11"/>
          <w:sz w:val="24"/>
          <w:szCs w:val="24"/>
          <w:highlight w:val="none"/>
        </w:rPr>
        <w:t>3：</w:t>
      </w:r>
    </w:p>
    <w:p>
      <w:pPr>
        <w:spacing w:before="240" w:line="219" w:lineRule="auto"/>
        <w:ind w:left="3482"/>
        <w:rPr>
          <w:rFonts w:ascii="黑体" w:hAnsi="黑体" w:eastAsia="黑体" w:cs="黑体"/>
          <w:color w:val="auto"/>
          <w:sz w:val="28"/>
          <w:szCs w:val="28"/>
          <w:highlight w:val="none"/>
        </w:rPr>
      </w:pPr>
      <w:bookmarkStart w:id="332" w:name="bookmark372"/>
      <w:bookmarkEnd w:id="332"/>
      <w:r>
        <w:rPr>
          <w:rFonts w:ascii="黑体" w:hAnsi="黑体" w:eastAsia="黑体" w:cs="黑体"/>
          <w:color w:val="auto"/>
          <w:spacing w:val="-2"/>
          <w:sz w:val="28"/>
          <w:szCs w:val="28"/>
          <w:highlight w:val="none"/>
        </w:rPr>
        <w:t>工程质量保修书</w:t>
      </w:r>
    </w:p>
    <w:p>
      <w:pPr>
        <w:spacing w:before="286" w:line="441" w:lineRule="exact"/>
        <w:ind w:left="431"/>
        <w:rPr>
          <w:rFonts w:ascii="宋体" w:hAnsi="宋体" w:eastAsia="宋体" w:cs="宋体"/>
          <w:color w:val="auto"/>
          <w:sz w:val="21"/>
          <w:szCs w:val="21"/>
          <w:highlight w:val="none"/>
        </w:rPr>
      </w:pPr>
      <w:r>
        <w:rPr>
          <w:rFonts w:ascii="宋体" w:hAnsi="宋体" w:eastAsia="宋体" w:cs="宋体"/>
          <w:color w:val="auto"/>
          <w:spacing w:val="-13"/>
          <w:position w:val="17"/>
          <w:sz w:val="21"/>
          <w:szCs w:val="21"/>
          <w:highlight w:val="none"/>
        </w:rPr>
        <w:t>发包人（全称</w:t>
      </w:r>
      <w:r>
        <w:rPr>
          <w:rFonts w:ascii="宋体" w:hAnsi="宋体" w:eastAsia="宋体" w:cs="宋体"/>
          <w:color w:val="auto"/>
          <w:spacing w:val="-26"/>
          <w:position w:val="17"/>
          <w:sz w:val="21"/>
          <w:szCs w:val="21"/>
          <w:highlight w:val="none"/>
        </w:rPr>
        <w:t>）：</w:t>
      </w:r>
    </w:p>
    <w:p>
      <w:pPr>
        <w:spacing w:line="220" w:lineRule="auto"/>
        <w:ind w:left="43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承包人（全称</w:t>
      </w:r>
      <w:r>
        <w:rPr>
          <w:rFonts w:ascii="宋体" w:hAnsi="宋体" w:eastAsia="宋体" w:cs="宋体"/>
          <w:color w:val="auto"/>
          <w:spacing w:val="-28"/>
          <w:sz w:val="21"/>
          <w:szCs w:val="21"/>
          <w:highlight w:val="none"/>
        </w:rPr>
        <w:t>）：</w:t>
      </w:r>
    </w:p>
    <w:p>
      <w:pPr>
        <w:pStyle w:val="2"/>
        <w:spacing w:line="415" w:lineRule="auto"/>
        <w:rPr>
          <w:color w:val="auto"/>
          <w:highlight w:val="none"/>
        </w:rPr>
      </w:pPr>
    </w:p>
    <w:p>
      <w:pPr>
        <w:spacing w:before="69" w:line="411"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发包人和承包人根据《中华人民共和国建筑法》和《建设工程质量管理条例》，经协商一致</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就</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rPr>
        <w:t>（工程全称）签订工程质量保修书。</w:t>
      </w:r>
    </w:p>
    <w:p>
      <w:pPr>
        <w:spacing w:before="157" w:line="220" w:lineRule="auto"/>
        <w:ind w:left="434"/>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一、工程质量保修范围和内容</w:t>
      </w:r>
    </w:p>
    <w:p>
      <w:pPr>
        <w:spacing w:before="158" w:line="221" w:lineRule="auto"/>
        <w:ind w:left="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承包人在质量保修期内，按照有关法律规定和合同约定，</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承担工程质量保修责任。</w:t>
      </w:r>
    </w:p>
    <w:p>
      <w:pPr>
        <w:spacing w:before="156" w:line="360" w:lineRule="auto"/>
        <w:ind w:left="24" w:right="5" w:firstLine="40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质量保修范围包括地基基础工程、主体结构工程，屋面防水工程、有防水要求的卫生间、房</w:t>
      </w:r>
      <w:r>
        <w:rPr>
          <w:rFonts w:ascii="宋体" w:hAnsi="宋体" w:eastAsia="宋体" w:cs="宋体"/>
          <w:color w:val="auto"/>
          <w:spacing w:val="12"/>
          <w:sz w:val="21"/>
          <w:szCs w:val="21"/>
          <w:highlight w:val="none"/>
        </w:rPr>
        <w:t xml:space="preserve"> </w:t>
      </w:r>
      <w:r>
        <w:rPr>
          <w:rFonts w:ascii="宋体" w:hAnsi="宋体" w:eastAsia="宋体" w:cs="宋体"/>
          <w:color w:val="auto"/>
          <w:spacing w:val="-4"/>
          <w:sz w:val="21"/>
          <w:szCs w:val="21"/>
          <w:highlight w:val="none"/>
        </w:rPr>
        <w:t>间和外墙面的防渗漏， 供热与供冷系统，</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电气管线、给排水</w:t>
      </w:r>
      <w:r>
        <w:rPr>
          <w:rFonts w:ascii="宋体" w:hAnsi="宋体" w:eastAsia="宋体" w:cs="宋体"/>
          <w:color w:val="auto"/>
          <w:spacing w:val="-5"/>
          <w:sz w:val="21"/>
          <w:szCs w:val="21"/>
          <w:highlight w:val="none"/>
        </w:rPr>
        <w:t>管道、设备安装和装修工程，以及双</w:t>
      </w:r>
    </w:p>
    <w:p>
      <w:pPr>
        <w:spacing w:before="1" w:line="220" w:lineRule="auto"/>
        <w:ind w:left="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方约定的其他项目。具体保修的内容，双方约定如下：</w:t>
      </w:r>
    </w:p>
    <w:p>
      <w:pPr>
        <w:pStyle w:val="2"/>
        <w:spacing w:line="314" w:lineRule="auto"/>
        <w:rPr>
          <w:color w:val="auto"/>
          <w:highlight w:val="none"/>
        </w:rPr>
      </w:pPr>
    </w:p>
    <w:p>
      <w:pPr>
        <w:pStyle w:val="2"/>
        <w:spacing w:line="315" w:lineRule="auto"/>
        <w:rPr>
          <w:color w:val="auto"/>
          <w:highlight w:val="none"/>
        </w:rPr>
      </w:pPr>
    </w:p>
    <w:p>
      <w:pPr>
        <w:spacing w:before="68" w:line="46" w:lineRule="exact"/>
        <w:ind w:left="7799"/>
        <w:rPr>
          <w:rFonts w:ascii="宋体" w:hAnsi="宋体" w:eastAsia="宋体" w:cs="宋体"/>
          <w:color w:val="auto"/>
          <w:sz w:val="21"/>
          <w:szCs w:val="21"/>
          <w:highlight w:val="none"/>
        </w:rPr>
      </w:pPr>
      <w:r>
        <w:rPr>
          <w:color w:val="auto"/>
          <w:highlight w:val="none"/>
        </w:rPr>
        <w:pict>
          <v:shape id="_x0000_s1031" o:spid="_x0000_s1031" o:spt="202" type="#_x0000_t202" style="position:absolute;left:0pt;margin-left:-1pt;margin-top:-3.4pt;height:34pt;width:390.55pt;z-index:251663360;mso-width-relative:page;mso-height-relative:page;" filled="f" stroked="f" coordsize="21600,21600">
            <v:path/>
            <v:fill on="f" focussize="0,0"/>
            <v:stroke on="f"/>
            <v:imagedata o:title=""/>
            <o:lock v:ext="edit" aspectratio="f"/>
            <v:textbox inset="0mm,0mm,0mm,0mm">
              <w:txbxContent>
                <w:p>
                  <w:pPr>
                    <w:pStyle w:val="2"/>
                    <w:tabs>
                      <w:tab w:val="left" w:pos="7790"/>
                    </w:tabs>
                    <w:spacing w:before="20" w:line="241" w:lineRule="exact"/>
                    <w:ind w:left="20"/>
                  </w:pPr>
                  <w:r>
                    <w:rPr>
                      <w:u w:val="single" w:color="auto"/>
                    </w:rPr>
                    <w:tab/>
                  </w:r>
                </w:p>
                <w:p>
                  <w:pPr>
                    <w:spacing w:before="147" w:line="220" w:lineRule="auto"/>
                    <w:ind w:left="454"/>
                    <w:rPr>
                      <w:rFonts w:ascii="黑体" w:hAnsi="黑体" w:eastAsia="黑体" w:cs="黑体"/>
                      <w:sz w:val="21"/>
                      <w:szCs w:val="21"/>
                    </w:rPr>
                  </w:pPr>
                  <w:r>
                    <w:rPr>
                      <w:rFonts w:ascii="黑体" w:hAnsi="黑体" w:eastAsia="黑体" w:cs="黑体"/>
                      <w:spacing w:val="-2"/>
                      <w:sz w:val="21"/>
                      <w:szCs w:val="21"/>
                    </w:rPr>
                    <w:t>二、质量保修期</w:t>
                  </w:r>
                </w:p>
              </w:txbxContent>
            </v:textbox>
          </v:shape>
        </w:pict>
      </w:r>
      <w:r>
        <w:rPr>
          <w:rFonts w:ascii="宋体" w:hAnsi="宋体" w:eastAsia="宋体" w:cs="宋体"/>
          <w:color w:val="auto"/>
          <w:position w:val="-1"/>
          <w:sz w:val="21"/>
          <w:szCs w:val="21"/>
          <w:highlight w:val="none"/>
        </w:rPr>
        <w:t>。</w:t>
      </w:r>
    </w:p>
    <w:p>
      <w:pPr>
        <w:pStyle w:val="2"/>
        <w:spacing w:line="282" w:lineRule="auto"/>
        <w:rPr>
          <w:color w:val="auto"/>
          <w:highlight w:val="none"/>
        </w:rPr>
      </w:pPr>
    </w:p>
    <w:p>
      <w:pPr>
        <w:pStyle w:val="2"/>
        <w:spacing w:line="283" w:lineRule="auto"/>
        <w:rPr>
          <w:color w:val="auto"/>
          <w:highlight w:val="none"/>
        </w:rPr>
      </w:pPr>
    </w:p>
    <w:p>
      <w:pPr>
        <w:spacing w:before="68" w:line="408" w:lineRule="exact"/>
        <w:ind w:left="428"/>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根据《建设工程质量管理条例》及有关规定，</w:t>
      </w:r>
      <w:r>
        <w:rPr>
          <w:rFonts w:ascii="宋体" w:hAnsi="宋体" w:eastAsia="宋体" w:cs="宋体"/>
          <w:color w:val="auto"/>
          <w:spacing w:val="-8"/>
          <w:position w:val="14"/>
          <w:sz w:val="21"/>
          <w:szCs w:val="21"/>
          <w:highlight w:val="none"/>
        </w:rPr>
        <w:t xml:space="preserve"> </w:t>
      </w:r>
      <w:r>
        <w:rPr>
          <w:rFonts w:ascii="宋体" w:hAnsi="宋体" w:eastAsia="宋体" w:cs="宋体"/>
          <w:color w:val="auto"/>
          <w:spacing w:val="-4"/>
          <w:position w:val="14"/>
          <w:sz w:val="21"/>
          <w:szCs w:val="21"/>
          <w:highlight w:val="none"/>
        </w:rPr>
        <w:t>工程的质量保修期如下：</w:t>
      </w:r>
    </w:p>
    <w:p>
      <w:pPr>
        <w:spacing w:before="1"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1．地基基础工程和主体结构工程为设计文</w:t>
      </w:r>
      <w:r>
        <w:rPr>
          <w:rFonts w:ascii="宋体" w:hAnsi="宋体" w:eastAsia="宋体" w:cs="宋体"/>
          <w:color w:val="auto"/>
          <w:spacing w:val="-2"/>
          <w:sz w:val="21"/>
          <w:szCs w:val="21"/>
          <w:highlight w:val="none"/>
        </w:rPr>
        <w:t>件规定的工程合理使用年限；</w:t>
      </w:r>
    </w:p>
    <w:p>
      <w:pPr>
        <w:spacing w:before="157" w:line="359" w:lineRule="auto"/>
        <w:ind w:left="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2．屋面防水工程、有防水要求的卫生间、房间和外墙面的防渗为</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
          <w:sz w:val="21"/>
          <w:szCs w:val="21"/>
          <w:highlight w:val="none"/>
        </w:rPr>
        <w:t>年；</w:t>
      </w:r>
    </w:p>
    <w:p>
      <w:pPr>
        <w:spacing w:before="1" w:line="220" w:lineRule="auto"/>
        <w:ind w:left="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3．装修工程为</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83"/>
          <w:sz w:val="21"/>
          <w:szCs w:val="21"/>
          <w:highlight w:val="none"/>
        </w:rPr>
        <w:t xml:space="preserve"> </w:t>
      </w:r>
      <w:r>
        <w:rPr>
          <w:rFonts w:ascii="宋体" w:hAnsi="宋体" w:eastAsia="宋体" w:cs="宋体"/>
          <w:color w:val="auto"/>
          <w:spacing w:val="-3"/>
          <w:sz w:val="21"/>
          <w:szCs w:val="21"/>
          <w:highlight w:val="none"/>
        </w:rPr>
        <w:t>年；</w:t>
      </w:r>
    </w:p>
    <w:p>
      <w:pPr>
        <w:spacing w:before="156" w:line="36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4．电气管线、给排水管道、设备安装工程为</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
          <w:sz w:val="21"/>
          <w:szCs w:val="21"/>
          <w:highlight w:val="none"/>
        </w:rPr>
        <w:t>年；</w:t>
      </w:r>
    </w:p>
    <w:p>
      <w:pPr>
        <w:spacing w:before="1" w:line="219" w:lineRule="auto"/>
        <w:ind w:left="43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5．供热与供冷系统为</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
          <w:sz w:val="21"/>
          <w:szCs w:val="21"/>
          <w:highlight w:val="none"/>
        </w:rPr>
        <w:t>个采暖期、供冷期；</w:t>
      </w:r>
    </w:p>
    <w:p>
      <w:pPr>
        <w:spacing w:before="158" w:line="359" w:lineRule="auto"/>
        <w:ind w:left="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6．住宅小区内的给排水设施、道路等配套工程为</w:t>
      </w:r>
      <w:r>
        <w:rPr>
          <w:rFonts w:ascii="宋体" w:hAnsi="宋体" w:eastAsia="宋体" w:cs="宋体"/>
          <w:color w:val="auto"/>
          <w:spacing w:val="-94"/>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
          <w:sz w:val="21"/>
          <w:szCs w:val="21"/>
          <w:highlight w:val="none"/>
        </w:rPr>
        <w:t>年；</w:t>
      </w:r>
    </w:p>
    <w:p>
      <w:pPr>
        <w:spacing w:before="1" w:line="220" w:lineRule="auto"/>
        <w:ind w:left="43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7．其他项目保修期限约定如下：</w:t>
      </w:r>
    </w:p>
    <w:p>
      <w:pPr>
        <w:pStyle w:val="2"/>
        <w:spacing w:line="314" w:lineRule="auto"/>
        <w:rPr>
          <w:color w:val="auto"/>
          <w:highlight w:val="none"/>
        </w:rPr>
      </w:pPr>
    </w:p>
    <w:p>
      <w:pPr>
        <w:pStyle w:val="2"/>
        <w:spacing w:line="315" w:lineRule="auto"/>
        <w:rPr>
          <w:color w:val="auto"/>
          <w:highlight w:val="none"/>
        </w:rPr>
      </w:pPr>
    </w:p>
    <w:p>
      <w:pPr>
        <w:spacing w:before="69" w:line="45" w:lineRule="exact"/>
        <w:ind w:left="7799"/>
        <w:rPr>
          <w:rFonts w:ascii="宋体" w:hAnsi="宋体" w:eastAsia="宋体" w:cs="宋体"/>
          <w:color w:val="auto"/>
          <w:sz w:val="21"/>
          <w:szCs w:val="21"/>
          <w:highlight w:val="none"/>
        </w:rPr>
      </w:pPr>
      <w:r>
        <w:rPr>
          <w:color w:val="auto"/>
          <w:highlight w:val="none"/>
        </w:rPr>
        <w:pict>
          <v:shape id="_x0000_s1032" o:spid="_x0000_s1032" o:spt="202" type="#_x0000_t202" style="position:absolute;left:0pt;margin-left:-1pt;margin-top:-3.4pt;height:14.1pt;width:390.55pt;z-index:251664384;mso-width-relative:page;mso-height-relative:page;" filled="f" stroked="f" coordsize="21600,21600">
            <v:path/>
            <v:fill on="f" focussize="0,0"/>
            <v:stroke on="f"/>
            <v:imagedata o:title=""/>
            <o:lock v:ext="edit" aspectratio="f"/>
            <v:textbox inset="0mm,0mm,0mm,0mm">
              <w:txbxContent>
                <w:p>
                  <w:pPr>
                    <w:pStyle w:val="2"/>
                    <w:tabs>
                      <w:tab w:val="left" w:pos="7790"/>
                    </w:tabs>
                    <w:spacing w:before="20" w:line="241" w:lineRule="exact"/>
                    <w:ind w:left="20"/>
                  </w:pPr>
                  <w:r>
                    <w:rPr>
                      <w:u w:val="single" w:color="auto"/>
                    </w:rPr>
                    <w:tab/>
                  </w:r>
                </w:p>
              </w:txbxContent>
            </v:textbox>
          </v:shape>
        </w:pict>
      </w:r>
      <w:r>
        <w:rPr>
          <w:rFonts w:ascii="宋体" w:hAnsi="宋体" w:eastAsia="宋体" w:cs="宋体"/>
          <w:color w:val="auto"/>
          <w:position w:val="-1"/>
          <w:sz w:val="21"/>
          <w:szCs w:val="21"/>
          <w:highlight w:val="none"/>
        </w:rPr>
        <w:t>。</w:t>
      </w:r>
    </w:p>
    <w:p>
      <w:pPr>
        <w:spacing w:before="229" w:line="408" w:lineRule="exact"/>
        <w:ind w:left="43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质量保修期自工程竣工验收合格之日起计算。</w:t>
      </w:r>
    </w:p>
    <w:p>
      <w:pPr>
        <w:spacing w:line="219" w:lineRule="auto"/>
        <w:ind w:left="432"/>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三、缺陷责任期</w:t>
      </w:r>
    </w:p>
    <w:p>
      <w:pPr>
        <w:spacing w:before="158" w:line="359"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工程缺陷责任期为</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3"/>
          <w:sz w:val="21"/>
          <w:szCs w:val="21"/>
          <w:highlight w:val="none"/>
        </w:rPr>
        <w:t>个月，</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缺陷责任期自工程通过竣工验收之日起计算。单位工程</w:t>
      </w:r>
    </w:p>
    <w:p>
      <w:pPr>
        <w:spacing w:before="1" w:line="220" w:lineRule="auto"/>
        <w:ind w:left="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先于全部工程进行验收，</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单位工程缺陷责任期自单位工程验收合格之日起算。</w:t>
      </w:r>
    </w:p>
    <w:p>
      <w:pPr>
        <w:spacing w:before="160" w:line="408" w:lineRule="exact"/>
        <w:ind w:left="428"/>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缺陷责任期终止后， 发包人应退还剩余的质量保证金。</w:t>
      </w:r>
    </w:p>
    <w:p>
      <w:pPr>
        <w:spacing w:line="219" w:lineRule="auto"/>
        <w:ind w:left="443"/>
        <w:rPr>
          <w:rFonts w:ascii="黑体" w:hAnsi="黑体" w:eastAsia="黑体" w:cs="黑体"/>
          <w:color w:val="auto"/>
          <w:sz w:val="21"/>
          <w:szCs w:val="21"/>
          <w:highlight w:val="none"/>
        </w:rPr>
      </w:pPr>
      <w:r>
        <w:rPr>
          <w:rFonts w:ascii="黑体" w:hAnsi="黑体" w:eastAsia="黑体" w:cs="黑体"/>
          <w:color w:val="auto"/>
          <w:spacing w:val="-3"/>
          <w:sz w:val="21"/>
          <w:szCs w:val="21"/>
          <w:highlight w:val="none"/>
        </w:rPr>
        <w:t>四、质量保修责任</w:t>
      </w:r>
    </w:p>
    <w:p>
      <w:pPr>
        <w:spacing w:before="158" w:line="221"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1．属于保修范围、内容的项目， 承包人应当在接到保修通知之日起 7 天内派人保修。承包</w:t>
      </w:r>
    </w:p>
    <w:p>
      <w:pPr>
        <w:spacing w:line="221" w:lineRule="auto"/>
        <w:rPr>
          <w:rFonts w:ascii="宋体" w:hAnsi="宋体" w:eastAsia="宋体" w:cs="宋体"/>
          <w:color w:val="auto"/>
          <w:sz w:val="21"/>
          <w:szCs w:val="21"/>
          <w:highlight w:val="none"/>
        </w:rPr>
        <w:sectPr>
          <w:footerReference r:id="rId63" w:type="default"/>
          <w:pgSz w:w="11905" w:h="16843"/>
          <w:pgMar w:top="1769" w:right="1548" w:bottom="1003" w:left="1542" w:header="0" w:footer="828" w:gutter="0"/>
          <w:pgNumType w:fmt="numberInDash"/>
          <w:cols w:space="0" w:num="1"/>
          <w:rtlGutter w:val="0"/>
          <w:docGrid w:linePitch="0" w:charSpace="0"/>
        </w:sectPr>
      </w:pPr>
    </w:p>
    <w:p>
      <w:pPr>
        <w:spacing w:before="68" w:line="221" w:lineRule="auto"/>
        <w:ind w:left="115"/>
        <w:rPr>
          <w:rFonts w:ascii="宋体" w:hAnsi="宋体" w:eastAsia="宋体" w:cs="宋体"/>
          <w:color w:val="auto"/>
          <w:sz w:val="21"/>
          <w:szCs w:val="21"/>
          <w:highlight w:val="none"/>
        </w:rPr>
      </w:pPr>
      <w:bookmarkStart w:id="333" w:name="bookmark373"/>
      <w:bookmarkEnd w:id="333"/>
      <w:r>
        <w:rPr>
          <w:rFonts w:hint="eastAsia" w:ascii="宋体" w:hAnsi="宋体" w:eastAsia="宋体" w:cs="宋体"/>
          <w:color w:val="auto"/>
          <w:spacing w:val="-4"/>
          <w:sz w:val="21"/>
          <w:szCs w:val="21"/>
          <w:highlight w:val="none"/>
          <w:lang w:eastAsia="zh-CN"/>
        </w:rPr>
        <w:t>人</w:t>
      </w:r>
      <w:r>
        <w:rPr>
          <w:rFonts w:ascii="宋体" w:hAnsi="宋体" w:eastAsia="宋体" w:cs="宋体"/>
          <w:color w:val="auto"/>
          <w:spacing w:val="-4"/>
          <w:sz w:val="21"/>
          <w:szCs w:val="21"/>
          <w:highlight w:val="none"/>
        </w:rPr>
        <w:t>不在约定期限内派人保修的， 发包人可以委托他人修</w:t>
      </w:r>
      <w:r>
        <w:rPr>
          <w:rFonts w:ascii="宋体" w:hAnsi="宋体" w:eastAsia="宋体" w:cs="宋体"/>
          <w:color w:val="auto"/>
          <w:spacing w:val="-5"/>
          <w:sz w:val="21"/>
          <w:szCs w:val="21"/>
          <w:highlight w:val="none"/>
        </w:rPr>
        <w:t>理。</w:t>
      </w:r>
    </w:p>
    <w:p>
      <w:pPr>
        <w:spacing w:before="156" w:line="221" w:lineRule="auto"/>
        <w:ind w:left="545"/>
        <w:rPr>
          <w:rFonts w:ascii="宋体" w:hAnsi="宋体" w:eastAsia="宋体" w:cs="宋体"/>
          <w:color w:val="auto"/>
          <w:sz w:val="21"/>
          <w:szCs w:val="21"/>
          <w:highlight w:val="none"/>
        </w:rPr>
      </w:pPr>
      <w:r>
        <w:rPr>
          <w:rFonts w:ascii="宋体" w:hAnsi="宋体" w:eastAsia="宋体" w:cs="宋体"/>
          <w:color w:val="auto"/>
          <w:sz w:val="21"/>
          <w:szCs w:val="21"/>
          <w:highlight w:val="none"/>
        </w:rPr>
        <w:t>2．发生紧急事故需抢修的，承包人在接到事故通知后，应当立即到达事</w:t>
      </w:r>
      <w:r>
        <w:rPr>
          <w:rFonts w:ascii="宋体" w:hAnsi="宋体" w:eastAsia="宋体" w:cs="宋体"/>
          <w:color w:val="auto"/>
          <w:spacing w:val="-1"/>
          <w:sz w:val="21"/>
          <w:szCs w:val="21"/>
          <w:highlight w:val="none"/>
        </w:rPr>
        <w:t>故现场抢修。</w:t>
      </w:r>
    </w:p>
    <w:p>
      <w:pPr>
        <w:spacing w:before="156" w:line="360" w:lineRule="auto"/>
        <w:ind w:left="113" w:firstLine="43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3．对于涉及结构安全的质量问题，应当按</w:t>
      </w:r>
      <w:r>
        <w:rPr>
          <w:rFonts w:ascii="宋体" w:hAnsi="宋体" w:eastAsia="宋体" w:cs="宋体"/>
          <w:color w:val="auto"/>
          <w:spacing w:val="1"/>
          <w:sz w:val="21"/>
          <w:szCs w:val="21"/>
          <w:highlight w:val="none"/>
        </w:rPr>
        <w:t>照《建设工程质量管理条例》的规定，立即向当</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地建设行政主管部门和有关部门报告，采取安全防范措施，并由原设计人或者具有相应资质等</w:t>
      </w:r>
      <w:r>
        <w:rPr>
          <w:rFonts w:ascii="宋体" w:hAnsi="宋体" w:eastAsia="宋体" w:cs="宋体"/>
          <w:color w:val="auto"/>
          <w:spacing w:val="-2"/>
          <w:sz w:val="21"/>
          <w:szCs w:val="21"/>
          <w:highlight w:val="none"/>
        </w:rPr>
        <w:t>级的设计人提出保修方案，承包人实施保修。</w:t>
      </w:r>
    </w:p>
    <w:p>
      <w:pPr>
        <w:spacing w:before="157" w:line="408" w:lineRule="exact"/>
        <w:ind w:left="532"/>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4．质量保修完成后，由发包人组织验收。</w:t>
      </w:r>
    </w:p>
    <w:p>
      <w:pPr>
        <w:spacing w:before="1" w:line="219" w:lineRule="auto"/>
        <w:ind w:left="436"/>
        <w:rPr>
          <w:rFonts w:ascii="黑体" w:hAnsi="黑体" w:eastAsia="黑体" w:cs="黑体"/>
          <w:color w:val="auto"/>
          <w:sz w:val="21"/>
          <w:szCs w:val="21"/>
          <w:highlight w:val="none"/>
        </w:rPr>
      </w:pPr>
      <w:r>
        <w:rPr>
          <w:rFonts w:ascii="黑体" w:hAnsi="黑体" w:eastAsia="黑体" w:cs="黑体"/>
          <w:color w:val="auto"/>
          <w:spacing w:val="-3"/>
          <w:sz w:val="21"/>
          <w:szCs w:val="21"/>
          <w:highlight w:val="none"/>
        </w:rPr>
        <w:t>五、保修费用</w:t>
      </w:r>
    </w:p>
    <w:p>
      <w:pPr>
        <w:spacing w:before="158" w:line="408" w:lineRule="exact"/>
        <w:ind w:left="43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保修费用由造成质量缺陷的责任方承担。</w:t>
      </w:r>
    </w:p>
    <w:p>
      <w:pPr>
        <w:spacing w:before="1" w:line="219" w:lineRule="auto"/>
        <w:ind w:left="43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六、双方约定的其他工程质量保修事项：</w:t>
      </w:r>
    </w:p>
    <w:p>
      <w:pPr>
        <w:pStyle w:val="2"/>
        <w:spacing w:line="300" w:lineRule="auto"/>
        <w:rPr>
          <w:color w:val="auto"/>
          <w:highlight w:val="none"/>
        </w:rPr>
      </w:pPr>
    </w:p>
    <w:p>
      <w:pPr>
        <w:pStyle w:val="2"/>
        <w:spacing w:line="301" w:lineRule="auto"/>
        <w:rPr>
          <w:color w:val="auto"/>
          <w:highlight w:val="none"/>
        </w:rPr>
      </w:pPr>
    </w:p>
    <w:p>
      <w:pPr>
        <w:spacing w:before="69" w:line="37" w:lineRule="exact"/>
        <w:ind w:left="7793"/>
        <w:rPr>
          <w:rFonts w:ascii="仿宋" w:hAnsi="仿宋" w:eastAsia="仿宋" w:cs="仿宋"/>
          <w:color w:val="auto"/>
          <w:sz w:val="21"/>
          <w:szCs w:val="21"/>
          <w:highlight w:val="none"/>
        </w:rPr>
      </w:pPr>
      <w:r>
        <w:rPr>
          <w:color w:val="auto"/>
          <w:highlight w:val="none"/>
        </w:rPr>
        <w:pict>
          <v:shape id="_x0000_s1033" o:spid="_x0000_s1033" o:spt="202" type="#_x0000_t202" style="position:absolute;left:0pt;margin-left:-1pt;margin-top:-4.35pt;height:14.1pt;width:390.55pt;z-index:251665408;mso-width-relative:page;mso-height-relative:page;" filled="f" stroked="f" coordsize="21600,21600">
            <v:path/>
            <v:fill on="f" focussize="0,0"/>
            <v:stroke on="f"/>
            <v:imagedata o:title=""/>
            <o:lock v:ext="edit" aspectratio="f"/>
            <v:textbox inset="0mm,0mm,0mm,0mm">
              <w:txbxContent>
                <w:p>
                  <w:pPr>
                    <w:pStyle w:val="2"/>
                    <w:tabs>
                      <w:tab w:val="left" w:pos="7790"/>
                    </w:tabs>
                    <w:spacing w:before="20" w:line="241" w:lineRule="exact"/>
                    <w:ind w:left="20"/>
                  </w:pPr>
                  <w:r>
                    <w:rPr>
                      <w:u w:val="single" w:color="auto"/>
                    </w:rPr>
                    <w:tab/>
                  </w:r>
                </w:p>
              </w:txbxContent>
            </v:textbox>
          </v:shape>
        </w:pict>
      </w:r>
      <w:r>
        <w:rPr>
          <w:rFonts w:ascii="仿宋" w:hAnsi="仿宋" w:eastAsia="仿宋" w:cs="仿宋"/>
          <w:color w:val="auto"/>
          <w:sz w:val="21"/>
          <w:szCs w:val="21"/>
          <w:highlight w:val="none"/>
        </w:rPr>
        <w:t>。</w:t>
      </w:r>
    </w:p>
    <w:p>
      <w:pPr>
        <w:spacing w:before="220" w:line="408" w:lineRule="exact"/>
        <w:ind w:right="3"/>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工程质量保修书由发包人、承包人在工程竣工验收前共同</w:t>
      </w:r>
      <w:r>
        <w:rPr>
          <w:rFonts w:ascii="宋体" w:hAnsi="宋体" w:eastAsia="宋体" w:cs="宋体"/>
          <w:color w:val="auto"/>
          <w:spacing w:val="-1"/>
          <w:position w:val="15"/>
          <w:sz w:val="21"/>
          <w:szCs w:val="21"/>
          <w:highlight w:val="none"/>
        </w:rPr>
        <w:t>签署，作为施工合同附件， 其有效</w:t>
      </w:r>
    </w:p>
    <w:p>
      <w:pPr>
        <w:spacing w:before="1" w:line="220" w:lineRule="auto"/>
        <w:ind w:left="1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期限至保修期满。</w:t>
      </w:r>
    </w:p>
    <w:p>
      <w:pPr>
        <w:spacing w:before="27"/>
        <w:rPr>
          <w:color w:val="auto"/>
          <w:highlight w:val="none"/>
        </w:rPr>
      </w:pPr>
    </w:p>
    <w:p>
      <w:pPr>
        <w:spacing w:before="27"/>
        <w:rPr>
          <w:color w:val="auto"/>
          <w:highlight w:val="none"/>
        </w:rPr>
      </w:pPr>
    </w:p>
    <w:p>
      <w:pPr>
        <w:spacing w:before="27"/>
        <w:rPr>
          <w:color w:val="auto"/>
          <w:highlight w:val="none"/>
        </w:rPr>
      </w:pPr>
    </w:p>
    <w:p>
      <w:pPr>
        <w:spacing w:before="27"/>
        <w:rPr>
          <w:color w:val="auto"/>
          <w:highlight w:val="none"/>
        </w:rPr>
      </w:pPr>
    </w:p>
    <w:p>
      <w:pPr>
        <w:spacing w:before="26"/>
        <w:rPr>
          <w:color w:val="auto"/>
          <w:highlight w:val="none"/>
        </w:rPr>
      </w:pPr>
    </w:p>
    <w:p>
      <w:pPr>
        <w:rPr>
          <w:color w:val="auto"/>
          <w:highlight w:val="none"/>
        </w:rPr>
        <w:sectPr>
          <w:footerReference r:id="rId64" w:type="default"/>
          <w:pgSz w:w="11905" w:h="16843"/>
          <w:pgMar w:top="1769" w:right="1548" w:bottom="1003" w:left="1542" w:header="0" w:footer="828" w:gutter="0"/>
          <w:pgNumType w:fmt="numberInDash"/>
          <w:cols w:space="0" w:num="1"/>
          <w:rtlGutter w:val="0"/>
          <w:docGrid w:linePitch="0" w:charSpace="0"/>
        </w:sectPr>
      </w:pPr>
    </w:p>
    <w:p>
      <w:pPr>
        <w:spacing w:before="42" w:line="359" w:lineRule="auto"/>
        <w:ind w:left="6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发包人（公章</w:t>
      </w:r>
      <w:r>
        <w:rPr>
          <w:rFonts w:ascii="宋体" w:hAnsi="宋体" w:eastAsia="宋体" w:cs="宋体"/>
          <w:color w:val="auto"/>
          <w:spacing w:val="-52"/>
          <w:sz w:val="21"/>
          <w:szCs w:val="21"/>
          <w:highlight w:val="none"/>
        </w:rPr>
        <w:t>）：</w:t>
      </w:r>
      <w:r>
        <w:rPr>
          <w:rFonts w:ascii="宋体" w:hAnsi="宋体" w:eastAsia="宋体" w:cs="宋体"/>
          <w:color w:val="auto"/>
          <w:sz w:val="21"/>
          <w:szCs w:val="21"/>
          <w:highlight w:val="none"/>
          <w:u w:val="single" w:color="auto"/>
        </w:rPr>
        <w:t xml:space="preserve">              </w:t>
      </w:r>
    </w:p>
    <w:p>
      <w:pPr>
        <w:spacing w:before="1" w:line="229" w:lineRule="auto"/>
        <w:ind w:left="639"/>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6"/>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46" w:line="361" w:lineRule="auto"/>
        <w:ind w:left="6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法定代表人（签字</w:t>
      </w:r>
      <w:r>
        <w:rPr>
          <w:rFonts w:ascii="宋体" w:hAnsi="宋体" w:eastAsia="宋体" w:cs="宋体"/>
          <w:color w:val="auto"/>
          <w:spacing w:val="-53"/>
          <w:sz w:val="21"/>
          <w:szCs w:val="21"/>
          <w:highlight w:val="none"/>
        </w:rPr>
        <w:t>）：</w:t>
      </w:r>
      <w:r>
        <w:rPr>
          <w:rFonts w:ascii="宋体" w:hAnsi="宋体" w:eastAsia="宋体" w:cs="宋体"/>
          <w:color w:val="auto"/>
          <w:sz w:val="21"/>
          <w:szCs w:val="21"/>
          <w:highlight w:val="none"/>
          <w:u w:val="single" w:color="auto"/>
        </w:rPr>
        <w:t xml:space="preserve">          </w:t>
      </w:r>
    </w:p>
    <w:p>
      <w:pPr>
        <w:spacing w:before="1" w:line="220" w:lineRule="auto"/>
        <w:ind w:left="6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委托代理人（签字</w:t>
      </w:r>
      <w:r>
        <w:rPr>
          <w:rFonts w:ascii="宋体" w:hAnsi="宋体" w:eastAsia="宋体" w:cs="宋体"/>
          <w:color w:val="auto"/>
          <w:spacing w:val="-52"/>
          <w:sz w:val="21"/>
          <w:szCs w:val="21"/>
          <w:highlight w:val="none"/>
        </w:rPr>
        <w:t>）：</w:t>
      </w:r>
      <w:r>
        <w:rPr>
          <w:rFonts w:ascii="宋体" w:hAnsi="宋体" w:eastAsia="宋体" w:cs="宋体"/>
          <w:color w:val="auto"/>
          <w:sz w:val="21"/>
          <w:szCs w:val="21"/>
          <w:highlight w:val="none"/>
          <w:u w:val="single" w:color="auto"/>
        </w:rPr>
        <w:t xml:space="preserve">          </w:t>
      </w:r>
    </w:p>
    <w:p>
      <w:pPr>
        <w:spacing w:before="157" w:line="223" w:lineRule="auto"/>
        <w:ind w:left="664"/>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6"/>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5" w:line="359" w:lineRule="auto"/>
        <w:ind w:left="637"/>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8"/>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line="221" w:lineRule="auto"/>
        <w:ind w:left="64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开户银行：</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6" w:line="222" w:lineRule="auto"/>
        <w:ind w:left="642"/>
        <w:rPr>
          <w:rFonts w:ascii="宋体" w:hAnsi="宋体" w:eastAsia="宋体" w:cs="宋体"/>
          <w:color w:val="auto"/>
          <w:sz w:val="21"/>
          <w:szCs w:val="21"/>
          <w:highlight w:val="none"/>
        </w:rPr>
      </w:pPr>
      <w:r>
        <w:rPr>
          <w:rFonts w:ascii="宋体" w:hAnsi="宋体" w:eastAsia="宋体" w:cs="宋体"/>
          <w:color w:val="auto"/>
          <w:spacing w:val="-32"/>
          <w:sz w:val="21"/>
          <w:szCs w:val="21"/>
          <w:highlight w:val="none"/>
        </w:rPr>
        <w:t>账</w:t>
      </w:r>
      <w:r>
        <w:rPr>
          <w:rFonts w:ascii="宋体" w:hAnsi="宋体" w:eastAsia="宋体" w:cs="宋体"/>
          <w:color w:val="auto"/>
          <w:spacing w:val="7"/>
          <w:sz w:val="21"/>
          <w:szCs w:val="21"/>
          <w:highlight w:val="none"/>
        </w:rPr>
        <w:t xml:space="preserve">  </w:t>
      </w:r>
      <w:r>
        <w:rPr>
          <w:rFonts w:ascii="宋体" w:hAnsi="宋体" w:eastAsia="宋体" w:cs="宋体"/>
          <w:color w:val="auto"/>
          <w:spacing w:val="-32"/>
          <w:sz w:val="21"/>
          <w:szCs w:val="21"/>
          <w:highlight w:val="none"/>
        </w:rPr>
        <w:t>号：</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8" w:line="186" w:lineRule="auto"/>
        <w:ind w:left="654"/>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邮政编码：</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pPr>
        <w:pStyle w:val="2"/>
        <w:spacing w:line="14" w:lineRule="auto"/>
        <w:rPr>
          <w:color w:val="auto"/>
          <w:sz w:val="2"/>
          <w:highlight w:val="none"/>
        </w:rPr>
      </w:pPr>
      <w:r>
        <w:rPr>
          <w:color w:val="auto"/>
          <w:sz w:val="2"/>
          <w:szCs w:val="2"/>
          <w:highlight w:val="none"/>
        </w:rPr>
        <w:br w:type="column"/>
      </w:r>
    </w:p>
    <w:p>
      <w:pPr>
        <w:spacing w:before="41" w:line="359" w:lineRule="auto"/>
        <w:ind w:left="10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承包人（公章</w:t>
      </w:r>
      <w:r>
        <w:rPr>
          <w:rFonts w:ascii="宋体" w:hAnsi="宋体" w:eastAsia="宋体" w:cs="宋体"/>
          <w:color w:val="auto"/>
          <w:spacing w:val="-54"/>
          <w:sz w:val="21"/>
          <w:szCs w:val="21"/>
          <w:highlight w:val="none"/>
        </w:rPr>
        <w:t>）：</w:t>
      </w:r>
      <w:r>
        <w:rPr>
          <w:rFonts w:ascii="宋体" w:hAnsi="宋体" w:eastAsia="宋体" w:cs="宋体"/>
          <w:color w:val="auto"/>
          <w:sz w:val="21"/>
          <w:szCs w:val="21"/>
          <w:highlight w:val="none"/>
          <w:u w:val="single" w:color="auto"/>
        </w:rPr>
        <w:t xml:space="preserve">              </w:t>
      </w:r>
    </w:p>
    <w:p>
      <w:pPr>
        <w:spacing w:before="1" w:line="229" w:lineRule="auto"/>
        <w:ind w:left="1"/>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46" w:line="221" w:lineRule="auto"/>
        <w:ind w:left="10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法定代表人（签字</w:t>
      </w:r>
      <w:r>
        <w:rPr>
          <w:rFonts w:ascii="宋体" w:hAnsi="宋体" w:eastAsia="宋体" w:cs="宋体"/>
          <w:color w:val="auto"/>
          <w:spacing w:val="-54"/>
          <w:sz w:val="21"/>
          <w:szCs w:val="21"/>
          <w:highlight w:val="none"/>
        </w:rPr>
        <w:t>）：</w:t>
      </w:r>
      <w:r>
        <w:rPr>
          <w:rFonts w:ascii="宋体" w:hAnsi="宋体" w:eastAsia="宋体" w:cs="宋体"/>
          <w:color w:val="auto"/>
          <w:sz w:val="21"/>
          <w:szCs w:val="21"/>
          <w:highlight w:val="none"/>
          <w:u w:val="single" w:color="auto"/>
        </w:rPr>
        <w:t xml:space="preserve">     </w:t>
      </w:r>
    </w:p>
    <w:p>
      <w:pPr>
        <w:spacing w:before="159" w:line="221" w:lineRule="auto"/>
        <w:ind w:left="1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委托代理人（签字</w:t>
      </w:r>
      <w:r>
        <w:rPr>
          <w:rFonts w:ascii="宋体" w:hAnsi="宋体" w:eastAsia="宋体" w:cs="宋体"/>
          <w:color w:val="auto"/>
          <w:spacing w:val="-53"/>
          <w:sz w:val="21"/>
          <w:szCs w:val="21"/>
          <w:highlight w:val="none"/>
        </w:rPr>
        <w:t>）：</w:t>
      </w:r>
      <w:r>
        <w:rPr>
          <w:rFonts w:ascii="宋体" w:hAnsi="宋体" w:eastAsia="宋体" w:cs="宋体"/>
          <w:color w:val="auto"/>
          <w:sz w:val="21"/>
          <w:szCs w:val="21"/>
          <w:highlight w:val="none"/>
          <w:u w:val="single" w:color="auto"/>
        </w:rPr>
        <w:t xml:space="preserve">     </w:t>
      </w:r>
    </w:p>
    <w:p>
      <w:pPr>
        <w:spacing w:before="157" w:line="223" w:lineRule="auto"/>
        <w:ind w:left="26"/>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5"/>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5" w:line="359" w:lineRule="auto"/>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7"/>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line="221" w:lineRule="auto"/>
        <w:ind w:left="2"/>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开户银行：</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6" w:line="222" w:lineRule="auto"/>
        <w:ind w:left="5"/>
        <w:rPr>
          <w:rFonts w:ascii="宋体" w:hAnsi="宋体" w:eastAsia="宋体" w:cs="宋体"/>
          <w:color w:val="auto"/>
          <w:sz w:val="21"/>
          <w:szCs w:val="21"/>
          <w:highlight w:val="none"/>
        </w:rPr>
      </w:pPr>
      <w:r>
        <w:rPr>
          <w:rFonts w:ascii="宋体" w:hAnsi="宋体" w:eastAsia="宋体" w:cs="宋体"/>
          <w:color w:val="auto"/>
          <w:spacing w:val="-32"/>
          <w:sz w:val="21"/>
          <w:szCs w:val="21"/>
          <w:highlight w:val="none"/>
        </w:rPr>
        <w:t>账</w:t>
      </w:r>
      <w:r>
        <w:rPr>
          <w:rFonts w:ascii="宋体" w:hAnsi="宋体" w:eastAsia="宋体" w:cs="宋体"/>
          <w:color w:val="auto"/>
          <w:spacing w:val="6"/>
          <w:sz w:val="21"/>
          <w:szCs w:val="21"/>
          <w:highlight w:val="none"/>
        </w:rPr>
        <w:t xml:space="preserve">  </w:t>
      </w:r>
      <w:r>
        <w:rPr>
          <w:rFonts w:ascii="宋体" w:hAnsi="宋体" w:eastAsia="宋体" w:cs="宋体"/>
          <w:color w:val="auto"/>
          <w:spacing w:val="-32"/>
          <w:sz w:val="21"/>
          <w:szCs w:val="21"/>
          <w:highlight w:val="none"/>
        </w:rPr>
        <w:t>号：</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8" w:line="186" w:lineRule="auto"/>
        <w:ind w:left="17"/>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邮政编码：</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line="186" w:lineRule="auto"/>
        <w:rPr>
          <w:rFonts w:ascii="宋体" w:hAnsi="宋体" w:eastAsia="宋体" w:cs="宋体"/>
          <w:color w:val="auto"/>
          <w:sz w:val="21"/>
          <w:szCs w:val="21"/>
          <w:highlight w:val="none"/>
        </w:rPr>
        <w:sectPr>
          <w:type w:val="continuous"/>
          <w:pgSz w:w="11905" w:h="16843"/>
          <w:pgMar w:top="1769" w:right="1548" w:bottom="1003" w:left="1542" w:header="0" w:footer="828" w:gutter="0"/>
          <w:pgNumType w:fmt="numberInDash"/>
          <w:cols w:space="0" w:num="1"/>
          <w:rtlGutter w:val="0"/>
          <w:docGrid w:linePitch="0" w:charSpace="0"/>
        </w:sectPr>
      </w:pPr>
    </w:p>
    <w:p>
      <w:pPr>
        <w:spacing w:before="78" w:line="219" w:lineRule="auto"/>
        <w:ind w:left="112"/>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0"/>
          <w:sz w:val="24"/>
          <w:szCs w:val="24"/>
          <w:highlight w:val="none"/>
        </w:rPr>
        <w:t xml:space="preserve"> </w:t>
      </w:r>
      <w:r>
        <w:rPr>
          <w:rFonts w:ascii="宋体" w:hAnsi="宋体" w:eastAsia="宋体" w:cs="宋体"/>
          <w:color w:val="auto"/>
          <w:spacing w:val="-10"/>
          <w:sz w:val="24"/>
          <w:szCs w:val="24"/>
          <w:highlight w:val="none"/>
        </w:rPr>
        <w:t>4：</w:t>
      </w:r>
    </w:p>
    <w:p>
      <w:pPr>
        <w:spacing w:before="240" w:line="219" w:lineRule="auto"/>
        <w:ind w:left="3150"/>
        <w:rPr>
          <w:rFonts w:ascii="黑体" w:hAnsi="黑体" w:eastAsia="黑体" w:cs="黑体"/>
          <w:color w:val="auto"/>
          <w:sz w:val="28"/>
          <w:szCs w:val="28"/>
          <w:highlight w:val="none"/>
        </w:rPr>
      </w:pPr>
      <w:bookmarkStart w:id="334" w:name="bookmark374"/>
      <w:bookmarkEnd w:id="334"/>
      <w:r>
        <w:rPr>
          <w:rFonts w:ascii="黑体" w:hAnsi="黑体" w:eastAsia="黑体" w:cs="黑体"/>
          <w:color w:val="auto"/>
          <w:spacing w:val="-2"/>
          <w:sz w:val="28"/>
          <w:szCs w:val="28"/>
          <w:highlight w:val="none"/>
        </w:rPr>
        <w:t>主要建设工程文件目录</w:t>
      </w:r>
    </w:p>
    <w:p>
      <w:pPr>
        <w:spacing w:line="114" w:lineRule="exact"/>
        <w:rPr>
          <w:color w:val="auto"/>
          <w:highlight w:val="none"/>
        </w:rPr>
      </w:pPr>
    </w:p>
    <w:tbl>
      <w:tblPr>
        <w:tblStyle w:val="9"/>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2"/>
        <w:gridCol w:w="1274"/>
        <w:gridCol w:w="1446"/>
        <w:gridCol w:w="1240"/>
        <w:gridCol w:w="1446"/>
        <w:gridCol w:w="1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2" w:type="dxa"/>
            <w:tcBorders>
              <w:top w:val="single" w:color="000000" w:sz="10" w:space="0"/>
              <w:left w:val="single" w:color="000000" w:sz="10" w:space="0"/>
            </w:tcBorders>
            <w:vAlign w:val="top"/>
          </w:tcPr>
          <w:p>
            <w:pPr>
              <w:pStyle w:val="10"/>
              <w:spacing w:before="177" w:line="221" w:lineRule="auto"/>
              <w:ind w:left="90"/>
              <w:rPr>
                <w:color w:val="auto"/>
                <w:highlight w:val="none"/>
              </w:rPr>
            </w:pPr>
            <w:r>
              <w:rPr>
                <w:color w:val="auto"/>
                <w:spacing w:val="-2"/>
                <w:highlight w:val="none"/>
              </w:rPr>
              <w:t>文件名称</w:t>
            </w:r>
          </w:p>
        </w:tc>
        <w:tc>
          <w:tcPr>
            <w:tcW w:w="1274" w:type="dxa"/>
            <w:tcBorders>
              <w:top w:val="single" w:color="000000" w:sz="10" w:space="0"/>
            </w:tcBorders>
            <w:vAlign w:val="top"/>
          </w:tcPr>
          <w:p>
            <w:pPr>
              <w:pStyle w:val="10"/>
              <w:spacing w:before="177" w:line="221" w:lineRule="auto"/>
              <w:ind w:left="88"/>
              <w:rPr>
                <w:color w:val="auto"/>
                <w:highlight w:val="none"/>
              </w:rPr>
            </w:pPr>
            <w:r>
              <w:rPr>
                <w:color w:val="auto"/>
                <w:spacing w:val="-2"/>
                <w:highlight w:val="none"/>
              </w:rPr>
              <w:t>套数</w:t>
            </w:r>
          </w:p>
        </w:tc>
        <w:tc>
          <w:tcPr>
            <w:tcW w:w="1446" w:type="dxa"/>
            <w:tcBorders>
              <w:top w:val="single" w:color="000000" w:sz="10" w:space="0"/>
            </w:tcBorders>
            <w:vAlign w:val="top"/>
          </w:tcPr>
          <w:p>
            <w:pPr>
              <w:pStyle w:val="10"/>
              <w:spacing w:before="177" w:line="221" w:lineRule="auto"/>
              <w:ind w:left="102"/>
              <w:rPr>
                <w:color w:val="auto"/>
                <w:highlight w:val="none"/>
              </w:rPr>
            </w:pPr>
            <w:r>
              <w:rPr>
                <w:color w:val="auto"/>
                <w:spacing w:val="-7"/>
                <w:highlight w:val="none"/>
              </w:rPr>
              <w:t>费用（元）</w:t>
            </w:r>
          </w:p>
        </w:tc>
        <w:tc>
          <w:tcPr>
            <w:tcW w:w="1240" w:type="dxa"/>
            <w:tcBorders>
              <w:top w:val="single" w:color="000000" w:sz="10" w:space="0"/>
            </w:tcBorders>
            <w:vAlign w:val="top"/>
          </w:tcPr>
          <w:p>
            <w:pPr>
              <w:pStyle w:val="10"/>
              <w:spacing w:before="177" w:line="221" w:lineRule="auto"/>
              <w:ind w:left="95"/>
              <w:rPr>
                <w:color w:val="auto"/>
                <w:highlight w:val="none"/>
              </w:rPr>
            </w:pPr>
            <w:r>
              <w:rPr>
                <w:color w:val="auto"/>
                <w:spacing w:val="-2"/>
                <w:highlight w:val="none"/>
              </w:rPr>
              <w:t>质量</w:t>
            </w:r>
          </w:p>
        </w:tc>
        <w:tc>
          <w:tcPr>
            <w:tcW w:w="1446" w:type="dxa"/>
            <w:tcBorders>
              <w:top w:val="single" w:color="000000" w:sz="10" w:space="0"/>
            </w:tcBorders>
            <w:vAlign w:val="top"/>
          </w:tcPr>
          <w:p>
            <w:pPr>
              <w:pStyle w:val="10"/>
              <w:spacing w:before="177" w:line="222" w:lineRule="auto"/>
              <w:ind w:left="312"/>
              <w:rPr>
                <w:color w:val="auto"/>
                <w:highlight w:val="none"/>
              </w:rPr>
            </w:pPr>
            <w:r>
              <w:rPr>
                <w:color w:val="auto"/>
                <w:spacing w:val="-2"/>
                <w:highlight w:val="none"/>
              </w:rPr>
              <w:t>移交时间</w:t>
            </w:r>
          </w:p>
        </w:tc>
        <w:tc>
          <w:tcPr>
            <w:tcW w:w="1678" w:type="dxa"/>
            <w:tcBorders>
              <w:top w:val="single" w:color="000000" w:sz="10" w:space="0"/>
              <w:right w:val="single" w:color="000000" w:sz="10" w:space="0"/>
            </w:tcBorders>
            <w:vAlign w:val="top"/>
          </w:tcPr>
          <w:p>
            <w:pPr>
              <w:pStyle w:val="10"/>
              <w:spacing w:before="177" w:line="221" w:lineRule="auto"/>
              <w:ind w:left="537"/>
              <w:rPr>
                <w:color w:val="auto"/>
                <w:highlight w:val="none"/>
              </w:rPr>
            </w:pPr>
            <w:r>
              <w:rPr>
                <w:color w:val="auto"/>
                <w:spacing w:val="-3"/>
                <w:highlight w:val="none"/>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vAlign w:val="top"/>
          </w:tcPr>
          <w:p>
            <w:pPr>
              <w:rPr>
                <w:rFonts w:ascii="Arial"/>
                <w:color w:val="auto"/>
                <w:sz w:val="21"/>
                <w:highlight w:val="none"/>
              </w:rPr>
            </w:pPr>
          </w:p>
        </w:tc>
        <w:tc>
          <w:tcPr>
            <w:tcW w:w="1274"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240" w:type="dxa"/>
            <w:vAlign w:val="top"/>
          </w:tcPr>
          <w:p>
            <w:pPr>
              <w:rPr>
                <w:rFonts w:ascii="Arial"/>
                <w:color w:val="auto"/>
                <w:sz w:val="21"/>
                <w:highlight w:val="none"/>
              </w:rPr>
            </w:pPr>
          </w:p>
        </w:tc>
        <w:tc>
          <w:tcPr>
            <w:tcW w:w="1446" w:type="dxa"/>
            <w:vAlign w:val="top"/>
          </w:tcPr>
          <w:p>
            <w:pPr>
              <w:rPr>
                <w:rFonts w:ascii="Arial"/>
                <w:color w:val="auto"/>
                <w:sz w:val="21"/>
                <w:highlight w:val="none"/>
              </w:rPr>
            </w:pPr>
          </w:p>
        </w:tc>
        <w:tc>
          <w:tcPr>
            <w:tcW w:w="1678"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962" w:type="dxa"/>
            <w:tcBorders>
              <w:left w:val="single" w:color="000000" w:sz="10" w:space="0"/>
              <w:bottom w:val="single" w:color="000000" w:sz="10" w:space="0"/>
            </w:tcBorders>
            <w:vAlign w:val="top"/>
          </w:tcPr>
          <w:p>
            <w:pPr>
              <w:rPr>
                <w:rFonts w:ascii="Arial"/>
                <w:color w:val="auto"/>
                <w:sz w:val="21"/>
                <w:highlight w:val="none"/>
              </w:rPr>
            </w:pPr>
          </w:p>
        </w:tc>
        <w:tc>
          <w:tcPr>
            <w:tcW w:w="1274" w:type="dxa"/>
            <w:tcBorders>
              <w:bottom w:val="single" w:color="000000" w:sz="10" w:space="0"/>
            </w:tcBorders>
            <w:vAlign w:val="top"/>
          </w:tcPr>
          <w:p>
            <w:pPr>
              <w:rPr>
                <w:rFonts w:ascii="Arial"/>
                <w:color w:val="auto"/>
                <w:sz w:val="21"/>
                <w:highlight w:val="none"/>
              </w:rPr>
            </w:pPr>
          </w:p>
        </w:tc>
        <w:tc>
          <w:tcPr>
            <w:tcW w:w="1446" w:type="dxa"/>
            <w:tcBorders>
              <w:bottom w:val="single" w:color="000000" w:sz="10" w:space="0"/>
            </w:tcBorders>
            <w:vAlign w:val="top"/>
          </w:tcPr>
          <w:p>
            <w:pPr>
              <w:rPr>
                <w:rFonts w:ascii="Arial"/>
                <w:color w:val="auto"/>
                <w:sz w:val="21"/>
                <w:highlight w:val="none"/>
              </w:rPr>
            </w:pPr>
          </w:p>
        </w:tc>
        <w:tc>
          <w:tcPr>
            <w:tcW w:w="1240" w:type="dxa"/>
            <w:tcBorders>
              <w:bottom w:val="single" w:color="000000" w:sz="10" w:space="0"/>
            </w:tcBorders>
            <w:vAlign w:val="top"/>
          </w:tcPr>
          <w:p>
            <w:pPr>
              <w:rPr>
                <w:rFonts w:ascii="Arial"/>
                <w:color w:val="auto"/>
                <w:sz w:val="21"/>
                <w:highlight w:val="none"/>
              </w:rPr>
            </w:pPr>
          </w:p>
        </w:tc>
        <w:tc>
          <w:tcPr>
            <w:tcW w:w="1446" w:type="dxa"/>
            <w:tcBorders>
              <w:bottom w:val="single" w:color="000000" w:sz="10" w:space="0"/>
            </w:tcBorders>
            <w:vAlign w:val="top"/>
          </w:tcPr>
          <w:p>
            <w:pPr>
              <w:rPr>
                <w:rFonts w:ascii="Arial"/>
                <w:color w:val="auto"/>
                <w:sz w:val="21"/>
                <w:highlight w:val="none"/>
              </w:rPr>
            </w:pPr>
          </w:p>
        </w:tc>
        <w:tc>
          <w:tcPr>
            <w:tcW w:w="1678" w:type="dxa"/>
            <w:tcBorders>
              <w:bottom w:val="single" w:color="000000" w:sz="10" w:space="0"/>
              <w:right w:val="single" w:color="000000" w:sz="10" w:space="0"/>
            </w:tcBorders>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65"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71"/>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6"/>
          <w:sz w:val="24"/>
          <w:szCs w:val="24"/>
          <w:highlight w:val="none"/>
        </w:rPr>
        <w:t xml:space="preserve"> </w:t>
      </w:r>
      <w:r>
        <w:rPr>
          <w:rFonts w:ascii="宋体" w:hAnsi="宋体" w:eastAsia="宋体" w:cs="宋体"/>
          <w:color w:val="auto"/>
          <w:spacing w:val="-11"/>
          <w:sz w:val="24"/>
          <w:szCs w:val="24"/>
          <w:highlight w:val="none"/>
        </w:rPr>
        <w:t>5：</w:t>
      </w:r>
    </w:p>
    <w:p>
      <w:pPr>
        <w:spacing w:before="240" w:line="219" w:lineRule="auto"/>
        <w:ind w:left="2263"/>
        <w:rPr>
          <w:rFonts w:ascii="黑体" w:hAnsi="黑体" w:eastAsia="黑体" w:cs="黑体"/>
          <w:color w:val="auto"/>
          <w:sz w:val="28"/>
          <w:szCs w:val="28"/>
          <w:highlight w:val="none"/>
        </w:rPr>
      </w:pPr>
      <w:bookmarkStart w:id="335" w:name="bookmark375"/>
      <w:bookmarkEnd w:id="335"/>
      <w:r>
        <w:rPr>
          <w:rFonts w:ascii="黑体" w:hAnsi="黑体" w:eastAsia="黑体" w:cs="黑体"/>
          <w:color w:val="auto"/>
          <w:spacing w:val="-1"/>
          <w:sz w:val="28"/>
          <w:szCs w:val="28"/>
          <w:highlight w:val="none"/>
        </w:rPr>
        <w:t>承包人用于本工程施工的机械设备表</w:t>
      </w:r>
    </w:p>
    <w:p>
      <w:pPr>
        <w:spacing w:line="114" w:lineRule="exact"/>
        <w:rPr>
          <w:color w:val="auto"/>
          <w:highlight w:val="none"/>
        </w:rPr>
      </w:pPr>
    </w:p>
    <w:tbl>
      <w:tblPr>
        <w:tblStyle w:val="9"/>
        <w:tblW w:w="896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1412"/>
        <w:gridCol w:w="850"/>
        <w:gridCol w:w="706"/>
        <w:gridCol w:w="847"/>
        <w:gridCol w:w="850"/>
        <w:gridCol w:w="1273"/>
        <w:gridCol w:w="1272"/>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751" w:type="dxa"/>
            <w:tcBorders>
              <w:top w:val="single" w:color="000000" w:sz="10" w:space="0"/>
              <w:left w:val="single" w:color="000000" w:sz="10" w:space="0"/>
            </w:tcBorders>
            <w:vAlign w:val="top"/>
          </w:tcPr>
          <w:p>
            <w:pPr>
              <w:spacing w:line="328" w:lineRule="auto"/>
              <w:rPr>
                <w:rFonts w:ascii="Arial"/>
                <w:color w:val="auto"/>
                <w:sz w:val="21"/>
                <w:highlight w:val="none"/>
              </w:rPr>
            </w:pPr>
          </w:p>
          <w:p>
            <w:pPr>
              <w:pStyle w:val="10"/>
              <w:spacing w:before="68" w:line="222" w:lineRule="auto"/>
              <w:ind w:left="155"/>
              <w:rPr>
                <w:color w:val="auto"/>
                <w:highlight w:val="none"/>
              </w:rPr>
            </w:pPr>
            <w:r>
              <w:rPr>
                <w:color w:val="auto"/>
                <w:spacing w:val="-2"/>
                <w:highlight w:val="none"/>
              </w:rPr>
              <w:t>序号</w:t>
            </w:r>
          </w:p>
        </w:tc>
        <w:tc>
          <w:tcPr>
            <w:tcW w:w="1412" w:type="dxa"/>
            <w:tcBorders>
              <w:top w:val="single" w:color="000000" w:sz="10" w:space="0"/>
            </w:tcBorders>
            <w:vAlign w:val="top"/>
          </w:tcPr>
          <w:p>
            <w:pPr>
              <w:pStyle w:val="10"/>
              <w:spacing w:before="177" w:line="439" w:lineRule="exact"/>
              <w:ind w:left="172"/>
              <w:rPr>
                <w:color w:val="auto"/>
                <w:highlight w:val="none"/>
              </w:rPr>
            </w:pPr>
            <w:r>
              <w:rPr>
                <w:color w:val="auto"/>
                <w:spacing w:val="-1"/>
                <w:position w:val="17"/>
                <w:highlight w:val="none"/>
              </w:rPr>
              <w:t>机械或设备</w:t>
            </w:r>
          </w:p>
          <w:p>
            <w:pPr>
              <w:pStyle w:val="10"/>
              <w:spacing w:line="222" w:lineRule="auto"/>
              <w:ind w:left="492"/>
              <w:rPr>
                <w:color w:val="auto"/>
                <w:highlight w:val="none"/>
              </w:rPr>
            </w:pPr>
            <w:r>
              <w:rPr>
                <w:color w:val="auto"/>
                <w:spacing w:val="-3"/>
                <w:highlight w:val="none"/>
              </w:rPr>
              <w:t>名称</w:t>
            </w:r>
          </w:p>
        </w:tc>
        <w:tc>
          <w:tcPr>
            <w:tcW w:w="850" w:type="dxa"/>
            <w:tcBorders>
              <w:top w:val="single" w:color="000000" w:sz="10" w:space="0"/>
            </w:tcBorders>
            <w:vAlign w:val="top"/>
          </w:tcPr>
          <w:p>
            <w:pPr>
              <w:pStyle w:val="10"/>
              <w:spacing w:before="177" w:line="439" w:lineRule="exact"/>
              <w:ind w:left="214"/>
              <w:rPr>
                <w:color w:val="auto"/>
                <w:highlight w:val="none"/>
              </w:rPr>
            </w:pPr>
            <w:r>
              <w:rPr>
                <w:color w:val="auto"/>
                <w:spacing w:val="-2"/>
                <w:position w:val="17"/>
                <w:highlight w:val="none"/>
              </w:rPr>
              <w:t>规格</w:t>
            </w:r>
          </w:p>
          <w:p>
            <w:pPr>
              <w:pStyle w:val="10"/>
              <w:spacing w:line="222" w:lineRule="auto"/>
              <w:ind w:left="220"/>
              <w:rPr>
                <w:color w:val="auto"/>
                <w:highlight w:val="none"/>
              </w:rPr>
            </w:pPr>
            <w:r>
              <w:rPr>
                <w:color w:val="auto"/>
                <w:spacing w:val="-4"/>
                <w:highlight w:val="none"/>
              </w:rPr>
              <w:t>型号</w:t>
            </w:r>
          </w:p>
        </w:tc>
        <w:tc>
          <w:tcPr>
            <w:tcW w:w="706" w:type="dxa"/>
            <w:tcBorders>
              <w:top w:val="single" w:color="000000" w:sz="10" w:space="0"/>
            </w:tcBorders>
            <w:vAlign w:val="top"/>
          </w:tcPr>
          <w:p>
            <w:pPr>
              <w:spacing w:line="327" w:lineRule="auto"/>
              <w:rPr>
                <w:rFonts w:ascii="Arial"/>
                <w:color w:val="auto"/>
                <w:sz w:val="21"/>
                <w:highlight w:val="none"/>
              </w:rPr>
            </w:pPr>
          </w:p>
          <w:p>
            <w:pPr>
              <w:pStyle w:val="10"/>
              <w:spacing w:before="68" w:line="221" w:lineRule="auto"/>
              <w:ind w:left="143"/>
              <w:rPr>
                <w:color w:val="auto"/>
                <w:highlight w:val="none"/>
              </w:rPr>
            </w:pPr>
            <w:r>
              <w:rPr>
                <w:color w:val="auto"/>
                <w:spacing w:val="-2"/>
                <w:highlight w:val="none"/>
              </w:rPr>
              <w:t>数量</w:t>
            </w:r>
          </w:p>
        </w:tc>
        <w:tc>
          <w:tcPr>
            <w:tcW w:w="847" w:type="dxa"/>
            <w:tcBorders>
              <w:top w:val="single" w:color="000000" w:sz="10" w:space="0"/>
            </w:tcBorders>
            <w:vAlign w:val="top"/>
          </w:tcPr>
          <w:p>
            <w:pPr>
              <w:spacing w:line="327" w:lineRule="auto"/>
              <w:rPr>
                <w:rFonts w:ascii="Arial"/>
                <w:color w:val="auto"/>
                <w:sz w:val="21"/>
                <w:highlight w:val="none"/>
              </w:rPr>
            </w:pPr>
          </w:p>
          <w:p>
            <w:pPr>
              <w:pStyle w:val="10"/>
              <w:spacing w:before="68" w:line="221" w:lineRule="auto"/>
              <w:ind w:left="217"/>
              <w:rPr>
                <w:color w:val="auto"/>
                <w:highlight w:val="none"/>
              </w:rPr>
            </w:pPr>
            <w:r>
              <w:rPr>
                <w:color w:val="auto"/>
                <w:spacing w:val="-2"/>
                <w:highlight w:val="none"/>
              </w:rPr>
              <w:t>产地</w:t>
            </w:r>
          </w:p>
        </w:tc>
        <w:tc>
          <w:tcPr>
            <w:tcW w:w="850" w:type="dxa"/>
            <w:tcBorders>
              <w:top w:val="single" w:color="000000" w:sz="10" w:space="0"/>
            </w:tcBorders>
            <w:vAlign w:val="top"/>
          </w:tcPr>
          <w:p>
            <w:pPr>
              <w:pStyle w:val="10"/>
              <w:spacing w:before="177" w:line="439" w:lineRule="exact"/>
              <w:ind w:left="221"/>
              <w:rPr>
                <w:color w:val="auto"/>
                <w:highlight w:val="none"/>
              </w:rPr>
            </w:pPr>
            <w:r>
              <w:rPr>
                <w:color w:val="auto"/>
                <w:spacing w:val="-2"/>
                <w:position w:val="17"/>
                <w:highlight w:val="none"/>
              </w:rPr>
              <w:t>制造</w:t>
            </w:r>
          </w:p>
          <w:p>
            <w:pPr>
              <w:pStyle w:val="10"/>
              <w:spacing w:line="220" w:lineRule="auto"/>
              <w:ind w:left="221"/>
              <w:rPr>
                <w:color w:val="auto"/>
                <w:highlight w:val="none"/>
              </w:rPr>
            </w:pPr>
            <w:r>
              <w:rPr>
                <w:color w:val="auto"/>
                <w:spacing w:val="-2"/>
                <w:highlight w:val="none"/>
              </w:rPr>
              <w:t>年份</w:t>
            </w:r>
          </w:p>
        </w:tc>
        <w:tc>
          <w:tcPr>
            <w:tcW w:w="1273" w:type="dxa"/>
            <w:tcBorders>
              <w:top w:val="single" w:color="000000" w:sz="10" w:space="0"/>
            </w:tcBorders>
            <w:vAlign w:val="top"/>
          </w:tcPr>
          <w:p>
            <w:pPr>
              <w:pStyle w:val="10"/>
              <w:spacing w:before="177" w:line="439" w:lineRule="exact"/>
              <w:ind w:left="225"/>
              <w:rPr>
                <w:color w:val="auto"/>
                <w:highlight w:val="none"/>
              </w:rPr>
            </w:pPr>
            <w:r>
              <w:rPr>
                <w:color w:val="auto"/>
                <w:spacing w:val="-2"/>
                <w:position w:val="17"/>
                <w:highlight w:val="none"/>
              </w:rPr>
              <w:t>额定功率</w:t>
            </w:r>
          </w:p>
          <w:p>
            <w:pPr>
              <w:pStyle w:val="10"/>
              <w:spacing w:line="232" w:lineRule="auto"/>
              <w:ind w:left="334"/>
              <w:rPr>
                <w:color w:val="auto"/>
                <w:highlight w:val="none"/>
              </w:rPr>
            </w:pPr>
            <w:r>
              <w:rPr>
                <w:color w:val="auto"/>
                <w:spacing w:val="-4"/>
                <w:highlight w:val="none"/>
              </w:rPr>
              <w:t>（kW）</w:t>
            </w:r>
          </w:p>
        </w:tc>
        <w:tc>
          <w:tcPr>
            <w:tcW w:w="1272" w:type="dxa"/>
            <w:tcBorders>
              <w:top w:val="single" w:color="000000" w:sz="10" w:space="0"/>
            </w:tcBorders>
            <w:vAlign w:val="top"/>
          </w:tcPr>
          <w:p>
            <w:pPr>
              <w:spacing w:line="327" w:lineRule="auto"/>
              <w:rPr>
                <w:rFonts w:ascii="Arial"/>
                <w:color w:val="auto"/>
                <w:sz w:val="21"/>
                <w:highlight w:val="none"/>
              </w:rPr>
            </w:pPr>
          </w:p>
          <w:p>
            <w:pPr>
              <w:pStyle w:val="10"/>
              <w:spacing w:before="68" w:line="221" w:lineRule="auto"/>
              <w:ind w:left="228"/>
              <w:rPr>
                <w:color w:val="auto"/>
                <w:highlight w:val="none"/>
              </w:rPr>
            </w:pPr>
            <w:r>
              <w:rPr>
                <w:color w:val="auto"/>
                <w:spacing w:val="-2"/>
                <w:highlight w:val="none"/>
              </w:rPr>
              <w:t>生产能力</w:t>
            </w:r>
          </w:p>
        </w:tc>
        <w:tc>
          <w:tcPr>
            <w:tcW w:w="1003" w:type="dxa"/>
            <w:tcBorders>
              <w:top w:val="single" w:color="000000" w:sz="10" w:space="0"/>
              <w:right w:val="single" w:color="000000" w:sz="10" w:space="0"/>
            </w:tcBorders>
            <w:vAlign w:val="top"/>
          </w:tcPr>
          <w:p>
            <w:pPr>
              <w:spacing w:line="328" w:lineRule="auto"/>
              <w:rPr>
                <w:rFonts w:ascii="Arial"/>
                <w:color w:val="auto"/>
                <w:sz w:val="21"/>
                <w:highlight w:val="none"/>
              </w:rPr>
            </w:pPr>
          </w:p>
          <w:p>
            <w:pPr>
              <w:pStyle w:val="10"/>
              <w:spacing w:before="68" w:line="222" w:lineRule="auto"/>
              <w:ind w:left="301"/>
              <w:rPr>
                <w:color w:val="auto"/>
                <w:highlight w:val="none"/>
              </w:rPr>
            </w:pPr>
            <w:r>
              <w:rPr>
                <w:color w:val="auto"/>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06" w:type="dxa"/>
            <w:vAlign w:val="top"/>
          </w:tcPr>
          <w:p>
            <w:pPr>
              <w:rPr>
                <w:rFonts w:ascii="Arial"/>
                <w:color w:val="auto"/>
                <w:sz w:val="21"/>
                <w:highlight w:val="none"/>
              </w:rPr>
            </w:pPr>
          </w:p>
        </w:tc>
        <w:tc>
          <w:tcPr>
            <w:tcW w:w="84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1273" w:type="dxa"/>
            <w:vAlign w:val="top"/>
          </w:tcPr>
          <w:p>
            <w:pPr>
              <w:rPr>
                <w:rFonts w:ascii="Arial"/>
                <w:color w:val="auto"/>
                <w:sz w:val="21"/>
                <w:highlight w:val="none"/>
              </w:rPr>
            </w:pPr>
          </w:p>
        </w:tc>
        <w:tc>
          <w:tcPr>
            <w:tcW w:w="1272" w:type="dxa"/>
            <w:vAlign w:val="top"/>
          </w:tcPr>
          <w:p>
            <w:pPr>
              <w:rPr>
                <w:rFonts w:ascii="Arial"/>
                <w:color w:val="auto"/>
                <w:sz w:val="21"/>
                <w:highlight w:val="none"/>
              </w:rPr>
            </w:pPr>
          </w:p>
        </w:tc>
        <w:tc>
          <w:tcPr>
            <w:tcW w:w="1003"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51" w:type="dxa"/>
            <w:tcBorders>
              <w:left w:val="single" w:color="000000" w:sz="10" w:space="0"/>
              <w:bottom w:val="single" w:color="000000" w:sz="10" w:space="0"/>
            </w:tcBorders>
            <w:vAlign w:val="top"/>
          </w:tcPr>
          <w:p>
            <w:pPr>
              <w:rPr>
                <w:rFonts w:ascii="Arial"/>
                <w:color w:val="auto"/>
                <w:sz w:val="21"/>
                <w:highlight w:val="none"/>
              </w:rPr>
            </w:pPr>
          </w:p>
        </w:tc>
        <w:tc>
          <w:tcPr>
            <w:tcW w:w="1412" w:type="dxa"/>
            <w:tcBorders>
              <w:bottom w:val="single" w:color="000000" w:sz="10" w:space="0"/>
            </w:tcBorders>
            <w:vAlign w:val="top"/>
          </w:tcPr>
          <w:p>
            <w:pPr>
              <w:rPr>
                <w:rFonts w:ascii="Arial"/>
                <w:color w:val="auto"/>
                <w:sz w:val="21"/>
                <w:highlight w:val="none"/>
              </w:rPr>
            </w:pPr>
          </w:p>
        </w:tc>
        <w:tc>
          <w:tcPr>
            <w:tcW w:w="850" w:type="dxa"/>
            <w:tcBorders>
              <w:bottom w:val="single" w:color="000000" w:sz="10" w:space="0"/>
            </w:tcBorders>
            <w:vAlign w:val="top"/>
          </w:tcPr>
          <w:p>
            <w:pPr>
              <w:rPr>
                <w:rFonts w:ascii="Arial"/>
                <w:color w:val="auto"/>
                <w:sz w:val="21"/>
                <w:highlight w:val="none"/>
              </w:rPr>
            </w:pPr>
          </w:p>
        </w:tc>
        <w:tc>
          <w:tcPr>
            <w:tcW w:w="706" w:type="dxa"/>
            <w:tcBorders>
              <w:bottom w:val="single" w:color="000000" w:sz="10" w:space="0"/>
            </w:tcBorders>
            <w:vAlign w:val="top"/>
          </w:tcPr>
          <w:p>
            <w:pPr>
              <w:rPr>
                <w:rFonts w:ascii="Arial"/>
                <w:color w:val="auto"/>
                <w:sz w:val="21"/>
                <w:highlight w:val="none"/>
              </w:rPr>
            </w:pPr>
          </w:p>
        </w:tc>
        <w:tc>
          <w:tcPr>
            <w:tcW w:w="847" w:type="dxa"/>
            <w:tcBorders>
              <w:bottom w:val="single" w:color="000000" w:sz="10" w:space="0"/>
            </w:tcBorders>
            <w:vAlign w:val="top"/>
          </w:tcPr>
          <w:p>
            <w:pPr>
              <w:rPr>
                <w:rFonts w:ascii="Arial"/>
                <w:color w:val="auto"/>
                <w:sz w:val="21"/>
                <w:highlight w:val="none"/>
              </w:rPr>
            </w:pPr>
          </w:p>
        </w:tc>
        <w:tc>
          <w:tcPr>
            <w:tcW w:w="850" w:type="dxa"/>
            <w:tcBorders>
              <w:bottom w:val="single" w:color="000000" w:sz="10" w:space="0"/>
            </w:tcBorders>
            <w:vAlign w:val="top"/>
          </w:tcPr>
          <w:p>
            <w:pPr>
              <w:rPr>
                <w:rFonts w:ascii="Arial"/>
                <w:color w:val="auto"/>
                <w:sz w:val="21"/>
                <w:highlight w:val="none"/>
              </w:rPr>
            </w:pPr>
          </w:p>
        </w:tc>
        <w:tc>
          <w:tcPr>
            <w:tcW w:w="1273" w:type="dxa"/>
            <w:tcBorders>
              <w:bottom w:val="single" w:color="000000" w:sz="10" w:space="0"/>
            </w:tcBorders>
            <w:vAlign w:val="top"/>
          </w:tcPr>
          <w:p>
            <w:pPr>
              <w:rPr>
                <w:rFonts w:ascii="Arial"/>
                <w:color w:val="auto"/>
                <w:sz w:val="21"/>
                <w:highlight w:val="none"/>
              </w:rPr>
            </w:pPr>
          </w:p>
        </w:tc>
        <w:tc>
          <w:tcPr>
            <w:tcW w:w="1272" w:type="dxa"/>
            <w:tcBorders>
              <w:bottom w:val="single" w:color="000000" w:sz="10" w:space="0"/>
            </w:tcBorders>
            <w:vAlign w:val="top"/>
          </w:tcPr>
          <w:p>
            <w:pPr>
              <w:rPr>
                <w:rFonts w:ascii="Arial"/>
                <w:color w:val="auto"/>
                <w:sz w:val="21"/>
                <w:highlight w:val="none"/>
              </w:rPr>
            </w:pPr>
          </w:p>
        </w:tc>
        <w:tc>
          <w:tcPr>
            <w:tcW w:w="1003" w:type="dxa"/>
            <w:tcBorders>
              <w:bottom w:val="single" w:color="000000" w:sz="10" w:space="0"/>
              <w:right w:val="single" w:color="000000" w:sz="10" w:space="0"/>
            </w:tcBorders>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66"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496"/>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49"/>
          <w:sz w:val="24"/>
          <w:szCs w:val="24"/>
          <w:highlight w:val="none"/>
        </w:rPr>
        <w:t xml:space="preserve"> </w:t>
      </w:r>
      <w:r>
        <w:rPr>
          <w:rFonts w:ascii="宋体" w:hAnsi="宋体" w:eastAsia="宋体" w:cs="宋体"/>
          <w:color w:val="auto"/>
          <w:spacing w:val="-10"/>
          <w:sz w:val="24"/>
          <w:szCs w:val="24"/>
          <w:highlight w:val="none"/>
        </w:rPr>
        <w:t>6：</w:t>
      </w:r>
    </w:p>
    <w:p>
      <w:pPr>
        <w:spacing w:before="239" w:line="219" w:lineRule="auto"/>
        <w:ind w:left="3248"/>
        <w:rPr>
          <w:rFonts w:ascii="黑体" w:hAnsi="黑体" w:eastAsia="黑体" w:cs="黑体"/>
          <w:color w:val="auto"/>
          <w:sz w:val="28"/>
          <w:szCs w:val="28"/>
          <w:highlight w:val="none"/>
        </w:rPr>
      </w:pPr>
      <w:bookmarkStart w:id="336" w:name="bookmark376"/>
      <w:bookmarkEnd w:id="336"/>
      <w:r>
        <w:rPr>
          <w:rFonts w:ascii="黑体" w:hAnsi="黑体" w:eastAsia="黑体" w:cs="黑体"/>
          <w:color w:val="auto"/>
          <w:spacing w:val="-1"/>
          <w:sz w:val="28"/>
          <w:szCs w:val="28"/>
          <w:highlight w:val="none"/>
        </w:rPr>
        <w:t>承包人主要施工管理人员表</w:t>
      </w:r>
    </w:p>
    <w:p>
      <w:pPr>
        <w:spacing w:line="116" w:lineRule="exact"/>
        <w:rPr>
          <w:color w:val="auto"/>
          <w:highlight w:val="none"/>
        </w:rPr>
      </w:pPr>
    </w:p>
    <w:tbl>
      <w:tblPr>
        <w:tblStyle w:val="9"/>
        <w:tblW w:w="981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2"/>
        <w:gridCol w:w="1415"/>
        <w:gridCol w:w="1130"/>
        <w:gridCol w:w="1133"/>
        <w:gridCol w:w="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882" w:type="dxa"/>
            <w:tcBorders>
              <w:top w:val="single" w:color="000000" w:sz="10" w:space="0"/>
              <w:left w:val="single" w:color="000000" w:sz="10" w:space="0"/>
            </w:tcBorders>
            <w:vAlign w:val="top"/>
          </w:tcPr>
          <w:p>
            <w:pPr>
              <w:pStyle w:val="10"/>
              <w:spacing w:before="177" w:line="223" w:lineRule="auto"/>
              <w:ind w:left="516"/>
              <w:rPr>
                <w:color w:val="auto"/>
                <w:highlight w:val="none"/>
              </w:rPr>
            </w:pPr>
            <w:r>
              <w:rPr>
                <w:color w:val="auto"/>
                <w:spacing w:val="-5"/>
                <w:highlight w:val="none"/>
              </w:rPr>
              <w:t>名</w:t>
            </w:r>
            <w:r>
              <w:rPr>
                <w:color w:val="auto"/>
                <w:spacing w:val="1"/>
                <w:highlight w:val="none"/>
              </w:rPr>
              <w:t xml:space="preserve">    </w:t>
            </w:r>
            <w:r>
              <w:rPr>
                <w:color w:val="auto"/>
                <w:spacing w:val="-5"/>
                <w:highlight w:val="none"/>
              </w:rPr>
              <w:t>称</w:t>
            </w:r>
          </w:p>
        </w:tc>
        <w:tc>
          <w:tcPr>
            <w:tcW w:w="1415" w:type="dxa"/>
            <w:tcBorders>
              <w:top w:val="single" w:color="000000" w:sz="10" w:space="0"/>
            </w:tcBorders>
            <w:vAlign w:val="top"/>
          </w:tcPr>
          <w:p>
            <w:pPr>
              <w:pStyle w:val="10"/>
              <w:spacing w:before="177" w:line="221" w:lineRule="auto"/>
              <w:ind w:left="492"/>
              <w:rPr>
                <w:color w:val="auto"/>
                <w:highlight w:val="none"/>
              </w:rPr>
            </w:pPr>
            <w:r>
              <w:rPr>
                <w:color w:val="auto"/>
                <w:spacing w:val="-2"/>
                <w:highlight w:val="none"/>
              </w:rPr>
              <w:t>姓名</w:t>
            </w:r>
          </w:p>
        </w:tc>
        <w:tc>
          <w:tcPr>
            <w:tcW w:w="1130" w:type="dxa"/>
            <w:tcBorders>
              <w:top w:val="single" w:color="000000" w:sz="10" w:space="0"/>
            </w:tcBorders>
            <w:vAlign w:val="top"/>
          </w:tcPr>
          <w:p>
            <w:pPr>
              <w:pStyle w:val="10"/>
              <w:spacing w:before="177" w:line="221" w:lineRule="auto"/>
              <w:ind w:left="355"/>
              <w:rPr>
                <w:color w:val="auto"/>
                <w:highlight w:val="none"/>
              </w:rPr>
            </w:pPr>
            <w:r>
              <w:rPr>
                <w:color w:val="auto"/>
                <w:spacing w:val="-2"/>
                <w:highlight w:val="none"/>
              </w:rPr>
              <w:t>职务</w:t>
            </w:r>
          </w:p>
        </w:tc>
        <w:tc>
          <w:tcPr>
            <w:tcW w:w="1133" w:type="dxa"/>
            <w:tcBorders>
              <w:top w:val="single" w:color="000000" w:sz="10" w:space="0"/>
            </w:tcBorders>
            <w:vAlign w:val="top"/>
          </w:tcPr>
          <w:p>
            <w:pPr>
              <w:pStyle w:val="10"/>
              <w:spacing w:before="177" w:line="223" w:lineRule="auto"/>
              <w:ind w:left="360"/>
              <w:rPr>
                <w:color w:val="auto"/>
                <w:highlight w:val="none"/>
              </w:rPr>
            </w:pPr>
            <w:r>
              <w:rPr>
                <w:color w:val="auto"/>
                <w:spacing w:val="-2"/>
                <w:highlight w:val="none"/>
              </w:rPr>
              <w:t>职称</w:t>
            </w:r>
          </w:p>
        </w:tc>
        <w:tc>
          <w:tcPr>
            <w:tcW w:w="4254" w:type="dxa"/>
            <w:tcBorders>
              <w:top w:val="single" w:color="000000" w:sz="10" w:space="0"/>
              <w:right w:val="single" w:color="000000" w:sz="10" w:space="0"/>
            </w:tcBorders>
            <w:vAlign w:val="top"/>
          </w:tcPr>
          <w:p>
            <w:pPr>
              <w:pStyle w:val="10"/>
              <w:spacing w:before="177" w:line="221" w:lineRule="auto"/>
              <w:ind w:left="659"/>
              <w:rPr>
                <w:color w:val="auto"/>
                <w:highlight w:val="none"/>
              </w:rPr>
            </w:pPr>
            <w:r>
              <w:rPr>
                <w:color w:val="auto"/>
                <w:spacing w:val="-1"/>
                <w:highlight w:val="none"/>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814" w:type="dxa"/>
            <w:gridSpan w:val="5"/>
            <w:tcBorders>
              <w:left w:val="single" w:color="000000" w:sz="10" w:space="0"/>
              <w:right w:val="single" w:color="000000" w:sz="10" w:space="0"/>
            </w:tcBorders>
            <w:vAlign w:val="top"/>
          </w:tcPr>
          <w:p>
            <w:pPr>
              <w:pStyle w:val="10"/>
              <w:spacing w:before="200" w:line="221" w:lineRule="auto"/>
              <w:ind w:left="4276"/>
              <w:rPr>
                <w:color w:val="auto"/>
                <w:highlight w:val="none"/>
              </w:rPr>
            </w:pPr>
            <w:r>
              <w:rPr>
                <w:color w:val="auto"/>
                <w:spacing w:val="-2"/>
                <w:highlight w:val="none"/>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72" w:line="221" w:lineRule="auto"/>
              <w:ind w:left="517"/>
              <w:rPr>
                <w:color w:val="auto"/>
                <w:highlight w:val="none"/>
              </w:rPr>
            </w:pPr>
            <w:r>
              <w:rPr>
                <w:color w:val="auto"/>
                <w:spacing w:val="-3"/>
                <w:highlight w:val="none"/>
              </w:rPr>
              <w:t>项目主管</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vAlign w:val="top"/>
          </w:tcPr>
          <w:p>
            <w:pPr>
              <w:spacing w:line="278" w:lineRule="auto"/>
              <w:rPr>
                <w:rFonts w:ascii="Arial"/>
                <w:color w:val="auto"/>
                <w:sz w:val="21"/>
                <w:highlight w:val="none"/>
              </w:rPr>
            </w:pPr>
          </w:p>
          <w:p>
            <w:pPr>
              <w:spacing w:line="279" w:lineRule="auto"/>
              <w:rPr>
                <w:rFonts w:ascii="Arial"/>
                <w:color w:val="auto"/>
                <w:sz w:val="21"/>
                <w:highlight w:val="none"/>
              </w:rPr>
            </w:pPr>
          </w:p>
          <w:p>
            <w:pPr>
              <w:pStyle w:val="10"/>
              <w:spacing w:before="68" w:line="221" w:lineRule="auto"/>
              <w:ind w:left="514"/>
              <w:rPr>
                <w:color w:val="auto"/>
                <w:highlight w:val="none"/>
              </w:rPr>
            </w:pPr>
            <w:r>
              <w:rPr>
                <w:color w:val="auto"/>
                <w:spacing w:val="-2"/>
                <w:highlight w:val="none"/>
              </w:rPr>
              <w:t>其他人员</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3" w:hRule="atLeast"/>
        </w:trPr>
        <w:tc>
          <w:tcPr>
            <w:tcW w:w="9814" w:type="dxa"/>
            <w:gridSpan w:val="5"/>
            <w:tcBorders>
              <w:left w:val="single" w:color="000000" w:sz="10" w:space="0"/>
              <w:right w:val="single" w:color="000000" w:sz="10" w:space="0"/>
            </w:tcBorders>
            <w:vAlign w:val="top"/>
          </w:tcPr>
          <w:p>
            <w:pPr>
              <w:pStyle w:val="10"/>
              <w:spacing w:before="176" w:line="221" w:lineRule="auto"/>
              <w:ind w:left="4276"/>
              <w:rPr>
                <w:color w:val="auto"/>
                <w:highlight w:val="none"/>
              </w:rPr>
            </w:pPr>
            <w:r>
              <w:rPr>
                <w:color w:val="auto"/>
                <w:spacing w:val="-2"/>
                <w:highlight w:val="none"/>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79" w:line="221" w:lineRule="auto"/>
              <w:ind w:left="517"/>
              <w:rPr>
                <w:color w:val="auto"/>
                <w:highlight w:val="none"/>
              </w:rPr>
            </w:pPr>
            <w:r>
              <w:rPr>
                <w:color w:val="auto"/>
                <w:spacing w:val="-3"/>
                <w:highlight w:val="none"/>
              </w:rPr>
              <w:t>项目经理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vAlign w:val="top"/>
          </w:tcPr>
          <w:p>
            <w:pPr>
              <w:pStyle w:val="10"/>
              <w:spacing w:before="177" w:line="221" w:lineRule="auto"/>
              <w:ind w:left="411"/>
              <w:rPr>
                <w:color w:val="auto"/>
                <w:highlight w:val="none"/>
              </w:rPr>
            </w:pPr>
            <w:r>
              <w:rPr>
                <w:color w:val="auto"/>
                <w:spacing w:val="-2"/>
                <w:highlight w:val="none"/>
              </w:rPr>
              <w:t>项目副经理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1" w:line="221" w:lineRule="auto"/>
              <w:ind w:left="409"/>
              <w:rPr>
                <w:color w:val="auto"/>
                <w:highlight w:val="none"/>
              </w:rPr>
            </w:pPr>
            <w:r>
              <w:rPr>
                <w:color w:val="auto"/>
                <w:spacing w:val="-2"/>
                <w:highlight w:val="none"/>
              </w:rPr>
              <w:t>技术负责人</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0" w:line="219" w:lineRule="auto"/>
              <w:ind w:left="513"/>
              <w:rPr>
                <w:color w:val="auto"/>
                <w:highlight w:val="none"/>
              </w:rPr>
            </w:pPr>
            <w:r>
              <w:rPr>
                <w:color w:val="auto"/>
                <w:spacing w:val="-1"/>
                <w:highlight w:val="none"/>
              </w:rPr>
              <w:t>造价管理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vAlign w:val="top"/>
          </w:tcPr>
          <w:p>
            <w:pPr>
              <w:pStyle w:val="10"/>
              <w:spacing w:before="181" w:line="220" w:lineRule="auto"/>
              <w:ind w:left="514"/>
              <w:rPr>
                <w:color w:val="auto"/>
                <w:highlight w:val="none"/>
              </w:rPr>
            </w:pPr>
            <w:r>
              <w:rPr>
                <w:color w:val="auto"/>
                <w:spacing w:val="-2"/>
                <w:highlight w:val="none"/>
              </w:rPr>
              <w:t>质量管理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3" w:line="220" w:lineRule="auto"/>
              <w:ind w:left="514"/>
              <w:rPr>
                <w:color w:val="auto"/>
                <w:highlight w:val="none"/>
              </w:rPr>
            </w:pPr>
            <w:r>
              <w:rPr>
                <w:color w:val="auto"/>
                <w:spacing w:val="-2"/>
                <w:highlight w:val="none"/>
              </w:rPr>
              <w:t>材料管理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2" w:type="dxa"/>
            <w:tcBorders>
              <w:left w:val="single" w:color="000000" w:sz="10" w:space="0"/>
            </w:tcBorders>
            <w:vAlign w:val="top"/>
          </w:tcPr>
          <w:p>
            <w:pPr>
              <w:pStyle w:val="10"/>
              <w:spacing w:before="183" w:line="219" w:lineRule="auto"/>
              <w:ind w:left="514"/>
              <w:rPr>
                <w:color w:val="auto"/>
                <w:highlight w:val="none"/>
              </w:rPr>
            </w:pPr>
            <w:r>
              <w:rPr>
                <w:color w:val="auto"/>
                <w:spacing w:val="-2"/>
                <w:highlight w:val="none"/>
              </w:rPr>
              <w:t>计划管理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7" w:line="218" w:lineRule="auto"/>
              <w:ind w:left="518"/>
              <w:rPr>
                <w:color w:val="auto"/>
                <w:highlight w:val="none"/>
              </w:rPr>
            </w:pPr>
            <w:r>
              <w:rPr>
                <w:color w:val="auto"/>
                <w:spacing w:val="-3"/>
                <w:highlight w:val="none"/>
              </w:rPr>
              <w:t>安全管理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vAlign w:val="top"/>
          </w:tcPr>
          <w:p>
            <w:pPr>
              <w:spacing w:line="249" w:lineRule="auto"/>
              <w:rPr>
                <w:rFonts w:ascii="Arial"/>
                <w:color w:val="auto"/>
                <w:sz w:val="21"/>
                <w:highlight w:val="none"/>
              </w:rPr>
            </w:pPr>
          </w:p>
          <w:p>
            <w:pPr>
              <w:spacing w:line="249" w:lineRule="auto"/>
              <w:rPr>
                <w:rFonts w:ascii="Arial"/>
                <w:color w:val="auto"/>
                <w:sz w:val="21"/>
                <w:highlight w:val="none"/>
              </w:rPr>
            </w:pPr>
          </w:p>
          <w:p>
            <w:pPr>
              <w:spacing w:line="250" w:lineRule="auto"/>
              <w:rPr>
                <w:rFonts w:ascii="Arial"/>
                <w:color w:val="auto"/>
                <w:sz w:val="21"/>
                <w:highlight w:val="none"/>
              </w:rPr>
            </w:pPr>
          </w:p>
          <w:p>
            <w:pPr>
              <w:spacing w:line="250" w:lineRule="auto"/>
              <w:rPr>
                <w:rFonts w:ascii="Arial"/>
                <w:color w:val="auto"/>
                <w:sz w:val="21"/>
                <w:highlight w:val="none"/>
              </w:rPr>
            </w:pPr>
          </w:p>
          <w:p>
            <w:pPr>
              <w:spacing w:line="250" w:lineRule="auto"/>
              <w:rPr>
                <w:rFonts w:ascii="Arial"/>
                <w:color w:val="auto"/>
                <w:sz w:val="21"/>
                <w:highlight w:val="none"/>
              </w:rPr>
            </w:pPr>
          </w:p>
          <w:p>
            <w:pPr>
              <w:pStyle w:val="10"/>
              <w:spacing w:before="68" w:line="221" w:lineRule="auto"/>
              <w:ind w:left="514"/>
              <w:rPr>
                <w:color w:val="auto"/>
                <w:highlight w:val="none"/>
              </w:rPr>
            </w:pPr>
            <w:r>
              <w:rPr>
                <w:color w:val="auto"/>
                <w:spacing w:val="-2"/>
                <w:highlight w:val="none"/>
              </w:rPr>
              <w:t>其他人员</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2" w:type="dxa"/>
            <w:vMerge w:val="continue"/>
            <w:tcBorders>
              <w:top w:val="nil"/>
              <w:left w:val="single" w:color="000000" w:sz="10" w:space="0"/>
              <w:bottom w:val="single" w:color="000000" w:sz="10" w:space="0"/>
            </w:tcBorders>
            <w:vAlign w:val="top"/>
          </w:tcPr>
          <w:p>
            <w:pPr>
              <w:rPr>
                <w:rFonts w:ascii="Arial"/>
                <w:color w:val="auto"/>
                <w:sz w:val="21"/>
                <w:highlight w:val="none"/>
              </w:rPr>
            </w:pPr>
          </w:p>
        </w:tc>
        <w:tc>
          <w:tcPr>
            <w:tcW w:w="1415" w:type="dxa"/>
            <w:tcBorders>
              <w:bottom w:val="single" w:color="000000" w:sz="10" w:space="0"/>
            </w:tcBorders>
            <w:vAlign w:val="top"/>
          </w:tcPr>
          <w:p>
            <w:pPr>
              <w:rPr>
                <w:rFonts w:ascii="Arial"/>
                <w:color w:val="auto"/>
                <w:sz w:val="21"/>
                <w:highlight w:val="none"/>
              </w:rPr>
            </w:pPr>
          </w:p>
        </w:tc>
        <w:tc>
          <w:tcPr>
            <w:tcW w:w="1130" w:type="dxa"/>
            <w:tcBorders>
              <w:bottom w:val="single" w:color="000000" w:sz="10" w:space="0"/>
            </w:tcBorders>
            <w:vAlign w:val="top"/>
          </w:tcPr>
          <w:p>
            <w:pPr>
              <w:rPr>
                <w:rFonts w:ascii="Arial"/>
                <w:color w:val="auto"/>
                <w:sz w:val="21"/>
                <w:highlight w:val="none"/>
              </w:rPr>
            </w:pPr>
          </w:p>
        </w:tc>
        <w:tc>
          <w:tcPr>
            <w:tcW w:w="1133" w:type="dxa"/>
            <w:tcBorders>
              <w:bottom w:val="single" w:color="000000" w:sz="10" w:space="0"/>
            </w:tcBorders>
            <w:vAlign w:val="top"/>
          </w:tcPr>
          <w:p>
            <w:pPr>
              <w:rPr>
                <w:rFonts w:ascii="Arial"/>
                <w:color w:val="auto"/>
                <w:sz w:val="21"/>
                <w:highlight w:val="none"/>
              </w:rPr>
            </w:pPr>
          </w:p>
        </w:tc>
        <w:tc>
          <w:tcPr>
            <w:tcW w:w="4254" w:type="dxa"/>
            <w:tcBorders>
              <w:bottom w:val="single" w:color="000000" w:sz="10" w:space="0"/>
              <w:right w:val="single" w:color="000000" w:sz="10" w:space="0"/>
            </w:tcBorders>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67" w:type="default"/>
          <w:pgSz w:w="11905" w:h="16843"/>
          <w:pgMar w:top="1769" w:right="1548" w:bottom="1003" w:left="1542" w:header="0" w:footer="828" w:gutter="0"/>
          <w:pgNumType w:fmt="numberInDash"/>
          <w:cols w:space="0" w:num="1"/>
          <w:rtlGutter w:val="0"/>
          <w:docGrid w:linePitch="0" w:charSpace="0"/>
        </w:sectPr>
      </w:pPr>
    </w:p>
    <w:p>
      <w:pPr>
        <w:pStyle w:val="2"/>
        <w:spacing w:line="273" w:lineRule="auto"/>
        <w:rPr>
          <w:color w:val="auto"/>
          <w:highlight w:val="none"/>
        </w:rPr>
      </w:pPr>
    </w:p>
    <w:p>
      <w:pPr>
        <w:spacing w:before="78" w:line="219" w:lineRule="auto"/>
        <w:ind w:left="49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5"/>
          <w:sz w:val="24"/>
          <w:szCs w:val="24"/>
          <w:highlight w:val="none"/>
        </w:rPr>
        <w:t xml:space="preserve"> </w:t>
      </w:r>
      <w:r>
        <w:rPr>
          <w:rFonts w:ascii="宋体" w:hAnsi="宋体" w:eastAsia="宋体" w:cs="宋体"/>
          <w:color w:val="auto"/>
          <w:spacing w:val="-11"/>
          <w:sz w:val="24"/>
          <w:szCs w:val="24"/>
          <w:highlight w:val="none"/>
        </w:rPr>
        <w:t>7：</w:t>
      </w:r>
    </w:p>
    <w:p>
      <w:pPr>
        <w:spacing w:before="239" w:line="219" w:lineRule="auto"/>
        <w:ind w:left="3256"/>
        <w:rPr>
          <w:rFonts w:ascii="黑体" w:hAnsi="黑体" w:eastAsia="黑体" w:cs="黑体"/>
          <w:color w:val="auto"/>
          <w:sz w:val="28"/>
          <w:szCs w:val="28"/>
          <w:highlight w:val="none"/>
        </w:rPr>
      </w:pPr>
      <w:bookmarkStart w:id="337" w:name="bookmark377"/>
      <w:bookmarkEnd w:id="337"/>
      <w:r>
        <w:rPr>
          <w:rFonts w:ascii="黑体" w:hAnsi="黑体" w:eastAsia="黑体" w:cs="黑体"/>
          <w:color w:val="auto"/>
          <w:spacing w:val="-2"/>
          <w:sz w:val="28"/>
          <w:szCs w:val="28"/>
          <w:highlight w:val="none"/>
        </w:rPr>
        <w:t>分包人主要施工管理人员表</w:t>
      </w:r>
    </w:p>
    <w:p>
      <w:pPr>
        <w:spacing w:line="116" w:lineRule="exact"/>
        <w:rPr>
          <w:color w:val="auto"/>
          <w:highlight w:val="none"/>
        </w:rPr>
      </w:pPr>
    </w:p>
    <w:tbl>
      <w:tblPr>
        <w:tblStyle w:val="9"/>
        <w:tblW w:w="981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2"/>
        <w:gridCol w:w="1415"/>
        <w:gridCol w:w="1130"/>
        <w:gridCol w:w="1133"/>
        <w:gridCol w:w="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882" w:type="dxa"/>
            <w:tcBorders>
              <w:top w:val="single" w:color="000000" w:sz="10" w:space="0"/>
              <w:left w:val="single" w:color="000000" w:sz="10" w:space="0"/>
            </w:tcBorders>
            <w:vAlign w:val="top"/>
          </w:tcPr>
          <w:p>
            <w:pPr>
              <w:pStyle w:val="10"/>
              <w:spacing w:before="177" w:line="223" w:lineRule="auto"/>
              <w:ind w:left="516"/>
              <w:rPr>
                <w:color w:val="auto"/>
                <w:highlight w:val="none"/>
              </w:rPr>
            </w:pPr>
            <w:r>
              <w:rPr>
                <w:color w:val="auto"/>
                <w:spacing w:val="-5"/>
                <w:highlight w:val="none"/>
              </w:rPr>
              <w:t>名</w:t>
            </w:r>
            <w:r>
              <w:rPr>
                <w:color w:val="auto"/>
                <w:spacing w:val="1"/>
                <w:highlight w:val="none"/>
              </w:rPr>
              <w:t xml:space="preserve">    </w:t>
            </w:r>
            <w:r>
              <w:rPr>
                <w:color w:val="auto"/>
                <w:spacing w:val="-5"/>
                <w:highlight w:val="none"/>
              </w:rPr>
              <w:t>称</w:t>
            </w:r>
          </w:p>
        </w:tc>
        <w:tc>
          <w:tcPr>
            <w:tcW w:w="1415" w:type="dxa"/>
            <w:tcBorders>
              <w:top w:val="single" w:color="000000" w:sz="10" w:space="0"/>
            </w:tcBorders>
            <w:vAlign w:val="top"/>
          </w:tcPr>
          <w:p>
            <w:pPr>
              <w:pStyle w:val="10"/>
              <w:spacing w:before="177" w:line="221" w:lineRule="auto"/>
              <w:ind w:left="492"/>
              <w:rPr>
                <w:color w:val="auto"/>
                <w:highlight w:val="none"/>
              </w:rPr>
            </w:pPr>
            <w:r>
              <w:rPr>
                <w:color w:val="auto"/>
                <w:spacing w:val="-2"/>
                <w:highlight w:val="none"/>
              </w:rPr>
              <w:t>姓名</w:t>
            </w:r>
          </w:p>
        </w:tc>
        <w:tc>
          <w:tcPr>
            <w:tcW w:w="1130" w:type="dxa"/>
            <w:tcBorders>
              <w:top w:val="single" w:color="000000" w:sz="10" w:space="0"/>
            </w:tcBorders>
            <w:vAlign w:val="top"/>
          </w:tcPr>
          <w:p>
            <w:pPr>
              <w:pStyle w:val="10"/>
              <w:spacing w:before="177" w:line="221" w:lineRule="auto"/>
              <w:ind w:left="355"/>
              <w:rPr>
                <w:color w:val="auto"/>
                <w:highlight w:val="none"/>
              </w:rPr>
            </w:pPr>
            <w:r>
              <w:rPr>
                <w:color w:val="auto"/>
                <w:spacing w:val="-2"/>
                <w:highlight w:val="none"/>
              </w:rPr>
              <w:t>职务</w:t>
            </w:r>
          </w:p>
        </w:tc>
        <w:tc>
          <w:tcPr>
            <w:tcW w:w="1133" w:type="dxa"/>
            <w:tcBorders>
              <w:top w:val="single" w:color="000000" w:sz="10" w:space="0"/>
            </w:tcBorders>
            <w:vAlign w:val="top"/>
          </w:tcPr>
          <w:p>
            <w:pPr>
              <w:pStyle w:val="10"/>
              <w:spacing w:before="177" w:line="223" w:lineRule="auto"/>
              <w:ind w:left="360"/>
              <w:rPr>
                <w:color w:val="auto"/>
                <w:highlight w:val="none"/>
              </w:rPr>
            </w:pPr>
            <w:r>
              <w:rPr>
                <w:color w:val="auto"/>
                <w:spacing w:val="-2"/>
                <w:highlight w:val="none"/>
              </w:rPr>
              <w:t>职称</w:t>
            </w:r>
          </w:p>
        </w:tc>
        <w:tc>
          <w:tcPr>
            <w:tcW w:w="4254" w:type="dxa"/>
            <w:tcBorders>
              <w:top w:val="single" w:color="000000" w:sz="10" w:space="0"/>
              <w:right w:val="single" w:color="000000" w:sz="10" w:space="0"/>
            </w:tcBorders>
            <w:vAlign w:val="top"/>
          </w:tcPr>
          <w:p>
            <w:pPr>
              <w:pStyle w:val="10"/>
              <w:spacing w:before="177" w:line="221" w:lineRule="auto"/>
              <w:ind w:left="659"/>
              <w:rPr>
                <w:color w:val="auto"/>
                <w:highlight w:val="none"/>
              </w:rPr>
            </w:pPr>
            <w:r>
              <w:rPr>
                <w:color w:val="auto"/>
                <w:spacing w:val="-1"/>
                <w:highlight w:val="none"/>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814" w:type="dxa"/>
            <w:gridSpan w:val="5"/>
            <w:tcBorders>
              <w:left w:val="single" w:color="000000" w:sz="10" w:space="0"/>
              <w:right w:val="single" w:color="000000" w:sz="10" w:space="0"/>
            </w:tcBorders>
            <w:vAlign w:val="top"/>
          </w:tcPr>
          <w:p>
            <w:pPr>
              <w:pStyle w:val="10"/>
              <w:spacing w:before="200" w:line="221" w:lineRule="auto"/>
              <w:ind w:left="4276"/>
              <w:rPr>
                <w:color w:val="auto"/>
                <w:highlight w:val="none"/>
              </w:rPr>
            </w:pPr>
            <w:r>
              <w:rPr>
                <w:color w:val="auto"/>
                <w:spacing w:val="-2"/>
                <w:highlight w:val="none"/>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72" w:line="221" w:lineRule="auto"/>
              <w:ind w:left="517"/>
              <w:rPr>
                <w:color w:val="auto"/>
                <w:highlight w:val="none"/>
              </w:rPr>
            </w:pPr>
            <w:r>
              <w:rPr>
                <w:color w:val="auto"/>
                <w:spacing w:val="-3"/>
                <w:highlight w:val="none"/>
              </w:rPr>
              <w:t>项目主管</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vAlign w:val="top"/>
          </w:tcPr>
          <w:p>
            <w:pPr>
              <w:spacing w:line="278" w:lineRule="auto"/>
              <w:rPr>
                <w:rFonts w:ascii="Arial"/>
                <w:color w:val="auto"/>
                <w:sz w:val="21"/>
                <w:highlight w:val="none"/>
              </w:rPr>
            </w:pPr>
          </w:p>
          <w:p>
            <w:pPr>
              <w:spacing w:line="279" w:lineRule="auto"/>
              <w:rPr>
                <w:rFonts w:ascii="Arial"/>
                <w:color w:val="auto"/>
                <w:sz w:val="21"/>
                <w:highlight w:val="none"/>
              </w:rPr>
            </w:pPr>
          </w:p>
          <w:p>
            <w:pPr>
              <w:pStyle w:val="10"/>
              <w:spacing w:before="68" w:line="221" w:lineRule="auto"/>
              <w:ind w:left="514"/>
              <w:rPr>
                <w:color w:val="auto"/>
                <w:highlight w:val="none"/>
              </w:rPr>
            </w:pPr>
            <w:r>
              <w:rPr>
                <w:color w:val="auto"/>
                <w:spacing w:val="-2"/>
                <w:highlight w:val="none"/>
              </w:rPr>
              <w:t>其他人员</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814" w:type="dxa"/>
            <w:gridSpan w:val="5"/>
            <w:tcBorders>
              <w:left w:val="single" w:color="000000" w:sz="10" w:space="0"/>
              <w:right w:val="single" w:color="000000" w:sz="10" w:space="0"/>
            </w:tcBorders>
            <w:vAlign w:val="top"/>
          </w:tcPr>
          <w:p>
            <w:pPr>
              <w:pStyle w:val="10"/>
              <w:spacing w:before="176" w:line="221" w:lineRule="auto"/>
              <w:ind w:left="4276"/>
              <w:rPr>
                <w:color w:val="auto"/>
                <w:highlight w:val="none"/>
              </w:rPr>
            </w:pPr>
            <w:r>
              <w:rPr>
                <w:color w:val="auto"/>
                <w:spacing w:val="-2"/>
                <w:highlight w:val="none"/>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79" w:line="221" w:lineRule="auto"/>
              <w:ind w:left="517"/>
              <w:rPr>
                <w:color w:val="auto"/>
                <w:highlight w:val="none"/>
              </w:rPr>
            </w:pPr>
            <w:r>
              <w:rPr>
                <w:color w:val="auto"/>
                <w:spacing w:val="-3"/>
                <w:highlight w:val="none"/>
              </w:rPr>
              <w:t>项目经理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vAlign w:val="top"/>
          </w:tcPr>
          <w:p>
            <w:pPr>
              <w:pStyle w:val="10"/>
              <w:spacing w:before="177" w:line="221" w:lineRule="auto"/>
              <w:ind w:left="411"/>
              <w:rPr>
                <w:color w:val="auto"/>
                <w:highlight w:val="none"/>
              </w:rPr>
            </w:pPr>
            <w:r>
              <w:rPr>
                <w:color w:val="auto"/>
                <w:spacing w:val="-2"/>
                <w:highlight w:val="none"/>
              </w:rPr>
              <w:t>项目副经理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1" w:line="221" w:lineRule="auto"/>
              <w:ind w:left="409"/>
              <w:rPr>
                <w:color w:val="auto"/>
                <w:highlight w:val="none"/>
              </w:rPr>
            </w:pPr>
            <w:r>
              <w:rPr>
                <w:color w:val="auto"/>
                <w:spacing w:val="-2"/>
                <w:highlight w:val="none"/>
              </w:rPr>
              <w:t>技术负责人</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0" w:line="219" w:lineRule="auto"/>
              <w:ind w:left="513"/>
              <w:rPr>
                <w:color w:val="auto"/>
                <w:highlight w:val="none"/>
              </w:rPr>
            </w:pPr>
            <w:r>
              <w:rPr>
                <w:color w:val="auto"/>
                <w:spacing w:val="-1"/>
                <w:highlight w:val="none"/>
              </w:rPr>
              <w:t>造价管理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vAlign w:val="top"/>
          </w:tcPr>
          <w:p>
            <w:pPr>
              <w:pStyle w:val="10"/>
              <w:spacing w:before="181" w:line="220" w:lineRule="auto"/>
              <w:ind w:left="514"/>
              <w:rPr>
                <w:color w:val="auto"/>
                <w:highlight w:val="none"/>
              </w:rPr>
            </w:pPr>
            <w:r>
              <w:rPr>
                <w:color w:val="auto"/>
                <w:spacing w:val="-2"/>
                <w:highlight w:val="none"/>
              </w:rPr>
              <w:t>质量管理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3" w:line="220" w:lineRule="auto"/>
              <w:ind w:left="514"/>
              <w:rPr>
                <w:color w:val="auto"/>
                <w:highlight w:val="none"/>
              </w:rPr>
            </w:pPr>
            <w:r>
              <w:rPr>
                <w:color w:val="auto"/>
                <w:spacing w:val="-2"/>
                <w:highlight w:val="none"/>
              </w:rPr>
              <w:t>材料管理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2" w:type="dxa"/>
            <w:tcBorders>
              <w:left w:val="single" w:color="000000" w:sz="10" w:space="0"/>
            </w:tcBorders>
            <w:vAlign w:val="top"/>
          </w:tcPr>
          <w:p>
            <w:pPr>
              <w:pStyle w:val="10"/>
              <w:spacing w:before="183" w:line="219" w:lineRule="auto"/>
              <w:ind w:left="514"/>
              <w:rPr>
                <w:color w:val="auto"/>
                <w:highlight w:val="none"/>
              </w:rPr>
            </w:pPr>
            <w:r>
              <w:rPr>
                <w:color w:val="auto"/>
                <w:spacing w:val="-2"/>
                <w:highlight w:val="none"/>
              </w:rPr>
              <w:t>计划管理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vAlign w:val="top"/>
          </w:tcPr>
          <w:p>
            <w:pPr>
              <w:pStyle w:val="10"/>
              <w:spacing w:before="187" w:line="218" w:lineRule="auto"/>
              <w:ind w:left="518"/>
              <w:rPr>
                <w:color w:val="auto"/>
                <w:highlight w:val="none"/>
              </w:rPr>
            </w:pPr>
            <w:r>
              <w:rPr>
                <w:color w:val="auto"/>
                <w:spacing w:val="-3"/>
                <w:highlight w:val="none"/>
              </w:rPr>
              <w:t>安全管理</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vAlign w:val="top"/>
          </w:tcPr>
          <w:p>
            <w:pPr>
              <w:spacing w:line="249" w:lineRule="auto"/>
              <w:rPr>
                <w:rFonts w:ascii="Arial"/>
                <w:color w:val="auto"/>
                <w:sz w:val="21"/>
                <w:highlight w:val="none"/>
              </w:rPr>
            </w:pPr>
          </w:p>
          <w:p>
            <w:pPr>
              <w:spacing w:line="249" w:lineRule="auto"/>
              <w:rPr>
                <w:rFonts w:ascii="Arial"/>
                <w:color w:val="auto"/>
                <w:sz w:val="21"/>
                <w:highlight w:val="none"/>
              </w:rPr>
            </w:pPr>
          </w:p>
          <w:p>
            <w:pPr>
              <w:spacing w:line="250" w:lineRule="auto"/>
              <w:rPr>
                <w:rFonts w:ascii="Arial"/>
                <w:color w:val="auto"/>
                <w:sz w:val="21"/>
                <w:highlight w:val="none"/>
              </w:rPr>
            </w:pPr>
          </w:p>
          <w:p>
            <w:pPr>
              <w:spacing w:line="250" w:lineRule="auto"/>
              <w:rPr>
                <w:rFonts w:ascii="Arial"/>
                <w:color w:val="auto"/>
                <w:sz w:val="21"/>
                <w:highlight w:val="none"/>
              </w:rPr>
            </w:pPr>
          </w:p>
          <w:p>
            <w:pPr>
              <w:spacing w:line="250" w:lineRule="auto"/>
              <w:rPr>
                <w:rFonts w:ascii="Arial"/>
                <w:color w:val="auto"/>
                <w:sz w:val="21"/>
                <w:highlight w:val="none"/>
              </w:rPr>
            </w:pPr>
          </w:p>
          <w:p>
            <w:pPr>
              <w:pStyle w:val="10"/>
              <w:spacing w:before="68" w:line="221" w:lineRule="auto"/>
              <w:ind w:left="514"/>
              <w:rPr>
                <w:color w:val="auto"/>
                <w:highlight w:val="none"/>
              </w:rPr>
            </w:pPr>
            <w:r>
              <w:rPr>
                <w:color w:val="auto"/>
                <w:spacing w:val="-2"/>
                <w:highlight w:val="none"/>
              </w:rPr>
              <w:t>其他人员</w:t>
            </w: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vAlign w:val="top"/>
          </w:tcPr>
          <w:p>
            <w:pPr>
              <w:rPr>
                <w:rFonts w:ascii="Arial"/>
                <w:color w:val="auto"/>
                <w:sz w:val="21"/>
                <w:highlight w:val="none"/>
              </w:rPr>
            </w:pPr>
          </w:p>
        </w:tc>
        <w:tc>
          <w:tcPr>
            <w:tcW w:w="1415" w:type="dxa"/>
            <w:vAlign w:val="top"/>
          </w:tcPr>
          <w:p>
            <w:pPr>
              <w:rPr>
                <w:rFonts w:ascii="Arial"/>
                <w:color w:val="auto"/>
                <w:sz w:val="21"/>
                <w:highlight w:val="none"/>
              </w:rPr>
            </w:pPr>
          </w:p>
        </w:tc>
        <w:tc>
          <w:tcPr>
            <w:tcW w:w="1130" w:type="dxa"/>
            <w:vAlign w:val="top"/>
          </w:tcPr>
          <w:p>
            <w:pPr>
              <w:rPr>
                <w:rFonts w:ascii="Arial"/>
                <w:color w:val="auto"/>
                <w:sz w:val="21"/>
                <w:highlight w:val="none"/>
              </w:rPr>
            </w:pPr>
          </w:p>
        </w:tc>
        <w:tc>
          <w:tcPr>
            <w:tcW w:w="1133" w:type="dxa"/>
            <w:vAlign w:val="top"/>
          </w:tcPr>
          <w:p>
            <w:pPr>
              <w:rPr>
                <w:rFonts w:ascii="Arial"/>
                <w:color w:val="auto"/>
                <w:sz w:val="21"/>
                <w:highlight w:val="none"/>
              </w:rPr>
            </w:pPr>
          </w:p>
        </w:tc>
        <w:tc>
          <w:tcPr>
            <w:tcW w:w="4254"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2" w:type="dxa"/>
            <w:vMerge w:val="continue"/>
            <w:tcBorders>
              <w:top w:val="nil"/>
              <w:left w:val="single" w:color="000000" w:sz="10" w:space="0"/>
              <w:bottom w:val="single" w:color="000000" w:sz="10" w:space="0"/>
            </w:tcBorders>
            <w:vAlign w:val="top"/>
          </w:tcPr>
          <w:p>
            <w:pPr>
              <w:rPr>
                <w:rFonts w:ascii="Arial"/>
                <w:color w:val="auto"/>
                <w:sz w:val="21"/>
                <w:highlight w:val="none"/>
              </w:rPr>
            </w:pPr>
          </w:p>
        </w:tc>
        <w:tc>
          <w:tcPr>
            <w:tcW w:w="1415" w:type="dxa"/>
            <w:tcBorders>
              <w:bottom w:val="single" w:color="000000" w:sz="10" w:space="0"/>
            </w:tcBorders>
            <w:vAlign w:val="top"/>
          </w:tcPr>
          <w:p>
            <w:pPr>
              <w:rPr>
                <w:rFonts w:ascii="Arial"/>
                <w:color w:val="auto"/>
                <w:sz w:val="21"/>
                <w:highlight w:val="none"/>
              </w:rPr>
            </w:pPr>
          </w:p>
        </w:tc>
        <w:tc>
          <w:tcPr>
            <w:tcW w:w="1130" w:type="dxa"/>
            <w:tcBorders>
              <w:bottom w:val="single" w:color="000000" w:sz="10" w:space="0"/>
            </w:tcBorders>
            <w:vAlign w:val="top"/>
          </w:tcPr>
          <w:p>
            <w:pPr>
              <w:rPr>
                <w:rFonts w:ascii="Arial"/>
                <w:color w:val="auto"/>
                <w:sz w:val="21"/>
                <w:highlight w:val="none"/>
              </w:rPr>
            </w:pPr>
          </w:p>
        </w:tc>
        <w:tc>
          <w:tcPr>
            <w:tcW w:w="1133" w:type="dxa"/>
            <w:tcBorders>
              <w:bottom w:val="single" w:color="000000" w:sz="10" w:space="0"/>
            </w:tcBorders>
            <w:vAlign w:val="top"/>
          </w:tcPr>
          <w:p>
            <w:pPr>
              <w:rPr>
                <w:rFonts w:ascii="Arial"/>
                <w:color w:val="auto"/>
                <w:sz w:val="21"/>
                <w:highlight w:val="none"/>
              </w:rPr>
            </w:pPr>
          </w:p>
        </w:tc>
        <w:tc>
          <w:tcPr>
            <w:tcW w:w="4254" w:type="dxa"/>
            <w:tcBorders>
              <w:bottom w:val="single" w:color="000000" w:sz="10" w:space="0"/>
              <w:right w:val="single" w:color="000000" w:sz="10" w:space="0"/>
            </w:tcBorders>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68"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0"/>
          <w:sz w:val="24"/>
          <w:szCs w:val="24"/>
          <w:highlight w:val="none"/>
        </w:rPr>
        <w:t xml:space="preserve"> </w:t>
      </w:r>
      <w:r>
        <w:rPr>
          <w:rFonts w:ascii="宋体" w:hAnsi="宋体" w:eastAsia="宋体" w:cs="宋体"/>
          <w:color w:val="auto"/>
          <w:spacing w:val="-10"/>
          <w:sz w:val="24"/>
          <w:szCs w:val="24"/>
          <w:highlight w:val="none"/>
        </w:rPr>
        <w:t>8：</w:t>
      </w:r>
    </w:p>
    <w:p>
      <w:pPr>
        <w:spacing w:before="240" w:line="219" w:lineRule="auto"/>
        <w:ind w:left="3900"/>
        <w:rPr>
          <w:rFonts w:ascii="黑体" w:hAnsi="黑体" w:eastAsia="黑体" w:cs="黑体"/>
          <w:color w:val="auto"/>
          <w:sz w:val="28"/>
          <w:szCs w:val="28"/>
          <w:highlight w:val="none"/>
        </w:rPr>
      </w:pPr>
      <w:bookmarkStart w:id="338" w:name="bookmark378"/>
      <w:bookmarkEnd w:id="338"/>
      <w:r>
        <w:rPr>
          <w:rFonts w:ascii="黑体" w:hAnsi="黑体" w:eastAsia="黑体" w:cs="黑体"/>
          <w:color w:val="auto"/>
          <w:spacing w:val="-2"/>
          <w:sz w:val="28"/>
          <w:szCs w:val="28"/>
          <w:highlight w:val="none"/>
        </w:rPr>
        <w:t>履约担保</w:t>
      </w:r>
    </w:p>
    <w:p>
      <w:pPr>
        <w:pStyle w:val="2"/>
        <w:spacing w:line="327" w:lineRule="auto"/>
        <w:rPr>
          <w:color w:val="auto"/>
          <w:highlight w:val="none"/>
        </w:rPr>
      </w:pPr>
    </w:p>
    <w:p>
      <w:pPr>
        <w:pStyle w:val="2"/>
        <w:spacing w:line="328" w:lineRule="auto"/>
        <w:rPr>
          <w:color w:val="auto"/>
          <w:highlight w:val="none"/>
        </w:rPr>
      </w:pPr>
    </w:p>
    <w:p>
      <w:pPr>
        <w:tabs>
          <w:tab w:val="left" w:pos="1680"/>
        </w:tabs>
        <w:spacing w:before="69"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6"/>
          <w:sz w:val="21"/>
          <w:szCs w:val="21"/>
          <w:highlight w:val="none"/>
        </w:rPr>
        <w:t xml:space="preserve"> </w:t>
      </w:r>
      <w:r>
        <w:rPr>
          <w:rFonts w:ascii="宋体" w:hAnsi="宋体" w:eastAsia="宋体" w:cs="宋体"/>
          <w:color w:val="auto"/>
          <w:spacing w:val="-23"/>
          <w:sz w:val="21"/>
          <w:szCs w:val="21"/>
          <w:highlight w:val="none"/>
        </w:rPr>
        <w:t>（发包人名称</w:t>
      </w:r>
      <w:r>
        <w:rPr>
          <w:rFonts w:ascii="宋体" w:hAnsi="宋体" w:eastAsia="宋体" w:cs="宋体"/>
          <w:color w:val="auto"/>
          <w:spacing w:val="-29"/>
          <w:sz w:val="21"/>
          <w:szCs w:val="21"/>
          <w:highlight w:val="none"/>
        </w:rPr>
        <w:t>）：</w:t>
      </w:r>
    </w:p>
    <w:p>
      <w:pPr>
        <w:pStyle w:val="2"/>
        <w:spacing w:line="412" w:lineRule="auto"/>
        <w:rPr>
          <w:color w:val="auto"/>
          <w:highlight w:val="none"/>
        </w:rPr>
      </w:pPr>
    </w:p>
    <w:p>
      <w:pPr>
        <w:spacing w:before="69" w:line="360" w:lineRule="auto"/>
        <w:ind w:left="9" w:right="12" w:firstLine="4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鉴于</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
          <w:sz w:val="21"/>
          <w:szCs w:val="21"/>
          <w:highlight w:val="none"/>
        </w:rPr>
        <w:t xml:space="preserve"> （发包人名称，以下简称“发包人”）与</w:t>
      </w:r>
      <w:r>
        <w:rPr>
          <w:rFonts w:ascii="宋体" w:hAnsi="宋体" w:eastAsia="宋体" w:cs="宋体"/>
          <w:color w:val="auto"/>
          <w:spacing w:val="-7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9"/>
          <w:sz w:val="21"/>
          <w:szCs w:val="21"/>
          <w:highlight w:val="none"/>
        </w:rPr>
        <w:t>（承包</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人名称</w:t>
      </w:r>
      <w:r>
        <w:rPr>
          <w:rFonts w:ascii="宋体" w:hAnsi="宋体" w:eastAsia="宋体" w:cs="宋体"/>
          <w:color w:val="auto"/>
          <w:spacing w:val="-59"/>
          <w:w w:val="99"/>
          <w:sz w:val="21"/>
          <w:szCs w:val="21"/>
          <w:highlight w:val="none"/>
        </w:rPr>
        <w:t>）（</w:t>
      </w:r>
      <w:r>
        <w:rPr>
          <w:rFonts w:ascii="宋体" w:hAnsi="宋体" w:eastAsia="宋体" w:cs="宋体"/>
          <w:color w:val="auto"/>
          <w:spacing w:val="-6"/>
          <w:sz w:val="21"/>
          <w:szCs w:val="21"/>
          <w:highlight w:val="none"/>
        </w:rPr>
        <w:t>以下称“承包人</w:t>
      </w:r>
      <w:r>
        <w:rPr>
          <w:rFonts w:ascii="宋体" w:hAnsi="宋体" w:eastAsia="宋体" w:cs="宋体"/>
          <w:color w:val="auto"/>
          <w:spacing w:val="-79"/>
          <w:sz w:val="21"/>
          <w:szCs w:val="21"/>
          <w:highlight w:val="none"/>
        </w:rPr>
        <w:t xml:space="preserve"> </w:t>
      </w:r>
      <w:r>
        <w:rPr>
          <w:rFonts w:ascii="宋体" w:hAnsi="宋体" w:eastAsia="宋体" w:cs="宋体"/>
          <w:color w:val="auto"/>
          <w:spacing w:val="-6"/>
          <w:sz w:val="21"/>
          <w:szCs w:val="21"/>
          <w:highlight w:val="none"/>
        </w:rPr>
        <w:t>”）于</w:t>
      </w:r>
      <w:r>
        <w:rPr>
          <w:rFonts w:ascii="宋体" w:hAnsi="宋体" w:eastAsia="宋体" w:cs="宋体"/>
          <w:color w:val="auto"/>
          <w:spacing w:val="-9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6"/>
          <w:sz w:val="21"/>
          <w:szCs w:val="21"/>
          <w:highlight w:val="none"/>
        </w:rPr>
        <w:t>月</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6"/>
          <w:sz w:val="21"/>
          <w:szCs w:val="21"/>
          <w:highlight w:val="none"/>
        </w:rPr>
        <w:t>日就</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5"/>
          <w:sz w:val="21"/>
          <w:szCs w:val="21"/>
          <w:highlight w:val="none"/>
        </w:rPr>
        <w:t xml:space="preserve"> </w:t>
      </w:r>
      <w:r>
        <w:rPr>
          <w:rFonts w:ascii="宋体" w:hAnsi="宋体" w:eastAsia="宋体" w:cs="宋体"/>
          <w:color w:val="auto"/>
          <w:spacing w:val="-6"/>
          <w:sz w:val="21"/>
          <w:szCs w:val="21"/>
          <w:highlight w:val="none"/>
        </w:rPr>
        <w:t>（工程名称）施</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工及有关事项协商一致共同签订《建设工程施工</w:t>
      </w:r>
      <w:r>
        <w:rPr>
          <w:rFonts w:ascii="宋体" w:hAnsi="宋体" w:eastAsia="宋体" w:cs="宋体"/>
          <w:color w:val="auto"/>
          <w:spacing w:val="1"/>
          <w:sz w:val="21"/>
          <w:szCs w:val="21"/>
          <w:highlight w:val="none"/>
        </w:rPr>
        <w:t>合同》。我方愿意无条件地、不可撤销地就承包</w:t>
      </w:r>
    </w:p>
    <w:p>
      <w:pPr>
        <w:spacing w:line="219" w:lineRule="auto"/>
        <w:ind w:left="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人履行与你方签订的合同，向你方提供连带责任担保。</w:t>
      </w:r>
    </w:p>
    <w:p>
      <w:pPr>
        <w:spacing w:before="158" w:line="220"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 担保金额人民币（大写）</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3"/>
          <w:sz w:val="21"/>
          <w:szCs w:val="21"/>
          <w:highlight w:val="none"/>
        </w:rPr>
        <w:t xml:space="preserve"> </w:t>
      </w:r>
      <w:r>
        <w:rPr>
          <w:rFonts w:ascii="宋体" w:hAnsi="宋体" w:eastAsia="宋体" w:cs="宋体"/>
          <w:color w:val="auto"/>
          <w:spacing w:val="2"/>
          <w:sz w:val="21"/>
          <w:szCs w:val="21"/>
          <w:highlight w:val="none"/>
        </w:rPr>
        <w:t>元(¥</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2"/>
          <w:sz w:val="21"/>
          <w:szCs w:val="21"/>
          <w:highlight w:val="none"/>
        </w:rPr>
        <w:t>)。</w:t>
      </w:r>
    </w:p>
    <w:p>
      <w:pPr>
        <w:spacing w:before="158" w:line="410"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2.</w:t>
      </w:r>
      <w:r>
        <w:rPr>
          <w:rFonts w:ascii="宋体" w:hAnsi="宋体" w:eastAsia="宋体" w:cs="宋体"/>
          <w:color w:val="auto"/>
          <w:spacing w:val="60"/>
          <w:position w:val="15"/>
          <w:sz w:val="21"/>
          <w:szCs w:val="21"/>
          <w:highlight w:val="none"/>
        </w:rPr>
        <w:t xml:space="preserve"> </w:t>
      </w:r>
      <w:r>
        <w:rPr>
          <w:rFonts w:ascii="宋体" w:hAnsi="宋体" w:eastAsia="宋体" w:cs="宋体"/>
          <w:color w:val="auto"/>
          <w:spacing w:val="3"/>
          <w:position w:val="15"/>
          <w:sz w:val="21"/>
          <w:szCs w:val="21"/>
          <w:highlight w:val="none"/>
        </w:rPr>
        <w:t>担保有效期自你方与承包人签订的合同生效之日起至你方签发或应签发工程接</w:t>
      </w:r>
      <w:r>
        <w:rPr>
          <w:rFonts w:ascii="宋体" w:hAnsi="宋体" w:eastAsia="宋体" w:cs="宋体"/>
          <w:color w:val="auto"/>
          <w:spacing w:val="2"/>
          <w:position w:val="15"/>
          <w:sz w:val="21"/>
          <w:szCs w:val="21"/>
          <w:highlight w:val="none"/>
        </w:rPr>
        <w:t>收证书之</w:t>
      </w:r>
    </w:p>
    <w:p>
      <w:pPr>
        <w:spacing w:before="1" w:line="225" w:lineRule="auto"/>
        <w:ind w:left="44"/>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日止。</w:t>
      </w:r>
    </w:p>
    <w:p>
      <w:pPr>
        <w:spacing w:before="151" w:line="40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3.</w:t>
      </w:r>
      <w:r>
        <w:rPr>
          <w:rFonts w:ascii="宋体" w:hAnsi="宋体" w:eastAsia="宋体" w:cs="宋体"/>
          <w:color w:val="auto"/>
          <w:spacing w:val="59"/>
          <w:position w:val="15"/>
          <w:sz w:val="21"/>
          <w:szCs w:val="21"/>
          <w:highlight w:val="none"/>
        </w:rPr>
        <w:t xml:space="preserve"> </w:t>
      </w:r>
      <w:r>
        <w:rPr>
          <w:rFonts w:ascii="宋体" w:hAnsi="宋体" w:eastAsia="宋体" w:cs="宋体"/>
          <w:color w:val="auto"/>
          <w:spacing w:val="3"/>
          <w:position w:val="15"/>
          <w:sz w:val="21"/>
          <w:szCs w:val="21"/>
          <w:highlight w:val="none"/>
        </w:rPr>
        <w:t>在本担保有效期内，因承包人违反合同约定的义务给你方造成经济损失时，我</w:t>
      </w:r>
      <w:r>
        <w:rPr>
          <w:rFonts w:ascii="宋体" w:hAnsi="宋体" w:eastAsia="宋体" w:cs="宋体"/>
          <w:color w:val="auto"/>
          <w:spacing w:val="2"/>
          <w:position w:val="15"/>
          <w:sz w:val="21"/>
          <w:szCs w:val="21"/>
          <w:highlight w:val="none"/>
        </w:rPr>
        <w:t>方在收到</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你方以书面形式提出的在担保金额内的赔偿要求后，在</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7</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天内无条件支付。</w:t>
      </w:r>
    </w:p>
    <w:p>
      <w:pPr>
        <w:spacing w:before="158"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 你方和承包人按合同约定变更合同时，</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我方承担本担保规定的义务不变。</w:t>
      </w:r>
    </w:p>
    <w:p>
      <w:pPr>
        <w:spacing w:before="160" w:line="359"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5.</w:t>
      </w:r>
      <w:r>
        <w:rPr>
          <w:rFonts w:ascii="宋体" w:hAnsi="宋体" w:eastAsia="宋体" w:cs="宋体"/>
          <w:color w:val="auto"/>
          <w:spacing w:val="54"/>
          <w:sz w:val="21"/>
          <w:szCs w:val="21"/>
          <w:highlight w:val="none"/>
        </w:rPr>
        <w:t xml:space="preserve"> </w:t>
      </w:r>
      <w:r>
        <w:rPr>
          <w:rFonts w:ascii="宋体" w:hAnsi="宋体" w:eastAsia="宋体" w:cs="宋体"/>
          <w:color w:val="auto"/>
          <w:spacing w:val="-6"/>
          <w:sz w:val="21"/>
          <w:szCs w:val="21"/>
          <w:highlight w:val="none"/>
        </w:rPr>
        <w:t>因本保函发生的纠纷，</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可由双方协商解决，</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协商不成的，任何一方均可提请</w:t>
      </w:r>
      <w:r>
        <w:rPr>
          <w:rFonts w:ascii="宋体" w:hAnsi="宋体" w:eastAsia="宋体" w:cs="宋体"/>
          <w:color w:val="auto"/>
          <w:spacing w:val="-105"/>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6"/>
          <w:sz w:val="21"/>
          <w:szCs w:val="21"/>
          <w:highlight w:val="none"/>
        </w:rPr>
        <w:t>仲</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裁委员会仲裁。</w:t>
      </w:r>
    </w:p>
    <w:p>
      <w:pPr>
        <w:spacing w:before="158" w:line="220" w:lineRule="auto"/>
        <w:ind w:left="429"/>
        <w:rPr>
          <w:rFonts w:ascii="宋体" w:hAnsi="宋体" w:eastAsia="宋体" w:cs="宋体"/>
          <w:color w:val="auto"/>
          <w:sz w:val="21"/>
          <w:szCs w:val="21"/>
          <w:highlight w:val="none"/>
        </w:rPr>
      </w:pPr>
      <w:r>
        <w:rPr>
          <w:rFonts w:ascii="宋体" w:hAnsi="宋体" w:eastAsia="宋体" w:cs="宋体"/>
          <w:color w:val="auto"/>
          <w:sz w:val="21"/>
          <w:szCs w:val="21"/>
          <w:highlight w:val="none"/>
        </w:rPr>
        <w:t>6. 本保函自我方法定代表人（或其授权代理人）签字并加盖公章</w:t>
      </w:r>
      <w:r>
        <w:rPr>
          <w:rFonts w:ascii="宋体" w:hAnsi="宋体" w:eastAsia="宋体" w:cs="宋体"/>
          <w:color w:val="auto"/>
          <w:spacing w:val="-1"/>
          <w:sz w:val="21"/>
          <w:szCs w:val="21"/>
          <w:highlight w:val="none"/>
        </w:rPr>
        <w:t>之日起生效。</w:t>
      </w:r>
    </w:p>
    <w:p>
      <w:pPr>
        <w:pStyle w:val="2"/>
        <w:spacing w:line="261" w:lineRule="auto"/>
        <w:rPr>
          <w:color w:val="auto"/>
          <w:highlight w:val="none"/>
        </w:rPr>
      </w:pPr>
    </w:p>
    <w:p>
      <w:pPr>
        <w:pStyle w:val="2"/>
        <w:spacing w:line="261" w:lineRule="auto"/>
        <w:rPr>
          <w:color w:val="auto"/>
          <w:highlight w:val="none"/>
        </w:rPr>
      </w:pPr>
    </w:p>
    <w:p>
      <w:pPr>
        <w:pStyle w:val="2"/>
        <w:spacing w:line="261" w:lineRule="auto"/>
        <w:rPr>
          <w:color w:val="auto"/>
          <w:highlight w:val="none"/>
        </w:rPr>
      </w:pPr>
    </w:p>
    <w:p>
      <w:pPr>
        <w:pStyle w:val="2"/>
        <w:spacing w:line="262" w:lineRule="auto"/>
        <w:rPr>
          <w:color w:val="auto"/>
          <w:highlight w:val="none"/>
        </w:rPr>
      </w:pPr>
    </w:p>
    <w:p>
      <w:pPr>
        <w:pStyle w:val="2"/>
        <w:spacing w:line="262" w:lineRule="auto"/>
        <w:rPr>
          <w:color w:val="auto"/>
          <w:highlight w:val="none"/>
        </w:rPr>
      </w:pPr>
    </w:p>
    <w:p>
      <w:pPr>
        <w:spacing w:before="69" w:line="359" w:lineRule="auto"/>
        <w:ind w:left="2844" w:right="938"/>
        <w:jc w:val="both"/>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担</w:t>
      </w:r>
      <w:r>
        <w:rPr>
          <w:rFonts w:ascii="宋体" w:hAnsi="宋体" w:eastAsia="宋体" w:cs="宋体"/>
          <w:color w:val="auto"/>
          <w:spacing w:val="10"/>
          <w:sz w:val="21"/>
          <w:szCs w:val="21"/>
          <w:highlight w:val="none"/>
        </w:rPr>
        <w:t xml:space="preserve"> </w:t>
      </w:r>
      <w:r>
        <w:rPr>
          <w:rFonts w:ascii="宋体" w:hAnsi="宋体" w:eastAsia="宋体" w:cs="宋体"/>
          <w:color w:val="auto"/>
          <w:spacing w:val="-21"/>
          <w:sz w:val="21"/>
          <w:szCs w:val="21"/>
          <w:highlight w:val="none"/>
        </w:rPr>
        <w:t>保</w:t>
      </w:r>
      <w:r>
        <w:rPr>
          <w:rFonts w:ascii="宋体" w:hAnsi="宋体" w:eastAsia="宋体" w:cs="宋体"/>
          <w:color w:val="auto"/>
          <w:spacing w:val="8"/>
          <w:sz w:val="21"/>
          <w:szCs w:val="21"/>
          <w:highlight w:val="none"/>
        </w:rPr>
        <w:t xml:space="preserve"> </w:t>
      </w:r>
      <w:r>
        <w:rPr>
          <w:rFonts w:ascii="宋体" w:hAnsi="宋体" w:eastAsia="宋体" w:cs="宋体"/>
          <w:color w:val="auto"/>
          <w:spacing w:val="-21"/>
          <w:sz w:val="21"/>
          <w:szCs w:val="21"/>
          <w:highlight w:val="none"/>
        </w:rPr>
        <w:t>人</w:t>
      </w:r>
      <w:r>
        <w:rPr>
          <w:rFonts w:ascii="宋体" w:hAnsi="宋体" w:eastAsia="宋体" w:cs="宋体"/>
          <w:color w:val="auto"/>
          <w:spacing w:val="1"/>
          <w:sz w:val="21"/>
          <w:szCs w:val="21"/>
          <w:highlight w:val="none"/>
        </w:rPr>
        <w:t>：</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9"/>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1"/>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法定代表人或其委托代理人</w:t>
      </w:r>
      <w:r>
        <w:rPr>
          <w:rFonts w:ascii="宋体" w:hAnsi="宋体" w:eastAsia="宋体" w:cs="宋体"/>
          <w:color w:val="auto"/>
          <w:spacing w:val="-12"/>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5"/>
          <w:sz w:val="21"/>
          <w:szCs w:val="21"/>
          <w:highlight w:val="none"/>
        </w:rPr>
        <w:t>签字）</w:t>
      </w:r>
    </w:p>
    <w:p>
      <w:pPr>
        <w:spacing w:before="1" w:line="229" w:lineRule="auto"/>
        <w:ind w:left="2843"/>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2"/>
          <w:sz w:val="21"/>
          <w:szCs w:val="21"/>
          <w:highlight w:val="none"/>
        </w:rPr>
        <w:t xml:space="preserve">    </w:t>
      </w:r>
      <w:r>
        <w:rPr>
          <w:rFonts w:ascii="宋体" w:hAnsi="宋体" w:eastAsia="宋体" w:cs="宋体"/>
          <w:color w:val="auto"/>
          <w:spacing w:val="-12"/>
          <w:sz w:val="21"/>
          <w:szCs w:val="21"/>
          <w:highlight w:val="none"/>
        </w:rPr>
        <w:t>址：</w:t>
      </w:r>
    </w:p>
    <w:p>
      <w:pPr>
        <w:spacing w:before="147" w:line="410" w:lineRule="exact"/>
        <w:ind w:left="2858"/>
        <w:rPr>
          <w:rFonts w:ascii="宋体" w:hAnsi="宋体" w:eastAsia="宋体" w:cs="宋体"/>
          <w:color w:val="auto"/>
          <w:sz w:val="21"/>
          <w:szCs w:val="21"/>
          <w:highlight w:val="none"/>
        </w:rPr>
      </w:pPr>
      <w:r>
        <w:rPr>
          <w:rFonts w:ascii="宋体" w:hAnsi="宋体" w:eastAsia="宋体" w:cs="宋体"/>
          <w:color w:val="auto"/>
          <w:spacing w:val="-9"/>
          <w:position w:val="15"/>
          <w:sz w:val="21"/>
          <w:szCs w:val="21"/>
          <w:highlight w:val="none"/>
        </w:rPr>
        <w:t>邮政编码：</w:t>
      </w:r>
    </w:p>
    <w:p>
      <w:pPr>
        <w:spacing w:before="1" w:line="222" w:lineRule="auto"/>
        <w:ind w:left="2867"/>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pPr>
        <w:spacing w:before="154" w:line="220" w:lineRule="auto"/>
        <w:ind w:left="28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2"/>
          <w:sz w:val="21"/>
          <w:szCs w:val="21"/>
          <w:highlight w:val="none"/>
        </w:rPr>
        <w:t xml:space="preserve">    </w:t>
      </w:r>
      <w:r>
        <w:rPr>
          <w:rFonts w:ascii="宋体" w:hAnsi="宋体" w:eastAsia="宋体" w:cs="宋体"/>
          <w:color w:val="auto"/>
          <w:spacing w:val="-12"/>
          <w:sz w:val="21"/>
          <w:szCs w:val="21"/>
          <w:highlight w:val="none"/>
        </w:rPr>
        <w:t>真：</w:t>
      </w:r>
    </w:p>
    <w:p>
      <w:pPr>
        <w:pStyle w:val="2"/>
        <w:spacing w:line="247" w:lineRule="auto"/>
        <w:rPr>
          <w:color w:val="auto"/>
          <w:highlight w:val="none"/>
        </w:rPr>
      </w:pPr>
    </w:p>
    <w:p>
      <w:pPr>
        <w:pStyle w:val="2"/>
        <w:spacing w:line="247" w:lineRule="auto"/>
        <w:rPr>
          <w:color w:val="auto"/>
          <w:highlight w:val="none"/>
        </w:rPr>
      </w:pPr>
    </w:p>
    <w:p>
      <w:pPr>
        <w:tabs>
          <w:tab w:val="left" w:pos="5355"/>
        </w:tabs>
        <w:spacing w:before="69" w:line="221" w:lineRule="auto"/>
        <w:ind w:left="420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69"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附件</w:t>
      </w:r>
      <w:r>
        <w:rPr>
          <w:rFonts w:ascii="宋体" w:hAnsi="宋体" w:eastAsia="宋体" w:cs="宋体"/>
          <w:color w:val="auto"/>
          <w:spacing w:val="-50"/>
          <w:sz w:val="24"/>
          <w:szCs w:val="24"/>
          <w:highlight w:val="none"/>
        </w:rPr>
        <w:t xml:space="preserve"> </w:t>
      </w:r>
      <w:r>
        <w:rPr>
          <w:rFonts w:ascii="宋体" w:hAnsi="宋体" w:eastAsia="宋体" w:cs="宋体"/>
          <w:color w:val="auto"/>
          <w:spacing w:val="-8"/>
          <w:sz w:val="24"/>
          <w:szCs w:val="24"/>
          <w:highlight w:val="none"/>
        </w:rPr>
        <w:t>9 ：</w:t>
      </w:r>
    </w:p>
    <w:p>
      <w:pPr>
        <w:spacing w:before="240" w:line="219" w:lineRule="auto"/>
        <w:ind w:left="3767"/>
        <w:rPr>
          <w:rFonts w:ascii="黑体" w:hAnsi="黑体" w:eastAsia="黑体" w:cs="黑体"/>
          <w:color w:val="auto"/>
          <w:sz w:val="28"/>
          <w:szCs w:val="28"/>
          <w:highlight w:val="none"/>
        </w:rPr>
      </w:pPr>
      <w:bookmarkStart w:id="339" w:name="bookmark379"/>
      <w:bookmarkEnd w:id="339"/>
      <w:r>
        <w:rPr>
          <w:rFonts w:ascii="黑体" w:hAnsi="黑体" w:eastAsia="黑体" w:cs="黑体"/>
          <w:color w:val="auto"/>
          <w:spacing w:val="-3"/>
          <w:sz w:val="28"/>
          <w:szCs w:val="28"/>
          <w:highlight w:val="none"/>
        </w:rPr>
        <w:t>预付款担保</w:t>
      </w:r>
    </w:p>
    <w:p>
      <w:pPr>
        <w:pStyle w:val="2"/>
        <w:spacing w:line="242" w:lineRule="auto"/>
        <w:rPr>
          <w:color w:val="auto"/>
          <w:highlight w:val="none"/>
        </w:rPr>
      </w:pPr>
    </w:p>
    <w:p>
      <w:pPr>
        <w:pStyle w:val="2"/>
        <w:spacing w:line="242" w:lineRule="auto"/>
        <w:rPr>
          <w:color w:val="auto"/>
          <w:highlight w:val="none"/>
        </w:rPr>
      </w:pPr>
    </w:p>
    <w:p>
      <w:pPr>
        <w:tabs>
          <w:tab w:val="left" w:pos="2205"/>
        </w:tabs>
        <w:spacing w:before="68"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61"/>
          <w:sz w:val="21"/>
          <w:szCs w:val="21"/>
          <w:highlight w:val="none"/>
        </w:rPr>
        <w:t xml:space="preserve"> </w:t>
      </w:r>
      <w:r>
        <w:rPr>
          <w:rFonts w:ascii="宋体" w:hAnsi="宋体" w:eastAsia="宋体" w:cs="宋体"/>
          <w:color w:val="auto"/>
          <w:spacing w:val="-9"/>
          <w:sz w:val="21"/>
          <w:szCs w:val="21"/>
          <w:highlight w:val="none"/>
        </w:rPr>
        <w:t>（发包人名称</w:t>
      </w:r>
      <w:r>
        <w:rPr>
          <w:rFonts w:ascii="宋体" w:hAnsi="宋体" w:eastAsia="宋体" w:cs="宋体"/>
          <w:color w:val="auto"/>
          <w:spacing w:val="-54"/>
          <w:w w:val="96"/>
          <w:sz w:val="21"/>
          <w:szCs w:val="21"/>
          <w:highlight w:val="none"/>
        </w:rPr>
        <w:t>）：</w:t>
      </w:r>
    </w:p>
    <w:p>
      <w:pPr>
        <w:pStyle w:val="2"/>
        <w:spacing w:line="245" w:lineRule="auto"/>
        <w:rPr>
          <w:color w:val="auto"/>
          <w:highlight w:val="none"/>
        </w:rPr>
      </w:pPr>
    </w:p>
    <w:p>
      <w:pPr>
        <w:pStyle w:val="2"/>
        <w:spacing w:line="246" w:lineRule="auto"/>
        <w:rPr>
          <w:color w:val="auto"/>
          <w:highlight w:val="none"/>
        </w:rPr>
      </w:pPr>
    </w:p>
    <w:p>
      <w:pPr>
        <w:spacing w:before="68" w:line="360" w:lineRule="auto"/>
        <w:ind w:left="7"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据</w:t>
      </w:r>
      <w:r>
        <w:rPr>
          <w:rFonts w:ascii="宋体" w:hAnsi="宋体" w:eastAsia="宋体" w:cs="宋体"/>
          <w:color w:val="auto"/>
          <w:spacing w:val="-5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
          <w:sz w:val="21"/>
          <w:szCs w:val="21"/>
          <w:highlight w:val="none"/>
        </w:rPr>
        <w:t>（承</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包</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rPr>
        <w:t>人</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名</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称</w:t>
      </w:r>
      <w:r>
        <w:rPr>
          <w:rFonts w:ascii="宋体" w:hAnsi="宋体" w:eastAsia="宋体" w:cs="宋体"/>
          <w:color w:val="auto"/>
          <w:spacing w:val="-22"/>
          <w:sz w:val="21"/>
          <w:szCs w:val="21"/>
          <w:highlight w:val="none"/>
        </w:rPr>
        <w:t xml:space="preserve"> </w:t>
      </w:r>
      <w:r>
        <w:rPr>
          <w:rFonts w:ascii="宋体" w:hAnsi="宋体" w:eastAsia="宋体" w:cs="宋体"/>
          <w:color w:val="auto"/>
          <w:spacing w:val="-52"/>
          <w:sz w:val="21"/>
          <w:szCs w:val="21"/>
          <w:highlight w:val="none"/>
        </w:rPr>
        <w:t>）（</w:t>
      </w:r>
      <w:r>
        <w:rPr>
          <w:rFonts w:ascii="宋体" w:hAnsi="宋体" w:eastAsia="宋体" w:cs="宋体"/>
          <w:color w:val="auto"/>
          <w:spacing w:val="-3"/>
          <w:sz w:val="21"/>
          <w:szCs w:val="21"/>
          <w:highlight w:val="none"/>
        </w:rPr>
        <w:t>以</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下</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称</w:t>
      </w:r>
      <w:r>
        <w:rPr>
          <w:rFonts w:ascii="宋体" w:hAnsi="宋体" w:eastAsia="宋体" w:cs="宋体"/>
          <w:color w:val="auto"/>
          <w:spacing w:val="-49"/>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承</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包</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rPr>
        <w:t>人</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与</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（发包人名称</w:t>
      </w:r>
      <w:r>
        <w:rPr>
          <w:rFonts w:ascii="宋体" w:hAnsi="宋体" w:eastAsia="宋体" w:cs="宋体"/>
          <w:color w:val="auto"/>
          <w:spacing w:val="-31"/>
          <w:sz w:val="21"/>
          <w:szCs w:val="21"/>
          <w:highlight w:val="none"/>
        </w:rPr>
        <w:t>）（</w:t>
      </w:r>
      <w:r>
        <w:rPr>
          <w:rFonts w:ascii="宋体" w:hAnsi="宋体" w:eastAsia="宋体" w:cs="宋体"/>
          <w:color w:val="auto"/>
          <w:spacing w:val="-9"/>
          <w:sz w:val="21"/>
          <w:szCs w:val="21"/>
          <w:highlight w:val="none"/>
        </w:rPr>
        <w:t>以下简称“发包人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9"/>
          <w:sz w:val="21"/>
          <w:szCs w:val="21"/>
          <w:highlight w:val="none"/>
        </w:rPr>
        <w:t>”）于</w:t>
      </w:r>
      <w:r>
        <w:rPr>
          <w:rFonts w:ascii="宋体" w:hAnsi="宋体" w:eastAsia="宋体" w:cs="宋体"/>
          <w:color w:val="auto"/>
          <w:spacing w:val="-93"/>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9"/>
          <w:sz w:val="21"/>
          <w:szCs w:val="21"/>
          <w:highlight w:val="none"/>
        </w:rPr>
        <w:t>年</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9"/>
          <w:sz w:val="21"/>
          <w:szCs w:val="21"/>
          <w:highlight w:val="none"/>
        </w:rPr>
        <w:t>日签订</w:t>
      </w:r>
      <w:r>
        <w:rPr>
          <w:rFonts w:ascii="宋体" w:hAnsi="宋体" w:eastAsia="宋体" w:cs="宋体"/>
          <w:color w:val="auto"/>
          <w:spacing w:val="-10"/>
          <w:sz w:val="21"/>
          <w:szCs w:val="21"/>
          <w:highlight w:val="none"/>
        </w:rPr>
        <w:t>的</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51"/>
          <w:sz w:val="21"/>
          <w:szCs w:val="21"/>
          <w:highlight w:val="none"/>
        </w:rPr>
        <w:t xml:space="preserve"> </w:t>
      </w:r>
      <w:r>
        <w:rPr>
          <w:rFonts w:ascii="宋体" w:hAnsi="宋体" w:eastAsia="宋体" w:cs="宋体"/>
          <w:color w:val="auto"/>
          <w:spacing w:val="-10"/>
          <w:sz w:val="21"/>
          <w:szCs w:val="21"/>
          <w:highlight w:val="none"/>
        </w:rPr>
        <w:t>（工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程名称）《建设工程施工合同》，承包人按约定的金额向你方提交一份预付款担保，即有权得</w:t>
      </w:r>
      <w:r>
        <w:rPr>
          <w:rFonts w:ascii="宋体" w:hAnsi="宋体" w:eastAsia="宋体" w:cs="宋体"/>
          <w:color w:val="auto"/>
          <w:spacing w:val="-4"/>
          <w:sz w:val="21"/>
          <w:szCs w:val="21"/>
          <w:highlight w:val="none"/>
        </w:rPr>
        <w:t>到你</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z w:val="21"/>
          <w:szCs w:val="21"/>
          <w:highlight w:val="none"/>
        </w:rPr>
        <w:t>方支付相等金额的预付款。我方愿意就你方提供给承包</w:t>
      </w:r>
      <w:r>
        <w:rPr>
          <w:rFonts w:ascii="宋体" w:hAnsi="宋体" w:eastAsia="宋体" w:cs="宋体"/>
          <w:color w:val="auto"/>
          <w:spacing w:val="-1"/>
          <w:sz w:val="21"/>
          <w:szCs w:val="21"/>
          <w:highlight w:val="none"/>
        </w:rPr>
        <w:t>人的预付款为承包人提供连带责任担保。</w:t>
      </w:r>
    </w:p>
    <w:p>
      <w:pPr>
        <w:spacing w:before="158" w:line="220"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 担保金额人民币（大写）</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2"/>
          <w:sz w:val="21"/>
          <w:szCs w:val="21"/>
          <w:highlight w:val="none"/>
        </w:rPr>
        <w:t xml:space="preserve"> </w:t>
      </w:r>
      <w:r>
        <w:rPr>
          <w:rFonts w:ascii="宋体" w:hAnsi="宋体" w:eastAsia="宋体" w:cs="宋体"/>
          <w:color w:val="auto"/>
          <w:spacing w:val="2"/>
          <w:sz w:val="21"/>
          <w:szCs w:val="21"/>
          <w:highlight w:val="none"/>
        </w:rPr>
        <w:t>元(¥</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2"/>
          <w:sz w:val="21"/>
          <w:szCs w:val="21"/>
          <w:highlight w:val="none"/>
        </w:rPr>
        <w:t>)。</w:t>
      </w:r>
    </w:p>
    <w:p>
      <w:pPr>
        <w:spacing w:before="158" w:line="408"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2.</w:t>
      </w:r>
      <w:r>
        <w:rPr>
          <w:rFonts w:ascii="宋体" w:hAnsi="宋体" w:eastAsia="宋体" w:cs="宋体"/>
          <w:color w:val="auto"/>
          <w:spacing w:val="60"/>
          <w:position w:val="15"/>
          <w:sz w:val="21"/>
          <w:szCs w:val="21"/>
          <w:highlight w:val="none"/>
        </w:rPr>
        <w:t xml:space="preserve"> </w:t>
      </w:r>
      <w:r>
        <w:rPr>
          <w:rFonts w:ascii="宋体" w:hAnsi="宋体" w:eastAsia="宋体" w:cs="宋体"/>
          <w:color w:val="auto"/>
          <w:spacing w:val="3"/>
          <w:position w:val="15"/>
          <w:sz w:val="21"/>
          <w:szCs w:val="21"/>
          <w:highlight w:val="none"/>
        </w:rPr>
        <w:t>担保有效期自预付款支付给承包人起生效，至你方签发的进度款支付证书说明已</w:t>
      </w:r>
      <w:r>
        <w:rPr>
          <w:rFonts w:ascii="宋体" w:hAnsi="宋体" w:eastAsia="宋体" w:cs="宋体"/>
          <w:color w:val="auto"/>
          <w:spacing w:val="2"/>
          <w:position w:val="15"/>
          <w:sz w:val="21"/>
          <w:szCs w:val="21"/>
          <w:highlight w:val="none"/>
        </w:rPr>
        <w:t>完全扣</w:t>
      </w:r>
    </w:p>
    <w:p>
      <w:pPr>
        <w:spacing w:line="221" w:lineRule="auto"/>
        <w:ind w:left="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清止。</w:t>
      </w:r>
    </w:p>
    <w:p>
      <w:pPr>
        <w:spacing w:before="158" w:line="359" w:lineRule="auto"/>
        <w:ind w:left="9" w:right="3"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w:t>
      </w:r>
      <w:r>
        <w:rPr>
          <w:rFonts w:ascii="宋体" w:hAnsi="宋体" w:eastAsia="宋体" w:cs="宋体"/>
          <w:color w:val="auto"/>
          <w:spacing w:val="59"/>
          <w:sz w:val="21"/>
          <w:szCs w:val="21"/>
          <w:highlight w:val="none"/>
        </w:rPr>
        <w:t xml:space="preserve"> </w:t>
      </w:r>
      <w:r>
        <w:rPr>
          <w:rFonts w:ascii="宋体" w:hAnsi="宋体" w:eastAsia="宋体" w:cs="宋体"/>
          <w:color w:val="auto"/>
          <w:spacing w:val="3"/>
          <w:sz w:val="21"/>
          <w:szCs w:val="21"/>
          <w:highlight w:val="none"/>
        </w:rPr>
        <w:t>在本保函有效期内，因承包人违反合同约定的义务而要求收回预付款时，我方在</w:t>
      </w:r>
      <w:r>
        <w:rPr>
          <w:rFonts w:ascii="宋体" w:hAnsi="宋体" w:eastAsia="宋体" w:cs="宋体"/>
          <w:color w:val="auto"/>
          <w:spacing w:val="2"/>
          <w:sz w:val="21"/>
          <w:szCs w:val="21"/>
          <w:highlight w:val="none"/>
        </w:rPr>
        <w:t>收到你</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方的书面通知后，在7天内无条件支付。但本保函的担保金额，在任何时候不应超过预付款金额</w:t>
      </w:r>
    </w:p>
    <w:p>
      <w:pPr>
        <w:spacing w:before="1" w:line="219" w:lineRule="auto"/>
        <w:ind w:left="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减去你方按合同约定在向承包人签发的进度款支付证书中扣除的金额。</w:t>
      </w:r>
    </w:p>
    <w:p>
      <w:pPr>
        <w:spacing w:before="158"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 你方和承包人按合同约定变更合同时，</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我方承担本保函规定的义务不变。</w:t>
      </w:r>
    </w:p>
    <w:p>
      <w:pPr>
        <w:spacing w:before="158" w:line="361" w:lineRule="auto"/>
        <w:ind w:left="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因本保函发生的纠纷，可由双方协商解决，</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协商不成的</w:t>
      </w:r>
      <w:r>
        <w:rPr>
          <w:rFonts w:ascii="宋体" w:hAnsi="宋体" w:eastAsia="宋体" w:cs="宋体"/>
          <w:color w:val="auto"/>
          <w:spacing w:val="-4"/>
          <w:sz w:val="21"/>
          <w:szCs w:val="21"/>
          <w:highlight w:val="none"/>
        </w:rPr>
        <w:t>，任何一方均可提请</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8"/>
          <w:sz w:val="21"/>
          <w:szCs w:val="21"/>
          <w:highlight w:val="none"/>
        </w:rPr>
        <w:t xml:space="preserve"> </w:t>
      </w:r>
      <w:r>
        <w:rPr>
          <w:rFonts w:ascii="宋体" w:hAnsi="宋体" w:eastAsia="宋体" w:cs="宋体"/>
          <w:color w:val="auto"/>
          <w:spacing w:val="-4"/>
          <w:sz w:val="21"/>
          <w:szCs w:val="21"/>
          <w:highlight w:val="none"/>
        </w:rPr>
        <w:t>仲</w:t>
      </w:r>
    </w:p>
    <w:p>
      <w:pPr>
        <w:spacing w:before="1" w:line="219" w:lineRule="auto"/>
        <w:ind w:left="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裁委员会仲裁。</w:t>
      </w:r>
    </w:p>
    <w:p>
      <w:pPr>
        <w:spacing w:before="157" w:line="220" w:lineRule="auto"/>
        <w:ind w:left="429"/>
        <w:rPr>
          <w:rFonts w:ascii="宋体" w:hAnsi="宋体" w:eastAsia="宋体" w:cs="宋体"/>
          <w:color w:val="auto"/>
          <w:sz w:val="21"/>
          <w:szCs w:val="21"/>
          <w:highlight w:val="none"/>
        </w:rPr>
      </w:pPr>
      <w:r>
        <w:rPr>
          <w:rFonts w:ascii="宋体" w:hAnsi="宋体" w:eastAsia="宋体" w:cs="宋体"/>
          <w:color w:val="auto"/>
          <w:sz w:val="21"/>
          <w:szCs w:val="21"/>
          <w:highlight w:val="none"/>
        </w:rPr>
        <w:t>6. 本保函自我方法定代表人（或其授权代理人）签字并加盖公章</w:t>
      </w:r>
      <w:r>
        <w:rPr>
          <w:rFonts w:ascii="宋体" w:hAnsi="宋体" w:eastAsia="宋体" w:cs="宋体"/>
          <w:color w:val="auto"/>
          <w:spacing w:val="-1"/>
          <w:sz w:val="21"/>
          <w:szCs w:val="21"/>
          <w:highlight w:val="none"/>
        </w:rPr>
        <w:t>之日起生效。</w:t>
      </w:r>
    </w:p>
    <w:p>
      <w:pPr>
        <w:pStyle w:val="2"/>
        <w:spacing w:line="300" w:lineRule="auto"/>
        <w:rPr>
          <w:color w:val="auto"/>
          <w:highlight w:val="none"/>
        </w:rPr>
      </w:pPr>
    </w:p>
    <w:p>
      <w:pPr>
        <w:pStyle w:val="2"/>
        <w:spacing w:line="300" w:lineRule="auto"/>
        <w:rPr>
          <w:color w:val="auto"/>
          <w:highlight w:val="none"/>
        </w:rPr>
      </w:pPr>
    </w:p>
    <w:p>
      <w:pPr>
        <w:pStyle w:val="2"/>
        <w:spacing w:line="300" w:lineRule="auto"/>
        <w:rPr>
          <w:color w:val="auto"/>
          <w:highlight w:val="none"/>
        </w:rPr>
      </w:pPr>
    </w:p>
    <w:p>
      <w:pPr>
        <w:spacing w:before="69" w:line="220" w:lineRule="auto"/>
        <w:ind w:left="305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担保人</w:t>
      </w:r>
      <w:r>
        <w:rPr>
          <w:rFonts w:ascii="宋体" w:hAnsi="宋体" w:eastAsia="宋体" w:cs="宋体"/>
          <w:color w:val="auto"/>
          <w:spacing w:val="-16"/>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6"/>
          <w:sz w:val="21"/>
          <w:szCs w:val="21"/>
          <w:highlight w:val="none"/>
        </w:rPr>
        <w:t>（</w:t>
      </w:r>
      <w:r>
        <w:rPr>
          <w:rFonts w:ascii="宋体" w:hAnsi="宋体" w:eastAsia="宋体" w:cs="宋体"/>
          <w:color w:val="auto"/>
          <w:spacing w:val="3"/>
          <w:sz w:val="21"/>
          <w:szCs w:val="21"/>
          <w:highlight w:val="none"/>
        </w:rPr>
        <w:t>盖单位章）</w:t>
      </w:r>
    </w:p>
    <w:p>
      <w:pPr>
        <w:spacing w:before="160" w:line="221" w:lineRule="auto"/>
        <w:ind w:left="305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法定代表人或其委托代理人</w:t>
      </w:r>
      <w:r>
        <w:rPr>
          <w:rFonts w:ascii="宋体" w:hAnsi="宋体" w:eastAsia="宋体" w:cs="宋体"/>
          <w:color w:val="auto"/>
          <w:spacing w:val="-11"/>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1"/>
          <w:sz w:val="21"/>
          <w:szCs w:val="21"/>
          <w:highlight w:val="none"/>
        </w:rPr>
        <w:t>（</w:t>
      </w:r>
      <w:r>
        <w:rPr>
          <w:rFonts w:ascii="宋体" w:hAnsi="宋体" w:eastAsia="宋体" w:cs="宋体"/>
          <w:color w:val="auto"/>
          <w:spacing w:val="-4"/>
          <w:sz w:val="21"/>
          <w:szCs w:val="21"/>
          <w:highlight w:val="none"/>
        </w:rPr>
        <w:t>签字）</w:t>
      </w:r>
    </w:p>
    <w:p>
      <w:pPr>
        <w:spacing w:before="157" w:line="230" w:lineRule="auto"/>
        <w:ind w:left="3054"/>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3"/>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46" w:line="221" w:lineRule="auto"/>
        <w:ind w:left="3069"/>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邮政编码：</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7" w:line="223" w:lineRule="auto"/>
        <w:ind w:left="3079"/>
        <w:rPr>
          <w:rFonts w:ascii="宋体" w:hAnsi="宋体" w:eastAsia="宋体" w:cs="宋体"/>
          <w:color w:val="auto"/>
          <w:sz w:val="21"/>
          <w:szCs w:val="21"/>
          <w:highlight w:val="none"/>
        </w:rPr>
      </w:pPr>
      <w:r>
        <w:rPr>
          <w:rFonts w:ascii="宋体" w:hAnsi="宋体" w:eastAsia="宋体" w:cs="宋体"/>
          <w:color w:val="auto"/>
          <w:spacing w:val="-30"/>
          <w:w w:val="96"/>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57" w:line="220" w:lineRule="auto"/>
        <w:ind w:left="3052"/>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pPr>
        <w:pStyle w:val="2"/>
        <w:spacing w:line="300" w:lineRule="auto"/>
        <w:rPr>
          <w:color w:val="auto"/>
          <w:highlight w:val="none"/>
        </w:rPr>
      </w:pPr>
    </w:p>
    <w:p>
      <w:pPr>
        <w:pStyle w:val="2"/>
        <w:spacing w:line="300" w:lineRule="auto"/>
        <w:rPr>
          <w:color w:val="auto"/>
          <w:highlight w:val="none"/>
        </w:rPr>
      </w:pPr>
    </w:p>
    <w:p>
      <w:pPr>
        <w:pStyle w:val="2"/>
        <w:spacing w:line="300" w:lineRule="auto"/>
        <w:rPr>
          <w:color w:val="auto"/>
          <w:highlight w:val="none"/>
        </w:rPr>
      </w:pPr>
    </w:p>
    <w:p>
      <w:pPr>
        <w:tabs>
          <w:tab w:val="left" w:pos="5985"/>
        </w:tabs>
        <w:spacing w:before="68" w:line="221" w:lineRule="auto"/>
        <w:ind w:left="4411"/>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70" w:type="default"/>
          <w:pgSz w:w="11905" w:h="16843"/>
          <w:pgMar w:top="1769" w:right="1548" w:bottom="1003" w:left="1542" w:header="0" w:footer="828" w:gutter="0"/>
          <w:pgNumType w:fmt="numberInDash"/>
          <w:cols w:space="0" w:num="1"/>
          <w:rtlGutter w:val="0"/>
          <w:docGrid w:linePitch="0" w:charSpace="0"/>
        </w:sectPr>
      </w:pPr>
    </w:p>
    <w:p>
      <w:pPr>
        <w:pStyle w:val="2"/>
        <w:spacing w:line="273" w:lineRule="auto"/>
        <w:rPr>
          <w:color w:val="auto"/>
          <w:highlight w:val="none"/>
        </w:rPr>
      </w:pPr>
    </w:p>
    <w:p>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31"/>
          <w:sz w:val="24"/>
          <w:szCs w:val="24"/>
          <w:highlight w:val="none"/>
        </w:rPr>
        <w:t xml:space="preserve"> </w:t>
      </w:r>
      <w:r>
        <w:rPr>
          <w:rFonts w:ascii="宋体" w:hAnsi="宋体" w:eastAsia="宋体" w:cs="宋体"/>
          <w:color w:val="auto"/>
          <w:spacing w:val="-10"/>
          <w:sz w:val="24"/>
          <w:szCs w:val="24"/>
          <w:highlight w:val="none"/>
        </w:rPr>
        <w:t>10:</w:t>
      </w:r>
    </w:p>
    <w:p>
      <w:pPr>
        <w:spacing w:before="240" w:line="221" w:lineRule="auto"/>
        <w:ind w:left="3910"/>
        <w:rPr>
          <w:rFonts w:ascii="黑体" w:hAnsi="黑体" w:eastAsia="黑体" w:cs="黑体"/>
          <w:color w:val="auto"/>
          <w:sz w:val="28"/>
          <w:szCs w:val="28"/>
          <w:highlight w:val="none"/>
        </w:rPr>
      </w:pPr>
      <w:bookmarkStart w:id="340" w:name="bookmark380"/>
      <w:bookmarkEnd w:id="340"/>
      <w:r>
        <w:rPr>
          <w:rFonts w:ascii="黑体" w:hAnsi="黑体" w:eastAsia="黑体" w:cs="黑体"/>
          <w:color w:val="auto"/>
          <w:spacing w:val="-4"/>
          <w:sz w:val="28"/>
          <w:szCs w:val="28"/>
          <w:highlight w:val="none"/>
        </w:rPr>
        <w:t>支付担保</w:t>
      </w:r>
    </w:p>
    <w:p>
      <w:pPr>
        <w:tabs>
          <w:tab w:val="left" w:pos="1365"/>
        </w:tabs>
        <w:spacing w:before="282"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48"/>
          <w:sz w:val="21"/>
          <w:szCs w:val="21"/>
          <w:highlight w:val="none"/>
        </w:rPr>
        <w:t xml:space="preserve"> </w:t>
      </w:r>
      <w:r>
        <w:rPr>
          <w:rFonts w:ascii="宋体" w:hAnsi="宋体" w:eastAsia="宋体" w:cs="宋体"/>
          <w:color w:val="auto"/>
          <w:spacing w:val="-27"/>
          <w:w w:val="96"/>
          <w:sz w:val="21"/>
          <w:szCs w:val="21"/>
          <w:highlight w:val="none"/>
        </w:rPr>
        <w:t>（承包人</w:t>
      </w:r>
      <w:r>
        <w:rPr>
          <w:rFonts w:ascii="宋体" w:hAnsi="宋体" w:eastAsia="宋体" w:cs="宋体"/>
          <w:color w:val="auto"/>
          <w:spacing w:val="-16"/>
          <w:sz w:val="21"/>
          <w:szCs w:val="21"/>
          <w:highlight w:val="none"/>
        </w:rPr>
        <w:t>）：</w:t>
      </w:r>
    </w:p>
    <w:p>
      <w:pPr>
        <w:pStyle w:val="2"/>
        <w:spacing w:line="417" w:lineRule="auto"/>
        <w:rPr>
          <w:color w:val="auto"/>
          <w:highlight w:val="none"/>
        </w:rPr>
      </w:pPr>
    </w:p>
    <w:p>
      <w:pPr>
        <w:spacing w:before="68" w:line="360" w:lineRule="auto"/>
        <w:ind w:left="44" w:right="139" w:firstLine="38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鉴于你方作为承包人已经与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（发包人名称</w:t>
      </w:r>
      <w:r>
        <w:rPr>
          <w:rFonts w:ascii="宋体" w:hAnsi="宋体" w:eastAsia="宋体" w:cs="宋体"/>
          <w:color w:val="auto"/>
          <w:spacing w:val="-36"/>
          <w:sz w:val="21"/>
          <w:szCs w:val="21"/>
          <w:highlight w:val="none"/>
        </w:rPr>
        <w:t>）（</w:t>
      </w:r>
      <w:r>
        <w:rPr>
          <w:rFonts w:ascii="宋体" w:hAnsi="宋体" w:eastAsia="宋体" w:cs="宋体"/>
          <w:color w:val="auto"/>
          <w:spacing w:val="-5"/>
          <w:sz w:val="21"/>
          <w:szCs w:val="21"/>
          <w:highlight w:val="none"/>
        </w:rPr>
        <w:t>以下称“发包人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5"/>
          <w:sz w:val="21"/>
          <w:szCs w:val="21"/>
          <w:highlight w:val="none"/>
        </w:rPr>
        <w:t>”）于</w:t>
      </w:r>
      <w:r>
        <w:rPr>
          <w:rFonts w:ascii="宋体" w:hAnsi="宋体" w:eastAsia="宋体" w:cs="宋体"/>
          <w:color w:val="auto"/>
          <w:spacing w:val="-92"/>
          <w:sz w:val="21"/>
          <w:szCs w:val="21"/>
          <w:highlight w:val="none"/>
        </w:rPr>
        <w:t xml:space="preserve"> </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5"/>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5"/>
          <w:sz w:val="21"/>
          <w:szCs w:val="21"/>
          <w:highlight w:val="none"/>
        </w:rPr>
        <w:t xml:space="preserve">月 </w:t>
      </w:r>
      <w:r>
        <w:rPr>
          <w:rFonts w:ascii="宋体" w:hAnsi="宋体" w:eastAsia="宋体" w:cs="宋体"/>
          <w:color w:val="auto"/>
          <w:spacing w:val="-6"/>
          <w:sz w:val="21"/>
          <w:szCs w:val="21"/>
          <w:highlight w:val="none"/>
        </w:rPr>
        <w:t>日签订了</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（工程名称）《建设工程施</w:t>
      </w:r>
      <w:r>
        <w:rPr>
          <w:rFonts w:ascii="宋体" w:hAnsi="宋体" w:eastAsia="宋体" w:cs="宋体"/>
          <w:color w:val="auto"/>
          <w:spacing w:val="-7"/>
          <w:sz w:val="21"/>
          <w:szCs w:val="21"/>
          <w:highlight w:val="none"/>
        </w:rPr>
        <w:t>工合同》（以下称“主合同</w:t>
      </w:r>
      <w:r>
        <w:rPr>
          <w:rFonts w:ascii="宋体" w:hAnsi="宋体" w:eastAsia="宋体" w:cs="宋体"/>
          <w:color w:val="auto"/>
          <w:spacing w:val="-75"/>
          <w:sz w:val="21"/>
          <w:szCs w:val="21"/>
          <w:highlight w:val="none"/>
        </w:rPr>
        <w:t xml:space="preserve"> </w:t>
      </w:r>
      <w:r>
        <w:rPr>
          <w:rFonts w:ascii="宋体" w:hAnsi="宋体" w:eastAsia="宋体" w:cs="宋体"/>
          <w:color w:val="auto"/>
          <w:spacing w:val="-7"/>
          <w:sz w:val="21"/>
          <w:szCs w:val="21"/>
          <w:highlight w:val="none"/>
        </w:rPr>
        <w:t>”</w:t>
      </w:r>
      <w:r>
        <w:rPr>
          <w:rFonts w:ascii="宋体" w:hAnsi="宋体" w:eastAsia="宋体" w:cs="宋体"/>
          <w:color w:val="auto"/>
          <w:spacing w:val="-36"/>
          <w:w w:val="66"/>
          <w:sz w:val="21"/>
          <w:szCs w:val="21"/>
          <w:highlight w:val="none"/>
        </w:rPr>
        <w:t>），</w:t>
      </w:r>
      <w:r>
        <w:rPr>
          <w:rFonts w:ascii="宋体" w:hAnsi="宋体" w:eastAsia="宋体" w:cs="宋体"/>
          <w:color w:val="auto"/>
          <w:spacing w:val="-7"/>
          <w:sz w:val="21"/>
          <w:szCs w:val="21"/>
          <w:highlight w:val="none"/>
        </w:rPr>
        <w:t>应发包人的申</w:t>
      </w:r>
    </w:p>
    <w:p>
      <w:pPr>
        <w:spacing w:before="1" w:line="219" w:lineRule="auto"/>
        <w:ind w:left="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请，我方愿就发包人履行主合同约定的工程款支付义务以保证的方式向你方提供如下担保：</w:t>
      </w:r>
    </w:p>
    <w:p>
      <w:pPr>
        <w:spacing w:before="158" w:line="220" w:lineRule="auto"/>
        <w:ind w:left="431"/>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一、保证的范围及保证金额</w:t>
      </w:r>
    </w:p>
    <w:p>
      <w:pPr>
        <w:spacing w:before="158"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 我方的保证范围是主合同约定的工程款。</w:t>
      </w:r>
    </w:p>
    <w:p>
      <w:pPr>
        <w:spacing w:before="157" w:line="219" w:lineRule="auto"/>
        <w:ind w:left="430"/>
        <w:rPr>
          <w:rFonts w:ascii="宋体" w:hAnsi="宋体" w:eastAsia="宋体" w:cs="宋体"/>
          <w:color w:val="auto"/>
          <w:sz w:val="21"/>
          <w:szCs w:val="21"/>
          <w:highlight w:val="none"/>
        </w:rPr>
      </w:pPr>
      <w:r>
        <w:rPr>
          <w:rFonts w:ascii="宋体" w:hAnsi="宋体" w:eastAsia="宋体" w:cs="宋体"/>
          <w:color w:val="auto"/>
          <w:sz w:val="21"/>
          <w:szCs w:val="21"/>
          <w:highlight w:val="none"/>
        </w:rPr>
        <w:t>2. 本保函所称主合同约定的工程款是指主合同约定的除工程质量保证金以外</w:t>
      </w:r>
      <w:r>
        <w:rPr>
          <w:rFonts w:ascii="宋体" w:hAnsi="宋体" w:eastAsia="宋体" w:cs="宋体"/>
          <w:color w:val="auto"/>
          <w:spacing w:val="-1"/>
          <w:sz w:val="21"/>
          <w:szCs w:val="21"/>
          <w:highlight w:val="none"/>
        </w:rPr>
        <w:t>的合同价款。</w:t>
      </w:r>
    </w:p>
    <w:p>
      <w:pPr>
        <w:spacing w:before="158" w:line="361" w:lineRule="auto"/>
        <w:ind w:left="432"/>
        <w:rPr>
          <w:rFonts w:ascii="宋体" w:hAnsi="宋体" w:eastAsia="宋体" w:cs="宋体"/>
          <w:color w:val="auto"/>
          <w:sz w:val="21"/>
          <w:szCs w:val="21"/>
          <w:highlight w:val="none"/>
        </w:rPr>
      </w:pPr>
      <w:r>
        <w:rPr>
          <w:rFonts w:ascii="宋体" w:hAnsi="宋体" w:eastAsia="宋体" w:cs="宋体"/>
          <w:color w:val="auto"/>
          <w:sz w:val="21"/>
          <w:szCs w:val="21"/>
          <w:highlight w:val="none"/>
        </w:rPr>
        <w:t>3. 我方保证的金额是主合同约定的工程款的</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%，数额最高不超过人民币元（大</w:t>
      </w:r>
    </w:p>
    <w:p>
      <w:pPr>
        <w:spacing w:before="1" w:line="222" w:lineRule="auto"/>
        <w:ind w:left="13"/>
        <w:rPr>
          <w:rFonts w:ascii="宋体" w:hAnsi="宋体" w:eastAsia="宋体" w:cs="宋体"/>
          <w:color w:val="auto"/>
          <w:sz w:val="21"/>
          <w:szCs w:val="21"/>
          <w:highlight w:val="none"/>
        </w:rPr>
      </w:pPr>
      <w:r>
        <w:rPr>
          <w:rFonts w:ascii="宋体" w:hAnsi="宋体" w:eastAsia="宋体" w:cs="宋体"/>
          <w:color w:val="auto"/>
          <w:spacing w:val="-42"/>
          <w:sz w:val="21"/>
          <w:szCs w:val="21"/>
          <w:highlight w:val="none"/>
        </w:rPr>
        <w:t>写</w:t>
      </w:r>
      <w:r>
        <w:rPr>
          <w:rFonts w:ascii="宋体" w:hAnsi="宋体" w:eastAsia="宋体" w:cs="宋体"/>
          <w:color w:val="auto"/>
          <w:spacing w:val="-27"/>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7"/>
          <w:sz w:val="21"/>
          <w:szCs w:val="21"/>
          <w:highlight w:val="none"/>
        </w:rPr>
        <w:t>）</w:t>
      </w:r>
      <w:r>
        <w:rPr>
          <w:rFonts w:ascii="宋体" w:hAnsi="宋体" w:eastAsia="宋体" w:cs="宋体"/>
          <w:color w:val="auto"/>
          <w:spacing w:val="-42"/>
          <w:sz w:val="21"/>
          <w:szCs w:val="21"/>
          <w:highlight w:val="none"/>
        </w:rPr>
        <w:t>。</w:t>
      </w:r>
    </w:p>
    <w:p>
      <w:pPr>
        <w:spacing w:before="155" w:line="219" w:lineRule="auto"/>
        <w:ind w:left="431"/>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二、保证的方式及保证期间</w:t>
      </w:r>
    </w:p>
    <w:p>
      <w:pPr>
        <w:spacing w:before="158" w:line="221" w:lineRule="auto"/>
        <w:ind w:left="4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 我方保证的方式为：</w:t>
      </w:r>
      <w:r>
        <w:rPr>
          <w:rFonts w:ascii="宋体" w:hAnsi="宋体" w:eastAsia="宋体" w:cs="宋体"/>
          <w:color w:val="auto"/>
          <w:spacing w:val="-13"/>
          <w:sz w:val="21"/>
          <w:szCs w:val="21"/>
          <w:highlight w:val="none"/>
        </w:rPr>
        <w:t xml:space="preserve"> </w:t>
      </w:r>
      <w:r>
        <w:rPr>
          <w:rFonts w:ascii="宋体" w:hAnsi="宋体" w:eastAsia="宋体" w:cs="宋体"/>
          <w:color w:val="auto"/>
          <w:spacing w:val="-6"/>
          <w:sz w:val="21"/>
          <w:szCs w:val="21"/>
          <w:highlight w:val="none"/>
        </w:rPr>
        <w:t>连带责任保证。</w:t>
      </w:r>
    </w:p>
    <w:p>
      <w:pPr>
        <w:spacing w:before="157" w:line="359" w:lineRule="auto"/>
        <w:ind w:left="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 我方保证的期间为： 自本合同生效</w:t>
      </w:r>
      <w:r>
        <w:rPr>
          <w:rFonts w:ascii="宋体" w:hAnsi="宋体" w:eastAsia="宋体" w:cs="宋体"/>
          <w:color w:val="auto"/>
          <w:spacing w:val="-3"/>
          <w:sz w:val="21"/>
          <w:szCs w:val="21"/>
          <w:highlight w:val="none"/>
        </w:rPr>
        <w:t>之日起至主合同约定的工程款支付完毕之日后</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3"/>
          <w:sz w:val="21"/>
          <w:szCs w:val="21"/>
          <w:highlight w:val="none"/>
        </w:rPr>
        <w:t>日</w:t>
      </w:r>
    </w:p>
    <w:p>
      <w:pPr>
        <w:spacing w:before="1" w:line="220" w:lineRule="auto"/>
        <w:ind w:left="33"/>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内。</w:t>
      </w:r>
    </w:p>
    <w:p>
      <w:pPr>
        <w:spacing w:before="159" w:line="408" w:lineRule="exact"/>
        <w:ind w:left="432"/>
        <w:rPr>
          <w:rFonts w:ascii="宋体" w:hAnsi="宋体" w:eastAsia="宋体" w:cs="宋体"/>
          <w:color w:val="auto"/>
          <w:sz w:val="21"/>
          <w:szCs w:val="21"/>
          <w:highlight w:val="none"/>
        </w:rPr>
      </w:pPr>
      <w:r>
        <w:rPr>
          <w:rFonts w:ascii="宋体" w:hAnsi="宋体" w:eastAsia="宋体" w:cs="宋体"/>
          <w:color w:val="auto"/>
          <w:spacing w:val="-4"/>
          <w:position w:val="15"/>
          <w:sz w:val="21"/>
          <w:szCs w:val="21"/>
          <w:highlight w:val="none"/>
        </w:rPr>
        <w:t>3. 你方与发包人协议变更工程款支付日期的，</w:t>
      </w:r>
      <w:r>
        <w:rPr>
          <w:rFonts w:ascii="宋体" w:hAnsi="宋体" w:eastAsia="宋体" w:cs="宋体"/>
          <w:color w:val="auto"/>
          <w:spacing w:val="-21"/>
          <w:position w:val="15"/>
          <w:sz w:val="21"/>
          <w:szCs w:val="21"/>
          <w:highlight w:val="none"/>
        </w:rPr>
        <w:t xml:space="preserve"> </w:t>
      </w:r>
      <w:r>
        <w:rPr>
          <w:rFonts w:ascii="宋体" w:hAnsi="宋体" w:eastAsia="宋体" w:cs="宋体"/>
          <w:color w:val="auto"/>
          <w:spacing w:val="-4"/>
          <w:position w:val="15"/>
          <w:sz w:val="21"/>
          <w:szCs w:val="21"/>
          <w:highlight w:val="none"/>
        </w:rPr>
        <w:t>经我方书面同意后，</w:t>
      </w:r>
      <w:r>
        <w:rPr>
          <w:rFonts w:ascii="宋体" w:hAnsi="宋体" w:eastAsia="宋体" w:cs="宋体"/>
          <w:color w:val="auto"/>
          <w:spacing w:val="-22"/>
          <w:position w:val="15"/>
          <w:sz w:val="21"/>
          <w:szCs w:val="21"/>
          <w:highlight w:val="none"/>
        </w:rPr>
        <w:t xml:space="preserve"> </w:t>
      </w:r>
      <w:r>
        <w:rPr>
          <w:rFonts w:ascii="宋体" w:hAnsi="宋体" w:eastAsia="宋体" w:cs="宋体"/>
          <w:color w:val="auto"/>
          <w:spacing w:val="-5"/>
          <w:position w:val="15"/>
          <w:sz w:val="21"/>
          <w:szCs w:val="21"/>
          <w:highlight w:val="none"/>
        </w:rPr>
        <w:t>保证期间按照变更后的</w:t>
      </w:r>
    </w:p>
    <w:p>
      <w:pPr>
        <w:spacing w:before="1" w:line="220" w:lineRule="auto"/>
        <w:ind w:left="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支付日期做相应调整。</w:t>
      </w:r>
    </w:p>
    <w:p>
      <w:pPr>
        <w:spacing w:before="157" w:line="219" w:lineRule="auto"/>
        <w:ind w:left="432"/>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三、承担保证责任的形式</w:t>
      </w:r>
    </w:p>
    <w:p>
      <w:pPr>
        <w:spacing w:before="159" w:line="410" w:lineRule="exact"/>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我方承担保证责任的形式是代为支付。发包人未按主合同约定向你方支付工程款的，</w:t>
      </w:r>
      <w:r>
        <w:rPr>
          <w:rFonts w:ascii="宋体" w:hAnsi="宋体" w:eastAsia="宋体" w:cs="宋体"/>
          <w:color w:val="auto"/>
          <w:spacing w:val="-1"/>
          <w:position w:val="15"/>
          <w:sz w:val="21"/>
          <w:szCs w:val="21"/>
          <w:highlight w:val="none"/>
        </w:rPr>
        <w:t>由我方</w:t>
      </w:r>
    </w:p>
    <w:p>
      <w:pPr>
        <w:spacing w:before="1" w:line="220" w:lineRule="auto"/>
        <w:ind w:left="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在保证金额内代为支付。</w:t>
      </w:r>
    </w:p>
    <w:p>
      <w:pPr>
        <w:spacing w:before="157" w:line="221" w:lineRule="auto"/>
        <w:ind w:left="440"/>
        <w:rPr>
          <w:rFonts w:ascii="黑体" w:hAnsi="黑体" w:eastAsia="黑体" w:cs="黑体"/>
          <w:color w:val="auto"/>
          <w:sz w:val="21"/>
          <w:szCs w:val="21"/>
          <w:highlight w:val="none"/>
        </w:rPr>
      </w:pPr>
      <w:r>
        <w:rPr>
          <w:rFonts w:ascii="黑体" w:hAnsi="黑体" w:eastAsia="黑体" w:cs="黑体"/>
          <w:color w:val="auto"/>
          <w:spacing w:val="-3"/>
          <w:sz w:val="21"/>
          <w:szCs w:val="21"/>
          <w:highlight w:val="none"/>
        </w:rPr>
        <w:t>四、代偿的安排</w:t>
      </w:r>
    </w:p>
    <w:p>
      <w:pPr>
        <w:spacing w:before="157" w:line="408" w:lineRule="exact"/>
        <w:ind w:left="443"/>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1. 你方要求我方承担保证责任的，应向我方发</w:t>
      </w:r>
      <w:r>
        <w:rPr>
          <w:rFonts w:ascii="宋体" w:hAnsi="宋体" w:eastAsia="宋体" w:cs="宋体"/>
          <w:color w:val="auto"/>
          <w:spacing w:val="-1"/>
          <w:position w:val="15"/>
          <w:sz w:val="21"/>
          <w:szCs w:val="21"/>
          <w:highlight w:val="none"/>
        </w:rPr>
        <w:t>出书面索赔通知及发包人未支付主合同约定</w:t>
      </w:r>
    </w:p>
    <w:p>
      <w:pPr>
        <w:spacing w:before="1" w:line="219" w:lineRule="auto"/>
        <w:ind w:left="1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工程款的证明材料。索赔通知应写明要求索赔的金额，支付款项应到达的账号。</w:t>
      </w:r>
    </w:p>
    <w:p>
      <w:pPr>
        <w:spacing w:before="158" w:line="360" w:lineRule="auto"/>
        <w:ind w:left="9" w:firstLine="4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 在出现你方与发包人因工程质量发生争议， 发包人拒绝向你方支付工程款的情形时，</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你</w:t>
      </w:r>
      <w:r>
        <w:rPr>
          <w:rFonts w:ascii="宋体" w:hAnsi="宋体" w:eastAsia="宋体" w:cs="宋体"/>
          <w:color w:val="auto"/>
          <w:sz w:val="21"/>
          <w:szCs w:val="21"/>
          <w:highlight w:val="none"/>
        </w:rPr>
        <w:t xml:space="preserve">  方要求我方履行保证责任代为支付的，需提供符合相应条件要求的工程质量检测机构出具的</w:t>
      </w:r>
      <w:r>
        <w:rPr>
          <w:rFonts w:ascii="宋体" w:hAnsi="宋体" w:eastAsia="宋体" w:cs="宋体"/>
          <w:color w:val="auto"/>
          <w:spacing w:val="-1"/>
          <w:sz w:val="21"/>
          <w:szCs w:val="21"/>
          <w:highlight w:val="none"/>
        </w:rPr>
        <w:t>质量</w:t>
      </w:r>
      <w:r>
        <w:rPr>
          <w:rFonts w:ascii="宋体" w:hAnsi="宋体" w:eastAsia="宋体" w:cs="宋体"/>
          <w:color w:val="auto"/>
          <w:spacing w:val="-5"/>
          <w:sz w:val="21"/>
          <w:szCs w:val="21"/>
          <w:highlight w:val="none"/>
        </w:rPr>
        <w:t>说明材料。</w:t>
      </w:r>
    </w:p>
    <w:p>
      <w:pPr>
        <w:spacing w:before="157" w:line="220" w:lineRule="auto"/>
        <w:ind w:left="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 我方收到你方的书面索赔通知及相应的证明材料后7天内</w:t>
      </w:r>
      <w:r>
        <w:rPr>
          <w:rFonts w:ascii="宋体" w:hAnsi="宋体" w:eastAsia="宋体" w:cs="宋体"/>
          <w:color w:val="auto"/>
          <w:spacing w:val="2"/>
          <w:sz w:val="21"/>
          <w:szCs w:val="21"/>
          <w:highlight w:val="none"/>
        </w:rPr>
        <w:t>无条件支付。</w:t>
      </w:r>
    </w:p>
    <w:p>
      <w:pPr>
        <w:spacing w:before="158" w:line="219" w:lineRule="auto"/>
        <w:ind w:left="433"/>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五、保证责任的解除</w:t>
      </w:r>
    </w:p>
    <w:p>
      <w:pPr>
        <w:spacing w:before="160" w:line="410" w:lineRule="exact"/>
        <w:ind w:left="443"/>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1. 在本保函承诺的保证期间内， 你方未书面向我方主张保证责任的，自保证期间届满次日</w:t>
      </w:r>
    </w:p>
    <w:p>
      <w:pPr>
        <w:spacing w:before="1" w:line="220" w:lineRule="auto"/>
        <w:ind w:left="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起，我方保证责任解除。</w:t>
      </w:r>
    </w:p>
    <w:p>
      <w:pPr>
        <w:spacing w:before="157" w:line="220" w:lineRule="auto"/>
        <w:ind w:left="43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 发包人按主合同约定履行了工程款的全部支付义务的，</w:t>
      </w:r>
      <w:r>
        <w:rPr>
          <w:rFonts w:ascii="宋体" w:hAnsi="宋体" w:eastAsia="宋体" w:cs="宋体"/>
          <w:color w:val="auto"/>
          <w:spacing w:val="53"/>
          <w:sz w:val="21"/>
          <w:szCs w:val="21"/>
          <w:highlight w:val="none"/>
        </w:rPr>
        <w:t xml:space="preserve"> </w:t>
      </w:r>
      <w:r>
        <w:rPr>
          <w:rFonts w:ascii="宋体" w:hAnsi="宋体" w:eastAsia="宋体" w:cs="宋体"/>
          <w:color w:val="auto"/>
          <w:spacing w:val="-4"/>
          <w:sz w:val="21"/>
          <w:szCs w:val="21"/>
          <w:highlight w:val="none"/>
        </w:rPr>
        <w:t>自本保函承诺的保证期间届满次</w:t>
      </w:r>
    </w:p>
    <w:p>
      <w:pPr>
        <w:spacing w:line="220" w:lineRule="auto"/>
        <w:rPr>
          <w:rFonts w:ascii="宋体" w:hAnsi="宋体" w:eastAsia="宋体" w:cs="宋体"/>
          <w:color w:val="auto"/>
          <w:sz w:val="21"/>
          <w:szCs w:val="21"/>
          <w:highlight w:val="none"/>
        </w:rPr>
        <w:sectPr>
          <w:footerReference r:id="rId71" w:type="default"/>
          <w:pgSz w:w="11905" w:h="16843"/>
          <w:pgMar w:top="1769" w:right="1548" w:bottom="1003" w:left="1542" w:header="0" w:footer="828" w:gutter="0"/>
          <w:pgNumType w:fmt="numberInDash"/>
          <w:cols w:space="0" w:num="1"/>
          <w:rtlGutter w:val="0"/>
          <w:docGrid w:linePitch="0" w:charSpace="0"/>
        </w:sectPr>
      </w:pPr>
    </w:p>
    <w:p>
      <w:pPr>
        <w:pStyle w:val="2"/>
        <w:spacing w:line="251" w:lineRule="auto"/>
        <w:rPr>
          <w:color w:val="auto"/>
          <w:highlight w:val="none"/>
        </w:rPr>
      </w:pPr>
    </w:p>
    <w:p>
      <w:pPr>
        <w:spacing w:before="68" w:line="221" w:lineRule="auto"/>
        <w:ind w:left="36"/>
        <w:rPr>
          <w:rFonts w:ascii="宋体" w:hAnsi="宋体" w:eastAsia="宋体" w:cs="宋体"/>
          <w:color w:val="auto"/>
          <w:sz w:val="21"/>
          <w:szCs w:val="21"/>
          <w:highlight w:val="none"/>
        </w:rPr>
      </w:pPr>
      <w:bookmarkStart w:id="341" w:name="bookmark381"/>
      <w:bookmarkEnd w:id="341"/>
      <w:r>
        <w:rPr>
          <w:rFonts w:ascii="宋体" w:hAnsi="宋体" w:eastAsia="宋体" w:cs="宋体"/>
          <w:color w:val="auto"/>
          <w:spacing w:val="-12"/>
          <w:sz w:val="21"/>
          <w:szCs w:val="21"/>
          <w:highlight w:val="none"/>
        </w:rPr>
        <w:t>日起， 我方保证责任解除。</w:t>
      </w:r>
    </w:p>
    <w:p>
      <w:pPr>
        <w:spacing w:before="157" w:line="408" w:lineRule="exact"/>
        <w:ind w:left="424"/>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3. 我方按照本保函向你方履行保证责任所支付金额达到本保函保证金额时， 自我方向你方</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支付（支付款项从我方账户划出）之日起，保证责任即解除。</w:t>
      </w:r>
    </w:p>
    <w:p>
      <w:pPr>
        <w:spacing w:before="157" w:line="410" w:lineRule="exact"/>
        <w:ind w:left="419"/>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4. 按照法律法规的规定或出现应解除我方保证责任的其他情形的，</w:t>
      </w:r>
      <w:r>
        <w:rPr>
          <w:rFonts w:ascii="宋体" w:hAnsi="宋体" w:eastAsia="宋体" w:cs="宋体"/>
          <w:color w:val="auto"/>
          <w:spacing w:val="-21"/>
          <w:position w:val="15"/>
          <w:sz w:val="21"/>
          <w:szCs w:val="21"/>
          <w:highlight w:val="none"/>
        </w:rPr>
        <w:t xml:space="preserve"> </w:t>
      </w:r>
      <w:r>
        <w:rPr>
          <w:rFonts w:ascii="宋体" w:hAnsi="宋体" w:eastAsia="宋体" w:cs="宋体"/>
          <w:color w:val="auto"/>
          <w:spacing w:val="-2"/>
          <w:position w:val="15"/>
          <w:sz w:val="21"/>
          <w:szCs w:val="21"/>
          <w:highlight w:val="none"/>
        </w:rPr>
        <w:t>我方在本保函</w:t>
      </w:r>
      <w:r>
        <w:rPr>
          <w:rFonts w:ascii="宋体" w:hAnsi="宋体" w:eastAsia="宋体" w:cs="宋体"/>
          <w:color w:val="auto"/>
          <w:spacing w:val="-3"/>
          <w:position w:val="15"/>
          <w:sz w:val="21"/>
          <w:szCs w:val="21"/>
          <w:highlight w:val="none"/>
        </w:rPr>
        <w:t>项下的保</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证责任亦解除。</w:t>
      </w:r>
    </w:p>
    <w:p>
      <w:pPr>
        <w:pStyle w:val="2"/>
        <w:spacing w:line="247" w:lineRule="auto"/>
        <w:rPr>
          <w:color w:val="auto"/>
          <w:highlight w:val="none"/>
        </w:rPr>
      </w:pPr>
    </w:p>
    <w:p>
      <w:pPr>
        <w:spacing w:before="68" w:line="359" w:lineRule="auto"/>
        <w:ind w:left="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 我方解除保证责任后，你方应自我方保证责任解除</w:t>
      </w:r>
      <w:r>
        <w:rPr>
          <w:rFonts w:ascii="宋体" w:hAnsi="宋体" w:eastAsia="宋体" w:cs="宋体"/>
          <w:color w:val="auto"/>
          <w:spacing w:val="-3"/>
          <w:sz w:val="21"/>
          <w:szCs w:val="21"/>
          <w:highlight w:val="none"/>
        </w:rPr>
        <w:t>之日起</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04"/>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3"/>
          <w:sz w:val="21"/>
          <w:szCs w:val="21"/>
          <w:highlight w:val="none"/>
        </w:rPr>
        <w:t>个工作日内，</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将本保函原件</w:t>
      </w:r>
    </w:p>
    <w:p>
      <w:pPr>
        <w:spacing w:line="222"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返还我方。</w:t>
      </w:r>
    </w:p>
    <w:p>
      <w:pPr>
        <w:spacing w:before="156" w:line="219" w:lineRule="auto"/>
        <w:ind w:left="42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六、免责条款</w:t>
      </w:r>
    </w:p>
    <w:p>
      <w:pPr>
        <w:spacing w:before="161" w:line="221" w:lineRule="auto"/>
        <w:ind w:left="4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 因你方违约致使发包人不能履行义务的，我方不承担</w:t>
      </w:r>
      <w:r>
        <w:rPr>
          <w:rFonts w:ascii="宋体" w:hAnsi="宋体" w:eastAsia="宋体" w:cs="宋体"/>
          <w:color w:val="auto"/>
          <w:spacing w:val="-2"/>
          <w:sz w:val="21"/>
          <w:szCs w:val="21"/>
          <w:highlight w:val="none"/>
        </w:rPr>
        <w:t>保证责任。</w:t>
      </w:r>
    </w:p>
    <w:p>
      <w:pPr>
        <w:spacing w:before="157" w:line="408" w:lineRule="exact"/>
        <w:ind w:left="42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2. 依照法律法规的规定或你方与发包人的另行约定，免除发包人部分或全</w:t>
      </w:r>
      <w:r>
        <w:rPr>
          <w:rFonts w:ascii="宋体" w:hAnsi="宋体" w:eastAsia="宋体" w:cs="宋体"/>
          <w:color w:val="auto"/>
          <w:spacing w:val="-1"/>
          <w:position w:val="15"/>
          <w:sz w:val="21"/>
          <w:szCs w:val="21"/>
          <w:highlight w:val="none"/>
        </w:rPr>
        <w:t>部义务的，我方</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亦免除其相应的保证责任。</w:t>
      </w:r>
    </w:p>
    <w:p>
      <w:pPr>
        <w:spacing w:before="157" w:line="360" w:lineRule="auto"/>
        <w:ind w:left="1" w:right="177" w:firstLine="42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3. 你方与发包人协议变更主合同的， 如加重发包人责任致使我方保证责任加重的， </w:t>
      </w:r>
      <w:r>
        <w:rPr>
          <w:rFonts w:ascii="宋体" w:hAnsi="宋体" w:eastAsia="宋体" w:cs="宋体"/>
          <w:color w:val="auto"/>
          <w:spacing w:val="-6"/>
          <w:sz w:val="21"/>
          <w:szCs w:val="21"/>
          <w:highlight w:val="none"/>
        </w:rPr>
        <w:t>需征得</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我方书面同意， 否则我方不再承担因此而加重部分的保证责任，但</w:t>
      </w:r>
      <w:r>
        <w:rPr>
          <w:rFonts w:ascii="宋体" w:hAnsi="宋体" w:eastAsia="宋体" w:cs="宋体"/>
          <w:color w:val="auto"/>
          <w:spacing w:val="-4"/>
          <w:sz w:val="21"/>
          <w:szCs w:val="21"/>
          <w:highlight w:val="none"/>
        </w:rPr>
        <w:t>主合同第</w:t>
      </w:r>
      <w:r>
        <w:rPr>
          <w:rFonts w:ascii="宋体" w:hAnsi="宋体" w:eastAsia="宋体" w:cs="宋体"/>
          <w:color w:val="auto"/>
          <w:spacing w:val="-31"/>
          <w:sz w:val="21"/>
          <w:szCs w:val="21"/>
          <w:highlight w:val="none"/>
        </w:rPr>
        <w:t xml:space="preserve"> </w:t>
      </w:r>
      <w:r>
        <w:rPr>
          <w:rFonts w:ascii="宋体" w:hAnsi="宋体" w:eastAsia="宋体" w:cs="宋体"/>
          <w:color w:val="auto"/>
          <w:spacing w:val="-4"/>
          <w:sz w:val="21"/>
          <w:szCs w:val="21"/>
          <w:highlight w:val="none"/>
        </w:rPr>
        <w:t>10</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条〔变更〕约定</w:t>
      </w:r>
    </w:p>
    <w:p>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的变更不受本款限制。</w:t>
      </w:r>
    </w:p>
    <w:p>
      <w:pPr>
        <w:spacing w:before="158" w:line="408" w:lineRule="exact"/>
        <w:ind w:left="419"/>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4. 因不可抗力造成发包人不能履行义务的，我方不承担保证责任。</w:t>
      </w:r>
    </w:p>
    <w:p>
      <w:pPr>
        <w:spacing w:before="1" w:line="219" w:lineRule="auto"/>
        <w:ind w:left="419"/>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七、争议解决</w:t>
      </w:r>
    </w:p>
    <w:p>
      <w:pPr>
        <w:spacing w:before="158" w:line="410" w:lineRule="exact"/>
        <w:jc w:val="right"/>
        <w:rPr>
          <w:rFonts w:ascii="宋体" w:hAnsi="宋体" w:eastAsia="宋体" w:cs="宋体"/>
          <w:color w:val="auto"/>
          <w:sz w:val="21"/>
          <w:szCs w:val="21"/>
          <w:highlight w:val="none"/>
        </w:rPr>
      </w:pPr>
      <w:r>
        <w:rPr>
          <w:rFonts w:ascii="宋体" w:hAnsi="宋体" w:eastAsia="宋体" w:cs="宋体"/>
          <w:color w:val="auto"/>
          <w:spacing w:val="14"/>
          <w:position w:val="15"/>
          <w:sz w:val="21"/>
          <w:szCs w:val="21"/>
          <w:highlight w:val="none"/>
        </w:rPr>
        <w:t>因本保函或本保函相关事项发生的纠纷，</w:t>
      </w:r>
      <w:r>
        <w:rPr>
          <w:rFonts w:ascii="宋体" w:hAnsi="宋体" w:eastAsia="宋体" w:cs="宋体"/>
          <w:color w:val="auto"/>
          <w:spacing w:val="-39"/>
          <w:position w:val="15"/>
          <w:sz w:val="21"/>
          <w:szCs w:val="21"/>
          <w:highlight w:val="none"/>
        </w:rPr>
        <w:t xml:space="preserve"> </w:t>
      </w:r>
      <w:r>
        <w:rPr>
          <w:rFonts w:ascii="宋体" w:hAnsi="宋体" w:eastAsia="宋体" w:cs="宋体"/>
          <w:color w:val="auto"/>
          <w:spacing w:val="14"/>
          <w:position w:val="15"/>
          <w:sz w:val="21"/>
          <w:szCs w:val="21"/>
          <w:highlight w:val="none"/>
        </w:rPr>
        <w:t>可由双方协商解决，</w:t>
      </w:r>
      <w:r>
        <w:rPr>
          <w:rFonts w:ascii="宋体" w:hAnsi="宋体" w:eastAsia="宋体" w:cs="宋体"/>
          <w:color w:val="auto"/>
          <w:spacing w:val="-56"/>
          <w:position w:val="15"/>
          <w:sz w:val="21"/>
          <w:szCs w:val="21"/>
          <w:highlight w:val="none"/>
        </w:rPr>
        <w:t xml:space="preserve"> </w:t>
      </w:r>
      <w:r>
        <w:rPr>
          <w:rFonts w:ascii="宋体" w:hAnsi="宋体" w:eastAsia="宋体" w:cs="宋体"/>
          <w:color w:val="auto"/>
          <w:spacing w:val="14"/>
          <w:position w:val="15"/>
          <w:sz w:val="21"/>
          <w:szCs w:val="21"/>
          <w:highlight w:val="none"/>
        </w:rPr>
        <w:t>协商不成的，</w:t>
      </w:r>
      <w:r>
        <w:rPr>
          <w:rFonts w:ascii="宋体" w:hAnsi="宋体" w:eastAsia="宋体" w:cs="宋体"/>
          <w:color w:val="auto"/>
          <w:spacing w:val="-56"/>
          <w:position w:val="15"/>
          <w:sz w:val="21"/>
          <w:szCs w:val="21"/>
          <w:highlight w:val="none"/>
        </w:rPr>
        <w:t xml:space="preserve"> </w:t>
      </w:r>
      <w:r>
        <w:rPr>
          <w:rFonts w:ascii="宋体" w:hAnsi="宋体" w:eastAsia="宋体" w:cs="宋体"/>
          <w:color w:val="auto"/>
          <w:spacing w:val="14"/>
          <w:position w:val="15"/>
          <w:sz w:val="21"/>
          <w:szCs w:val="21"/>
          <w:highlight w:val="none"/>
        </w:rPr>
        <w:t>按下列第</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种方式解决：</w:t>
      </w:r>
    </w:p>
    <w:p>
      <w:pPr>
        <w:spacing w:before="277" w:line="359" w:lineRule="auto"/>
        <w:ind w:left="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（1）向</w:t>
      </w:r>
      <w:r>
        <w:rPr>
          <w:rFonts w:ascii="宋体" w:hAnsi="宋体" w:eastAsia="宋体" w:cs="宋体"/>
          <w:color w:val="auto"/>
          <w:spacing w:val="-8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3"/>
          <w:sz w:val="21"/>
          <w:szCs w:val="21"/>
          <w:highlight w:val="none"/>
        </w:rPr>
        <w:t>仲裁委员会申请仲裁；</w:t>
      </w:r>
    </w:p>
    <w:p>
      <w:pPr>
        <w:spacing w:line="221" w:lineRule="auto"/>
        <w:ind w:left="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（2）向</w:t>
      </w:r>
      <w:r>
        <w:rPr>
          <w:rFonts w:ascii="宋体" w:hAnsi="宋体" w:eastAsia="宋体" w:cs="宋体"/>
          <w:color w:val="auto"/>
          <w:spacing w:val="-8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4"/>
          <w:sz w:val="21"/>
          <w:szCs w:val="21"/>
          <w:highlight w:val="none"/>
        </w:rPr>
        <w:t>人民法院起诉。</w:t>
      </w:r>
    </w:p>
    <w:p>
      <w:pPr>
        <w:spacing w:before="156" w:line="219" w:lineRule="auto"/>
        <w:ind w:left="420"/>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八、保函的生效</w:t>
      </w:r>
    </w:p>
    <w:p>
      <w:pPr>
        <w:spacing w:before="160" w:line="220" w:lineRule="auto"/>
        <w:ind w:left="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本保函自我方法定代表人（或其授权代理人）</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签字并加盖公章之日起生效。</w:t>
      </w:r>
    </w:p>
    <w:p>
      <w:pPr>
        <w:pStyle w:val="2"/>
        <w:spacing w:line="300" w:lineRule="auto"/>
        <w:rPr>
          <w:color w:val="auto"/>
          <w:highlight w:val="none"/>
        </w:rPr>
      </w:pPr>
    </w:p>
    <w:p>
      <w:pPr>
        <w:pStyle w:val="2"/>
        <w:spacing w:line="301" w:lineRule="auto"/>
        <w:rPr>
          <w:color w:val="auto"/>
          <w:highlight w:val="none"/>
        </w:rPr>
      </w:pPr>
    </w:p>
    <w:p>
      <w:pPr>
        <w:pStyle w:val="2"/>
        <w:spacing w:line="301" w:lineRule="auto"/>
        <w:rPr>
          <w:color w:val="auto"/>
          <w:highlight w:val="none"/>
        </w:rPr>
      </w:pPr>
    </w:p>
    <w:p>
      <w:pPr>
        <w:spacing w:before="68" w:line="220" w:lineRule="auto"/>
        <w:ind w:left="26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担保人</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
          <w:sz w:val="21"/>
          <w:szCs w:val="21"/>
          <w:highlight w:val="none"/>
        </w:rPr>
        <w:t>盖章）</w:t>
      </w:r>
    </w:p>
    <w:p>
      <w:pPr>
        <w:spacing w:before="158" w:line="361" w:lineRule="auto"/>
        <w:ind w:left="26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法定代表人或委托代理人</w:t>
      </w:r>
      <w:r>
        <w:rPr>
          <w:rFonts w:ascii="宋体" w:hAnsi="宋体" w:eastAsia="宋体" w:cs="宋体"/>
          <w:color w:val="auto"/>
          <w:spacing w:val="2"/>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3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1"/>
          <w:sz w:val="21"/>
          <w:szCs w:val="21"/>
          <w:highlight w:val="none"/>
        </w:rPr>
        <w:t>签</w:t>
      </w:r>
      <w:r>
        <w:rPr>
          <w:rFonts w:ascii="宋体" w:hAnsi="宋体" w:eastAsia="宋体" w:cs="宋体"/>
          <w:color w:val="auto"/>
          <w:spacing w:val="-6"/>
          <w:sz w:val="21"/>
          <w:szCs w:val="21"/>
          <w:highlight w:val="none"/>
        </w:rPr>
        <w:t>字）</w:t>
      </w:r>
    </w:p>
    <w:p>
      <w:pPr>
        <w:spacing w:before="157" w:line="408" w:lineRule="exact"/>
        <w:ind w:left="2626"/>
        <w:rPr>
          <w:rFonts w:ascii="宋体" w:hAnsi="宋体" w:eastAsia="宋体" w:cs="宋体"/>
          <w:color w:val="auto"/>
          <w:sz w:val="21"/>
          <w:szCs w:val="21"/>
          <w:highlight w:val="none"/>
        </w:rPr>
      </w:pPr>
      <w:r>
        <w:rPr>
          <w:rFonts w:ascii="宋体" w:hAnsi="宋体" w:eastAsia="宋体" w:cs="宋体"/>
          <w:color w:val="auto"/>
          <w:spacing w:val="-12"/>
          <w:position w:val="14"/>
          <w:sz w:val="21"/>
          <w:szCs w:val="21"/>
          <w:highlight w:val="none"/>
        </w:rPr>
        <w:t>地</w:t>
      </w:r>
      <w:r>
        <w:rPr>
          <w:rFonts w:ascii="宋体" w:hAnsi="宋体" w:eastAsia="宋体" w:cs="宋体"/>
          <w:color w:val="auto"/>
          <w:spacing w:val="2"/>
          <w:position w:val="14"/>
          <w:sz w:val="21"/>
          <w:szCs w:val="21"/>
          <w:highlight w:val="none"/>
        </w:rPr>
        <w:t xml:space="preserve">    </w:t>
      </w:r>
      <w:r>
        <w:rPr>
          <w:rFonts w:ascii="宋体" w:hAnsi="宋体" w:eastAsia="宋体" w:cs="宋体"/>
          <w:color w:val="auto"/>
          <w:spacing w:val="-12"/>
          <w:position w:val="14"/>
          <w:sz w:val="21"/>
          <w:szCs w:val="21"/>
          <w:highlight w:val="none"/>
        </w:rPr>
        <w:t>址：</w:t>
      </w:r>
    </w:p>
    <w:p>
      <w:pPr>
        <w:spacing w:before="1" w:line="220" w:lineRule="auto"/>
        <w:ind w:left="264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邮政编码：</w:t>
      </w:r>
    </w:p>
    <w:p>
      <w:pPr>
        <w:spacing w:before="157" w:line="220" w:lineRule="auto"/>
        <w:ind w:left="262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2"/>
          <w:sz w:val="21"/>
          <w:szCs w:val="21"/>
          <w:highlight w:val="none"/>
        </w:rPr>
        <w:t xml:space="preserve">    </w:t>
      </w:r>
      <w:r>
        <w:rPr>
          <w:rFonts w:ascii="宋体" w:hAnsi="宋体" w:eastAsia="宋体" w:cs="宋体"/>
          <w:color w:val="auto"/>
          <w:spacing w:val="-12"/>
          <w:sz w:val="21"/>
          <w:szCs w:val="21"/>
          <w:highlight w:val="none"/>
        </w:rPr>
        <w:t>真：</w:t>
      </w:r>
    </w:p>
    <w:p>
      <w:pPr>
        <w:pStyle w:val="2"/>
        <w:spacing w:line="248" w:lineRule="auto"/>
        <w:rPr>
          <w:color w:val="auto"/>
          <w:highlight w:val="none"/>
        </w:rPr>
      </w:pPr>
    </w:p>
    <w:p>
      <w:pPr>
        <w:pStyle w:val="2"/>
        <w:spacing w:line="248" w:lineRule="auto"/>
        <w:rPr>
          <w:color w:val="auto"/>
          <w:highlight w:val="none"/>
        </w:rPr>
      </w:pPr>
    </w:p>
    <w:p>
      <w:pPr>
        <w:tabs>
          <w:tab w:val="left" w:pos="5557"/>
        </w:tabs>
        <w:spacing w:before="68" w:line="221" w:lineRule="auto"/>
        <w:ind w:left="398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57"/>
          <w:sz w:val="21"/>
          <w:szCs w:val="21"/>
          <w:highlight w:val="none"/>
        </w:rPr>
        <w:t xml:space="preserve"> </w:t>
      </w:r>
      <w:r>
        <w:rPr>
          <w:rFonts w:ascii="宋体" w:hAnsi="宋体" w:eastAsia="宋体" w:cs="宋体"/>
          <w:color w:val="auto"/>
          <w:spacing w:val="-7"/>
          <w:sz w:val="21"/>
          <w:szCs w:val="21"/>
          <w:highlight w:val="none"/>
        </w:rPr>
        <w:t>日</w:t>
      </w:r>
    </w:p>
    <w:p>
      <w:pPr>
        <w:spacing w:line="221" w:lineRule="auto"/>
        <w:rPr>
          <w:rFonts w:ascii="宋体" w:hAnsi="宋体" w:eastAsia="宋体" w:cs="宋体"/>
          <w:color w:val="auto"/>
          <w:sz w:val="21"/>
          <w:szCs w:val="21"/>
          <w:highlight w:val="none"/>
        </w:rPr>
        <w:sectPr>
          <w:footerReference r:id="rId72" w:type="default"/>
          <w:pgSz w:w="11905" w:h="16843"/>
          <w:pgMar w:top="1769" w:right="1548" w:bottom="1003" w:left="1542" w:header="0" w:footer="828" w:gutter="0"/>
          <w:pgNumType w:fmt="numberInDash"/>
          <w:cols w:space="0" w:num="1"/>
          <w:rtlGutter w:val="0"/>
          <w:docGrid w:linePitch="0" w:charSpace="0"/>
        </w:sectPr>
      </w:pPr>
    </w:p>
    <w:p>
      <w:pPr>
        <w:pStyle w:val="2"/>
        <w:spacing w:line="272" w:lineRule="auto"/>
        <w:rPr>
          <w:color w:val="auto"/>
          <w:highlight w:val="none"/>
        </w:rPr>
      </w:pPr>
    </w:p>
    <w:p>
      <w:pPr>
        <w:spacing w:before="78" w:line="219" w:lineRule="auto"/>
        <w:ind w:left="140"/>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附件</w:t>
      </w:r>
      <w:r>
        <w:rPr>
          <w:rFonts w:ascii="宋体" w:hAnsi="宋体" w:eastAsia="宋体" w:cs="宋体"/>
          <w:color w:val="auto"/>
          <w:spacing w:val="-30"/>
          <w:sz w:val="24"/>
          <w:szCs w:val="24"/>
          <w:highlight w:val="none"/>
        </w:rPr>
        <w:t xml:space="preserve"> </w:t>
      </w:r>
      <w:r>
        <w:rPr>
          <w:rFonts w:ascii="宋体" w:hAnsi="宋体" w:eastAsia="宋体" w:cs="宋体"/>
          <w:color w:val="auto"/>
          <w:spacing w:val="-12"/>
          <w:sz w:val="24"/>
          <w:szCs w:val="24"/>
          <w:highlight w:val="none"/>
        </w:rPr>
        <w:t>11：</w:t>
      </w:r>
    </w:p>
    <w:p>
      <w:pPr>
        <w:spacing w:before="240" w:line="219" w:lineRule="auto"/>
        <w:ind w:left="3364"/>
        <w:rPr>
          <w:rFonts w:ascii="黑体" w:hAnsi="黑体" w:eastAsia="黑体" w:cs="黑体"/>
          <w:color w:val="auto"/>
          <w:sz w:val="28"/>
          <w:szCs w:val="28"/>
          <w:highlight w:val="none"/>
        </w:rPr>
      </w:pPr>
      <w:bookmarkStart w:id="342" w:name="bookmark382"/>
      <w:bookmarkEnd w:id="342"/>
      <w:r>
        <w:rPr>
          <w:rFonts w:ascii="Times New Roman" w:hAnsi="Times New Roman" w:eastAsia="Times New Roman" w:cs="Times New Roman"/>
          <w:color w:val="auto"/>
          <w:spacing w:val="-7"/>
          <w:sz w:val="28"/>
          <w:szCs w:val="28"/>
          <w:highlight w:val="none"/>
        </w:rPr>
        <w:t>11-</w:t>
      </w:r>
      <w:r>
        <w:rPr>
          <w:rFonts w:ascii="Times New Roman" w:hAnsi="Times New Roman" w:eastAsia="Times New Roman" w:cs="Times New Roman"/>
          <w:color w:val="auto"/>
          <w:spacing w:val="-34"/>
          <w:sz w:val="28"/>
          <w:szCs w:val="28"/>
          <w:highlight w:val="none"/>
        </w:rPr>
        <w:t xml:space="preserve"> </w:t>
      </w:r>
      <w:r>
        <w:rPr>
          <w:rFonts w:ascii="Times New Roman" w:hAnsi="Times New Roman" w:eastAsia="Times New Roman" w:cs="Times New Roman"/>
          <w:color w:val="auto"/>
          <w:spacing w:val="-7"/>
          <w:sz w:val="28"/>
          <w:szCs w:val="28"/>
          <w:highlight w:val="none"/>
        </w:rPr>
        <w:t>1</w:t>
      </w:r>
      <w:r>
        <w:rPr>
          <w:rFonts w:ascii="黑体" w:hAnsi="黑体" w:eastAsia="黑体" w:cs="黑体"/>
          <w:color w:val="auto"/>
          <w:spacing w:val="-7"/>
          <w:sz w:val="28"/>
          <w:szCs w:val="28"/>
          <w:highlight w:val="none"/>
        </w:rPr>
        <w:t>：材料暂估价表</w:t>
      </w:r>
    </w:p>
    <w:p>
      <w:pPr>
        <w:spacing w:line="114" w:lineRule="exact"/>
        <w:rPr>
          <w:color w:val="auto"/>
          <w:highlight w:val="none"/>
        </w:rPr>
      </w:pPr>
    </w:p>
    <w:tbl>
      <w:tblPr>
        <w:tblStyle w:val="9"/>
        <w:tblW w:w="907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977"/>
        <w:gridCol w:w="850"/>
        <w:gridCol w:w="771"/>
        <w:gridCol w:w="1350"/>
        <w:gridCol w:w="14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005" w:type="dxa"/>
            <w:tcBorders>
              <w:top w:val="single" w:color="000000" w:sz="10" w:space="0"/>
              <w:left w:val="single" w:color="000000" w:sz="10" w:space="0"/>
            </w:tcBorders>
            <w:vAlign w:val="top"/>
          </w:tcPr>
          <w:p>
            <w:pPr>
              <w:pStyle w:val="10"/>
              <w:spacing w:before="177" w:line="222" w:lineRule="auto"/>
              <w:ind w:left="282"/>
              <w:rPr>
                <w:color w:val="auto"/>
                <w:highlight w:val="none"/>
              </w:rPr>
            </w:pPr>
            <w:r>
              <w:rPr>
                <w:color w:val="auto"/>
                <w:spacing w:val="-2"/>
                <w:highlight w:val="none"/>
              </w:rPr>
              <w:t>序号</w:t>
            </w:r>
          </w:p>
        </w:tc>
        <w:tc>
          <w:tcPr>
            <w:tcW w:w="1977" w:type="dxa"/>
            <w:tcBorders>
              <w:top w:val="single" w:color="000000" w:sz="10" w:space="0"/>
            </w:tcBorders>
            <w:vAlign w:val="top"/>
          </w:tcPr>
          <w:p>
            <w:pPr>
              <w:pStyle w:val="10"/>
              <w:spacing w:before="177" w:line="223" w:lineRule="auto"/>
              <w:ind w:left="776"/>
              <w:rPr>
                <w:color w:val="auto"/>
                <w:highlight w:val="none"/>
              </w:rPr>
            </w:pPr>
            <w:r>
              <w:rPr>
                <w:color w:val="auto"/>
                <w:spacing w:val="-3"/>
                <w:highlight w:val="none"/>
              </w:rPr>
              <w:t>名称</w:t>
            </w:r>
          </w:p>
        </w:tc>
        <w:tc>
          <w:tcPr>
            <w:tcW w:w="850" w:type="dxa"/>
            <w:tcBorders>
              <w:top w:val="single" w:color="000000" w:sz="10" w:space="0"/>
            </w:tcBorders>
            <w:vAlign w:val="top"/>
          </w:tcPr>
          <w:p>
            <w:pPr>
              <w:pStyle w:val="10"/>
              <w:spacing w:before="177" w:line="221" w:lineRule="auto"/>
              <w:ind w:left="217"/>
              <w:rPr>
                <w:color w:val="auto"/>
                <w:highlight w:val="none"/>
              </w:rPr>
            </w:pPr>
            <w:r>
              <w:rPr>
                <w:color w:val="auto"/>
                <w:spacing w:val="-2"/>
                <w:highlight w:val="none"/>
              </w:rPr>
              <w:t>单位</w:t>
            </w:r>
          </w:p>
        </w:tc>
        <w:tc>
          <w:tcPr>
            <w:tcW w:w="771" w:type="dxa"/>
            <w:tcBorders>
              <w:top w:val="single" w:color="000000" w:sz="10" w:space="0"/>
            </w:tcBorders>
            <w:vAlign w:val="top"/>
          </w:tcPr>
          <w:p>
            <w:pPr>
              <w:pStyle w:val="10"/>
              <w:spacing w:before="177" w:line="221" w:lineRule="auto"/>
              <w:ind w:left="180"/>
              <w:rPr>
                <w:color w:val="auto"/>
                <w:highlight w:val="none"/>
              </w:rPr>
            </w:pPr>
            <w:r>
              <w:rPr>
                <w:color w:val="auto"/>
                <w:spacing w:val="-2"/>
                <w:highlight w:val="none"/>
              </w:rPr>
              <w:t>数量</w:t>
            </w:r>
          </w:p>
        </w:tc>
        <w:tc>
          <w:tcPr>
            <w:tcW w:w="1350" w:type="dxa"/>
            <w:tcBorders>
              <w:top w:val="single" w:color="000000" w:sz="10" w:space="0"/>
            </w:tcBorders>
            <w:vAlign w:val="top"/>
          </w:tcPr>
          <w:p>
            <w:pPr>
              <w:pStyle w:val="10"/>
              <w:spacing w:before="177" w:line="219" w:lineRule="auto"/>
              <w:ind w:left="156"/>
              <w:rPr>
                <w:color w:val="auto"/>
                <w:highlight w:val="none"/>
              </w:rPr>
            </w:pPr>
            <w:r>
              <w:rPr>
                <w:color w:val="auto"/>
                <w:spacing w:val="-5"/>
                <w:highlight w:val="none"/>
              </w:rPr>
              <w:t>单价（元）</w:t>
            </w:r>
          </w:p>
        </w:tc>
        <w:tc>
          <w:tcPr>
            <w:tcW w:w="1412" w:type="dxa"/>
            <w:tcBorders>
              <w:top w:val="single" w:color="000000" w:sz="10" w:space="0"/>
            </w:tcBorders>
            <w:vAlign w:val="top"/>
          </w:tcPr>
          <w:p>
            <w:pPr>
              <w:pStyle w:val="10"/>
              <w:spacing w:before="177" w:line="219" w:lineRule="auto"/>
              <w:ind w:left="188"/>
              <w:rPr>
                <w:color w:val="auto"/>
                <w:highlight w:val="none"/>
              </w:rPr>
            </w:pPr>
            <w:r>
              <w:rPr>
                <w:color w:val="auto"/>
                <w:spacing w:val="-4"/>
                <w:highlight w:val="none"/>
              </w:rPr>
              <w:t>合价（元）</w:t>
            </w:r>
          </w:p>
        </w:tc>
        <w:tc>
          <w:tcPr>
            <w:tcW w:w="1712" w:type="dxa"/>
            <w:tcBorders>
              <w:top w:val="single" w:color="000000" w:sz="10" w:space="0"/>
              <w:right w:val="single" w:color="000000" w:sz="10" w:space="0"/>
            </w:tcBorders>
            <w:vAlign w:val="top"/>
          </w:tcPr>
          <w:p>
            <w:pPr>
              <w:pStyle w:val="10"/>
              <w:spacing w:before="177" w:line="222" w:lineRule="auto"/>
              <w:ind w:left="655"/>
              <w:rPr>
                <w:color w:val="auto"/>
                <w:highlight w:val="none"/>
              </w:rPr>
            </w:pPr>
            <w:r>
              <w:rPr>
                <w:color w:val="auto"/>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005" w:type="dxa"/>
            <w:tcBorders>
              <w:left w:val="single" w:color="000000" w:sz="10" w:space="0"/>
              <w:bottom w:val="single" w:color="000000" w:sz="10" w:space="0"/>
            </w:tcBorders>
            <w:vAlign w:val="top"/>
          </w:tcPr>
          <w:p>
            <w:pPr>
              <w:rPr>
                <w:rFonts w:ascii="Arial"/>
                <w:color w:val="auto"/>
                <w:sz w:val="21"/>
                <w:highlight w:val="none"/>
              </w:rPr>
            </w:pPr>
          </w:p>
        </w:tc>
        <w:tc>
          <w:tcPr>
            <w:tcW w:w="1977" w:type="dxa"/>
            <w:tcBorders>
              <w:bottom w:val="single" w:color="000000" w:sz="10" w:space="0"/>
            </w:tcBorders>
            <w:vAlign w:val="top"/>
          </w:tcPr>
          <w:p>
            <w:pPr>
              <w:rPr>
                <w:rFonts w:ascii="Arial"/>
                <w:color w:val="auto"/>
                <w:sz w:val="21"/>
                <w:highlight w:val="none"/>
              </w:rPr>
            </w:pPr>
          </w:p>
        </w:tc>
        <w:tc>
          <w:tcPr>
            <w:tcW w:w="850" w:type="dxa"/>
            <w:tcBorders>
              <w:bottom w:val="single" w:color="000000" w:sz="10" w:space="0"/>
            </w:tcBorders>
            <w:vAlign w:val="top"/>
          </w:tcPr>
          <w:p>
            <w:pPr>
              <w:rPr>
                <w:rFonts w:ascii="Arial"/>
                <w:color w:val="auto"/>
                <w:sz w:val="21"/>
                <w:highlight w:val="none"/>
              </w:rPr>
            </w:pPr>
          </w:p>
        </w:tc>
        <w:tc>
          <w:tcPr>
            <w:tcW w:w="771" w:type="dxa"/>
            <w:tcBorders>
              <w:bottom w:val="single" w:color="000000" w:sz="10" w:space="0"/>
            </w:tcBorders>
            <w:vAlign w:val="top"/>
          </w:tcPr>
          <w:p>
            <w:pPr>
              <w:rPr>
                <w:rFonts w:ascii="Arial"/>
                <w:color w:val="auto"/>
                <w:sz w:val="21"/>
                <w:highlight w:val="none"/>
              </w:rPr>
            </w:pPr>
          </w:p>
        </w:tc>
        <w:tc>
          <w:tcPr>
            <w:tcW w:w="1350" w:type="dxa"/>
            <w:tcBorders>
              <w:bottom w:val="single" w:color="000000" w:sz="10" w:space="0"/>
            </w:tcBorders>
            <w:vAlign w:val="top"/>
          </w:tcPr>
          <w:p>
            <w:pPr>
              <w:rPr>
                <w:rFonts w:ascii="Arial"/>
                <w:color w:val="auto"/>
                <w:sz w:val="21"/>
                <w:highlight w:val="none"/>
              </w:rPr>
            </w:pPr>
          </w:p>
        </w:tc>
        <w:tc>
          <w:tcPr>
            <w:tcW w:w="1412" w:type="dxa"/>
            <w:tcBorders>
              <w:bottom w:val="single" w:color="000000" w:sz="10" w:space="0"/>
            </w:tcBorders>
            <w:vAlign w:val="top"/>
          </w:tcPr>
          <w:p>
            <w:pPr>
              <w:rPr>
                <w:rFonts w:ascii="Arial"/>
                <w:color w:val="auto"/>
                <w:sz w:val="21"/>
                <w:highlight w:val="none"/>
              </w:rPr>
            </w:pPr>
          </w:p>
        </w:tc>
        <w:tc>
          <w:tcPr>
            <w:tcW w:w="1712" w:type="dxa"/>
            <w:tcBorders>
              <w:bottom w:val="single" w:color="000000" w:sz="10" w:space="0"/>
              <w:right w:val="single" w:color="000000" w:sz="10" w:space="0"/>
            </w:tcBorders>
            <w:vAlign w:val="top"/>
          </w:tcPr>
          <w:p>
            <w:pPr>
              <w:rPr>
                <w:rFonts w:ascii="Arial"/>
                <w:color w:val="auto"/>
                <w:sz w:val="21"/>
                <w:highlight w:val="none"/>
              </w:rPr>
            </w:pPr>
          </w:p>
        </w:tc>
      </w:tr>
    </w:tbl>
    <w:p>
      <w:pPr>
        <w:rPr>
          <w:color w:val="auto"/>
          <w:highlight w:val="none"/>
        </w:rPr>
        <w:sectPr>
          <w:footerReference r:id="rId73" w:type="default"/>
          <w:pgSz w:w="11905" w:h="16843"/>
          <w:pgMar w:top="1769" w:right="1548" w:bottom="1003" w:left="1542" w:header="0" w:footer="828" w:gutter="0"/>
          <w:pgNumType w:fmt="numberInDash"/>
          <w:cols w:space="0" w:num="1"/>
          <w:rtlGutter w:val="0"/>
          <w:docGrid w:linePitch="0" w:charSpace="0"/>
        </w:sectPr>
      </w:pPr>
    </w:p>
    <w:p>
      <w:pPr>
        <w:pStyle w:val="2"/>
        <w:spacing w:line="263" w:lineRule="auto"/>
        <w:rPr>
          <w:color w:val="auto"/>
          <w:highlight w:val="none"/>
        </w:rPr>
      </w:pPr>
    </w:p>
    <w:p>
      <w:pPr>
        <w:spacing w:before="91" w:line="219" w:lineRule="auto"/>
        <w:ind w:left="3083"/>
        <w:rPr>
          <w:rFonts w:ascii="黑体" w:hAnsi="黑体" w:eastAsia="黑体" w:cs="黑体"/>
          <w:color w:val="auto"/>
          <w:sz w:val="28"/>
          <w:szCs w:val="28"/>
          <w:highlight w:val="none"/>
        </w:rPr>
      </w:pPr>
      <w:bookmarkStart w:id="343" w:name="bookmark383"/>
      <w:bookmarkEnd w:id="343"/>
      <w:r>
        <w:rPr>
          <w:rFonts w:ascii="Times New Roman" w:hAnsi="Times New Roman" w:eastAsia="Times New Roman" w:cs="Times New Roman"/>
          <w:color w:val="auto"/>
          <w:spacing w:val="-4"/>
          <w:sz w:val="28"/>
          <w:szCs w:val="28"/>
          <w:highlight w:val="none"/>
        </w:rPr>
        <w:t>11-2</w:t>
      </w:r>
      <w:r>
        <w:rPr>
          <w:rFonts w:ascii="黑体" w:hAnsi="黑体" w:eastAsia="黑体" w:cs="黑体"/>
          <w:color w:val="auto"/>
          <w:spacing w:val="-4"/>
          <w:sz w:val="28"/>
          <w:szCs w:val="28"/>
          <w:highlight w:val="none"/>
        </w:rPr>
        <w:t>：工程设备暂估价表</w:t>
      </w:r>
    </w:p>
    <w:p>
      <w:pPr>
        <w:spacing w:line="114" w:lineRule="exact"/>
        <w:rPr>
          <w:color w:val="auto"/>
          <w:highlight w:val="none"/>
        </w:rPr>
      </w:pPr>
    </w:p>
    <w:tbl>
      <w:tblPr>
        <w:tblStyle w:val="9"/>
        <w:tblW w:w="907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977"/>
        <w:gridCol w:w="850"/>
        <w:gridCol w:w="771"/>
        <w:gridCol w:w="1350"/>
        <w:gridCol w:w="14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005" w:type="dxa"/>
            <w:tcBorders>
              <w:top w:val="single" w:color="000000" w:sz="10" w:space="0"/>
              <w:left w:val="single" w:color="000000" w:sz="10" w:space="0"/>
            </w:tcBorders>
            <w:vAlign w:val="top"/>
          </w:tcPr>
          <w:p>
            <w:pPr>
              <w:pStyle w:val="10"/>
              <w:spacing w:before="177" w:line="222" w:lineRule="auto"/>
              <w:ind w:left="282"/>
              <w:rPr>
                <w:color w:val="auto"/>
                <w:highlight w:val="none"/>
              </w:rPr>
            </w:pPr>
            <w:r>
              <w:rPr>
                <w:color w:val="auto"/>
                <w:spacing w:val="-2"/>
                <w:highlight w:val="none"/>
              </w:rPr>
              <w:t>序号</w:t>
            </w:r>
          </w:p>
        </w:tc>
        <w:tc>
          <w:tcPr>
            <w:tcW w:w="1977" w:type="dxa"/>
            <w:tcBorders>
              <w:top w:val="single" w:color="000000" w:sz="10" w:space="0"/>
            </w:tcBorders>
            <w:vAlign w:val="top"/>
          </w:tcPr>
          <w:p>
            <w:pPr>
              <w:pStyle w:val="10"/>
              <w:spacing w:before="177" w:line="223" w:lineRule="auto"/>
              <w:ind w:left="776"/>
              <w:rPr>
                <w:color w:val="auto"/>
                <w:highlight w:val="none"/>
              </w:rPr>
            </w:pPr>
            <w:r>
              <w:rPr>
                <w:color w:val="auto"/>
                <w:spacing w:val="-3"/>
                <w:highlight w:val="none"/>
              </w:rPr>
              <w:t>名称</w:t>
            </w:r>
          </w:p>
        </w:tc>
        <w:tc>
          <w:tcPr>
            <w:tcW w:w="850" w:type="dxa"/>
            <w:tcBorders>
              <w:top w:val="single" w:color="000000" w:sz="10" w:space="0"/>
            </w:tcBorders>
            <w:vAlign w:val="top"/>
          </w:tcPr>
          <w:p>
            <w:pPr>
              <w:pStyle w:val="10"/>
              <w:spacing w:before="177" w:line="221" w:lineRule="auto"/>
              <w:ind w:left="217"/>
              <w:rPr>
                <w:color w:val="auto"/>
                <w:highlight w:val="none"/>
              </w:rPr>
            </w:pPr>
            <w:r>
              <w:rPr>
                <w:color w:val="auto"/>
                <w:spacing w:val="-2"/>
                <w:highlight w:val="none"/>
              </w:rPr>
              <w:t>单位</w:t>
            </w:r>
          </w:p>
        </w:tc>
        <w:tc>
          <w:tcPr>
            <w:tcW w:w="771" w:type="dxa"/>
            <w:tcBorders>
              <w:top w:val="single" w:color="000000" w:sz="10" w:space="0"/>
            </w:tcBorders>
            <w:vAlign w:val="top"/>
          </w:tcPr>
          <w:p>
            <w:pPr>
              <w:pStyle w:val="10"/>
              <w:spacing w:before="177" w:line="221" w:lineRule="auto"/>
              <w:ind w:left="180"/>
              <w:rPr>
                <w:color w:val="auto"/>
                <w:highlight w:val="none"/>
              </w:rPr>
            </w:pPr>
            <w:r>
              <w:rPr>
                <w:color w:val="auto"/>
                <w:spacing w:val="-2"/>
                <w:highlight w:val="none"/>
              </w:rPr>
              <w:t>数量</w:t>
            </w:r>
          </w:p>
        </w:tc>
        <w:tc>
          <w:tcPr>
            <w:tcW w:w="1350" w:type="dxa"/>
            <w:tcBorders>
              <w:top w:val="single" w:color="000000" w:sz="10" w:space="0"/>
            </w:tcBorders>
            <w:vAlign w:val="top"/>
          </w:tcPr>
          <w:p>
            <w:pPr>
              <w:pStyle w:val="10"/>
              <w:spacing w:before="177" w:line="219" w:lineRule="auto"/>
              <w:ind w:left="156"/>
              <w:rPr>
                <w:color w:val="auto"/>
                <w:highlight w:val="none"/>
              </w:rPr>
            </w:pPr>
            <w:r>
              <w:rPr>
                <w:color w:val="auto"/>
                <w:spacing w:val="-5"/>
                <w:highlight w:val="none"/>
              </w:rPr>
              <w:t>单价（元）</w:t>
            </w:r>
          </w:p>
        </w:tc>
        <w:tc>
          <w:tcPr>
            <w:tcW w:w="1412" w:type="dxa"/>
            <w:tcBorders>
              <w:top w:val="single" w:color="000000" w:sz="10" w:space="0"/>
            </w:tcBorders>
            <w:vAlign w:val="top"/>
          </w:tcPr>
          <w:p>
            <w:pPr>
              <w:pStyle w:val="10"/>
              <w:spacing w:before="177" w:line="219" w:lineRule="auto"/>
              <w:ind w:left="188"/>
              <w:rPr>
                <w:color w:val="auto"/>
                <w:highlight w:val="none"/>
              </w:rPr>
            </w:pPr>
            <w:r>
              <w:rPr>
                <w:color w:val="auto"/>
                <w:spacing w:val="-4"/>
                <w:highlight w:val="none"/>
              </w:rPr>
              <w:t>合价（元）</w:t>
            </w:r>
          </w:p>
        </w:tc>
        <w:tc>
          <w:tcPr>
            <w:tcW w:w="1712" w:type="dxa"/>
            <w:tcBorders>
              <w:top w:val="single" w:color="000000" w:sz="10" w:space="0"/>
              <w:right w:val="single" w:color="000000" w:sz="10" w:space="0"/>
            </w:tcBorders>
            <w:vAlign w:val="top"/>
          </w:tcPr>
          <w:p>
            <w:pPr>
              <w:pStyle w:val="10"/>
              <w:spacing w:before="177" w:line="222" w:lineRule="auto"/>
              <w:ind w:left="655"/>
              <w:rPr>
                <w:color w:val="auto"/>
                <w:highlight w:val="none"/>
              </w:rPr>
            </w:pPr>
            <w:r>
              <w:rPr>
                <w:color w:val="auto"/>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850" w:type="dxa"/>
            <w:vAlign w:val="top"/>
          </w:tcPr>
          <w:p>
            <w:pPr>
              <w:rPr>
                <w:rFonts w:ascii="Arial"/>
                <w:color w:val="auto"/>
                <w:sz w:val="21"/>
                <w:highlight w:val="none"/>
              </w:rPr>
            </w:pPr>
          </w:p>
        </w:tc>
        <w:tc>
          <w:tcPr>
            <w:tcW w:w="771" w:type="dxa"/>
            <w:vAlign w:val="top"/>
          </w:tcPr>
          <w:p>
            <w:pPr>
              <w:rPr>
                <w:rFonts w:ascii="Arial"/>
                <w:color w:val="auto"/>
                <w:sz w:val="21"/>
                <w:highlight w:val="none"/>
              </w:rPr>
            </w:pPr>
          </w:p>
        </w:tc>
        <w:tc>
          <w:tcPr>
            <w:tcW w:w="1350" w:type="dxa"/>
            <w:vAlign w:val="top"/>
          </w:tcPr>
          <w:p>
            <w:pPr>
              <w:rPr>
                <w:rFonts w:ascii="Arial"/>
                <w:color w:val="auto"/>
                <w:sz w:val="21"/>
                <w:highlight w:val="none"/>
              </w:rPr>
            </w:pPr>
          </w:p>
        </w:tc>
        <w:tc>
          <w:tcPr>
            <w:tcW w:w="1412" w:type="dxa"/>
            <w:vAlign w:val="top"/>
          </w:tcPr>
          <w:p>
            <w:pPr>
              <w:rPr>
                <w:rFonts w:ascii="Arial"/>
                <w:color w:val="auto"/>
                <w:sz w:val="21"/>
                <w:highlight w:val="none"/>
              </w:rPr>
            </w:pPr>
          </w:p>
        </w:tc>
        <w:tc>
          <w:tcPr>
            <w:tcW w:w="1712"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5" w:type="dxa"/>
            <w:tcBorders>
              <w:left w:val="single" w:color="000000" w:sz="10" w:space="0"/>
              <w:bottom w:val="single" w:color="000000" w:sz="10" w:space="0"/>
            </w:tcBorders>
            <w:vAlign w:val="top"/>
          </w:tcPr>
          <w:p>
            <w:pPr>
              <w:rPr>
                <w:rFonts w:ascii="Arial"/>
                <w:color w:val="auto"/>
                <w:sz w:val="21"/>
                <w:highlight w:val="none"/>
              </w:rPr>
            </w:pPr>
          </w:p>
        </w:tc>
        <w:tc>
          <w:tcPr>
            <w:tcW w:w="1977" w:type="dxa"/>
            <w:tcBorders>
              <w:bottom w:val="single" w:color="000000" w:sz="10" w:space="0"/>
            </w:tcBorders>
            <w:vAlign w:val="top"/>
          </w:tcPr>
          <w:p>
            <w:pPr>
              <w:rPr>
                <w:rFonts w:ascii="Arial"/>
                <w:color w:val="auto"/>
                <w:sz w:val="21"/>
                <w:highlight w:val="none"/>
              </w:rPr>
            </w:pPr>
          </w:p>
        </w:tc>
        <w:tc>
          <w:tcPr>
            <w:tcW w:w="850" w:type="dxa"/>
            <w:tcBorders>
              <w:bottom w:val="single" w:color="000000" w:sz="10" w:space="0"/>
            </w:tcBorders>
            <w:vAlign w:val="top"/>
          </w:tcPr>
          <w:p>
            <w:pPr>
              <w:rPr>
                <w:rFonts w:ascii="Arial"/>
                <w:color w:val="auto"/>
                <w:sz w:val="21"/>
                <w:highlight w:val="none"/>
              </w:rPr>
            </w:pPr>
          </w:p>
        </w:tc>
        <w:tc>
          <w:tcPr>
            <w:tcW w:w="771" w:type="dxa"/>
            <w:tcBorders>
              <w:bottom w:val="single" w:color="000000" w:sz="10" w:space="0"/>
            </w:tcBorders>
            <w:vAlign w:val="top"/>
          </w:tcPr>
          <w:p>
            <w:pPr>
              <w:rPr>
                <w:rFonts w:ascii="Arial"/>
                <w:color w:val="auto"/>
                <w:sz w:val="21"/>
                <w:highlight w:val="none"/>
              </w:rPr>
            </w:pPr>
          </w:p>
        </w:tc>
        <w:tc>
          <w:tcPr>
            <w:tcW w:w="1350" w:type="dxa"/>
            <w:tcBorders>
              <w:bottom w:val="single" w:color="000000" w:sz="10" w:space="0"/>
            </w:tcBorders>
            <w:vAlign w:val="top"/>
          </w:tcPr>
          <w:p>
            <w:pPr>
              <w:rPr>
                <w:rFonts w:ascii="Arial"/>
                <w:color w:val="auto"/>
                <w:sz w:val="21"/>
                <w:highlight w:val="none"/>
              </w:rPr>
            </w:pPr>
          </w:p>
        </w:tc>
        <w:tc>
          <w:tcPr>
            <w:tcW w:w="1412" w:type="dxa"/>
            <w:tcBorders>
              <w:bottom w:val="single" w:color="000000" w:sz="10" w:space="0"/>
            </w:tcBorders>
            <w:vAlign w:val="top"/>
          </w:tcPr>
          <w:p>
            <w:pPr>
              <w:rPr>
                <w:rFonts w:ascii="Arial"/>
                <w:color w:val="auto"/>
                <w:sz w:val="21"/>
                <w:highlight w:val="none"/>
              </w:rPr>
            </w:pPr>
          </w:p>
        </w:tc>
        <w:tc>
          <w:tcPr>
            <w:tcW w:w="1712" w:type="dxa"/>
            <w:tcBorders>
              <w:bottom w:val="single" w:color="000000" w:sz="10" w:space="0"/>
              <w:right w:val="single" w:color="000000" w:sz="10" w:space="0"/>
            </w:tcBorders>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74" w:type="default"/>
          <w:pgSz w:w="11905" w:h="16843"/>
          <w:pgMar w:top="1769" w:right="1548" w:bottom="1003" w:left="1542" w:header="0" w:footer="828" w:gutter="0"/>
          <w:pgNumType w:fmt="numberInDash"/>
          <w:cols w:space="0" w:num="1"/>
          <w:rtlGutter w:val="0"/>
          <w:docGrid w:linePitch="0" w:charSpace="0"/>
        </w:sectPr>
      </w:pPr>
    </w:p>
    <w:p>
      <w:pPr>
        <w:spacing w:before="91" w:line="219" w:lineRule="auto"/>
        <w:ind w:left="2970"/>
        <w:rPr>
          <w:rFonts w:ascii="黑体" w:hAnsi="黑体" w:eastAsia="黑体" w:cs="黑体"/>
          <w:color w:val="auto"/>
          <w:sz w:val="28"/>
          <w:szCs w:val="28"/>
          <w:highlight w:val="none"/>
        </w:rPr>
      </w:pPr>
      <w:bookmarkStart w:id="344" w:name="bookmark384"/>
      <w:bookmarkEnd w:id="344"/>
      <w:r>
        <w:rPr>
          <w:rFonts w:ascii="Times New Roman" w:hAnsi="Times New Roman" w:eastAsia="Times New Roman" w:cs="Times New Roman"/>
          <w:color w:val="auto"/>
          <w:spacing w:val="-4"/>
          <w:sz w:val="28"/>
          <w:szCs w:val="28"/>
          <w:highlight w:val="none"/>
        </w:rPr>
        <w:t>11-3</w:t>
      </w:r>
      <w:r>
        <w:rPr>
          <w:rFonts w:ascii="黑体" w:hAnsi="黑体" w:eastAsia="黑体" w:cs="黑体"/>
          <w:color w:val="auto"/>
          <w:spacing w:val="-4"/>
          <w:sz w:val="28"/>
          <w:szCs w:val="28"/>
          <w:highlight w:val="none"/>
        </w:rPr>
        <w:t>：专业工程暂估价表</w:t>
      </w:r>
    </w:p>
    <w:p>
      <w:pPr>
        <w:spacing w:line="114" w:lineRule="exact"/>
        <w:rPr>
          <w:color w:val="auto"/>
          <w:highlight w:val="none"/>
        </w:rPr>
      </w:pPr>
    </w:p>
    <w:tbl>
      <w:tblPr>
        <w:tblStyle w:val="9"/>
        <w:tblW w:w="882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3"/>
        <w:gridCol w:w="1977"/>
        <w:gridCol w:w="4665"/>
        <w:gridCol w:w="1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893" w:type="dxa"/>
            <w:tcBorders>
              <w:top w:val="single" w:color="000000" w:sz="10" w:space="0"/>
              <w:left w:val="single" w:color="000000" w:sz="10" w:space="0"/>
            </w:tcBorders>
            <w:vAlign w:val="top"/>
          </w:tcPr>
          <w:p>
            <w:pPr>
              <w:pStyle w:val="10"/>
              <w:spacing w:before="177" w:line="222" w:lineRule="auto"/>
              <w:ind w:left="227"/>
              <w:rPr>
                <w:color w:val="auto"/>
                <w:highlight w:val="none"/>
              </w:rPr>
            </w:pPr>
            <w:r>
              <w:rPr>
                <w:color w:val="auto"/>
                <w:spacing w:val="-2"/>
                <w:highlight w:val="none"/>
              </w:rPr>
              <w:t>序号</w:t>
            </w:r>
          </w:p>
        </w:tc>
        <w:tc>
          <w:tcPr>
            <w:tcW w:w="1977" w:type="dxa"/>
            <w:tcBorders>
              <w:top w:val="single" w:color="000000" w:sz="10" w:space="0"/>
            </w:tcBorders>
            <w:vAlign w:val="top"/>
          </w:tcPr>
          <w:p>
            <w:pPr>
              <w:pStyle w:val="10"/>
              <w:spacing w:before="177" w:line="221" w:lineRule="auto"/>
              <w:ind w:left="353"/>
              <w:rPr>
                <w:color w:val="auto"/>
                <w:highlight w:val="none"/>
              </w:rPr>
            </w:pPr>
            <w:r>
              <w:rPr>
                <w:color w:val="auto"/>
                <w:spacing w:val="-1"/>
                <w:highlight w:val="none"/>
              </w:rPr>
              <w:t>专业工程名称</w:t>
            </w:r>
          </w:p>
        </w:tc>
        <w:tc>
          <w:tcPr>
            <w:tcW w:w="4665" w:type="dxa"/>
            <w:tcBorders>
              <w:top w:val="single" w:color="000000" w:sz="10" w:space="0"/>
            </w:tcBorders>
            <w:vAlign w:val="top"/>
          </w:tcPr>
          <w:p>
            <w:pPr>
              <w:pStyle w:val="10"/>
              <w:spacing w:before="177" w:line="221" w:lineRule="auto"/>
              <w:ind w:left="1921"/>
              <w:rPr>
                <w:color w:val="auto"/>
                <w:highlight w:val="none"/>
              </w:rPr>
            </w:pPr>
            <w:r>
              <w:rPr>
                <w:color w:val="auto"/>
                <w:spacing w:val="-2"/>
                <w:highlight w:val="none"/>
              </w:rPr>
              <w:t>工程内容</w:t>
            </w:r>
          </w:p>
        </w:tc>
        <w:tc>
          <w:tcPr>
            <w:tcW w:w="1287" w:type="dxa"/>
            <w:tcBorders>
              <w:top w:val="single" w:color="000000" w:sz="10" w:space="0"/>
              <w:right w:val="single" w:color="000000" w:sz="10" w:space="0"/>
            </w:tcBorders>
            <w:vAlign w:val="top"/>
          </w:tcPr>
          <w:p>
            <w:pPr>
              <w:pStyle w:val="10"/>
              <w:spacing w:before="177" w:line="221" w:lineRule="auto"/>
              <w:ind w:left="441"/>
              <w:rPr>
                <w:color w:val="auto"/>
                <w:highlight w:val="none"/>
              </w:rPr>
            </w:pPr>
            <w:r>
              <w:rPr>
                <w:color w:val="auto"/>
                <w:spacing w:val="-2"/>
                <w:highlight w:val="none"/>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vAlign w:val="top"/>
          </w:tcPr>
          <w:p>
            <w:pPr>
              <w:rPr>
                <w:rFonts w:ascii="Arial"/>
                <w:color w:val="auto"/>
                <w:sz w:val="21"/>
                <w:highlight w:val="none"/>
              </w:rPr>
            </w:pPr>
          </w:p>
        </w:tc>
        <w:tc>
          <w:tcPr>
            <w:tcW w:w="1977" w:type="dxa"/>
            <w:vAlign w:val="top"/>
          </w:tcPr>
          <w:p>
            <w:pPr>
              <w:rPr>
                <w:rFonts w:ascii="Arial"/>
                <w:color w:val="auto"/>
                <w:sz w:val="21"/>
                <w:highlight w:val="none"/>
              </w:rPr>
            </w:pPr>
          </w:p>
        </w:tc>
        <w:tc>
          <w:tcPr>
            <w:tcW w:w="4665" w:type="dxa"/>
            <w:vAlign w:val="top"/>
          </w:tcPr>
          <w:p>
            <w:pPr>
              <w:rPr>
                <w:rFonts w:ascii="Arial"/>
                <w:color w:val="auto"/>
                <w:sz w:val="21"/>
                <w:highlight w:val="none"/>
              </w:rPr>
            </w:pPr>
          </w:p>
        </w:tc>
        <w:tc>
          <w:tcPr>
            <w:tcW w:w="1287" w:type="dxa"/>
            <w:tcBorders>
              <w:right w:val="single" w:color="000000" w:sz="10" w:space="0"/>
            </w:tcBorders>
            <w:vAlign w:val="top"/>
          </w:tcPr>
          <w:p>
            <w:pPr>
              <w:rPr>
                <w:rFonts w:ascii="Arial"/>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822" w:type="dxa"/>
            <w:gridSpan w:val="4"/>
            <w:tcBorders>
              <w:left w:val="single" w:color="000000" w:sz="10" w:space="0"/>
              <w:bottom w:val="single" w:color="000000" w:sz="10" w:space="0"/>
              <w:right w:val="single" w:color="000000" w:sz="10" w:space="0"/>
            </w:tcBorders>
            <w:vAlign w:val="top"/>
          </w:tcPr>
          <w:p>
            <w:pPr>
              <w:spacing w:before="135" w:line="213" w:lineRule="auto"/>
              <w:ind w:left="93"/>
              <w:rPr>
                <w:rFonts w:ascii="仿宋" w:hAnsi="仿宋" w:eastAsia="仿宋" w:cs="仿宋"/>
                <w:color w:val="auto"/>
                <w:sz w:val="28"/>
                <w:szCs w:val="28"/>
                <w:highlight w:val="none"/>
              </w:rPr>
            </w:pPr>
            <w:r>
              <w:rPr>
                <w:rFonts w:ascii="仿宋" w:hAnsi="仿宋" w:eastAsia="仿宋" w:cs="仿宋"/>
                <w:color w:val="auto"/>
                <w:spacing w:val="-20"/>
                <w:sz w:val="28"/>
                <w:szCs w:val="28"/>
                <w:highlight w:val="none"/>
              </w:rPr>
              <w:t>小计：</w:t>
            </w:r>
          </w:p>
        </w:tc>
      </w:tr>
    </w:tbl>
    <w:p>
      <w:pPr>
        <w:pStyle w:val="2"/>
        <w:rPr>
          <w:color w:val="auto"/>
          <w:highlight w:val="none"/>
        </w:rPr>
      </w:pPr>
    </w:p>
    <w:p>
      <w:pPr>
        <w:rPr>
          <w:color w:val="auto"/>
          <w:highlight w:val="none"/>
        </w:rPr>
        <w:sectPr>
          <w:footerReference r:id="rId75" w:type="default"/>
          <w:pgSz w:w="11905" w:h="16843"/>
          <w:pgMar w:top="1769" w:right="1548" w:bottom="1003" w:left="1542" w:header="0" w:footer="828" w:gutter="0"/>
          <w:pgNumType w:fmt="numberInDash"/>
          <w:cols w:space="0" w:num="1"/>
          <w:rtlGutter w:val="0"/>
          <w:docGrid w:linePitch="0" w:charSpace="0"/>
        </w:sectPr>
      </w:pPr>
    </w:p>
    <w:p>
      <w:pPr>
        <w:pStyle w:val="2"/>
        <w:rPr>
          <w:color w:val="auto"/>
          <w:highlight w:val="none"/>
        </w:rPr>
      </w:pPr>
    </w:p>
    <w:p>
      <w:pPr>
        <w:pStyle w:val="2"/>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spacing w:before="101" w:line="224" w:lineRule="auto"/>
        <w:ind w:left="2710"/>
        <w:rPr>
          <w:rFonts w:ascii="黑体" w:hAnsi="黑体" w:eastAsia="黑体" w:cs="黑体"/>
          <w:color w:val="auto"/>
          <w:sz w:val="31"/>
          <w:szCs w:val="31"/>
          <w:highlight w:val="none"/>
        </w:rPr>
      </w:pPr>
      <w:bookmarkStart w:id="345" w:name="bookmark385"/>
      <w:bookmarkEnd w:id="345"/>
      <w:r>
        <w:rPr>
          <w:rFonts w:ascii="黑体" w:hAnsi="黑体" w:eastAsia="黑体" w:cs="黑体"/>
          <w:color w:val="auto"/>
          <w:spacing w:val="7"/>
          <w:sz w:val="31"/>
          <w:szCs w:val="31"/>
          <w:highlight w:val="none"/>
        </w:rPr>
        <w:t>第五章  工程量清单</w:t>
      </w:r>
    </w:p>
    <w:p>
      <w:pPr>
        <w:spacing w:line="224" w:lineRule="auto"/>
        <w:rPr>
          <w:rFonts w:ascii="黑体" w:hAnsi="黑体" w:eastAsia="黑体" w:cs="黑体"/>
          <w:color w:val="auto"/>
          <w:sz w:val="31"/>
          <w:szCs w:val="31"/>
          <w:highlight w:val="none"/>
        </w:rPr>
        <w:sectPr>
          <w:footerReference r:id="rId76" w:type="default"/>
          <w:pgSz w:w="11905" w:h="16843"/>
          <w:pgMar w:top="1769" w:right="1548" w:bottom="1003" w:left="1542" w:header="0" w:footer="828" w:gutter="0"/>
          <w:pgNumType w:fmt="numberInDash"/>
          <w:cols w:space="0" w:num="1"/>
          <w:rtlGutter w:val="0"/>
          <w:docGrid w:linePitch="0" w:charSpace="0"/>
        </w:sectPr>
      </w:pPr>
    </w:p>
    <w:p>
      <w:pPr>
        <w:spacing w:before="91" w:line="219" w:lineRule="auto"/>
        <w:ind w:left="3476"/>
        <w:rPr>
          <w:rFonts w:ascii="黑体" w:hAnsi="黑体" w:eastAsia="黑体" w:cs="黑体"/>
          <w:color w:val="auto"/>
          <w:sz w:val="28"/>
          <w:szCs w:val="28"/>
          <w:highlight w:val="none"/>
        </w:rPr>
      </w:pPr>
      <w:bookmarkStart w:id="346" w:name="bookmark386"/>
      <w:bookmarkEnd w:id="346"/>
      <w:r>
        <w:rPr>
          <w:rFonts w:ascii="黑体" w:hAnsi="黑体" w:eastAsia="黑体" w:cs="黑体"/>
          <w:color w:val="auto"/>
          <w:spacing w:val="-1"/>
          <w:sz w:val="28"/>
          <w:szCs w:val="28"/>
          <w:highlight w:val="none"/>
        </w:rPr>
        <w:t>第五章  工程量清单</w:t>
      </w:r>
    </w:p>
    <w:p>
      <w:pPr>
        <w:pStyle w:val="2"/>
        <w:spacing w:line="378" w:lineRule="auto"/>
        <w:rPr>
          <w:color w:val="auto"/>
          <w:highlight w:val="none"/>
        </w:rPr>
      </w:pPr>
    </w:p>
    <w:p>
      <w:pPr>
        <w:spacing w:before="78" w:line="218" w:lineRule="auto"/>
        <w:ind w:left="23"/>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、招标工程量清单说明</w:t>
      </w:r>
    </w:p>
    <w:p>
      <w:pPr>
        <w:spacing w:before="163" w:line="430" w:lineRule="exact"/>
        <w:ind w:right="6"/>
        <w:jc w:val="right"/>
        <w:rPr>
          <w:rFonts w:ascii="宋体" w:hAnsi="宋体" w:eastAsia="宋体" w:cs="宋体"/>
          <w:color w:val="auto"/>
          <w:sz w:val="21"/>
          <w:szCs w:val="21"/>
          <w:highlight w:val="none"/>
        </w:rPr>
      </w:pPr>
      <w:r>
        <w:rPr>
          <w:rFonts w:ascii="黑体" w:hAnsi="黑体" w:eastAsia="黑体" w:cs="黑体"/>
          <w:color w:val="auto"/>
          <w:spacing w:val="2"/>
          <w:position w:val="16"/>
          <w:sz w:val="21"/>
          <w:szCs w:val="21"/>
          <w:highlight w:val="none"/>
        </w:rPr>
        <w:t xml:space="preserve">1.1 </w:t>
      </w:r>
      <w:r>
        <w:rPr>
          <w:rFonts w:ascii="宋体" w:hAnsi="宋体" w:eastAsia="宋体" w:cs="宋体"/>
          <w:color w:val="auto"/>
          <w:spacing w:val="2"/>
          <w:position w:val="16"/>
          <w:sz w:val="21"/>
          <w:szCs w:val="21"/>
          <w:highlight w:val="none"/>
        </w:rPr>
        <w:t>本招标工程量清单应与招标文件中</w:t>
      </w:r>
      <w:r>
        <w:rPr>
          <w:rFonts w:ascii="宋体" w:hAnsi="宋体" w:eastAsia="宋体" w:cs="宋体"/>
          <w:color w:val="auto"/>
          <w:spacing w:val="1"/>
          <w:position w:val="16"/>
          <w:sz w:val="21"/>
          <w:szCs w:val="21"/>
          <w:highlight w:val="none"/>
        </w:rPr>
        <w:t>的投标人须知、通用合同条款、专用合同条款、技术</w:t>
      </w:r>
    </w:p>
    <w:p>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标准和要求及图纸等章节内容一起阅读和理解。</w:t>
      </w:r>
    </w:p>
    <w:p>
      <w:pPr>
        <w:spacing w:before="179" w:line="220" w:lineRule="auto"/>
        <w:ind w:left="439"/>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黑体" w:hAnsi="黑体" w:eastAsia="黑体" w:cs="黑体"/>
          <w:color w:val="auto"/>
          <w:spacing w:val="-3"/>
          <w:sz w:val="21"/>
          <w:szCs w:val="21"/>
          <w:highlight w:val="none"/>
        </w:rPr>
        <w:t>.2</w:t>
      </w:r>
      <w:r>
        <w:rPr>
          <w:rFonts w:ascii="黑体" w:hAnsi="黑体" w:eastAsia="黑体" w:cs="黑体"/>
          <w:color w:val="auto"/>
          <w:spacing w:val="-43"/>
          <w:sz w:val="21"/>
          <w:szCs w:val="21"/>
          <w:highlight w:val="none"/>
        </w:rPr>
        <w:t xml:space="preserve"> </w:t>
      </w:r>
      <w:r>
        <w:rPr>
          <w:rFonts w:ascii="宋体" w:hAnsi="宋体" w:eastAsia="宋体" w:cs="宋体"/>
          <w:color w:val="auto"/>
          <w:spacing w:val="-3"/>
          <w:sz w:val="21"/>
          <w:szCs w:val="21"/>
          <w:highlight w:val="none"/>
        </w:rPr>
        <w:t>本招标工程量清单作为招标文件的组成部分，</w:t>
      </w:r>
      <w:r>
        <w:rPr>
          <w:rFonts w:ascii="宋体" w:hAnsi="宋体" w:eastAsia="宋体" w:cs="宋体"/>
          <w:color w:val="auto"/>
          <w:spacing w:val="-22"/>
          <w:sz w:val="21"/>
          <w:szCs w:val="21"/>
          <w:highlight w:val="none"/>
        </w:rPr>
        <w:t xml:space="preserve"> </w:t>
      </w:r>
      <w:r>
        <w:rPr>
          <w:rFonts w:ascii="宋体" w:hAnsi="宋体" w:eastAsia="宋体" w:cs="宋体"/>
          <w:color w:val="auto"/>
          <w:spacing w:val="-3"/>
          <w:sz w:val="21"/>
          <w:szCs w:val="21"/>
          <w:highlight w:val="none"/>
        </w:rPr>
        <w:t>其准确性和完整</w:t>
      </w:r>
      <w:r>
        <w:rPr>
          <w:rFonts w:ascii="宋体" w:hAnsi="宋体" w:eastAsia="宋体" w:cs="宋体"/>
          <w:color w:val="auto"/>
          <w:spacing w:val="-4"/>
          <w:sz w:val="21"/>
          <w:szCs w:val="21"/>
          <w:highlight w:val="none"/>
        </w:rPr>
        <w:t>性应由招标人负责。</w:t>
      </w:r>
    </w:p>
    <w:p>
      <w:pPr>
        <w:spacing w:before="179" w:line="430" w:lineRule="exact"/>
        <w:ind w:right="6"/>
        <w:jc w:val="right"/>
        <w:rPr>
          <w:rFonts w:ascii="宋体" w:hAnsi="宋体" w:eastAsia="宋体" w:cs="宋体"/>
          <w:color w:val="auto"/>
          <w:sz w:val="21"/>
          <w:szCs w:val="21"/>
          <w:highlight w:val="none"/>
        </w:rPr>
      </w:pPr>
      <w:r>
        <w:rPr>
          <w:rFonts w:ascii="黑体" w:hAnsi="黑体" w:eastAsia="黑体" w:cs="黑体"/>
          <w:color w:val="auto"/>
          <w:spacing w:val="2"/>
          <w:position w:val="16"/>
          <w:sz w:val="21"/>
          <w:szCs w:val="21"/>
          <w:highlight w:val="none"/>
        </w:rPr>
        <w:t xml:space="preserve">1.3 </w:t>
      </w:r>
      <w:r>
        <w:rPr>
          <w:rFonts w:ascii="宋体" w:hAnsi="宋体" w:eastAsia="宋体" w:cs="宋体"/>
          <w:color w:val="auto"/>
          <w:spacing w:val="2"/>
          <w:position w:val="16"/>
          <w:sz w:val="21"/>
          <w:szCs w:val="21"/>
          <w:highlight w:val="none"/>
        </w:rPr>
        <w:t>分类分项工程和单价措施项目清单</w:t>
      </w:r>
      <w:r>
        <w:rPr>
          <w:rFonts w:ascii="宋体" w:hAnsi="宋体" w:eastAsia="宋体" w:cs="宋体"/>
          <w:color w:val="auto"/>
          <w:spacing w:val="1"/>
          <w:position w:val="16"/>
          <w:sz w:val="21"/>
          <w:szCs w:val="21"/>
          <w:highlight w:val="none"/>
        </w:rPr>
        <w:t>必须载明项目编码、项目名称、项目特征、计量单位</w:t>
      </w:r>
    </w:p>
    <w:p>
      <w:pPr>
        <w:spacing w:before="1" w:line="221" w:lineRule="auto"/>
        <w:ind w:left="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和工程量。</w:t>
      </w:r>
    </w:p>
    <w:p>
      <w:pPr>
        <w:spacing w:before="180" w:line="219" w:lineRule="auto"/>
        <w:ind w:left="433"/>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1.4</w:t>
      </w:r>
      <w:r>
        <w:rPr>
          <w:rFonts w:ascii="黑体" w:hAnsi="黑体" w:eastAsia="黑体" w:cs="黑体"/>
          <w:color w:val="auto"/>
          <w:spacing w:val="-36"/>
          <w:sz w:val="21"/>
          <w:szCs w:val="21"/>
          <w:highlight w:val="none"/>
        </w:rPr>
        <w:t xml:space="preserve"> </w:t>
      </w:r>
      <w:r>
        <w:rPr>
          <w:rFonts w:ascii="宋体" w:hAnsi="宋体" w:eastAsia="宋体" w:cs="宋体"/>
          <w:color w:val="auto"/>
          <w:spacing w:val="-2"/>
          <w:sz w:val="21"/>
          <w:szCs w:val="21"/>
          <w:highlight w:val="none"/>
        </w:rPr>
        <w:t>税金项目清单应按照现行国家计价规范的规定编制。</w:t>
      </w:r>
    </w:p>
    <w:p>
      <w:pPr>
        <w:spacing w:before="179" w:line="378" w:lineRule="auto"/>
        <w:ind w:left="3" w:firstLine="430"/>
        <w:jc w:val="both"/>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1.5 </w:t>
      </w:r>
      <w:r>
        <w:rPr>
          <w:rFonts w:ascii="宋体" w:hAnsi="宋体" w:eastAsia="宋体" w:cs="宋体"/>
          <w:color w:val="auto"/>
          <w:spacing w:val="2"/>
          <w:sz w:val="21"/>
          <w:szCs w:val="21"/>
          <w:highlight w:val="none"/>
        </w:rPr>
        <w:t>本招标工程量清单仅是投标报价的</w:t>
      </w:r>
      <w:r>
        <w:rPr>
          <w:rFonts w:ascii="宋体" w:hAnsi="宋体" w:eastAsia="宋体" w:cs="宋体"/>
          <w:color w:val="auto"/>
          <w:spacing w:val="1"/>
          <w:sz w:val="21"/>
          <w:szCs w:val="21"/>
          <w:highlight w:val="none"/>
        </w:rPr>
        <w:t>共同基础，采用工程量清单方式招标形成的无论是单</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价合同还是总价合同， 其工程量必须以承包人完成合同工程应予计量的工程量确定。 合同价格的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确定以及价款支付应遵循合同条款（包括通用合同条款和专用合同条款</w:t>
      </w:r>
      <w:r>
        <w:rPr>
          <w:rFonts w:ascii="宋体" w:hAnsi="宋体" w:eastAsia="宋体" w:cs="宋体"/>
          <w:color w:val="auto"/>
          <w:spacing w:val="1"/>
          <w:sz w:val="21"/>
          <w:szCs w:val="21"/>
          <w:highlight w:val="none"/>
        </w:rPr>
        <w:t>）、技术标准和要求以及</w:t>
      </w:r>
      <w:r>
        <w:rPr>
          <w:rFonts w:ascii="宋体" w:hAnsi="宋体" w:eastAsia="宋体" w:cs="宋体"/>
          <w:color w:val="auto"/>
          <w:spacing w:val="-1"/>
          <w:sz w:val="21"/>
          <w:szCs w:val="21"/>
          <w:highlight w:val="none"/>
        </w:rPr>
        <w:t>本章的有关约定。</w:t>
      </w:r>
    </w:p>
    <w:p>
      <w:pPr>
        <w:spacing w:before="232" w:line="218" w:lineRule="auto"/>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2</w:t>
      </w:r>
      <w:r>
        <w:rPr>
          <w:rFonts w:ascii="黑体" w:hAnsi="黑体" w:eastAsia="黑体" w:cs="黑体"/>
          <w:color w:val="auto"/>
          <w:spacing w:val="-4"/>
          <w:sz w:val="24"/>
          <w:szCs w:val="24"/>
          <w:highlight w:val="none"/>
        </w:rPr>
        <w:t>、投标报价说明</w:t>
      </w:r>
    </w:p>
    <w:p>
      <w:pPr>
        <w:spacing w:before="166" w:line="430" w:lineRule="exact"/>
        <w:ind w:left="421"/>
        <w:rPr>
          <w:rFonts w:ascii="宋体" w:hAnsi="宋体" w:eastAsia="宋体" w:cs="宋体"/>
          <w:color w:val="auto"/>
          <w:sz w:val="21"/>
          <w:szCs w:val="21"/>
          <w:highlight w:val="none"/>
        </w:rPr>
      </w:pPr>
      <w:r>
        <w:rPr>
          <w:rFonts w:ascii="黑体" w:hAnsi="黑体" w:eastAsia="黑体" w:cs="黑体"/>
          <w:color w:val="auto"/>
          <w:spacing w:val="-3"/>
          <w:position w:val="16"/>
          <w:sz w:val="21"/>
          <w:szCs w:val="21"/>
          <w:highlight w:val="none"/>
        </w:rPr>
        <w:t>2.1</w:t>
      </w:r>
      <w:r>
        <w:rPr>
          <w:rFonts w:ascii="黑体" w:hAnsi="黑体" w:eastAsia="黑体" w:cs="黑体"/>
          <w:color w:val="auto"/>
          <w:spacing w:val="-42"/>
          <w:position w:val="16"/>
          <w:sz w:val="21"/>
          <w:szCs w:val="21"/>
          <w:highlight w:val="none"/>
        </w:rPr>
        <w:t xml:space="preserve"> </w:t>
      </w:r>
      <w:r>
        <w:rPr>
          <w:rFonts w:ascii="宋体" w:hAnsi="宋体" w:eastAsia="宋体" w:cs="宋体"/>
          <w:color w:val="auto"/>
          <w:spacing w:val="-3"/>
          <w:position w:val="16"/>
          <w:sz w:val="21"/>
          <w:szCs w:val="21"/>
          <w:highlight w:val="none"/>
        </w:rPr>
        <w:t>投标报价应根据招标文件中的有关计价要求， 并按照</w:t>
      </w:r>
      <w:r>
        <w:rPr>
          <w:rFonts w:ascii="宋体" w:hAnsi="宋体" w:eastAsia="宋体" w:cs="宋体"/>
          <w:color w:val="auto"/>
          <w:spacing w:val="-4"/>
          <w:position w:val="16"/>
          <w:sz w:val="21"/>
          <w:szCs w:val="21"/>
          <w:highlight w:val="none"/>
        </w:rPr>
        <w:t>下列依据自主报价。</w:t>
      </w:r>
    </w:p>
    <w:p>
      <w:pPr>
        <w:spacing w:line="219" w:lineRule="auto"/>
        <w:ind w:left="437"/>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（1）</w:t>
      </w:r>
      <w:r>
        <w:rPr>
          <w:rFonts w:ascii="宋体" w:hAnsi="宋体" w:eastAsia="宋体" w:cs="宋体"/>
          <w:color w:val="auto"/>
          <w:spacing w:val="-2"/>
          <w:sz w:val="21"/>
          <w:szCs w:val="21"/>
          <w:highlight w:val="none"/>
        </w:rPr>
        <w:t>国家或省级、行业建设主管部门颁发的计价办法；</w:t>
      </w:r>
    </w:p>
    <w:p>
      <w:pPr>
        <w:spacing w:before="180" w:line="430" w:lineRule="exact"/>
        <w:ind w:left="437"/>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（2）</w:t>
      </w:r>
      <w:r>
        <w:rPr>
          <w:rFonts w:ascii="宋体" w:hAnsi="宋体" w:eastAsia="宋体" w:cs="宋体"/>
          <w:color w:val="auto"/>
          <w:spacing w:val="-1"/>
          <w:position w:val="16"/>
          <w:sz w:val="21"/>
          <w:szCs w:val="21"/>
          <w:highlight w:val="none"/>
        </w:rPr>
        <w:t>企业定额，国家或省级、行业建设主管部门颁发的计价定额和计价办法；</w:t>
      </w:r>
    </w:p>
    <w:p>
      <w:pPr>
        <w:spacing w:before="1" w:line="220" w:lineRule="auto"/>
        <w:ind w:left="437"/>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w:t>
      </w:r>
      <w:r>
        <w:rPr>
          <w:rFonts w:ascii="宋体" w:hAnsi="宋体" w:eastAsia="宋体" w:cs="宋体"/>
          <w:color w:val="auto"/>
          <w:spacing w:val="-2"/>
          <w:sz w:val="21"/>
          <w:szCs w:val="21"/>
          <w:highlight w:val="none"/>
        </w:rPr>
        <w:t>招标文件（包括招标工程量清单）及其澄清、修改文件；</w:t>
      </w:r>
    </w:p>
    <w:p>
      <w:pPr>
        <w:spacing w:before="178" w:line="221" w:lineRule="auto"/>
        <w:ind w:left="437"/>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（4）</w:t>
      </w:r>
      <w:r>
        <w:rPr>
          <w:rFonts w:ascii="宋体" w:hAnsi="宋体" w:eastAsia="宋体" w:cs="宋体"/>
          <w:color w:val="auto"/>
          <w:spacing w:val="-3"/>
          <w:sz w:val="21"/>
          <w:szCs w:val="21"/>
          <w:highlight w:val="none"/>
        </w:rPr>
        <w:t>建设工程设计文件及相关资料；</w:t>
      </w:r>
    </w:p>
    <w:p>
      <w:pPr>
        <w:spacing w:before="181" w:line="422" w:lineRule="exact"/>
        <w:ind w:left="437"/>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（5）</w:t>
      </w:r>
      <w:r>
        <w:rPr>
          <w:rFonts w:ascii="宋体" w:hAnsi="宋体" w:eastAsia="宋体" w:cs="宋体"/>
          <w:color w:val="auto"/>
          <w:spacing w:val="-1"/>
          <w:position w:val="16"/>
          <w:sz w:val="21"/>
          <w:szCs w:val="21"/>
          <w:highlight w:val="none"/>
        </w:rPr>
        <w:t>施工现场情况、工程特点及投标时拟定的施工组织设计或施工方案；</w:t>
      </w:r>
    </w:p>
    <w:p>
      <w:pPr>
        <w:spacing w:before="1" w:line="220" w:lineRule="auto"/>
        <w:ind w:left="437"/>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（6）</w:t>
      </w:r>
      <w:r>
        <w:rPr>
          <w:rFonts w:ascii="宋体" w:hAnsi="宋体" w:eastAsia="宋体" w:cs="宋体"/>
          <w:color w:val="auto"/>
          <w:spacing w:val="-1"/>
          <w:sz w:val="21"/>
          <w:szCs w:val="21"/>
          <w:highlight w:val="none"/>
        </w:rPr>
        <w:t>与建设项目相关的标准、规范等技术资料；</w:t>
      </w:r>
    </w:p>
    <w:p>
      <w:pPr>
        <w:spacing w:before="170" w:line="420" w:lineRule="exact"/>
        <w:ind w:left="437"/>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（7）</w:t>
      </w:r>
      <w:r>
        <w:rPr>
          <w:rFonts w:ascii="宋体" w:hAnsi="宋体" w:eastAsia="宋体" w:cs="宋体"/>
          <w:color w:val="auto"/>
          <w:spacing w:val="-1"/>
          <w:position w:val="16"/>
          <w:sz w:val="21"/>
          <w:szCs w:val="21"/>
          <w:highlight w:val="none"/>
        </w:rPr>
        <w:t>市场价格信息或官方机构发布的工程造价信息；</w:t>
      </w:r>
    </w:p>
    <w:p>
      <w:pPr>
        <w:spacing w:line="221" w:lineRule="auto"/>
        <w:ind w:left="437"/>
        <w:rPr>
          <w:rFonts w:ascii="宋体" w:hAnsi="宋体" w:eastAsia="宋体" w:cs="宋体"/>
          <w:color w:val="auto"/>
          <w:sz w:val="21"/>
          <w:szCs w:val="21"/>
          <w:highlight w:val="none"/>
        </w:rPr>
      </w:pPr>
      <w:r>
        <w:rPr>
          <w:rFonts w:ascii="黑体" w:hAnsi="黑体" w:eastAsia="黑体" w:cs="黑体"/>
          <w:color w:val="auto"/>
          <w:spacing w:val="-4"/>
          <w:sz w:val="21"/>
          <w:szCs w:val="21"/>
          <w:highlight w:val="none"/>
        </w:rPr>
        <w:t>（8）</w:t>
      </w:r>
      <w:r>
        <w:rPr>
          <w:rFonts w:ascii="宋体" w:hAnsi="宋体" w:eastAsia="宋体" w:cs="宋体"/>
          <w:color w:val="auto"/>
          <w:spacing w:val="-4"/>
          <w:sz w:val="21"/>
          <w:szCs w:val="21"/>
          <w:highlight w:val="none"/>
        </w:rPr>
        <w:t>其他的相关资料。</w:t>
      </w:r>
    </w:p>
    <w:p>
      <w:pPr>
        <w:spacing w:before="168" w:line="420" w:lineRule="exact"/>
        <w:ind w:right="6"/>
        <w:jc w:val="right"/>
        <w:rPr>
          <w:rFonts w:ascii="宋体" w:hAnsi="宋体" w:eastAsia="宋体" w:cs="宋体"/>
          <w:color w:val="auto"/>
          <w:sz w:val="21"/>
          <w:szCs w:val="21"/>
          <w:highlight w:val="none"/>
        </w:rPr>
      </w:pPr>
      <w:r>
        <w:rPr>
          <w:rFonts w:ascii="黑体" w:hAnsi="黑体" w:eastAsia="黑体" w:cs="黑体"/>
          <w:color w:val="auto"/>
          <w:spacing w:val="2"/>
          <w:position w:val="16"/>
          <w:sz w:val="21"/>
          <w:szCs w:val="21"/>
          <w:highlight w:val="none"/>
        </w:rPr>
        <w:t xml:space="preserve">2.2 </w:t>
      </w:r>
      <w:r>
        <w:rPr>
          <w:rFonts w:ascii="宋体" w:hAnsi="宋体" w:eastAsia="宋体" w:cs="宋体"/>
          <w:color w:val="auto"/>
          <w:spacing w:val="2"/>
          <w:position w:val="16"/>
          <w:sz w:val="21"/>
          <w:szCs w:val="21"/>
          <w:highlight w:val="none"/>
        </w:rPr>
        <w:t>投标人必须按招标工程量清单填报价格。项目编码、项目名称</w:t>
      </w:r>
      <w:r>
        <w:rPr>
          <w:rFonts w:ascii="宋体" w:hAnsi="宋体" w:eastAsia="宋体" w:cs="宋体"/>
          <w:color w:val="auto"/>
          <w:spacing w:val="1"/>
          <w:position w:val="16"/>
          <w:sz w:val="21"/>
          <w:szCs w:val="21"/>
          <w:highlight w:val="none"/>
        </w:rPr>
        <w:t>、项目特征、计量单位必</w:t>
      </w:r>
    </w:p>
    <w:p>
      <w:pPr>
        <w:spacing w:before="1" w:line="221" w:lineRule="auto"/>
        <w:ind w:left="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须与招标工程量清单一致。</w:t>
      </w:r>
    </w:p>
    <w:p>
      <w:pPr>
        <w:spacing w:before="168" w:line="420" w:lineRule="exact"/>
        <w:ind w:right="6"/>
        <w:jc w:val="right"/>
        <w:rPr>
          <w:rFonts w:ascii="宋体" w:hAnsi="宋体" w:eastAsia="宋体" w:cs="宋体"/>
          <w:color w:val="auto"/>
          <w:sz w:val="21"/>
          <w:szCs w:val="21"/>
          <w:highlight w:val="none"/>
        </w:rPr>
      </w:pPr>
      <w:r>
        <w:rPr>
          <w:rFonts w:ascii="黑体" w:hAnsi="黑体" w:eastAsia="黑体" w:cs="黑体"/>
          <w:color w:val="auto"/>
          <w:spacing w:val="2"/>
          <w:position w:val="16"/>
          <w:sz w:val="21"/>
          <w:szCs w:val="21"/>
          <w:highlight w:val="none"/>
        </w:rPr>
        <w:t xml:space="preserve">2.3 </w:t>
      </w:r>
      <w:r>
        <w:rPr>
          <w:rFonts w:ascii="宋体" w:hAnsi="宋体" w:eastAsia="宋体" w:cs="宋体"/>
          <w:color w:val="auto"/>
          <w:spacing w:val="2"/>
          <w:position w:val="16"/>
          <w:sz w:val="21"/>
          <w:szCs w:val="21"/>
          <w:highlight w:val="none"/>
        </w:rPr>
        <w:t>工程量清单应采用综合单价计价。综合单价中应包括招标文件</w:t>
      </w:r>
      <w:r>
        <w:rPr>
          <w:rFonts w:ascii="宋体" w:hAnsi="宋体" w:eastAsia="宋体" w:cs="宋体"/>
          <w:color w:val="auto"/>
          <w:spacing w:val="1"/>
          <w:position w:val="16"/>
          <w:sz w:val="21"/>
          <w:szCs w:val="21"/>
          <w:highlight w:val="none"/>
        </w:rPr>
        <w:t>中划分的应由投标人承担</w:t>
      </w:r>
    </w:p>
    <w:p>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的风险范围及其费用，招标文件中没有明确的，应提请招标人明确。</w:t>
      </w:r>
    </w:p>
    <w:p>
      <w:pPr>
        <w:spacing w:before="170" w:line="369" w:lineRule="auto"/>
        <w:ind w:left="6" w:right="5" w:firstLine="41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2.4 </w:t>
      </w:r>
      <w:r>
        <w:rPr>
          <w:rFonts w:ascii="宋体" w:hAnsi="宋体" w:eastAsia="宋体" w:cs="宋体"/>
          <w:color w:val="auto"/>
          <w:spacing w:val="-1"/>
          <w:sz w:val="21"/>
          <w:szCs w:val="21"/>
          <w:highlight w:val="none"/>
        </w:rPr>
        <w:t>招标工程量清单与计价表中列明的所有需要</w:t>
      </w:r>
      <w:r>
        <w:rPr>
          <w:rFonts w:ascii="宋体" w:hAnsi="宋体" w:eastAsia="宋体" w:cs="宋体"/>
          <w:color w:val="auto"/>
          <w:spacing w:val="-2"/>
          <w:sz w:val="21"/>
          <w:szCs w:val="21"/>
          <w:highlight w:val="none"/>
        </w:rPr>
        <w:t>填写单价和合价的项目， 投标人均应填写。</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未填写单价和合价的项目， 可视为此项费用已经包含在已标价工程量清单中其他项目的单价或合</w:t>
      </w:r>
      <w:r>
        <w:rPr>
          <w:rFonts w:ascii="宋体" w:hAnsi="宋体" w:eastAsia="宋体" w:cs="宋体"/>
          <w:color w:val="auto"/>
          <w:spacing w:val="-5"/>
          <w:sz w:val="21"/>
          <w:szCs w:val="21"/>
          <w:highlight w:val="none"/>
        </w:rPr>
        <w:t>价之中。当竣工结算时， 此项目不得重新组价予以调整。</w:t>
      </w:r>
    </w:p>
    <w:p>
      <w:pPr>
        <w:spacing w:before="171" w:line="219" w:lineRule="auto"/>
        <w:ind w:left="421"/>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2.5 </w:t>
      </w:r>
      <w:r>
        <w:rPr>
          <w:rFonts w:ascii="宋体" w:hAnsi="宋体" w:eastAsia="宋体" w:cs="宋体"/>
          <w:color w:val="auto"/>
          <w:sz w:val="21"/>
          <w:szCs w:val="21"/>
          <w:highlight w:val="none"/>
        </w:rPr>
        <w:t>分类分项工程和单价措施项目按下列要求报</w:t>
      </w:r>
      <w:r>
        <w:rPr>
          <w:rFonts w:ascii="宋体" w:hAnsi="宋体" w:eastAsia="宋体" w:cs="宋体"/>
          <w:color w:val="auto"/>
          <w:spacing w:val="-1"/>
          <w:sz w:val="21"/>
          <w:szCs w:val="21"/>
          <w:highlight w:val="none"/>
        </w:rPr>
        <w:t>价：</w:t>
      </w:r>
    </w:p>
    <w:p>
      <w:pPr>
        <w:spacing w:line="219" w:lineRule="auto"/>
        <w:rPr>
          <w:rFonts w:ascii="宋体" w:hAnsi="宋体" w:eastAsia="宋体" w:cs="宋体"/>
          <w:color w:val="auto"/>
          <w:sz w:val="21"/>
          <w:szCs w:val="21"/>
          <w:highlight w:val="none"/>
        </w:rPr>
        <w:sectPr>
          <w:footerReference r:id="rId77" w:type="default"/>
          <w:pgSz w:w="11905" w:h="16843"/>
          <w:pgMar w:top="1769" w:right="1548" w:bottom="1003" w:left="1542" w:header="0" w:footer="828" w:gutter="0"/>
          <w:pgNumType w:fmt="numberInDash"/>
          <w:cols w:space="0" w:num="1"/>
          <w:rtlGutter w:val="0"/>
          <w:docGrid w:linePitch="0" w:charSpace="0"/>
        </w:sectPr>
      </w:pP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bookmarkStart w:id="347" w:name="bookmark387"/>
      <w:bookmarkEnd w:id="347"/>
      <w:r>
        <w:rPr>
          <w:rFonts w:hint="eastAsia" w:ascii="宋体" w:hAnsi="宋体" w:eastAsia="宋体" w:cs="宋体"/>
          <w:color w:val="auto"/>
          <w:spacing w:val="-1"/>
          <w:position w:val="16"/>
          <w:sz w:val="21"/>
          <w:szCs w:val="21"/>
          <w:highlight w:val="none"/>
          <w:lang w:val="en-US" w:eastAsia="zh-CN"/>
        </w:rPr>
        <w:t>2.5.1 分类分项工程和单价措施项目，应根据招标文件和招标工程量清单中的项目特征描述</w:t>
      </w:r>
    </w:p>
    <w:p>
      <w:pPr>
        <w:tabs>
          <w:tab w:val="left" w:pos="0"/>
        </w:tabs>
        <w:spacing w:before="180" w:line="430" w:lineRule="exact"/>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确定综合单价。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2.5.2 “分类分项工程和单价措施项目清单与计价表”所列各项目的综合单价组成中， 各项目的人工、材料和机械台班消耗量由投标人按照其自身情况做充分的竞争性考虑。材料消耗量包括损耗量。</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2.5.3 计日工应按招标工程量清单“计日工表”中列出的项目，自主确定单价。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2.6 税金项目按下列要求报价： 税金必须按国家或省级、行业建设主管部门的规定计算。</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2.7 除招标文件有强制性规定以及不可竞争部分以外，投标报价由投标人自主确定，但不得</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低于其工程成本。</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2.8 利润由投标人根据自身情况和综合实力合理报价。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lang w:val="en-US" w:eastAsia="zh-CN"/>
        </w:rPr>
      </w:pPr>
      <w:r>
        <w:rPr>
          <w:rFonts w:hint="eastAsia" w:ascii="宋体" w:hAnsi="宋体" w:eastAsia="宋体" w:cs="宋体"/>
          <w:color w:val="auto"/>
          <w:spacing w:val="-1"/>
          <w:position w:val="16"/>
          <w:sz w:val="21"/>
          <w:szCs w:val="21"/>
          <w:highlight w:val="none"/>
          <w:lang w:val="en-US" w:eastAsia="zh-CN"/>
        </w:rPr>
        <w:t>2.9 投标报价中应考虑招标文件中要求投标人承担的风险范围以及相关的费用。</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lang w:val="en-US" w:eastAsia="zh-CN"/>
        </w:rPr>
        <w:t>2.10</w:t>
      </w:r>
      <w:r>
        <w:rPr>
          <w:rFonts w:hint="eastAsia" w:ascii="宋体" w:hAnsi="宋体" w:eastAsia="宋体" w:cs="宋体"/>
          <w:color w:val="auto"/>
          <w:spacing w:val="-1"/>
          <w:position w:val="16"/>
          <w:sz w:val="21"/>
          <w:szCs w:val="21"/>
          <w:highlight w:val="none"/>
        </w:rPr>
        <w:t>采用固定价格报价说明</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1、投标报价所含内容与投标人须知及前附表、合同通用条款、合同专用条款、技术规范和图纸要求的内容相一致。</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2、投标报价采用固定总价合同，一口价包死，投标报价必须控制在招标人确定的拦标价内且在投标书中填写投标总价，并提供已标价的工程量清单。</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3、工程量清单中列出的工程量系招标单位估算的、暂定的，是为投标提供一个共同的基础，已标价工程量清单仅反映合同总价的价格构成，如果招标人提供的工程量清单存在缺陷，其价格应视为已包括在合同总价中，结算时不做如何调整。已标价工程量清单的单价作为合同文件的组成部分，可应用于工程变更、新增工程等合同价格调整的计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4、投标人需按照相关定额及本招标文件的要求，并依据现场踏勘情况、施工组织设计或施工方案、招标人提供的施工图纸等填写给定清单内的每个子项和单项的综合单价与合价，并确定投标总价。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5、投标人应依据相关定额、取费标准、辽宁省工程造价管理部门发布的最新材料市场价格信息、企业定额、招标文件、施工图纸等相关技术资料、充分考虑施工难度、现场条件及市场竞争等因素，并充分考虑施工风险后，最终确定投标报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6、对工程及材料的一般说明，不再在工程量清单中重复与总结，在填写工程量清单时，请参见合同文件的有关章节及条款。</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7、所有报价应以人民币表示。</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lang w:val="en-US" w:eastAsia="zh-CN"/>
        </w:rPr>
        <w:t>2.11</w:t>
      </w:r>
      <w:r>
        <w:rPr>
          <w:rFonts w:hint="eastAsia" w:ascii="宋体" w:hAnsi="宋体" w:eastAsia="宋体" w:cs="宋体"/>
          <w:color w:val="auto"/>
          <w:spacing w:val="-1"/>
          <w:position w:val="16"/>
          <w:sz w:val="21"/>
          <w:szCs w:val="21"/>
          <w:highlight w:val="none"/>
        </w:rPr>
        <w:t>工程量清单编制依据：</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1. 《建设工程工程量清单计价规范》（GB50500-2013）；</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(2)《财政部国家税务总局关于全面推开营业税改征增值税试点的通知》（财税{2018}32号）</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（3）《辽宁省高标准农田建设指南第1部分：项目初步设计报告编制》（DB21/T3722.1-2023）</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(4)《辽宁省高标准农田建设指南第2部分：项目概算编制》（DB21/T3722.2-2023）</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(5)《辽宁省高标准农田建设指南第3部分：项目预算编制》（DB21/T3722.3-2023）</w:t>
      </w:r>
    </w:p>
    <w:p>
      <w:pPr>
        <w:spacing w:before="170" w:line="240" w:lineRule="auto"/>
        <w:ind w:left="19" w:leftChars="0" w:firstLine="399" w:firstLineChars="192"/>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（6）《辽宁省住房和城乡建设厅关于调整建设工程造价增值税税率的通知》（辽住建建管（2019）9号）；</w:t>
      </w:r>
    </w:p>
    <w:p>
      <w:pPr>
        <w:spacing w:before="170" w:line="240" w:lineRule="auto"/>
        <w:ind w:left="19" w:leftChars="0" w:firstLine="399" w:firstLineChars="192"/>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（7）《辽宁省工程造价信息》2023年10月公布的大石桥市价格进行计算。</w:t>
      </w:r>
    </w:p>
    <w:p>
      <w:pPr>
        <w:tabs>
          <w:tab w:val="left" w:pos="0"/>
        </w:tabs>
        <w:spacing w:before="180" w:line="430" w:lineRule="exact"/>
        <w:ind w:left="17" w:leftChars="0" w:firstLine="418" w:firstLineChars="201"/>
        <w:rPr>
          <w:rFonts w:hint="eastAsia" w:ascii="宋体" w:hAnsi="宋体" w:eastAsia="宋体" w:cs="宋体"/>
          <w:color w:val="auto"/>
          <w:spacing w:val="-1"/>
          <w:position w:val="16"/>
          <w:sz w:val="21"/>
          <w:szCs w:val="21"/>
          <w:highlight w:val="none"/>
        </w:rPr>
      </w:pPr>
      <w:r>
        <w:rPr>
          <w:rFonts w:hint="eastAsia" w:ascii="宋体" w:hAnsi="宋体" w:eastAsia="宋体" w:cs="宋体"/>
          <w:color w:val="auto"/>
          <w:spacing w:val="-1"/>
          <w:position w:val="16"/>
          <w:sz w:val="21"/>
          <w:szCs w:val="21"/>
          <w:highlight w:val="none"/>
        </w:rPr>
        <w:t xml:space="preserve">2. </w:t>
      </w:r>
      <w:r>
        <w:rPr>
          <w:rFonts w:hint="eastAsia" w:ascii="宋体" w:hAnsi="宋体" w:eastAsia="宋体" w:cs="宋体"/>
          <w:color w:val="auto"/>
          <w:spacing w:val="-1"/>
          <w:position w:val="16"/>
          <w:sz w:val="21"/>
          <w:szCs w:val="21"/>
          <w:highlight w:val="none"/>
          <w:lang w:eastAsia="zh-CN"/>
        </w:rPr>
        <w:t>营口市高标准农田建设结余资金项目（大石桥市2020年高标准农田建设结余资金项目）</w:t>
      </w:r>
      <w:r>
        <w:rPr>
          <w:rFonts w:hint="eastAsia" w:ascii="宋体" w:hAnsi="宋体" w:eastAsia="宋体" w:cs="宋体"/>
          <w:color w:val="auto"/>
          <w:spacing w:val="-1"/>
          <w:position w:val="16"/>
          <w:sz w:val="21"/>
          <w:szCs w:val="21"/>
          <w:highlight w:val="none"/>
        </w:rPr>
        <w:t>项目施工图。</w:t>
      </w:r>
    </w:p>
    <w:p>
      <w:pPr>
        <w:spacing w:before="91" w:line="219" w:lineRule="auto"/>
        <w:ind w:left="4"/>
        <w:rPr>
          <w:rFonts w:hint="eastAsia" w:ascii="黑体" w:hAnsi="黑体" w:eastAsia="黑体" w:cs="黑体"/>
          <w:color w:val="auto"/>
          <w:sz w:val="28"/>
          <w:szCs w:val="28"/>
          <w:highlight w:val="none"/>
          <w:lang w:eastAsia="zh-CN"/>
        </w:rPr>
      </w:pPr>
      <w:r>
        <w:rPr>
          <w:rFonts w:ascii="Times New Roman" w:hAnsi="Times New Roman" w:eastAsia="Times New Roman" w:cs="Times New Roman"/>
          <w:color w:val="auto"/>
          <w:spacing w:val="-2"/>
          <w:sz w:val="28"/>
          <w:szCs w:val="28"/>
          <w:highlight w:val="none"/>
        </w:rPr>
        <w:t>3</w:t>
      </w:r>
      <w:r>
        <w:rPr>
          <w:rFonts w:ascii="黑体" w:hAnsi="黑体" w:eastAsia="黑体" w:cs="黑体"/>
          <w:color w:val="auto"/>
          <w:spacing w:val="-2"/>
          <w:sz w:val="28"/>
          <w:szCs w:val="28"/>
          <w:highlight w:val="none"/>
        </w:rPr>
        <w:t>、工程量清单与计价表</w:t>
      </w:r>
      <w:r>
        <w:rPr>
          <w:rFonts w:hint="eastAsia" w:ascii="黑体" w:hAnsi="黑体" w:eastAsia="黑体" w:cs="黑体"/>
          <w:color w:val="auto"/>
          <w:spacing w:val="-2"/>
          <w:sz w:val="28"/>
          <w:szCs w:val="28"/>
          <w:highlight w:val="none"/>
          <w:lang w:eastAsia="zh-CN"/>
        </w:rPr>
        <w:t>（招标文件中格式供参考）</w:t>
      </w:r>
    </w:p>
    <w:p>
      <w:pPr>
        <w:spacing w:line="219" w:lineRule="auto"/>
        <w:rPr>
          <w:rFonts w:ascii="黑体" w:hAnsi="黑体" w:eastAsia="黑体" w:cs="黑体"/>
          <w:color w:val="auto"/>
          <w:sz w:val="28"/>
          <w:szCs w:val="28"/>
          <w:highlight w:val="none"/>
        </w:rPr>
        <w:sectPr>
          <w:footerReference r:id="rId78" w:type="default"/>
          <w:pgSz w:w="11905" w:h="16843"/>
          <w:pgMar w:top="1769" w:right="1548" w:bottom="1003" w:left="1542" w:header="0" w:footer="828" w:gutter="0"/>
          <w:pgNumType w:fmt="numberInDash"/>
          <w:cols w:space="0" w:num="1"/>
          <w:rtlGutter w:val="0"/>
          <w:docGrid w:linePitch="0" w:charSpace="0"/>
        </w:sectPr>
      </w:pPr>
    </w:p>
    <w:tbl>
      <w:tblPr>
        <w:tblStyle w:val="7"/>
        <w:tblW w:w="84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4"/>
        <w:gridCol w:w="4473"/>
        <w:gridCol w:w="1826"/>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auto"/>
                <w:sz w:val="40"/>
                <w:szCs w:val="40"/>
                <w:highlight w:val="none"/>
                <w:u w:val="none"/>
              </w:rPr>
            </w:pPr>
            <w:r>
              <w:rPr>
                <w:rFonts w:hint="eastAsia" w:ascii="黑体" w:hAnsi="宋体" w:eastAsia="黑体" w:cs="黑体"/>
                <w:i w:val="0"/>
                <w:iCs w:val="0"/>
                <w:snapToGrid w:val="0"/>
                <w:color w:val="auto"/>
                <w:kern w:val="0"/>
                <w:sz w:val="40"/>
                <w:szCs w:val="40"/>
                <w:highlight w:val="none"/>
                <w:u w:val="none"/>
                <w:lang w:val="en-US" w:eastAsia="zh-CN" w:bidi="ar"/>
              </w:rPr>
              <w:t>工程量清单总表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8439" w:type="dxa"/>
            <w:gridSpan w:val="4"/>
            <w:tcBorders>
              <w:top w:val="nil"/>
              <w:left w:val="nil"/>
              <w:bottom w:val="single" w:color="000000" w:sz="4" w:space="0"/>
              <w:right w:val="nil"/>
            </w:tcBorders>
            <w:shd w:val="clear" w:color="auto" w:fill="auto"/>
            <w:vAlign w:val="center"/>
          </w:tcPr>
          <w:p>
            <w:pPr>
              <w:jc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工程名称:营口市高标准农田建设结余资金项目（大石桥市2020年高标准农田建设结余资金项目）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000000"/>
                <w:kern w:val="0"/>
                <w:sz w:val="24"/>
                <w:szCs w:val="24"/>
                <w:u w:val="none"/>
                <w:lang w:val="en-US" w:eastAsia="zh-CN" w:bidi="ar"/>
              </w:rPr>
              <w:t>编号</w:t>
            </w:r>
          </w:p>
        </w:tc>
        <w:tc>
          <w:tcPr>
            <w:tcW w:w="3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000000"/>
                <w:kern w:val="0"/>
                <w:sz w:val="24"/>
                <w:szCs w:val="24"/>
                <w:u w:val="none"/>
                <w:lang w:val="en-US" w:eastAsia="zh-CN" w:bidi="ar"/>
              </w:rPr>
              <w:t>项目名称</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金额(元)</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snapToGrid w:val="0"/>
                <w:color w:val="auto"/>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w:t>
            </w:r>
          </w:p>
        </w:tc>
        <w:tc>
          <w:tcPr>
            <w:tcW w:w="3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灌溉与排水工程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1.1</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输配水工程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1.1.1</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支渠钢筋混凝土板衬砌工程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1.1.2</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斗渠钢筋混凝土板衬砌工程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1.2</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渠系建筑物工程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1.2.1</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农道桥工程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1.2.2</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进水闸工程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1.2.3</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过路涵工程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1.2.4</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金属结构设备及安装工程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2</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田间道路工程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2.1</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砂石机耕道路工程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2.2</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砂石生产道路工程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r>
              <w:rPr>
                <w:rFonts w:hint="eastAsia" w:ascii="宋体" w:hAnsi="宋体" w:eastAsia="宋体" w:cs="宋体"/>
                <w:i w:val="0"/>
                <w:iCs w:val="0"/>
                <w:snapToGrid w:val="0"/>
                <w:color w:val="auto"/>
                <w:kern w:val="0"/>
                <w:sz w:val="18"/>
                <w:szCs w:val="18"/>
                <w:highlight w:val="none"/>
                <w:u w:val="none"/>
                <w:lang w:val="en-US" w:eastAsia="zh-CN" w:bidi="ar"/>
              </w:rPr>
              <w:t>合计</w:t>
            </w: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3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0" w:type="auto"/>
            <w:gridSpan w:val="4"/>
            <w:tcBorders>
              <w:top w:val="single" w:color="000000"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p>
            <w:pPr>
              <w:pStyle w:val="4"/>
              <w:rPr>
                <w:rFonts w:hint="eastAsia" w:ascii="宋体" w:hAnsi="宋体" w:eastAsia="宋体" w:cs="宋体"/>
                <w:i w:val="0"/>
                <w:iCs w:val="0"/>
                <w:color w:val="auto"/>
                <w:sz w:val="18"/>
                <w:szCs w:val="18"/>
                <w:highlight w:val="none"/>
                <w:u w:val="none"/>
              </w:rPr>
            </w:pPr>
          </w:p>
          <w:tbl>
            <w:tblPr>
              <w:tblStyle w:val="7"/>
              <w:tblW w:w="12924" w:type="dxa"/>
              <w:tblInd w:w="-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2930" w:type="dxa"/>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both"/>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ascii="黑体" w:hAnsi="宋体" w:eastAsia="黑体" w:cs="黑体"/>
                      <w:b/>
                      <w:bCs/>
                      <w:i w:val="0"/>
                      <w:iCs w:val="0"/>
                      <w:color w:val="000000"/>
                      <w:sz w:val="32"/>
                      <w:szCs w:val="32"/>
                      <w:u w:val="double"/>
                    </w:rPr>
                  </w:pPr>
                  <w:r>
                    <w:rPr>
                      <w:rFonts w:hint="eastAsia" w:ascii="黑体" w:hAnsi="宋体" w:eastAsia="黑体" w:cs="黑体"/>
                      <w:b/>
                      <w:bCs/>
                      <w:i w:val="0"/>
                      <w:iCs w:val="0"/>
                      <w:snapToGrid w:val="0"/>
                      <w:color w:val="000000"/>
                      <w:kern w:val="0"/>
                      <w:sz w:val="32"/>
                      <w:szCs w:val="32"/>
                      <w:u w:val="double"/>
                      <w:lang w:val="en-US" w:eastAsia="zh-CN" w:bidi="ar"/>
                    </w:rPr>
                    <w:t>灌溉与排水（建筑）工程</w:t>
                  </w:r>
                </w:p>
              </w:tc>
            </w:tr>
          </w:tbl>
          <w:p>
            <w:pPr>
              <w:pStyle w:val="4"/>
              <w:rPr>
                <w:rFonts w:hint="eastAsia" w:ascii="宋体" w:hAnsi="宋体" w:eastAsia="宋体" w:cs="宋体"/>
                <w:i w:val="0"/>
                <w:iCs w:val="0"/>
                <w:color w:val="auto"/>
                <w:sz w:val="18"/>
                <w:szCs w:val="18"/>
                <w:highlight w:val="none"/>
                <w:u w:val="none"/>
              </w:rPr>
            </w:pPr>
          </w:p>
        </w:tc>
      </w:tr>
    </w:tbl>
    <w:p>
      <w:pPr>
        <w:pStyle w:val="2"/>
        <w:spacing w:line="266" w:lineRule="auto"/>
        <w:rPr>
          <w:color w:val="auto"/>
          <w:highlight w:val="none"/>
        </w:rPr>
      </w:pPr>
    </w:p>
    <w:p>
      <w:pPr>
        <w:spacing w:before="78" w:line="219" w:lineRule="auto"/>
        <w:rPr>
          <w:rFonts w:ascii="Times New Roman" w:hAnsi="Times New Roman" w:eastAsia="Times New Roman" w:cs="Times New Roman"/>
          <w:color w:val="auto"/>
          <w:spacing w:val="-1"/>
          <w:sz w:val="24"/>
          <w:szCs w:val="24"/>
          <w:highlight w:val="none"/>
        </w:rPr>
      </w:pPr>
    </w:p>
    <w:tbl>
      <w:tblPr>
        <w:tblStyle w:val="7"/>
        <w:tblW w:w="866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6"/>
        <w:gridCol w:w="2870"/>
        <w:gridCol w:w="720"/>
        <w:gridCol w:w="1860"/>
        <w:gridCol w:w="1140"/>
        <w:gridCol w:w="1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936"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 号</w:t>
            </w:r>
          </w:p>
        </w:tc>
        <w:tc>
          <w:tcPr>
            <w:tcW w:w="287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名称及规格</w:t>
            </w:r>
          </w:p>
        </w:tc>
        <w:tc>
          <w:tcPr>
            <w:tcW w:w="72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 位</w:t>
            </w:r>
          </w:p>
        </w:tc>
        <w:tc>
          <w:tcPr>
            <w:tcW w:w="186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  量</w:t>
            </w:r>
          </w:p>
        </w:tc>
        <w:tc>
          <w:tcPr>
            <w:tcW w:w="114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4"/>
                <w:szCs w:val="24"/>
                <w:u w:val="none"/>
                <w:lang w:val="en-US" w:eastAsia="zh-CN" w:bidi="ar"/>
              </w:rPr>
            </w:pPr>
            <w:r>
              <w:rPr>
                <w:rFonts w:hint="eastAsia" w:ascii="宋体" w:hAnsi="宋体" w:eastAsia="宋体" w:cs="宋体"/>
                <w:i w:val="0"/>
                <w:iCs w:val="0"/>
                <w:snapToGrid w:val="0"/>
                <w:color w:val="000000"/>
                <w:kern w:val="0"/>
                <w:sz w:val="24"/>
                <w:szCs w:val="24"/>
                <w:u w:val="none"/>
                <w:lang w:val="en-US" w:eastAsia="zh-CN" w:bidi="ar"/>
              </w:rPr>
              <w:t>单  价</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140"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   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输配水工程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支、斗渠衬砌工程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前沟站一支渠钢筋混凝土板衬砌工程（1600m）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2,422.00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13,655.76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587.00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3,320.00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10,116.01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95.76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1,313.69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商品砼基础梁 C25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384.00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3,200.00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76.67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2,332.20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赏军三支（群力）1斗渠钢筋混凝土板衬砌工程（810m）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1,134.00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194.00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外购山皮石回填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5,923.50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1,212.50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4,482.00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581.37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商品砼基础梁 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888.00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25.79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1,032.00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腰屯1#农渠钢筋混凝土板衬砌工程（345m）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414.00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1,632.00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1,292.00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174.86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272.80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6.96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298.73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大村1#农渠1200装配式钢筋混凝土矩形槽衬砌工程(550m)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715.00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166.76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预制钢筋混凝土矩形槽分水闸口外购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预制钢筋混凝土矩形槽分水闸口运输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r>
              <w:rPr>
                <w:rStyle w:val="13"/>
                <w:rFonts w:eastAsia="宋体"/>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预制钢筋混凝土构件分水闸口安装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snapToGrid w:val="0"/>
                <w:color w:val="000000"/>
                <w:kern w:val="0"/>
                <w:sz w:val="24"/>
                <w:szCs w:val="24"/>
                <w:u w:val="none"/>
                <w:lang w:val="en-US" w:eastAsia="zh-CN" w:bidi="ar"/>
              </w:rPr>
              <w:t>m</w:t>
            </w:r>
            <w:r>
              <w:rPr>
                <w:rStyle w:val="13"/>
                <w:rFonts w:eastAsia="宋体"/>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预制钢筋混凝土矩形槽外购（到施工场地价）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550.00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预制钢筋混凝土矩形槽运输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预制钢筋混凝土构件安装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三支马1斗渠钢筋混凝土板衬砌工程（615m）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834.00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3,443.24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168.78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481.92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2,793.76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36.54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459.46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482.40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15.21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603.62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五支赵1斗渠钢筋混凝土板衬砌工程（1220m）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979.00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986.00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6,612.00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290.00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683.20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5,124.00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73.20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884.80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976.00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28.74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1,306.00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五支赵1-1斗渠钢筋混凝土板衬砌工程（100m）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89.00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522.00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22.80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420.00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71.58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2.37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104.90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五支赵2斗渠钢筋混凝土板衬砌工程（1265m）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1,288.00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738.00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渠道整形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7,530.00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粗砂细砾综合找平层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土工布铺设</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1,320.00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土工膜铺设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5,750.00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帽梁商品砼C25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2"/>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75.54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商品砼渠道衬砌 C25 F150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977.92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3"/>
                <w:rFonts w:eastAsia="宋体"/>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商品砼U型槽底板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3"/>
                <w:rFonts w:eastAsia="宋体"/>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119.60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商品砼U型槽立墙 C30 F200 W6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3"/>
                <w:rFonts w:eastAsia="宋体"/>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1,553.00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49.73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沥青木板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1,624.00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安全防护网制安（高1.8m含埋件）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二</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渠系建筑物工程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农道桥工程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前沟站一支渠（1+310）农道桥工程（4.0m×4.4m×1跨）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132.26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外购山皮石回填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76.60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49.00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商品砼板、梁、柱 C30 F200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7.96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35.90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1.03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原桥砼拆除外运1km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桥栏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沥青木板</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赏军三支群力混凝土桥工程（10m×7.8m×2跨）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748.00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回填方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外购山皮石回填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175.50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C40F200商品砼板、梁、柱</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69.10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351.00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原桥砼拆除外运1km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沥青木板</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（二）</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进水闸工程（52座总量）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前沟站一支农渠进水闸工程(∮500砼管)4座总量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涵管(∮500)含安装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前沟站一支农渠进水闸工程(∮400砼管)11座总量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341.00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220.00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预制钢筋混凝土构件安装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载重汽车运输预制混凝土构件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预制砼构件（矩形）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0.44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5.17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0.32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涵管(∮400)含安装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赏军三支（群力）1斗渠（0+810）节制闸工程（1.0m×1.0m×1孔）1座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13.53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1.95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赏军三支（群力）1斗渠（0+830）排水涵工程（∮1000砼管）1座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213.00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149.00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30.36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涵管(∮1000)含安装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赏军三支（群力）1斗农渠进水闸工程（∮800砼管）1座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0.63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4.68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0.57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涵管(∮800)含安装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赏军三支（群力）1斗农渠进水闸工程(∮400砼管)4座总量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预制钢筋混凝土构件安装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载重汽车运输预制混凝土构件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预制砼构件（矩形）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0.24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0.16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0.12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涵管(∮400)含安装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腰屯1#农渠进水闸工程(∮400砼管)5座总量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预制钢筋混凝土构件安装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载重汽车运输预制混凝土构件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预制砼构件（矩形）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0.14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涵管(∮400)含安装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大村1#农渠分水闸口工程（∮300砼管）6座总量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涵管(∮300)含安装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三支马1斗渠（0+600）进水闸工程（∮1000砼管）1座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外购山皮石回填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1.90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涵管(∮1000)含安装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287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恢复C25混凝土路面</w:t>
            </w:r>
            <w:r>
              <w:rPr>
                <w:rStyle w:val="14"/>
                <w:rFonts w:eastAsia="宋体"/>
                <w:snapToGrid w:val="0"/>
                <w:color w:val="000000"/>
                <w:lang w:val="en-US" w:eastAsia="zh-CN" w:bidi="ar"/>
              </w:rPr>
              <w:t>(20cm</w:t>
            </w:r>
            <w:r>
              <w:rPr>
                <w:rStyle w:val="15"/>
                <w:snapToGrid w:val="0"/>
                <w:color w:val="000000"/>
                <w:lang w:val="en-US" w:eastAsia="zh-CN" w:bidi="ar"/>
              </w:rPr>
              <w:t>厚)</w:t>
            </w:r>
          </w:p>
        </w:tc>
        <w:tc>
          <w:tcPr>
            <w:tcW w:w="72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23.00 </w:t>
            </w:r>
          </w:p>
        </w:tc>
        <w:tc>
          <w:tcPr>
            <w:tcW w:w="114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三支马1斗渠（0+610）进水闸工程（∮800砼管）1座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涵管(∮800)含安装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三支马1斗农渠进水闸工程（∮500砼管）2座总量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2.58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0.52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0.26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涵管(∮500)含安装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五支赵1斗渠末端排水闸工程（∮1000砼管）1座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5.89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0.90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涵管(∮1000)含安装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五支赵2斗渠末端排水闸工程（∮1000砼管）1座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5.32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涵管(∮1000)含安装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五支赵2斗渠（0+820、0+865）进水闸工程（∮800砼管）2座总量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9.66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1.92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涵管(∮800)含安装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五支赵2斗农渠进水闸工程（∮500砼管）8座总量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9.08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96.00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涵管(∮500)含安装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五支赵1-1斗渠进水闸工程（∮1000砼管）1座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0.38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6.01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商品砼板、梁、柱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0.78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28.00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涵管(∮1000)含安装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五支赵1-1斗农渠进水闸工程(∮400砼管)2座总量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砌体砂浆压顶Ｍ15水泥砂浆30厚</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预制钢筋混凝土构件安装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载重汽车运输预制混凝土构件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预制砼构件（矩形）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0.88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商品砼底板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0.12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商品砼立墙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0.06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0.42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0.05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涵管(∮400)含安装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（三）</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过路涵工程（7座总量）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赏军三支群力斗渠过路涵工程（∮1000）2座总量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砌体砂浆抹面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17.60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涵管∮1000含安装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腰屯1#农渠过路涵工程（∮800）1座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27.00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24.00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砌体砂浆抹面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插石灌浆垫层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0.60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7.20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原涵管拆除外运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涵管∮800含安装</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5.00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三支马1斗渠（0+010、0+145、0+520）过路涵工程（1.2m×1.2m×1孔）3座总量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312.00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填土方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219.00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砌体砂浆抹面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12.60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49.80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3.30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34.50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156.00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砼拆除外运1km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五支赵2斗渠（0+625）过路涵工程（1.5m×1.5m×1孔）1座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挖土方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110.00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外购山皮石回填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38.64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砌体砂浆抹面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4.60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浆砌块石墩垟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19.05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C20商品砼垫层</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1.38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商品砼方涵 C30 F200 W6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3</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14.89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标准平面木模板制安、拆除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61.50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钢筋制安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t</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1.45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2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砼拆除外运1km</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处</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36" w:type="dxa"/>
            <w:tcBorders>
              <w:top w:val="nil"/>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287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恢复C25混凝土路面</w:t>
            </w:r>
            <w:r>
              <w:rPr>
                <w:rStyle w:val="14"/>
                <w:rFonts w:eastAsia="宋体"/>
                <w:snapToGrid w:val="0"/>
                <w:color w:val="000000"/>
                <w:lang w:val="en-US" w:eastAsia="zh-CN" w:bidi="ar"/>
              </w:rPr>
              <w:t>(20cm</w:t>
            </w:r>
            <w:r>
              <w:rPr>
                <w:rStyle w:val="15"/>
                <w:snapToGrid w:val="0"/>
                <w:color w:val="000000"/>
                <w:lang w:val="en-US" w:eastAsia="zh-CN" w:bidi="ar"/>
              </w:rPr>
              <w:t>厚)</w:t>
            </w:r>
          </w:p>
        </w:tc>
        <w:tc>
          <w:tcPr>
            <w:tcW w:w="72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Style w:val="11"/>
                <w:snapToGrid w:val="0"/>
                <w:color w:val="000000"/>
                <w:lang w:val="en-US" w:eastAsia="zh-CN" w:bidi="ar"/>
              </w:rPr>
              <w:t>2</w:t>
            </w:r>
          </w:p>
        </w:tc>
        <w:tc>
          <w:tcPr>
            <w:tcW w:w="186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21.00 </w:t>
            </w:r>
          </w:p>
        </w:tc>
        <w:tc>
          <w:tcPr>
            <w:tcW w:w="114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40"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jc w:val="center"/>
        <w:rPr>
          <w:rFonts w:hint="eastAsia" w:ascii="宋体" w:hAnsi="宋体" w:eastAsia="宋体" w:cs="宋体"/>
          <w:i w:val="0"/>
          <w:iCs w:val="0"/>
          <w:color w:val="000000"/>
          <w:sz w:val="24"/>
          <w:szCs w:val="24"/>
          <w:u w:val="none"/>
        </w:rPr>
        <w:sectPr>
          <w:footerReference r:id="rId79" w:type="default"/>
          <w:pgSz w:w="11905" w:h="16843"/>
          <w:pgMar w:top="1769" w:right="1548" w:bottom="1003" w:left="1542" w:header="0" w:footer="828" w:gutter="0"/>
          <w:pgNumType w:fmt="numberInDash"/>
          <w:cols w:space="0" w:num="1"/>
          <w:rtlGutter w:val="0"/>
          <w:docGrid w:linePitch="0" w:charSpace="0"/>
        </w:sectPr>
      </w:pPr>
    </w:p>
    <w:tbl>
      <w:tblPr>
        <w:tblStyle w:val="7"/>
        <w:tblW w:w="1282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9"/>
        <w:gridCol w:w="136"/>
        <w:gridCol w:w="2885"/>
        <w:gridCol w:w="72"/>
        <w:gridCol w:w="756"/>
        <w:gridCol w:w="24"/>
        <w:gridCol w:w="840"/>
        <w:gridCol w:w="516"/>
        <w:gridCol w:w="132"/>
        <w:gridCol w:w="600"/>
        <w:gridCol w:w="492"/>
        <w:gridCol w:w="204"/>
        <w:gridCol w:w="276"/>
        <w:gridCol w:w="915"/>
        <w:gridCol w:w="188"/>
        <w:gridCol w:w="205"/>
        <w:gridCol w:w="31"/>
        <w:gridCol w:w="1270"/>
        <w:gridCol w:w="500"/>
        <w:gridCol w:w="520"/>
        <w:gridCol w:w="1365"/>
        <w:gridCol w:w="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12826" w:type="dxa"/>
            <w:gridSpan w:val="22"/>
            <w:tcBorders>
              <w:top w:val="nil"/>
              <w:left w:val="nil"/>
              <w:bottom w:val="nil"/>
              <w:right w:val="nil"/>
            </w:tcBorders>
            <w:shd w:val="clear" w:color="auto" w:fill="auto"/>
            <w:noWrap/>
            <w:vAlign w:val="center"/>
          </w:tcPr>
          <w:p>
            <w:pPr>
              <w:keepNext w:val="0"/>
              <w:keepLines w:val="0"/>
              <w:widowControl/>
              <w:suppressLineNumbers w:val="0"/>
              <w:ind w:firstLine="1285" w:firstLineChars="400"/>
              <w:jc w:val="both"/>
              <w:textAlignment w:val="center"/>
              <w:rPr>
                <w:rFonts w:ascii="黑体" w:hAnsi="宋体" w:eastAsia="黑体" w:cs="黑体"/>
                <w:b/>
                <w:bCs/>
                <w:i w:val="0"/>
                <w:iCs w:val="0"/>
                <w:color w:val="000000"/>
                <w:sz w:val="32"/>
                <w:szCs w:val="32"/>
                <w:u w:val="double"/>
              </w:rPr>
            </w:pPr>
            <w:r>
              <w:rPr>
                <w:rFonts w:hint="eastAsia" w:ascii="黑体" w:hAnsi="宋体" w:eastAsia="黑体" w:cs="黑体"/>
                <w:b/>
                <w:bCs/>
                <w:i w:val="0"/>
                <w:iCs w:val="0"/>
                <w:snapToGrid w:val="0"/>
                <w:color w:val="000000"/>
                <w:kern w:val="0"/>
                <w:sz w:val="32"/>
                <w:szCs w:val="32"/>
                <w:u w:val="double"/>
                <w:lang w:val="en-US" w:eastAsia="zh-CN" w:bidi="ar"/>
              </w:rPr>
              <w:t>灌溉与排水（金属设备及安装）工程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671" w:type="dxa"/>
            <w:gridSpan w:val="19"/>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default" w:ascii="Times New Roman" w:hAnsi="Times New Roman" w:eastAsia="宋体" w:cs="Times New Roman"/>
                <w:b/>
                <w:bCs/>
                <w:i w:val="0"/>
                <w:iCs w:val="0"/>
                <w:snapToGrid w:val="0"/>
                <w:color w:val="000000"/>
                <w:kern w:val="0"/>
                <w:sz w:val="24"/>
                <w:szCs w:val="24"/>
                <w:u w:val="none"/>
                <w:lang w:val="en-US" w:eastAsia="zh-CN" w:bidi="ar"/>
              </w:rPr>
              <w:t xml:space="preserve">                                              </w:t>
            </w:r>
          </w:p>
        </w:tc>
        <w:tc>
          <w:tcPr>
            <w:tcW w:w="2155" w:type="dxa"/>
            <w:gridSpan w:val="3"/>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3093" w:type="dxa"/>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名称及规格</w:t>
            </w:r>
          </w:p>
        </w:tc>
        <w:tc>
          <w:tcPr>
            <w:tcW w:w="7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单位</w:t>
            </w:r>
          </w:p>
        </w:tc>
        <w:tc>
          <w:tcPr>
            <w:tcW w:w="864"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  量</w:t>
            </w:r>
          </w:p>
        </w:tc>
        <w:tc>
          <w:tcPr>
            <w:tcW w:w="1248"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   价(元)</w:t>
            </w:r>
          </w:p>
        </w:tc>
        <w:tc>
          <w:tcPr>
            <w:tcW w:w="97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   计(元)</w:t>
            </w:r>
          </w:p>
        </w:tc>
        <w:tc>
          <w:tcPr>
            <w:tcW w:w="1103" w:type="dxa"/>
            <w:gridSpan w:val="2"/>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合计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4"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设备费</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安装费</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设备费</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安装费</w:t>
            </w:r>
          </w:p>
        </w:tc>
        <w:tc>
          <w:tcPr>
            <w:tcW w:w="1103" w:type="dxa"/>
            <w:gridSpan w:val="2"/>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合计</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51</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w:t>
            </w: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支、斗渠进水涵闸工程</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铸铁闸门</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1.0m×1.0m</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扇</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0.8m×0.8m</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扇</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0.5m×0.5m</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扇</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手提复合PE塑料闸门</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0.4m×0.4m</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扇</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0.3m×0.3m</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扇</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螺杆式启闭机（手动）</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元</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2t</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台</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1t</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台</w:t>
            </w:r>
          </w:p>
        </w:tc>
        <w:tc>
          <w:tcPr>
            <w:tcW w:w="8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4161" w:type="dxa"/>
          <w:trHeight w:val="439" w:hRule="atLeast"/>
        </w:trPr>
        <w:tc>
          <w:tcPr>
            <w:tcW w:w="629"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93" w:type="dxa"/>
            <w:gridSpan w:val="3"/>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0.5t</w:t>
            </w:r>
          </w:p>
        </w:tc>
        <w:tc>
          <w:tcPr>
            <w:tcW w:w="756"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台</w:t>
            </w:r>
          </w:p>
        </w:tc>
        <w:tc>
          <w:tcPr>
            <w:tcW w:w="864"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648"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9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103" w:type="dxa"/>
            <w:gridSpan w:val="2"/>
            <w:tcBorders>
              <w:top w:val="single" w:color="000000" w:sz="4" w:space="0"/>
              <w:left w:val="single" w:color="000000" w:sz="4" w:space="0"/>
              <w:bottom w:val="single" w:color="000000" w:sz="8"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70" w:type="dxa"/>
          <w:trHeight w:val="435" w:hRule="atLeast"/>
        </w:trPr>
        <w:tc>
          <w:tcPr>
            <w:tcW w:w="629"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3093" w:type="dxa"/>
            <w:gridSpan w:val="3"/>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75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864" w:type="dxa"/>
            <w:gridSpan w:val="2"/>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3323" w:type="dxa"/>
            <w:gridSpan w:val="8"/>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236" w:type="dxa"/>
            <w:gridSpan w:val="2"/>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1270"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1020" w:type="dxa"/>
            <w:gridSpan w:val="2"/>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1365"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4349" w:type="dxa"/>
          <w:trHeight w:val="950" w:hRule="atLeast"/>
        </w:trPr>
        <w:tc>
          <w:tcPr>
            <w:tcW w:w="8477" w:type="dxa"/>
            <w:gridSpan w:val="14"/>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hint="eastAsia" w:ascii="黑体" w:hAnsi="宋体" w:eastAsia="黑体" w:cs="黑体"/>
                <w:b/>
                <w:bCs/>
                <w:i w:val="0"/>
                <w:iCs w:val="0"/>
                <w:snapToGrid w:val="0"/>
                <w:color w:val="000000"/>
                <w:kern w:val="0"/>
                <w:sz w:val="32"/>
                <w:szCs w:val="32"/>
                <w:u w:val="double"/>
                <w:lang w:val="en-US" w:eastAsia="zh-CN" w:bidi="ar"/>
              </w:rPr>
            </w:pPr>
          </w:p>
          <w:p>
            <w:pPr>
              <w:keepNext w:val="0"/>
              <w:keepLines w:val="0"/>
              <w:widowControl/>
              <w:suppressLineNumbers w:val="0"/>
              <w:jc w:val="center"/>
              <w:textAlignment w:val="bottom"/>
              <w:rPr>
                <w:rFonts w:ascii="黑体" w:hAnsi="宋体" w:eastAsia="黑体" w:cs="黑体"/>
                <w:b/>
                <w:bCs/>
                <w:i w:val="0"/>
                <w:iCs w:val="0"/>
                <w:color w:val="000000"/>
                <w:sz w:val="32"/>
                <w:szCs w:val="32"/>
                <w:u w:val="double"/>
              </w:rPr>
            </w:pPr>
            <w:r>
              <w:rPr>
                <w:rFonts w:hint="eastAsia" w:ascii="黑体" w:hAnsi="宋体" w:eastAsia="黑体" w:cs="黑体"/>
                <w:b/>
                <w:bCs/>
                <w:i w:val="0"/>
                <w:iCs w:val="0"/>
                <w:snapToGrid w:val="0"/>
                <w:color w:val="000000"/>
                <w:kern w:val="0"/>
                <w:sz w:val="32"/>
                <w:szCs w:val="32"/>
                <w:u w:val="double"/>
                <w:lang w:val="en-US" w:eastAsia="zh-CN" w:bidi="ar"/>
              </w:rPr>
              <w:t>田间道路工程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4349" w:type="dxa"/>
          <w:trHeight w:val="327" w:hRule="atLeast"/>
        </w:trPr>
        <w:tc>
          <w:tcPr>
            <w:tcW w:w="8477" w:type="dxa"/>
            <w:gridSpan w:val="14"/>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645" w:hRule="atLeast"/>
        </w:trPr>
        <w:tc>
          <w:tcPr>
            <w:tcW w:w="765" w:type="dxa"/>
            <w:gridSpan w:val="2"/>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 号</w:t>
            </w:r>
          </w:p>
        </w:tc>
        <w:tc>
          <w:tcPr>
            <w:tcW w:w="288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名称及规格</w:t>
            </w:r>
          </w:p>
        </w:tc>
        <w:tc>
          <w:tcPr>
            <w:tcW w:w="85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 位</w:t>
            </w:r>
          </w:p>
        </w:tc>
        <w:tc>
          <w:tcPr>
            <w:tcW w:w="1356" w:type="dxa"/>
            <w:gridSpan w:val="2"/>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数  量</w:t>
            </w:r>
          </w:p>
        </w:tc>
        <w:tc>
          <w:tcPr>
            <w:tcW w:w="1428" w:type="dxa"/>
            <w:gridSpan w:val="4"/>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单  价(元)</w:t>
            </w:r>
          </w:p>
        </w:tc>
        <w:tc>
          <w:tcPr>
            <w:tcW w:w="1584" w:type="dxa"/>
            <w:gridSpan w:val="4"/>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  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合计</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一</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砂石机耕路工程(1540m)</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路床压实 </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4,620.00 </w:t>
            </w: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山皮石基础(30cm厚)  </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3,988.60 </w:t>
            </w: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点石路面(6cm厚)</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3,850.00 </w:t>
            </w: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二</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砂石生产路工程(12680m)</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路床压实 </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42,700.00 </w:t>
            </w: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山皮石基础(30cm厚)  </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38,392.00 </w:t>
            </w: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3956" w:type="dxa"/>
          <w:trHeight w:val="439" w:hRule="atLeast"/>
        </w:trPr>
        <w:tc>
          <w:tcPr>
            <w:tcW w:w="76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点石路面(6cm厚)</w:t>
            </w:r>
          </w:p>
        </w:tc>
        <w:tc>
          <w:tcPr>
            <w:tcW w:w="8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w:t>
            </w:r>
            <w:r>
              <w:rPr>
                <w:rFonts w:hint="eastAsia" w:ascii="宋体" w:hAnsi="宋体" w:eastAsia="宋体" w:cs="宋体"/>
                <w:i w:val="0"/>
                <w:iCs w:val="0"/>
                <w:snapToGrid w:val="0"/>
                <w:color w:val="000000"/>
                <w:kern w:val="0"/>
                <w:sz w:val="24"/>
                <w:szCs w:val="24"/>
                <w:u w:val="none"/>
                <w:vertAlign w:val="superscript"/>
                <w:lang w:val="en-US" w:eastAsia="zh-CN" w:bidi="ar"/>
              </w:rPr>
              <w:t>2</w:t>
            </w:r>
          </w:p>
        </w:tc>
        <w:tc>
          <w:tcPr>
            <w:tcW w:w="13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 xml:space="preserve">36,110.00 </w:t>
            </w:r>
          </w:p>
        </w:tc>
        <w:tc>
          <w:tcPr>
            <w:tcW w:w="142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6"/>
          <w:wAfter w:w="3956" w:type="dxa"/>
          <w:trHeight w:val="435" w:hRule="atLeast"/>
        </w:trPr>
        <w:tc>
          <w:tcPr>
            <w:tcW w:w="765" w:type="dxa"/>
            <w:gridSpan w:val="2"/>
            <w:tcBorders>
              <w:top w:val="single" w:color="000000" w:sz="4" w:space="0"/>
              <w:left w:val="single" w:color="000000" w:sz="8"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000000"/>
                <w:sz w:val="24"/>
                <w:szCs w:val="24"/>
                <w:u w:val="none"/>
              </w:rPr>
            </w:pPr>
          </w:p>
        </w:tc>
        <w:tc>
          <w:tcPr>
            <w:tcW w:w="2885" w:type="dxa"/>
            <w:tcBorders>
              <w:top w:val="single" w:color="000000" w:sz="4" w:space="0"/>
              <w:left w:val="single" w:color="000000" w:sz="4"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000000"/>
                <w:sz w:val="24"/>
                <w:szCs w:val="24"/>
                <w:u w:val="none"/>
              </w:rPr>
            </w:pPr>
          </w:p>
        </w:tc>
        <w:tc>
          <w:tcPr>
            <w:tcW w:w="852" w:type="dxa"/>
            <w:gridSpan w:val="3"/>
            <w:tcBorders>
              <w:top w:val="single" w:color="000000" w:sz="4" w:space="0"/>
              <w:left w:val="single" w:color="000000" w:sz="4"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000000"/>
                <w:sz w:val="24"/>
                <w:szCs w:val="24"/>
                <w:u w:val="none"/>
              </w:rPr>
            </w:pPr>
          </w:p>
        </w:tc>
        <w:tc>
          <w:tcPr>
            <w:tcW w:w="1356" w:type="dxa"/>
            <w:gridSpan w:val="2"/>
            <w:tcBorders>
              <w:top w:val="single" w:color="000000" w:sz="4" w:space="0"/>
              <w:left w:val="single" w:color="000000" w:sz="4"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000000"/>
                <w:sz w:val="24"/>
                <w:szCs w:val="24"/>
                <w:u w:val="none"/>
              </w:rPr>
            </w:pPr>
          </w:p>
        </w:tc>
        <w:tc>
          <w:tcPr>
            <w:tcW w:w="1428" w:type="dxa"/>
            <w:gridSpan w:val="4"/>
            <w:tcBorders>
              <w:top w:val="single" w:color="000000" w:sz="4" w:space="0"/>
              <w:left w:val="single" w:color="000000" w:sz="4"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000000"/>
                <w:sz w:val="24"/>
                <w:szCs w:val="24"/>
                <w:u w:val="none"/>
              </w:rPr>
            </w:pPr>
          </w:p>
        </w:tc>
        <w:tc>
          <w:tcPr>
            <w:tcW w:w="1584" w:type="dxa"/>
            <w:gridSpan w:val="4"/>
            <w:tcBorders>
              <w:top w:val="single" w:color="000000" w:sz="4" w:space="0"/>
              <w:left w:val="single" w:color="000000" w:sz="4" w:space="0"/>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
          <w:wAfter w:w="3925" w:type="dxa"/>
          <w:trHeight w:val="312" w:hRule="atLeast"/>
        </w:trPr>
        <w:tc>
          <w:tcPr>
            <w:tcW w:w="765" w:type="dxa"/>
            <w:gridSpan w:val="2"/>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2885"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852" w:type="dxa"/>
            <w:gridSpan w:val="3"/>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1356" w:type="dxa"/>
            <w:gridSpan w:val="2"/>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2807" w:type="dxa"/>
            <w:gridSpan w:val="7"/>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c>
          <w:tcPr>
            <w:tcW w:w="236" w:type="dxa"/>
            <w:gridSpan w:val="2"/>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4"/>
                <w:szCs w:val="24"/>
                <w:u w:val="none"/>
              </w:rPr>
            </w:pPr>
          </w:p>
        </w:tc>
      </w:tr>
    </w:tbl>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pStyle w:val="4"/>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Times New Roman" w:hAnsi="Times New Roman" w:eastAsia="Times New Roman" w:cs="Times New Roman"/>
          <w:color w:val="auto"/>
          <w:spacing w:val="-1"/>
          <w:sz w:val="24"/>
          <w:szCs w:val="24"/>
          <w:highlight w:val="none"/>
        </w:rPr>
      </w:pPr>
    </w:p>
    <w:p>
      <w:pPr>
        <w:spacing w:before="78" w:line="219" w:lineRule="auto"/>
        <w:ind w:left="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招标工程量清单封面</w:t>
      </w:r>
    </w:p>
    <w:p>
      <w:pPr>
        <w:pStyle w:val="2"/>
        <w:spacing w:line="339" w:lineRule="auto"/>
        <w:rPr>
          <w:color w:val="auto"/>
          <w:highlight w:val="none"/>
        </w:rPr>
      </w:pPr>
    </w:p>
    <w:p>
      <w:pPr>
        <w:tabs>
          <w:tab w:val="left" w:pos="2695"/>
        </w:tabs>
        <w:spacing w:before="130" w:line="221" w:lineRule="auto"/>
        <w:rPr>
          <w:rFonts w:ascii="宋体" w:hAnsi="宋体" w:eastAsia="宋体" w:cs="宋体"/>
          <w:color w:val="auto"/>
          <w:sz w:val="40"/>
          <w:szCs w:val="40"/>
          <w:highlight w:val="none"/>
        </w:rPr>
      </w:pPr>
      <w:bookmarkStart w:id="348" w:name="bookmark388"/>
      <w:bookmarkEnd w:id="348"/>
      <w:r>
        <w:rPr>
          <w:rFonts w:ascii="宋体" w:hAnsi="宋体" w:eastAsia="宋体" w:cs="宋体"/>
          <w:color w:val="auto"/>
          <w:sz w:val="40"/>
          <w:szCs w:val="40"/>
          <w:highlight w:val="none"/>
        </w:rPr>
        <w:tab/>
      </w:r>
      <w:r>
        <w:rPr>
          <w:rFonts w:ascii="宋体" w:hAnsi="宋体" w:eastAsia="宋体" w:cs="宋体"/>
          <w:color w:val="auto"/>
          <w:spacing w:val="6"/>
          <w:sz w:val="40"/>
          <w:szCs w:val="40"/>
          <w:highlight w:val="none"/>
          <w:u w:val="single" w:color="auto"/>
        </w:rPr>
        <w:t xml:space="preserve">                  </w:t>
      </w:r>
      <w:r>
        <w:rPr>
          <w:rFonts w:ascii="宋体" w:hAnsi="宋体" w:eastAsia="宋体" w:cs="宋体"/>
          <w:color w:val="auto"/>
          <w:spacing w:val="-61"/>
          <w:sz w:val="40"/>
          <w:szCs w:val="40"/>
          <w:highlight w:val="none"/>
        </w:rPr>
        <w:t xml:space="preserve"> </w:t>
      </w:r>
      <w:r>
        <w:rPr>
          <w:rFonts w:ascii="宋体" w:hAnsi="宋体" w:eastAsia="宋体" w:cs="宋体"/>
          <w:color w:val="auto"/>
          <w:spacing w:val="-10"/>
          <w:sz w:val="40"/>
          <w:szCs w:val="40"/>
          <w:highlight w:val="none"/>
        </w:rPr>
        <w:t>工程</w:t>
      </w:r>
      <w:r>
        <w:rPr>
          <w:rFonts w:ascii="宋体" w:hAnsi="宋体" w:eastAsia="宋体" w:cs="宋体"/>
          <w:color w:val="auto"/>
          <w:sz w:val="40"/>
          <w:szCs w:val="40"/>
          <w:highlight w:val="none"/>
        </w:rPr>
        <w:t xml:space="preserve">         </w:t>
      </w:r>
    </w:p>
    <w:p>
      <w:pPr>
        <w:spacing w:before="152" w:line="220" w:lineRule="auto"/>
        <w:ind w:left="3311"/>
        <w:rPr>
          <w:rFonts w:ascii="宋体" w:hAnsi="宋体" w:eastAsia="宋体" w:cs="宋体"/>
          <w:color w:val="auto"/>
          <w:sz w:val="36"/>
          <w:szCs w:val="36"/>
          <w:highlight w:val="none"/>
        </w:rPr>
      </w:pPr>
      <w:r>
        <w:rPr>
          <w:rFonts w:ascii="宋体" w:hAnsi="宋体" w:eastAsia="宋体" w:cs="宋体"/>
          <w:color w:val="auto"/>
          <w:spacing w:val="-12"/>
          <w:sz w:val="36"/>
          <w:szCs w:val="36"/>
          <w:highlight w:val="none"/>
        </w:rPr>
        <w:t>工</w:t>
      </w:r>
      <w:r>
        <w:rPr>
          <w:rFonts w:ascii="宋体" w:hAnsi="宋体" w:eastAsia="宋体" w:cs="宋体"/>
          <w:color w:val="auto"/>
          <w:spacing w:val="12"/>
          <w:sz w:val="36"/>
          <w:szCs w:val="36"/>
          <w:highlight w:val="none"/>
        </w:rPr>
        <w:t xml:space="preserve"> </w:t>
      </w:r>
      <w:r>
        <w:rPr>
          <w:rFonts w:ascii="宋体" w:hAnsi="宋体" w:eastAsia="宋体" w:cs="宋体"/>
          <w:color w:val="auto"/>
          <w:spacing w:val="-12"/>
          <w:sz w:val="36"/>
          <w:szCs w:val="36"/>
          <w:highlight w:val="none"/>
        </w:rPr>
        <w:t>程</w:t>
      </w:r>
      <w:r>
        <w:rPr>
          <w:rFonts w:ascii="宋体" w:hAnsi="宋体" w:eastAsia="宋体" w:cs="宋体"/>
          <w:color w:val="auto"/>
          <w:spacing w:val="14"/>
          <w:sz w:val="36"/>
          <w:szCs w:val="36"/>
          <w:highlight w:val="none"/>
        </w:rPr>
        <w:t xml:space="preserve"> </w:t>
      </w:r>
      <w:r>
        <w:rPr>
          <w:rFonts w:ascii="宋体" w:hAnsi="宋体" w:eastAsia="宋体" w:cs="宋体"/>
          <w:color w:val="auto"/>
          <w:spacing w:val="-12"/>
          <w:sz w:val="36"/>
          <w:szCs w:val="36"/>
          <w:highlight w:val="none"/>
        </w:rPr>
        <w:t>量</w:t>
      </w:r>
      <w:r>
        <w:rPr>
          <w:rFonts w:ascii="宋体" w:hAnsi="宋体" w:eastAsia="宋体" w:cs="宋体"/>
          <w:color w:val="auto"/>
          <w:spacing w:val="15"/>
          <w:sz w:val="36"/>
          <w:szCs w:val="36"/>
          <w:highlight w:val="none"/>
        </w:rPr>
        <w:t xml:space="preserve"> </w:t>
      </w:r>
      <w:r>
        <w:rPr>
          <w:rFonts w:ascii="宋体" w:hAnsi="宋体" w:eastAsia="宋体" w:cs="宋体"/>
          <w:color w:val="auto"/>
          <w:spacing w:val="-12"/>
          <w:sz w:val="36"/>
          <w:szCs w:val="36"/>
          <w:highlight w:val="none"/>
        </w:rPr>
        <w:t>清</w:t>
      </w:r>
      <w:r>
        <w:rPr>
          <w:rFonts w:ascii="宋体" w:hAnsi="宋体" w:eastAsia="宋体" w:cs="宋体"/>
          <w:color w:val="auto"/>
          <w:spacing w:val="16"/>
          <w:sz w:val="36"/>
          <w:szCs w:val="36"/>
          <w:highlight w:val="none"/>
        </w:rPr>
        <w:t xml:space="preserve"> </w:t>
      </w:r>
      <w:r>
        <w:rPr>
          <w:rFonts w:ascii="宋体" w:hAnsi="宋体" w:eastAsia="宋体" w:cs="宋体"/>
          <w:color w:val="auto"/>
          <w:spacing w:val="-12"/>
          <w:sz w:val="36"/>
          <w:szCs w:val="36"/>
          <w:highlight w:val="none"/>
        </w:rPr>
        <w:t>单</w:t>
      </w:r>
    </w:p>
    <w:p>
      <w:pPr>
        <w:spacing w:before="217" w:line="225" w:lineRule="auto"/>
        <w:ind w:left="3448"/>
        <w:rPr>
          <w:rFonts w:ascii="宋体" w:hAnsi="宋体" w:eastAsia="宋体" w:cs="宋体"/>
          <w:color w:val="auto"/>
          <w:sz w:val="31"/>
          <w:szCs w:val="31"/>
          <w:highlight w:val="none"/>
        </w:rPr>
      </w:pPr>
      <w:r>
        <w:rPr>
          <w:rFonts w:ascii="宋体" w:hAnsi="宋体" w:eastAsia="宋体" w:cs="宋体"/>
          <w:color w:val="auto"/>
          <w:spacing w:val="26"/>
          <w:sz w:val="31"/>
          <w:szCs w:val="31"/>
          <w:highlight w:val="none"/>
        </w:rPr>
        <w:t>合同编号：()</w:t>
      </w: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tabs>
          <w:tab w:val="left" w:pos="118"/>
        </w:tabs>
        <w:spacing w:before="79"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6"/>
          <w:w w:val="95"/>
          <w:sz w:val="24"/>
          <w:szCs w:val="24"/>
          <w:highlight w:val="none"/>
        </w:rPr>
        <w:t>招</w:t>
      </w:r>
      <w:r>
        <w:rPr>
          <w:rFonts w:ascii="宋体" w:hAnsi="宋体" w:eastAsia="宋体" w:cs="宋体"/>
          <w:color w:val="auto"/>
          <w:spacing w:val="2"/>
          <w:sz w:val="24"/>
          <w:szCs w:val="24"/>
          <w:highlight w:val="none"/>
        </w:rPr>
        <w:t xml:space="preserve">    </w:t>
      </w:r>
      <w:r>
        <w:rPr>
          <w:rFonts w:ascii="宋体" w:hAnsi="宋体" w:eastAsia="宋体" w:cs="宋体"/>
          <w:color w:val="auto"/>
          <w:spacing w:val="-26"/>
          <w:w w:val="95"/>
          <w:sz w:val="24"/>
          <w:szCs w:val="24"/>
          <w:highlight w:val="none"/>
        </w:rPr>
        <w:t>标</w:t>
      </w:r>
      <w:r>
        <w:rPr>
          <w:rFonts w:ascii="宋体" w:hAnsi="宋体" w:eastAsia="宋体" w:cs="宋体"/>
          <w:color w:val="auto"/>
          <w:spacing w:val="3"/>
          <w:sz w:val="24"/>
          <w:szCs w:val="24"/>
          <w:highlight w:val="none"/>
        </w:rPr>
        <w:t xml:space="preserve">    </w:t>
      </w:r>
      <w:r>
        <w:rPr>
          <w:rFonts w:ascii="宋体" w:hAnsi="宋体" w:eastAsia="宋体" w:cs="宋体"/>
          <w:color w:val="auto"/>
          <w:spacing w:val="-26"/>
          <w:w w:val="95"/>
          <w:sz w:val="24"/>
          <w:szCs w:val="24"/>
          <w:highlight w:val="none"/>
        </w:rPr>
        <w:t>人</w:t>
      </w:r>
      <w:r>
        <w:rPr>
          <w:rFonts w:ascii="宋体" w:hAnsi="宋体" w:eastAsia="宋体" w:cs="宋体"/>
          <w:color w:val="auto"/>
          <w:spacing w:val="4"/>
          <w:sz w:val="24"/>
          <w:szCs w:val="24"/>
          <w:highlight w:val="none"/>
        </w:rPr>
        <w:t>：</w:t>
      </w:r>
      <w:r>
        <w:rPr>
          <w:rFonts w:ascii="宋体" w:hAnsi="宋体" w:eastAsia="宋体" w:cs="宋体"/>
          <w:color w:val="auto"/>
          <w:spacing w:val="5"/>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2"/>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26"/>
          <w:w w:val="95"/>
          <w:sz w:val="24"/>
          <w:szCs w:val="24"/>
          <w:highlight w:val="none"/>
        </w:rPr>
        <w:t>单位盖章）</w:t>
      </w:r>
      <w:r>
        <w:rPr>
          <w:rFonts w:ascii="宋体" w:hAnsi="宋体" w:eastAsia="宋体" w:cs="宋体"/>
          <w:color w:val="auto"/>
          <w:sz w:val="24"/>
          <w:szCs w:val="24"/>
          <w:highlight w:val="none"/>
        </w:rPr>
        <w:t xml:space="preserve">          </w:t>
      </w: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tabs>
          <w:tab w:val="left" w:pos="118"/>
        </w:tabs>
        <w:spacing w:before="79"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3"/>
          <w:w w:val="99"/>
          <w:sz w:val="24"/>
          <w:szCs w:val="24"/>
          <w:highlight w:val="none"/>
        </w:rPr>
        <w:t>招标单位法定代表人</w:t>
      </w:r>
      <w:r>
        <w:rPr>
          <w:rFonts w:ascii="宋体" w:hAnsi="宋体" w:eastAsia="宋体" w:cs="宋体"/>
          <w:color w:val="auto"/>
          <w:spacing w:val="-6"/>
          <w:sz w:val="24"/>
          <w:szCs w:val="24"/>
          <w:highlight w:val="none"/>
        </w:rPr>
        <w:t>：</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1"/>
          <w:sz w:val="24"/>
          <w:szCs w:val="24"/>
          <w:highlight w:val="none"/>
        </w:rPr>
        <w:t xml:space="preserve"> </w:t>
      </w:r>
      <w:r>
        <w:rPr>
          <w:rFonts w:ascii="宋体" w:hAnsi="宋体" w:eastAsia="宋体" w:cs="宋体"/>
          <w:color w:val="auto"/>
          <w:spacing w:val="-6"/>
          <w:sz w:val="24"/>
          <w:szCs w:val="24"/>
          <w:highlight w:val="none"/>
        </w:rPr>
        <w:t>（</w:t>
      </w:r>
      <w:r>
        <w:rPr>
          <w:rFonts w:ascii="宋体" w:hAnsi="宋体" w:eastAsia="宋体" w:cs="宋体"/>
          <w:color w:val="auto"/>
          <w:spacing w:val="-23"/>
          <w:w w:val="99"/>
          <w:sz w:val="24"/>
          <w:szCs w:val="24"/>
          <w:highlight w:val="none"/>
        </w:rPr>
        <w:t>签字盖章）</w:t>
      </w:r>
      <w:r>
        <w:rPr>
          <w:rFonts w:ascii="宋体" w:hAnsi="宋体" w:eastAsia="宋体" w:cs="宋体"/>
          <w:color w:val="auto"/>
          <w:sz w:val="24"/>
          <w:szCs w:val="24"/>
          <w:highlight w:val="none"/>
        </w:rPr>
        <w:t xml:space="preserve">          </w:t>
      </w:r>
    </w:p>
    <w:p>
      <w:pPr>
        <w:pStyle w:val="2"/>
        <w:spacing w:line="276" w:lineRule="auto"/>
        <w:rPr>
          <w:color w:val="auto"/>
          <w:highlight w:val="none"/>
        </w:rPr>
      </w:pPr>
    </w:p>
    <w:p>
      <w:pPr>
        <w:pStyle w:val="2"/>
        <w:spacing w:line="277" w:lineRule="auto"/>
        <w:rPr>
          <w:color w:val="auto"/>
          <w:highlight w:val="none"/>
        </w:rPr>
      </w:pPr>
    </w:p>
    <w:p>
      <w:pPr>
        <w:pStyle w:val="2"/>
        <w:spacing w:line="277" w:lineRule="auto"/>
        <w:rPr>
          <w:color w:val="auto"/>
          <w:highlight w:val="none"/>
        </w:rPr>
      </w:pPr>
    </w:p>
    <w:p>
      <w:pPr>
        <w:spacing w:before="78" w:line="219" w:lineRule="auto"/>
        <w:ind w:left="139"/>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中</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介</w:t>
      </w:r>
      <w:r>
        <w:rPr>
          <w:rFonts w:ascii="宋体" w:hAnsi="宋体" w:eastAsia="宋体" w:cs="宋体"/>
          <w:color w:val="auto"/>
          <w:spacing w:val="3"/>
          <w:sz w:val="24"/>
          <w:szCs w:val="24"/>
          <w:highlight w:val="none"/>
        </w:rPr>
        <w:t xml:space="preserve">   </w:t>
      </w:r>
      <w:r>
        <w:rPr>
          <w:rFonts w:ascii="宋体" w:hAnsi="宋体" w:eastAsia="宋体" w:cs="宋体"/>
          <w:color w:val="auto"/>
          <w:spacing w:val="-13"/>
          <w:sz w:val="24"/>
          <w:szCs w:val="24"/>
          <w:highlight w:val="none"/>
        </w:rPr>
        <w:t>机</w:t>
      </w:r>
      <w:r>
        <w:rPr>
          <w:rFonts w:ascii="宋体" w:hAnsi="宋体" w:eastAsia="宋体" w:cs="宋体"/>
          <w:color w:val="auto"/>
          <w:spacing w:val="4"/>
          <w:sz w:val="24"/>
          <w:szCs w:val="24"/>
          <w:highlight w:val="none"/>
        </w:rPr>
        <w:t xml:space="preserve">   </w:t>
      </w:r>
      <w:r>
        <w:rPr>
          <w:rFonts w:ascii="宋体" w:hAnsi="宋体" w:eastAsia="宋体" w:cs="宋体"/>
          <w:color w:val="auto"/>
          <w:spacing w:val="-13"/>
          <w:sz w:val="24"/>
          <w:szCs w:val="24"/>
          <w:highlight w:val="none"/>
        </w:rPr>
        <w:t>构</w:t>
      </w:r>
    </w:p>
    <w:p>
      <w:pPr>
        <w:tabs>
          <w:tab w:val="left" w:pos="118"/>
        </w:tabs>
        <w:spacing w:before="25"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5"/>
          <w:w w:val="97"/>
          <w:sz w:val="24"/>
          <w:szCs w:val="24"/>
          <w:highlight w:val="none"/>
        </w:rPr>
        <w:t>法</w:t>
      </w:r>
      <w:r>
        <w:rPr>
          <w:rFonts w:ascii="宋体" w:hAnsi="宋体" w:eastAsia="宋体" w:cs="宋体"/>
          <w:color w:val="auto"/>
          <w:spacing w:val="7"/>
          <w:sz w:val="24"/>
          <w:szCs w:val="24"/>
          <w:highlight w:val="none"/>
        </w:rPr>
        <w:t xml:space="preserve">  </w:t>
      </w:r>
      <w:r>
        <w:rPr>
          <w:rFonts w:ascii="宋体" w:hAnsi="宋体" w:eastAsia="宋体" w:cs="宋体"/>
          <w:color w:val="auto"/>
          <w:spacing w:val="-25"/>
          <w:w w:val="97"/>
          <w:sz w:val="24"/>
          <w:szCs w:val="24"/>
          <w:highlight w:val="none"/>
        </w:rPr>
        <w:t>定</w:t>
      </w:r>
      <w:r>
        <w:rPr>
          <w:rFonts w:ascii="宋体" w:hAnsi="宋体" w:eastAsia="宋体" w:cs="宋体"/>
          <w:color w:val="auto"/>
          <w:spacing w:val="5"/>
          <w:sz w:val="24"/>
          <w:szCs w:val="24"/>
          <w:highlight w:val="none"/>
        </w:rPr>
        <w:t xml:space="preserve">  </w:t>
      </w:r>
      <w:r>
        <w:rPr>
          <w:rFonts w:ascii="宋体" w:hAnsi="宋体" w:eastAsia="宋体" w:cs="宋体"/>
          <w:color w:val="auto"/>
          <w:spacing w:val="-25"/>
          <w:w w:val="97"/>
          <w:sz w:val="24"/>
          <w:szCs w:val="24"/>
          <w:highlight w:val="none"/>
        </w:rPr>
        <w:t>代</w:t>
      </w:r>
      <w:r>
        <w:rPr>
          <w:rFonts w:ascii="宋体" w:hAnsi="宋体" w:eastAsia="宋体" w:cs="宋体"/>
          <w:color w:val="auto"/>
          <w:spacing w:val="4"/>
          <w:sz w:val="24"/>
          <w:szCs w:val="24"/>
          <w:highlight w:val="none"/>
        </w:rPr>
        <w:t xml:space="preserve">  </w:t>
      </w:r>
      <w:r>
        <w:rPr>
          <w:rFonts w:ascii="宋体" w:hAnsi="宋体" w:eastAsia="宋体" w:cs="宋体"/>
          <w:color w:val="auto"/>
          <w:spacing w:val="-25"/>
          <w:w w:val="97"/>
          <w:sz w:val="24"/>
          <w:szCs w:val="24"/>
          <w:highlight w:val="none"/>
        </w:rPr>
        <w:t>表</w:t>
      </w:r>
      <w:r>
        <w:rPr>
          <w:rFonts w:ascii="宋体" w:hAnsi="宋体" w:eastAsia="宋体" w:cs="宋体"/>
          <w:color w:val="auto"/>
          <w:spacing w:val="11"/>
          <w:sz w:val="24"/>
          <w:szCs w:val="24"/>
          <w:highlight w:val="none"/>
        </w:rPr>
        <w:t xml:space="preserve"> </w:t>
      </w:r>
      <w:r>
        <w:rPr>
          <w:rFonts w:ascii="宋体" w:hAnsi="宋体" w:eastAsia="宋体" w:cs="宋体"/>
          <w:color w:val="auto"/>
          <w:spacing w:val="-25"/>
          <w:w w:val="97"/>
          <w:sz w:val="24"/>
          <w:szCs w:val="24"/>
          <w:highlight w:val="none"/>
        </w:rPr>
        <w:t>人</w:t>
      </w:r>
      <w:r>
        <w:rPr>
          <w:rFonts w:ascii="宋体" w:hAnsi="宋体" w:eastAsia="宋体" w:cs="宋体"/>
          <w:color w:val="auto"/>
          <w:spacing w:val="2"/>
          <w:sz w:val="24"/>
          <w:szCs w:val="24"/>
          <w:highlight w:val="none"/>
        </w:rPr>
        <w:t>：</w:t>
      </w:r>
      <w:r>
        <w:rPr>
          <w:rFonts w:ascii="宋体" w:hAnsi="宋体" w:eastAsia="宋体" w:cs="宋体"/>
          <w:color w:val="auto"/>
          <w:spacing w:val="10"/>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25"/>
          <w:w w:val="97"/>
          <w:sz w:val="24"/>
          <w:szCs w:val="24"/>
          <w:highlight w:val="none"/>
        </w:rPr>
        <w:t>签字盖章）</w:t>
      </w:r>
      <w:r>
        <w:rPr>
          <w:rFonts w:ascii="宋体" w:hAnsi="宋体" w:eastAsia="宋体" w:cs="宋体"/>
          <w:color w:val="auto"/>
          <w:sz w:val="24"/>
          <w:szCs w:val="24"/>
          <w:highlight w:val="none"/>
        </w:rPr>
        <w:t xml:space="preserve">          </w:t>
      </w:r>
    </w:p>
    <w:p>
      <w:pPr>
        <w:pStyle w:val="2"/>
        <w:spacing w:line="323" w:lineRule="auto"/>
        <w:rPr>
          <w:color w:val="auto"/>
          <w:highlight w:val="none"/>
        </w:rPr>
      </w:pPr>
    </w:p>
    <w:p>
      <w:pPr>
        <w:pStyle w:val="2"/>
        <w:spacing w:line="324" w:lineRule="auto"/>
        <w:rPr>
          <w:color w:val="auto"/>
          <w:highlight w:val="none"/>
        </w:rPr>
      </w:pPr>
    </w:p>
    <w:p>
      <w:pPr>
        <w:spacing w:before="78" w:line="229" w:lineRule="auto"/>
        <w:ind w:left="6663" w:right="574" w:hanging="1"/>
        <w:rPr>
          <w:rFonts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-47625</wp:posOffset>
                </wp:positionH>
                <wp:positionV relativeFrom="paragraph">
                  <wp:posOffset>8255</wp:posOffset>
                </wp:positionV>
                <wp:extent cx="1558290" cy="601345"/>
                <wp:effectExtent l="0" t="0" r="11430" b="8255"/>
                <wp:wrapNone/>
                <wp:docPr id="7" name="文本框 7"/>
                <wp:cNvGraphicFramePr/>
                <a:graphic xmlns:a="http://schemas.openxmlformats.org/drawingml/2006/main">
                  <a:graphicData uri="http://schemas.microsoft.com/office/word/2010/wordprocessingShape">
                    <wps:wsp>
                      <wps:cNvSpPr txBox="1"/>
                      <wps:spPr>
                        <a:xfrm>
                          <a:off x="1007745" y="6240780"/>
                          <a:ext cx="1558290" cy="6013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eastAsia="宋体"/>
                                <w:lang w:eastAsia="zh-CN"/>
                              </w:rPr>
                            </w:pPr>
                            <w:r>
                              <w:rPr>
                                <w:rFonts w:hint="eastAsia" w:eastAsia="宋体"/>
                                <w:lang w:eastAsia="zh-CN"/>
                              </w:rPr>
                              <w:t>造价工程师</w:t>
                            </w:r>
                          </w:p>
                          <w:p>
                            <w:pPr>
                              <w:jc w:val="distribute"/>
                              <w:rPr>
                                <w:rFonts w:hint="eastAsia" w:eastAsia="宋体"/>
                                <w:lang w:eastAsia="zh-CN"/>
                              </w:rPr>
                            </w:pPr>
                            <w:r>
                              <w:rPr>
                                <w:rFonts w:hint="eastAsia" w:eastAsia="宋体"/>
                                <w:lang w:eastAsia="zh-CN"/>
                              </w:rPr>
                              <w:t>及注册证号：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0.65pt;height:47.35pt;width:122.7pt;z-index:251681792;mso-width-relative:page;mso-height-relative:page;" fillcolor="#FFFFFF [3201]" filled="t" stroked="f" coordsize="21600,21600" o:gfxdata="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BtzInSAAAABwEA&#10;AA8AAAAAAAAAAQAgAAAAIgAAAGRycy9kb3ducmV2LnhtbFBLAQIUABQAAAAIAIdO4kCZbG3eWQIA&#10;AJsEAAAOAAAAAAAAAAEAIAAAACEBAABkcnMvZTJvRG9jLnhtbFBLBQYAAAAABgAGAFkBAADsBQAA&#10;AAA=&#10;">
                <v:fill on="t" focussize="0,0"/>
                <v:stroke on="f" weight="0.5pt"/>
                <v:imagedata o:title=""/>
                <o:lock v:ext="edit" aspectratio="f"/>
                <v:textbox>
                  <w:txbxContent>
                    <w:p>
                      <w:pPr>
                        <w:jc w:val="distribute"/>
                        <w:rPr>
                          <w:rFonts w:hint="eastAsia" w:eastAsia="宋体"/>
                          <w:lang w:eastAsia="zh-CN"/>
                        </w:rPr>
                      </w:pPr>
                      <w:r>
                        <w:rPr>
                          <w:rFonts w:hint="eastAsia" w:eastAsia="宋体"/>
                          <w:lang w:eastAsia="zh-CN"/>
                        </w:rPr>
                        <w:t>造价工程师</w:t>
                      </w:r>
                    </w:p>
                    <w:p>
                      <w:pPr>
                        <w:jc w:val="distribute"/>
                        <w:rPr>
                          <w:rFonts w:hint="eastAsia" w:eastAsia="宋体"/>
                          <w:lang w:eastAsia="zh-CN"/>
                        </w:rPr>
                      </w:pPr>
                      <w:r>
                        <w:rPr>
                          <w:rFonts w:hint="eastAsia" w:eastAsia="宋体"/>
                          <w:lang w:eastAsia="zh-CN"/>
                        </w:rPr>
                        <w:t>及注册证号：</w:t>
                      </w:r>
                    </w:p>
                  </w:txbxContent>
                </v:textbox>
              </v:shape>
            </w:pict>
          </mc:Fallback>
        </mc:AlternateContent>
      </w:r>
      <w:r>
        <w:rPr>
          <w:rFonts w:ascii="宋体" w:hAnsi="宋体" w:eastAsia="宋体" w:cs="宋体"/>
          <w:color w:val="auto"/>
          <w:spacing w:val="-6"/>
          <w:sz w:val="24"/>
          <w:szCs w:val="24"/>
          <w:highlight w:val="none"/>
        </w:rPr>
        <w:t>（签字盖执业专用</w:t>
      </w:r>
      <w:r>
        <w:rPr>
          <w:rFonts w:ascii="宋体" w:hAnsi="宋体" w:eastAsia="宋体" w:cs="宋体"/>
          <w:color w:val="auto"/>
          <w:spacing w:val="-9"/>
          <w:sz w:val="24"/>
          <w:szCs w:val="24"/>
          <w:highlight w:val="none"/>
        </w:rPr>
        <w:t>章）</w:t>
      </w:r>
    </w:p>
    <w:p>
      <w:pPr>
        <w:pStyle w:val="2"/>
        <w:spacing w:line="244" w:lineRule="auto"/>
        <w:rPr>
          <w:color w:val="auto"/>
          <w:highlight w:val="none"/>
        </w:rPr>
      </w:pPr>
      <w:r>
        <w:rPr>
          <w:rFonts w:hint="eastAsia" w:ascii="宋体" w:hAnsi="宋体" w:eastAsia="宋体" w:cs="宋体"/>
          <w:color w:val="auto"/>
          <w:sz w:val="24"/>
          <w:szCs w:val="24"/>
          <w:highlight w:val="none"/>
          <w:u w:val="single" w:color="auto"/>
          <w:lang w:val="en-US" w:eastAsia="zh-CN"/>
        </w:rPr>
        <w:t xml:space="preserve">                        </w:t>
      </w:r>
      <w:r>
        <w:rPr>
          <w:rFonts w:ascii="宋体" w:hAnsi="宋体" w:eastAsia="宋体" w:cs="宋体"/>
          <w:color w:val="auto"/>
          <w:sz w:val="24"/>
          <w:szCs w:val="24"/>
          <w:highlight w:val="none"/>
          <w:u w:val="single" w:color="auto"/>
        </w:rPr>
        <w:t xml:space="preserve">                                </w:t>
      </w:r>
    </w:p>
    <w:p>
      <w:pPr>
        <w:pStyle w:val="2"/>
        <w:spacing w:line="244"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spacing w:before="79" w:line="220" w:lineRule="auto"/>
        <w:ind w:left="119"/>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编</w:t>
      </w:r>
      <w:r>
        <w:rPr>
          <w:rFonts w:ascii="宋体" w:hAnsi="宋体" w:eastAsia="宋体" w:cs="宋体"/>
          <w:color w:val="auto"/>
          <w:spacing w:val="5"/>
          <w:sz w:val="24"/>
          <w:szCs w:val="24"/>
          <w:highlight w:val="none"/>
        </w:rPr>
        <w:t xml:space="preserve">  </w:t>
      </w:r>
      <w:r>
        <w:rPr>
          <w:rFonts w:ascii="宋体" w:hAnsi="宋体" w:eastAsia="宋体" w:cs="宋体"/>
          <w:color w:val="auto"/>
          <w:spacing w:val="-29"/>
          <w:sz w:val="24"/>
          <w:szCs w:val="24"/>
          <w:highlight w:val="none"/>
        </w:rPr>
        <w:t>制</w:t>
      </w:r>
      <w:r>
        <w:rPr>
          <w:rFonts w:ascii="宋体" w:hAnsi="宋体" w:eastAsia="宋体" w:cs="宋体"/>
          <w:color w:val="auto"/>
          <w:spacing w:val="10"/>
          <w:sz w:val="24"/>
          <w:szCs w:val="24"/>
          <w:highlight w:val="none"/>
        </w:rPr>
        <w:t xml:space="preserve">  </w:t>
      </w:r>
      <w:r>
        <w:rPr>
          <w:rFonts w:ascii="宋体" w:hAnsi="宋体" w:eastAsia="宋体" w:cs="宋体"/>
          <w:color w:val="auto"/>
          <w:spacing w:val="-29"/>
          <w:sz w:val="24"/>
          <w:szCs w:val="24"/>
          <w:highlight w:val="none"/>
        </w:rPr>
        <w:t>时</w:t>
      </w:r>
      <w:r>
        <w:rPr>
          <w:rFonts w:ascii="宋体" w:hAnsi="宋体" w:eastAsia="宋体" w:cs="宋体"/>
          <w:color w:val="auto"/>
          <w:spacing w:val="14"/>
          <w:sz w:val="24"/>
          <w:szCs w:val="24"/>
          <w:highlight w:val="none"/>
        </w:rPr>
        <w:t xml:space="preserve">  </w:t>
      </w:r>
      <w:r>
        <w:rPr>
          <w:rFonts w:ascii="宋体" w:hAnsi="宋体" w:eastAsia="宋体" w:cs="宋体"/>
          <w:color w:val="auto"/>
          <w:spacing w:val="-29"/>
          <w:sz w:val="24"/>
          <w:szCs w:val="24"/>
          <w:highlight w:val="none"/>
        </w:rPr>
        <w:t>间：</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u w:val="single" w:color="auto"/>
        </w:rPr>
        <w:t xml:space="preserve">                                 </w:t>
      </w:r>
    </w:p>
    <w:p>
      <w:pPr>
        <w:spacing w:line="220" w:lineRule="auto"/>
        <w:rPr>
          <w:rFonts w:ascii="宋体" w:hAnsi="宋体" w:eastAsia="宋体" w:cs="宋体"/>
          <w:color w:val="auto"/>
          <w:sz w:val="24"/>
          <w:szCs w:val="24"/>
          <w:highlight w:val="none"/>
        </w:rPr>
        <w:sectPr>
          <w:pgSz w:w="11905" w:h="16843"/>
          <w:pgMar w:top="1769" w:right="1548" w:bottom="1003" w:left="1542" w:header="0" w:footer="828" w:gutter="0"/>
          <w:pgNumType w:fmt="numberInDash"/>
          <w:cols w:space="0" w:num="1"/>
          <w:rtlGutter w:val="0"/>
          <w:docGrid w:linePitch="0" w:charSpace="0"/>
        </w:sectPr>
      </w:pPr>
    </w:p>
    <w:p>
      <w:pPr>
        <w:pStyle w:val="2"/>
        <w:spacing w:line="244" w:lineRule="auto"/>
        <w:rPr>
          <w:color w:val="auto"/>
          <w:highlight w:val="none"/>
        </w:rPr>
      </w:pPr>
    </w:p>
    <w:p>
      <w:pPr>
        <w:pStyle w:val="2"/>
        <w:spacing w:line="244" w:lineRule="auto"/>
        <w:rPr>
          <w:color w:val="auto"/>
          <w:highlight w:val="none"/>
        </w:rPr>
      </w:pPr>
    </w:p>
    <w:p>
      <w:pPr>
        <w:spacing w:before="78" w:line="218"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3.2</w:t>
      </w:r>
      <w:r>
        <w:rPr>
          <w:rFonts w:ascii="Times New Roman" w:hAnsi="Times New Roman" w:eastAsia="Times New Roman" w:cs="Times New Roman"/>
          <w:color w:val="auto"/>
          <w:spacing w:val="17"/>
          <w:w w:val="101"/>
          <w:sz w:val="24"/>
          <w:szCs w:val="24"/>
          <w:highlight w:val="none"/>
        </w:rPr>
        <w:t xml:space="preserve"> </w:t>
      </w:r>
      <w:r>
        <w:rPr>
          <w:rFonts w:ascii="黑体" w:hAnsi="黑体" w:eastAsia="黑体" w:cs="黑体"/>
          <w:color w:val="auto"/>
          <w:spacing w:val="-4"/>
          <w:sz w:val="24"/>
          <w:szCs w:val="24"/>
          <w:highlight w:val="none"/>
        </w:rPr>
        <w:t>总说明</w:t>
      </w:r>
    </w:p>
    <w:p>
      <w:pPr>
        <w:spacing w:before="334" w:line="220" w:lineRule="auto"/>
        <w:ind w:left="3432"/>
        <w:rPr>
          <w:rFonts w:ascii="宋体" w:hAnsi="宋体" w:eastAsia="宋体" w:cs="宋体"/>
          <w:color w:val="auto"/>
          <w:sz w:val="40"/>
          <w:szCs w:val="40"/>
          <w:highlight w:val="none"/>
        </w:rPr>
      </w:pPr>
      <w:bookmarkStart w:id="349" w:name="bookmark389"/>
      <w:bookmarkEnd w:id="349"/>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总</w:t>
      </w:r>
      <w:r>
        <w:rPr>
          <w:rFonts w:ascii="宋体" w:hAnsi="宋体" w:eastAsia="宋体" w:cs="宋体"/>
          <w:color w:val="auto"/>
          <w:spacing w:val="12"/>
          <w:sz w:val="40"/>
          <w:szCs w:val="40"/>
          <w:highlight w:val="none"/>
        </w:rPr>
        <w:t xml:space="preserve">  </w:t>
      </w:r>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说</w:t>
      </w:r>
      <w:r>
        <w:rPr>
          <w:rFonts w:ascii="宋体" w:hAnsi="宋体" w:eastAsia="宋体" w:cs="宋体"/>
          <w:color w:val="auto"/>
          <w:spacing w:val="29"/>
          <w:sz w:val="40"/>
          <w:szCs w:val="40"/>
          <w:highlight w:val="none"/>
        </w:rPr>
        <w:t xml:space="preserve">  </w:t>
      </w:r>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明</w:t>
      </w:r>
    </w:p>
    <w:p>
      <w:pPr>
        <w:spacing w:before="289" w:line="220" w:lineRule="auto"/>
        <w:ind w:left="123"/>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合同编号：</w:t>
      </w:r>
    </w:p>
    <w:p>
      <w:pPr>
        <w:spacing w:before="270" w:line="220" w:lineRule="auto"/>
        <w:jc w:val="right"/>
        <w:rPr>
          <w:rFonts w:ascii="宋体" w:hAnsi="宋体" w:eastAsia="宋体" w:cs="宋体"/>
          <w:color w:val="auto"/>
          <w:sz w:val="24"/>
          <w:szCs w:val="24"/>
          <w:highlight w:val="none"/>
        </w:rPr>
      </w:pPr>
      <w:r>
        <w:rPr>
          <w:rFonts w:ascii="宋体" w:hAnsi="宋体" w:eastAsia="宋体" w:cs="宋体"/>
          <w:color w:val="auto"/>
          <w:spacing w:val="-21"/>
          <w:sz w:val="24"/>
          <w:szCs w:val="24"/>
          <w:highlight w:val="none"/>
        </w:rPr>
        <w:t>工程名称：</w:t>
      </w:r>
      <w:r>
        <w:rPr>
          <w:rFonts w:ascii="宋体" w:hAnsi="宋体" w:eastAsia="宋体" w:cs="宋体"/>
          <w:color w:val="auto"/>
          <w:spacing w:val="2"/>
          <w:sz w:val="24"/>
          <w:szCs w:val="24"/>
          <w:highlight w:val="none"/>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1"/>
          <w:sz w:val="24"/>
          <w:szCs w:val="24"/>
          <w:highlight w:val="none"/>
        </w:rPr>
        <w:t>第</w:t>
      </w:r>
      <w:r>
        <w:rPr>
          <w:rFonts w:ascii="宋体" w:hAnsi="宋体" w:eastAsia="宋体" w:cs="宋体"/>
          <w:color w:val="auto"/>
          <w:spacing w:val="14"/>
          <w:sz w:val="24"/>
          <w:szCs w:val="24"/>
          <w:highlight w:val="none"/>
        </w:rPr>
        <w:t xml:space="preserve">  </w:t>
      </w:r>
      <w:r>
        <w:rPr>
          <w:rFonts w:ascii="宋体" w:hAnsi="宋体" w:eastAsia="宋体" w:cs="宋体"/>
          <w:color w:val="auto"/>
          <w:spacing w:val="-21"/>
          <w:sz w:val="24"/>
          <w:szCs w:val="24"/>
          <w:highlight w:val="none"/>
        </w:rPr>
        <w:t>1</w:t>
      </w:r>
      <w:r>
        <w:rPr>
          <w:rFonts w:ascii="宋体" w:hAnsi="宋体" w:eastAsia="宋体" w:cs="宋体"/>
          <w:color w:val="auto"/>
          <w:spacing w:val="8"/>
          <w:sz w:val="24"/>
          <w:szCs w:val="24"/>
          <w:highlight w:val="none"/>
        </w:rPr>
        <w:t xml:space="preserve">  </w:t>
      </w:r>
      <w:r>
        <w:rPr>
          <w:rFonts w:ascii="宋体" w:hAnsi="宋体" w:eastAsia="宋体" w:cs="宋体"/>
          <w:color w:val="auto"/>
          <w:spacing w:val="-21"/>
          <w:sz w:val="24"/>
          <w:szCs w:val="24"/>
          <w:highlight w:val="none"/>
        </w:rPr>
        <w:t>页、共</w:t>
      </w:r>
      <w:r>
        <w:rPr>
          <w:rFonts w:ascii="宋体" w:hAnsi="宋体" w:eastAsia="宋体" w:cs="宋体"/>
          <w:color w:val="auto"/>
          <w:spacing w:val="13"/>
          <w:sz w:val="24"/>
          <w:szCs w:val="24"/>
          <w:highlight w:val="none"/>
        </w:rPr>
        <w:t xml:space="preserve">  </w:t>
      </w:r>
      <w:r>
        <w:rPr>
          <w:rFonts w:ascii="宋体" w:hAnsi="宋体" w:eastAsia="宋体" w:cs="宋体"/>
          <w:color w:val="auto"/>
          <w:spacing w:val="-21"/>
          <w:sz w:val="24"/>
          <w:szCs w:val="24"/>
          <w:highlight w:val="none"/>
        </w:rPr>
        <w:t>1</w:t>
      </w:r>
      <w:r>
        <w:rPr>
          <w:rFonts w:ascii="宋体" w:hAnsi="宋体" w:eastAsia="宋体" w:cs="宋体"/>
          <w:color w:val="auto"/>
          <w:spacing w:val="8"/>
          <w:sz w:val="24"/>
          <w:szCs w:val="24"/>
          <w:highlight w:val="none"/>
        </w:rPr>
        <w:t xml:space="preserve">  </w:t>
      </w:r>
      <w:r>
        <w:rPr>
          <w:rFonts w:ascii="宋体" w:hAnsi="宋体" w:eastAsia="宋体" w:cs="宋体"/>
          <w:color w:val="auto"/>
          <w:spacing w:val="-21"/>
          <w:sz w:val="24"/>
          <w:szCs w:val="24"/>
          <w:highlight w:val="none"/>
        </w:rPr>
        <w:t>页</w:t>
      </w:r>
    </w:p>
    <w:p>
      <w:pPr>
        <w:spacing w:before="235" w:line="6863" w:lineRule="exact"/>
        <w:rPr>
          <w:color w:val="auto"/>
          <w:highlight w:val="none"/>
        </w:rPr>
      </w:pPr>
      <w:r>
        <w:rPr>
          <w:color w:val="auto"/>
          <w:position w:val="-137"/>
          <w:highlight w:val="none"/>
        </w:rPr>
        <w:pict>
          <v:shape id="_x0000_s1042" o:spid="_x0000_s1042" style="height:343.15pt;width:438.6pt;" fillcolor="#000000" filled="t" stroked="f" coordsize="8772,6862" path="m0,9l9,9,9,0,0,0,0,9xem0,9l9,9,9,0,0,0,0,9xem9,9l19,9,19,0,9,0,9,9xem19,9l6205,9,6205,0,19,0,19,9xem6204,9l6214,9,6214,0,6204,0,6204,9xem6214,9l8761,9,8761,0,6214,0,6214,9xem8761,9l8771,9,8771,0,8761,0,8761,9xem8761,9l8771,9,8771,0,8761,0,8761,9xem0,6853l9,6853,9,9,0,9,0,6853xem0,6862l9,6862,9,6853,0,6853,0,6862xem0,6862l9,6862,9,6853,0,6853,0,6862xem9,6862l8761,6862,8761,6853,9,6853,9,6862xem8761,6853l8771,6853,8771,9,8761,9,8761,6853xem8761,6862l8771,6862,8771,6853,8761,6853,8761,6862xem8761,6862l8771,6862,8771,6853,8761,6853,8761,6862xe">
            <v:path/>
            <v:fill on="t" focussize="0,0"/>
            <v:stroke on="f"/>
            <v:imagedata o:title=""/>
            <o:lock v:ext="edit"/>
            <w10:wrap type="none"/>
            <w10:anchorlock/>
          </v:shape>
        </w:pict>
      </w:r>
    </w:p>
    <w:p>
      <w:pPr>
        <w:spacing w:line="6863" w:lineRule="exact"/>
        <w:rPr>
          <w:color w:val="auto"/>
          <w:highlight w:val="none"/>
        </w:rPr>
        <w:sectPr>
          <w:footerReference r:id="rId80" w:type="default"/>
          <w:pgSz w:w="11905" w:h="16843"/>
          <w:pgMar w:top="1769" w:right="1548" w:bottom="1003" w:left="1542" w:header="0" w:footer="828" w:gutter="0"/>
          <w:pgNumType w:fmt="numberInDash"/>
          <w:cols w:space="0" w:num="1"/>
          <w:rtlGutter w:val="0"/>
          <w:docGrid w:linePitch="0" w:charSpace="0"/>
        </w:sectPr>
      </w:pPr>
    </w:p>
    <w:p>
      <w:pPr>
        <w:pStyle w:val="2"/>
        <w:spacing w:line="266" w:lineRule="auto"/>
        <w:rPr>
          <w:color w:val="auto"/>
          <w:highlight w:val="none"/>
        </w:rPr>
      </w:pPr>
    </w:p>
    <w:p>
      <w:pPr>
        <w:spacing w:before="78" w:line="219" w:lineRule="auto"/>
        <w:ind w:left="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投标总价封面</w:t>
      </w:r>
    </w:p>
    <w:p>
      <w:pPr>
        <w:pStyle w:val="2"/>
        <w:spacing w:line="449" w:lineRule="auto"/>
        <w:rPr>
          <w:color w:val="auto"/>
          <w:highlight w:val="none"/>
        </w:rPr>
      </w:pPr>
    </w:p>
    <w:p>
      <w:pPr>
        <w:tabs>
          <w:tab w:val="left" w:pos="2695"/>
        </w:tabs>
        <w:spacing w:before="130" w:line="221" w:lineRule="auto"/>
        <w:rPr>
          <w:rFonts w:ascii="宋体" w:hAnsi="宋体" w:eastAsia="宋体" w:cs="宋体"/>
          <w:color w:val="auto"/>
          <w:sz w:val="40"/>
          <w:szCs w:val="40"/>
          <w:highlight w:val="none"/>
        </w:rPr>
      </w:pPr>
      <w:bookmarkStart w:id="350" w:name="bookmark390"/>
      <w:bookmarkEnd w:id="350"/>
      <w:r>
        <w:rPr>
          <w:rFonts w:ascii="宋体" w:hAnsi="宋体" w:eastAsia="宋体" w:cs="宋体"/>
          <w:color w:val="auto"/>
          <w:sz w:val="40"/>
          <w:szCs w:val="40"/>
          <w:highlight w:val="none"/>
        </w:rPr>
        <w:tab/>
      </w:r>
      <w:r>
        <w:rPr>
          <w:rFonts w:ascii="宋体" w:hAnsi="宋体" w:eastAsia="宋体" w:cs="宋体"/>
          <w:color w:val="auto"/>
          <w:spacing w:val="3"/>
          <w:sz w:val="40"/>
          <w:szCs w:val="40"/>
          <w:highlight w:val="none"/>
          <w:u w:val="single" w:color="auto"/>
        </w:rPr>
        <w:t xml:space="preserve">                  </w:t>
      </w:r>
      <w:r>
        <w:rPr>
          <w:rFonts w:ascii="宋体" w:hAnsi="宋体" w:eastAsia="宋体" w:cs="宋体"/>
          <w:color w:val="auto"/>
          <w:spacing w:val="-60"/>
          <w:sz w:val="40"/>
          <w:szCs w:val="40"/>
          <w:highlight w:val="none"/>
        </w:rPr>
        <w:t xml:space="preserve"> </w:t>
      </w:r>
      <w:r>
        <w:rPr>
          <w:rFonts w:ascii="宋体" w:hAnsi="宋体" w:eastAsia="宋体" w:cs="宋体"/>
          <w:color w:val="auto"/>
          <w:spacing w:val="-10"/>
          <w:sz w:val="40"/>
          <w:szCs w:val="40"/>
          <w:highlight w:val="none"/>
        </w:rPr>
        <w:t>工程</w:t>
      </w:r>
      <w:r>
        <w:rPr>
          <w:rFonts w:ascii="宋体" w:hAnsi="宋体" w:eastAsia="宋体" w:cs="宋体"/>
          <w:color w:val="auto"/>
          <w:sz w:val="40"/>
          <w:szCs w:val="40"/>
          <w:highlight w:val="none"/>
        </w:rPr>
        <w:t xml:space="preserve">         </w:t>
      </w:r>
    </w:p>
    <w:p>
      <w:pPr>
        <w:spacing w:before="219" w:line="772" w:lineRule="exact"/>
        <w:ind w:left="3107"/>
        <w:rPr>
          <w:rFonts w:ascii="宋体" w:hAnsi="宋体" w:eastAsia="宋体" w:cs="宋体"/>
          <w:color w:val="auto"/>
          <w:sz w:val="36"/>
          <w:szCs w:val="36"/>
          <w:highlight w:val="none"/>
        </w:rPr>
      </w:pPr>
      <w:r>
        <w:rPr>
          <w:rFonts w:ascii="宋体" w:hAnsi="宋体" w:eastAsia="宋体" w:cs="宋体"/>
          <w:color w:val="auto"/>
          <w:spacing w:val="-3"/>
          <w:position w:val="31"/>
          <w:sz w:val="36"/>
          <w:szCs w:val="36"/>
          <w:highlight w:val="none"/>
        </w:rPr>
        <w:t>工程量清单报价表</w:t>
      </w:r>
    </w:p>
    <w:p>
      <w:pPr>
        <w:spacing w:before="1" w:line="224" w:lineRule="auto"/>
        <w:ind w:left="3412"/>
        <w:rPr>
          <w:rFonts w:ascii="宋体" w:hAnsi="宋体" w:eastAsia="宋体" w:cs="宋体"/>
          <w:color w:val="auto"/>
          <w:sz w:val="31"/>
          <w:szCs w:val="31"/>
          <w:highlight w:val="none"/>
        </w:rPr>
      </w:pPr>
      <w:r>
        <w:rPr>
          <w:rFonts w:ascii="宋体" w:hAnsi="宋体" w:eastAsia="宋体" w:cs="宋体"/>
          <w:color w:val="auto"/>
          <w:spacing w:val="26"/>
          <w:sz w:val="31"/>
          <w:szCs w:val="31"/>
          <w:highlight w:val="none"/>
        </w:rPr>
        <w:t>合同编号：()</w:t>
      </w: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5" w:lineRule="auto"/>
        <w:rPr>
          <w:color w:val="auto"/>
          <w:highlight w:val="none"/>
        </w:rPr>
      </w:pPr>
    </w:p>
    <w:p>
      <w:pPr>
        <w:pStyle w:val="2"/>
        <w:spacing w:line="246" w:lineRule="auto"/>
        <w:rPr>
          <w:color w:val="auto"/>
          <w:highlight w:val="none"/>
        </w:rPr>
      </w:pPr>
    </w:p>
    <w:p>
      <w:pPr>
        <w:spacing w:before="78" w:line="219" w:lineRule="auto"/>
        <w:ind w:left="120"/>
        <w:rPr>
          <w:rFonts w:ascii="宋体" w:hAnsi="宋体" w:eastAsia="宋体" w:cs="宋体"/>
          <w:color w:val="auto"/>
          <w:sz w:val="24"/>
          <w:szCs w:val="24"/>
          <w:highlight w:val="none"/>
        </w:rPr>
      </w:pPr>
      <w:r>
        <w:rPr>
          <w:rFonts w:ascii="宋体" w:hAnsi="宋体" w:eastAsia="宋体" w:cs="宋体"/>
          <w:color w:val="auto"/>
          <w:spacing w:val="-26"/>
          <w:w w:val="94"/>
          <w:sz w:val="24"/>
          <w:szCs w:val="24"/>
          <w:highlight w:val="none"/>
        </w:rPr>
        <w:t>投标人</w:t>
      </w:r>
      <w:r>
        <w:rPr>
          <w:rFonts w:ascii="宋体" w:hAnsi="宋体" w:eastAsia="宋体" w:cs="宋体"/>
          <w:color w:val="auto"/>
          <w:sz w:val="24"/>
          <w:szCs w:val="24"/>
          <w:highlight w:val="none"/>
        </w:rPr>
        <w:t>：</w:t>
      </w:r>
      <w:r>
        <w:rPr>
          <w:rFonts w:ascii="宋体" w:hAnsi="宋体" w:eastAsia="宋体" w:cs="宋体"/>
          <w:color w:val="auto"/>
          <w:spacing w:val="5"/>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3"/>
          <w:sz w:val="24"/>
          <w:szCs w:val="24"/>
          <w:highlight w:val="none"/>
        </w:rPr>
        <w:t xml:space="preserve"> </w:t>
      </w:r>
      <w:r>
        <w:rPr>
          <w:rFonts w:ascii="宋体" w:hAnsi="宋体" w:eastAsia="宋体" w:cs="宋体"/>
          <w:color w:val="auto"/>
          <w:sz w:val="24"/>
          <w:szCs w:val="24"/>
          <w:highlight w:val="none"/>
        </w:rPr>
        <w:t>（</w:t>
      </w:r>
      <w:r>
        <w:rPr>
          <w:rFonts w:ascii="宋体" w:hAnsi="宋体" w:eastAsia="宋体" w:cs="宋体"/>
          <w:color w:val="auto"/>
          <w:spacing w:val="-26"/>
          <w:w w:val="94"/>
          <w:sz w:val="24"/>
          <w:szCs w:val="24"/>
          <w:highlight w:val="none"/>
        </w:rPr>
        <w:t>单位盖章）</w:t>
      </w:r>
      <w:r>
        <w:rPr>
          <w:rFonts w:ascii="宋体" w:hAnsi="宋体" w:eastAsia="宋体" w:cs="宋体"/>
          <w:color w:val="auto"/>
          <w:sz w:val="24"/>
          <w:szCs w:val="24"/>
          <w:highlight w:val="none"/>
        </w:rPr>
        <w:t xml:space="preserve">          </w:t>
      </w: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4" w:lineRule="auto"/>
        <w:rPr>
          <w:color w:val="auto"/>
          <w:highlight w:val="none"/>
        </w:rPr>
      </w:pPr>
    </w:p>
    <w:p>
      <w:pPr>
        <w:tabs>
          <w:tab w:val="left" w:pos="118"/>
        </w:tabs>
        <w:spacing w:before="79"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4"/>
          <w:w w:val="96"/>
          <w:sz w:val="24"/>
          <w:szCs w:val="24"/>
          <w:highlight w:val="none"/>
        </w:rPr>
        <w:t>法定代表人</w:t>
      </w:r>
      <w:r>
        <w:rPr>
          <w:rFonts w:ascii="宋体" w:hAnsi="宋体" w:eastAsia="宋体" w:cs="宋体"/>
          <w:color w:val="auto"/>
          <w:spacing w:val="-16"/>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16"/>
          <w:sz w:val="24"/>
          <w:szCs w:val="24"/>
          <w:highlight w:val="none"/>
        </w:rPr>
        <w:t>（</w:t>
      </w:r>
      <w:r>
        <w:rPr>
          <w:rFonts w:ascii="宋体" w:hAnsi="宋体" w:eastAsia="宋体" w:cs="宋体"/>
          <w:color w:val="auto"/>
          <w:spacing w:val="-24"/>
          <w:w w:val="96"/>
          <w:sz w:val="24"/>
          <w:szCs w:val="24"/>
          <w:highlight w:val="none"/>
        </w:rPr>
        <w:t>签字盖章）</w:t>
      </w:r>
      <w:r>
        <w:rPr>
          <w:rFonts w:ascii="宋体" w:hAnsi="宋体" w:eastAsia="宋体" w:cs="宋体"/>
          <w:color w:val="auto"/>
          <w:sz w:val="24"/>
          <w:szCs w:val="24"/>
          <w:highlight w:val="none"/>
        </w:rPr>
        <w:t xml:space="preserve">          </w:t>
      </w: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4" w:lineRule="auto"/>
        <w:rPr>
          <w:color w:val="auto"/>
          <w:highlight w:val="none"/>
        </w:rPr>
      </w:pP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10795</wp:posOffset>
                </wp:positionH>
                <wp:positionV relativeFrom="paragraph">
                  <wp:posOffset>70485</wp:posOffset>
                </wp:positionV>
                <wp:extent cx="1270000" cy="702310"/>
                <wp:effectExtent l="0" t="0" r="10160" b="13970"/>
                <wp:wrapNone/>
                <wp:docPr id="1" name="文本框 1"/>
                <wp:cNvGraphicFramePr/>
                <a:graphic xmlns:a="http://schemas.openxmlformats.org/drawingml/2006/main">
                  <a:graphicData uri="http://schemas.microsoft.com/office/word/2010/wordprocessingShape">
                    <wps:wsp>
                      <wps:cNvSpPr txBox="1"/>
                      <wps:spPr>
                        <a:xfrm>
                          <a:off x="946785" y="6120765"/>
                          <a:ext cx="1270000"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eastAsia="宋体"/>
                                <w:lang w:eastAsia="zh-CN"/>
                              </w:rPr>
                            </w:pPr>
                            <w:r>
                              <w:rPr>
                                <w:rFonts w:hint="eastAsia" w:eastAsia="宋体"/>
                                <w:lang w:eastAsia="zh-CN"/>
                              </w:rPr>
                              <w:t>造价工程师</w:t>
                            </w:r>
                          </w:p>
                          <w:p>
                            <w:pPr>
                              <w:jc w:val="distribute"/>
                              <w:rPr>
                                <w:rFonts w:hint="eastAsia" w:eastAsia="宋体"/>
                                <w:lang w:eastAsia="zh-CN"/>
                              </w:rPr>
                            </w:pPr>
                            <w:r>
                              <w:rPr>
                                <w:rFonts w:hint="eastAsia" w:eastAsia="宋体"/>
                                <w:lang w:eastAsia="zh-CN"/>
                              </w:rPr>
                              <w:t>及注册证号：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5.55pt;height:55.3pt;width:100pt;z-index:251666432;mso-width-relative:page;mso-height-relative:page;" fillcolor="#FFFFFF [3201]" filled="t" stroked="f" coordsize="21600,21600" o:gfxdata="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zlAS88AAAAIAQAA&#10;DwAAAAAAAAABACAAAAAiAAAAZHJzL2Rvd25yZXYueG1sUEsBAhQAFAAAAAgAh07iQNxclXNbAgAA&#10;mgQAAA4AAAAAAAAAAQAgAAAAHgEAAGRycy9lMm9Eb2MueG1sUEsFBgAAAAAGAAYAWQEAAOsFAAAA&#10;AA==&#10;">
                <v:fill on="t" focussize="0,0"/>
                <v:stroke on="f" weight="0.5pt"/>
                <v:imagedata o:title=""/>
                <o:lock v:ext="edit" aspectratio="f"/>
                <v:textbox>
                  <w:txbxContent>
                    <w:p>
                      <w:pPr>
                        <w:jc w:val="distribute"/>
                        <w:rPr>
                          <w:rFonts w:hint="eastAsia" w:eastAsia="宋体"/>
                          <w:lang w:eastAsia="zh-CN"/>
                        </w:rPr>
                      </w:pPr>
                      <w:r>
                        <w:rPr>
                          <w:rFonts w:hint="eastAsia" w:eastAsia="宋体"/>
                          <w:lang w:eastAsia="zh-CN"/>
                        </w:rPr>
                        <w:t>造价工程师</w:t>
                      </w:r>
                    </w:p>
                    <w:p>
                      <w:pPr>
                        <w:jc w:val="distribute"/>
                        <w:rPr>
                          <w:rFonts w:hint="eastAsia" w:eastAsia="宋体"/>
                          <w:lang w:eastAsia="zh-CN"/>
                        </w:rPr>
                      </w:pPr>
                      <w:r>
                        <w:rPr>
                          <w:rFonts w:hint="eastAsia" w:eastAsia="宋体"/>
                          <w:lang w:eastAsia="zh-CN"/>
                        </w:rPr>
                        <w:t>及注册证号：</w:t>
                      </w:r>
                    </w:p>
                  </w:txbxContent>
                </v:textbox>
              </v:shape>
            </w:pict>
          </mc:Fallback>
        </mc:AlternateContent>
      </w:r>
    </w:p>
    <w:p>
      <w:pPr>
        <w:spacing w:before="78" w:line="219" w:lineRule="auto"/>
        <w:ind w:left="660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（签字盖执业专用章）</w:t>
      </w:r>
    </w:p>
    <w:p>
      <w:pPr>
        <w:pStyle w:val="2"/>
        <w:spacing w:line="256" w:lineRule="auto"/>
        <w:rPr>
          <w:color w:val="auto"/>
          <w:highlight w:val="none"/>
        </w:rPr>
      </w:pP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u w:val="none" w:color="auto"/>
        </w:rPr>
        <w:t xml:space="preserve">  </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 xml:space="preserve">                        </w:t>
      </w:r>
      <w:r>
        <w:rPr>
          <w:rFonts w:ascii="宋体" w:hAnsi="宋体" w:eastAsia="宋体" w:cs="宋体"/>
          <w:color w:val="auto"/>
          <w:spacing w:val="2"/>
          <w:sz w:val="24"/>
          <w:szCs w:val="24"/>
          <w:highlight w:val="none"/>
          <w:u w:val="single" w:color="auto"/>
        </w:rPr>
        <w:t xml:space="preserve"> </w:t>
      </w:r>
    </w:p>
    <w:p>
      <w:pPr>
        <w:pStyle w:val="2"/>
        <w:spacing w:line="256" w:lineRule="auto"/>
        <w:rPr>
          <w:rFonts w:hint="eastAsia" w:eastAsia="宋体"/>
          <w:color w:val="auto"/>
          <w:highlight w:val="none"/>
          <w:lang w:val="en-US" w:eastAsia="zh-CN"/>
        </w:rPr>
      </w:pPr>
      <w:r>
        <w:rPr>
          <w:rFonts w:hint="eastAsia" w:eastAsia="宋体"/>
          <w:color w:val="auto"/>
          <w:highlight w:val="none"/>
          <w:lang w:val="en-US" w:eastAsia="zh-CN"/>
        </w:rPr>
        <w:t xml:space="preserve"> </w:t>
      </w: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spacing w:before="78" w:line="220" w:lineRule="auto"/>
        <w:ind w:left="119"/>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编</w:t>
      </w:r>
      <w:r>
        <w:rPr>
          <w:rFonts w:ascii="宋体" w:hAnsi="宋体" w:eastAsia="宋体" w:cs="宋体"/>
          <w:color w:val="auto"/>
          <w:spacing w:val="5"/>
          <w:sz w:val="24"/>
          <w:szCs w:val="24"/>
          <w:highlight w:val="none"/>
        </w:rPr>
        <w:t xml:space="preserve">  </w:t>
      </w:r>
      <w:r>
        <w:rPr>
          <w:rFonts w:ascii="宋体" w:hAnsi="宋体" w:eastAsia="宋体" w:cs="宋体"/>
          <w:color w:val="auto"/>
          <w:spacing w:val="-29"/>
          <w:sz w:val="24"/>
          <w:szCs w:val="24"/>
          <w:highlight w:val="none"/>
        </w:rPr>
        <w:t>制</w:t>
      </w:r>
      <w:r>
        <w:rPr>
          <w:rFonts w:ascii="宋体" w:hAnsi="宋体" w:eastAsia="宋体" w:cs="宋体"/>
          <w:color w:val="auto"/>
          <w:spacing w:val="10"/>
          <w:sz w:val="24"/>
          <w:szCs w:val="24"/>
          <w:highlight w:val="none"/>
        </w:rPr>
        <w:t xml:space="preserve">  </w:t>
      </w:r>
      <w:r>
        <w:rPr>
          <w:rFonts w:ascii="宋体" w:hAnsi="宋体" w:eastAsia="宋体" w:cs="宋体"/>
          <w:color w:val="auto"/>
          <w:spacing w:val="-29"/>
          <w:sz w:val="24"/>
          <w:szCs w:val="24"/>
          <w:highlight w:val="none"/>
        </w:rPr>
        <w:t>时</w:t>
      </w:r>
      <w:r>
        <w:rPr>
          <w:rFonts w:ascii="宋体" w:hAnsi="宋体" w:eastAsia="宋体" w:cs="宋体"/>
          <w:color w:val="auto"/>
          <w:spacing w:val="14"/>
          <w:sz w:val="24"/>
          <w:szCs w:val="24"/>
          <w:highlight w:val="none"/>
        </w:rPr>
        <w:t xml:space="preserve">  </w:t>
      </w:r>
      <w:r>
        <w:rPr>
          <w:rFonts w:ascii="宋体" w:hAnsi="宋体" w:eastAsia="宋体" w:cs="宋体"/>
          <w:color w:val="auto"/>
          <w:spacing w:val="-29"/>
          <w:sz w:val="24"/>
          <w:szCs w:val="24"/>
          <w:highlight w:val="none"/>
        </w:rPr>
        <w:t>间：</w:t>
      </w:r>
      <w:r>
        <w:rPr>
          <w:rFonts w:ascii="宋体" w:hAnsi="宋体" w:eastAsia="宋体" w:cs="宋体"/>
          <w:color w:val="auto"/>
          <w:spacing w:val="1"/>
          <w:sz w:val="24"/>
          <w:szCs w:val="24"/>
          <w:highlight w:val="none"/>
        </w:rPr>
        <w:t xml:space="preserve">      </w:t>
      </w:r>
      <w:r>
        <w:rPr>
          <w:rFonts w:ascii="宋体" w:hAnsi="宋体" w:eastAsia="宋体" w:cs="宋体"/>
          <w:color w:val="auto"/>
          <w:sz w:val="24"/>
          <w:szCs w:val="24"/>
          <w:highlight w:val="none"/>
          <w:u w:val="single" w:color="auto"/>
        </w:rPr>
        <w:t xml:space="preserve">                                </w:t>
      </w:r>
    </w:p>
    <w:p>
      <w:pPr>
        <w:spacing w:line="220" w:lineRule="auto"/>
        <w:rPr>
          <w:rFonts w:ascii="宋体" w:hAnsi="宋体" w:eastAsia="宋体" w:cs="宋体"/>
          <w:color w:val="auto"/>
          <w:sz w:val="24"/>
          <w:szCs w:val="24"/>
          <w:highlight w:val="none"/>
        </w:rPr>
        <w:sectPr>
          <w:footerReference r:id="rId81" w:type="default"/>
          <w:pgSz w:w="11905" w:h="16843"/>
          <w:pgMar w:top="1769" w:right="1548" w:bottom="1003" w:left="1542" w:header="0" w:footer="828" w:gutter="0"/>
          <w:pgNumType w:fmt="numberInDash"/>
          <w:cols w:space="0" w:num="1"/>
          <w:rtlGutter w:val="0"/>
          <w:docGrid w:linePitch="0" w:charSpace="0"/>
        </w:sectPr>
      </w:pPr>
    </w:p>
    <w:p>
      <w:pPr>
        <w:pStyle w:val="2"/>
        <w:spacing w:line="265" w:lineRule="auto"/>
        <w:rPr>
          <w:color w:val="auto"/>
          <w:highlight w:val="none"/>
        </w:rPr>
      </w:pPr>
    </w:p>
    <w:p>
      <w:pPr>
        <w:pStyle w:val="2"/>
        <w:spacing w:line="265" w:lineRule="auto"/>
        <w:rPr>
          <w:color w:val="auto"/>
          <w:highlight w:val="none"/>
        </w:rPr>
      </w:pPr>
    </w:p>
    <w:p>
      <w:pPr>
        <w:spacing w:before="78" w:line="219" w:lineRule="auto"/>
        <w:ind w:left="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黑体" w:hAnsi="黑体" w:eastAsia="黑体" w:cs="黑体"/>
          <w:color w:val="auto"/>
          <w:spacing w:val="-1"/>
          <w:sz w:val="24"/>
          <w:szCs w:val="24"/>
          <w:highlight w:val="none"/>
        </w:rPr>
        <w:t>投标总价</w:t>
      </w:r>
    </w:p>
    <w:p>
      <w:pPr>
        <w:pStyle w:val="2"/>
        <w:spacing w:line="359" w:lineRule="auto"/>
        <w:rPr>
          <w:color w:val="auto"/>
          <w:highlight w:val="none"/>
        </w:rPr>
      </w:pPr>
    </w:p>
    <w:p>
      <w:pPr>
        <w:pStyle w:val="2"/>
        <w:spacing w:line="359" w:lineRule="auto"/>
        <w:rPr>
          <w:color w:val="auto"/>
          <w:highlight w:val="none"/>
        </w:rPr>
      </w:pPr>
    </w:p>
    <w:p>
      <w:pPr>
        <w:spacing w:before="130" w:line="218" w:lineRule="auto"/>
        <w:ind w:left="3556"/>
        <w:rPr>
          <w:rFonts w:ascii="宋体" w:hAnsi="宋体" w:eastAsia="宋体" w:cs="宋体"/>
          <w:color w:val="auto"/>
          <w:sz w:val="40"/>
          <w:szCs w:val="40"/>
          <w:highlight w:val="none"/>
        </w:rPr>
      </w:pPr>
      <w:bookmarkStart w:id="351" w:name="bookmark391"/>
      <w:bookmarkEnd w:id="351"/>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投</w:t>
      </w:r>
      <w:r>
        <w:rPr>
          <w:rFonts w:ascii="宋体" w:hAnsi="宋体" w:eastAsia="宋体" w:cs="宋体"/>
          <w:color w:val="auto"/>
          <w:spacing w:val="10"/>
          <w:sz w:val="40"/>
          <w:szCs w:val="40"/>
          <w:highlight w:val="none"/>
        </w:rPr>
        <w:t xml:space="preserve">  </w:t>
      </w:r>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标</w:t>
      </w:r>
      <w:r>
        <w:rPr>
          <w:rFonts w:ascii="宋体" w:hAnsi="宋体" w:eastAsia="宋体" w:cs="宋体"/>
          <w:color w:val="auto"/>
          <w:spacing w:val="15"/>
          <w:sz w:val="40"/>
          <w:szCs w:val="40"/>
          <w:highlight w:val="none"/>
        </w:rPr>
        <w:t xml:space="preserve">  </w:t>
      </w:r>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总</w:t>
      </w:r>
      <w:r>
        <w:rPr>
          <w:rFonts w:ascii="宋体" w:hAnsi="宋体" w:eastAsia="宋体" w:cs="宋体"/>
          <w:color w:val="auto"/>
          <w:spacing w:val="9"/>
          <w:sz w:val="40"/>
          <w:szCs w:val="40"/>
          <w:highlight w:val="none"/>
        </w:rPr>
        <w:t xml:space="preserve">  </w:t>
      </w:r>
      <w:r>
        <w:rPr>
          <w:rFonts w:ascii="宋体" w:hAnsi="宋体" w:eastAsia="宋体" w:cs="宋体"/>
          <w:color w:val="auto"/>
          <w:spacing w:val="-16"/>
          <w:sz w:val="40"/>
          <w:szCs w:val="40"/>
          <w:highlight w:val="none"/>
          <w14:textOutline w14:w="7271" w14:cap="flat" w14:cmpd="sng">
            <w14:solidFill>
              <w14:srgbClr w14:val="000000"/>
            </w14:solidFill>
            <w14:prstDash w14:val="solid"/>
            <w14:miter w14:val="0"/>
          </w14:textOutline>
        </w:rPr>
        <w:t>价</w:t>
      </w: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pStyle w:val="2"/>
        <w:spacing w:line="255" w:lineRule="auto"/>
        <w:rPr>
          <w:color w:val="auto"/>
          <w:highlight w:val="none"/>
        </w:rPr>
      </w:pPr>
    </w:p>
    <w:p>
      <w:pPr>
        <w:tabs>
          <w:tab w:val="left" w:pos="121"/>
        </w:tabs>
        <w:spacing w:before="78" w:line="598"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4"/>
          <w:sz w:val="24"/>
          <w:szCs w:val="24"/>
          <w:highlight w:val="none"/>
        </w:rPr>
        <w:t>项</w:t>
      </w:r>
      <w:r>
        <w:rPr>
          <w:rFonts w:ascii="宋体" w:hAnsi="宋体" w:eastAsia="宋体" w:cs="宋体"/>
          <w:color w:val="auto"/>
          <w:spacing w:val="27"/>
          <w:sz w:val="24"/>
          <w:szCs w:val="24"/>
          <w:highlight w:val="none"/>
        </w:rPr>
        <w:t xml:space="preserve">  </w:t>
      </w:r>
      <w:r>
        <w:rPr>
          <w:rFonts w:ascii="宋体" w:hAnsi="宋体" w:eastAsia="宋体" w:cs="宋体"/>
          <w:color w:val="auto"/>
          <w:spacing w:val="-24"/>
          <w:sz w:val="24"/>
          <w:szCs w:val="24"/>
          <w:highlight w:val="none"/>
        </w:rPr>
        <w:t>目</w:t>
      </w:r>
      <w:r>
        <w:rPr>
          <w:rFonts w:ascii="宋体" w:hAnsi="宋体" w:eastAsia="宋体" w:cs="宋体"/>
          <w:color w:val="auto"/>
          <w:spacing w:val="6"/>
          <w:sz w:val="24"/>
          <w:szCs w:val="24"/>
          <w:highlight w:val="none"/>
        </w:rPr>
        <w:t xml:space="preserve">  </w:t>
      </w:r>
      <w:r>
        <w:rPr>
          <w:rFonts w:ascii="宋体" w:hAnsi="宋体" w:eastAsia="宋体" w:cs="宋体"/>
          <w:color w:val="auto"/>
          <w:spacing w:val="-24"/>
          <w:sz w:val="24"/>
          <w:szCs w:val="24"/>
          <w:highlight w:val="none"/>
        </w:rPr>
        <w:t>名</w:t>
      </w:r>
      <w:r>
        <w:rPr>
          <w:rFonts w:ascii="宋体" w:hAnsi="宋体" w:eastAsia="宋体" w:cs="宋体"/>
          <w:color w:val="auto"/>
          <w:spacing w:val="5"/>
          <w:sz w:val="24"/>
          <w:szCs w:val="24"/>
          <w:highlight w:val="none"/>
        </w:rPr>
        <w:t xml:space="preserve">  </w:t>
      </w:r>
      <w:r>
        <w:rPr>
          <w:rFonts w:ascii="宋体" w:hAnsi="宋体" w:eastAsia="宋体" w:cs="宋体"/>
          <w:color w:val="auto"/>
          <w:spacing w:val="-24"/>
          <w:sz w:val="24"/>
          <w:szCs w:val="24"/>
          <w:highlight w:val="none"/>
        </w:rPr>
        <w:t>称</w:t>
      </w:r>
      <w:r>
        <w:rPr>
          <w:rFonts w:ascii="宋体" w:hAnsi="宋体" w:eastAsia="宋体" w:cs="宋体"/>
          <w:color w:val="auto"/>
          <w:spacing w:val="15"/>
          <w:sz w:val="24"/>
          <w:szCs w:val="24"/>
          <w:highlight w:val="none"/>
        </w:rPr>
        <w:t xml:space="preserve">  </w:t>
      </w:r>
      <w:r>
        <w:rPr>
          <w:rFonts w:ascii="宋体" w:hAnsi="宋体" w:eastAsia="宋体" w:cs="宋体"/>
          <w:color w:val="auto"/>
          <w:spacing w:val="-24"/>
          <w:sz w:val="24"/>
          <w:szCs w:val="24"/>
          <w:highlight w:val="none"/>
        </w:rPr>
        <w:t>：</w:t>
      </w:r>
      <w:r>
        <w:rPr>
          <w:rFonts w:ascii="宋体" w:hAnsi="宋体" w:eastAsia="宋体" w:cs="宋体"/>
          <w:color w:val="auto"/>
          <w:spacing w:val="29"/>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z w:val="24"/>
          <w:szCs w:val="24"/>
          <w:highlight w:val="none"/>
        </w:rPr>
        <w:t xml:space="preserve">             </w:t>
      </w:r>
    </w:p>
    <w:p>
      <w:pPr>
        <w:tabs>
          <w:tab w:val="left" w:pos="118"/>
        </w:tabs>
        <w:spacing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0"/>
          <w:sz w:val="24"/>
          <w:szCs w:val="24"/>
          <w:highlight w:val="none"/>
        </w:rPr>
        <w:t>合</w:t>
      </w:r>
      <w:r>
        <w:rPr>
          <w:rFonts w:ascii="宋体" w:hAnsi="宋体" w:eastAsia="宋体" w:cs="宋体"/>
          <w:color w:val="auto"/>
          <w:spacing w:val="16"/>
          <w:sz w:val="24"/>
          <w:szCs w:val="24"/>
          <w:highlight w:val="none"/>
        </w:rPr>
        <w:t xml:space="preserve">  </w:t>
      </w:r>
      <w:r>
        <w:rPr>
          <w:rFonts w:ascii="宋体" w:hAnsi="宋体" w:eastAsia="宋体" w:cs="宋体"/>
          <w:color w:val="auto"/>
          <w:spacing w:val="-20"/>
          <w:sz w:val="24"/>
          <w:szCs w:val="24"/>
          <w:highlight w:val="none"/>
        </w:rPr>
        <w:t>同</w:t>
      </w:r>
      <w:r>
        <w:rPr>
          <w:rFonts w:ascii="宋体" w:hAnsi="宋体" w:eastAsia="宋体" w:cs="宋体"/>
          <w:color w:val="auto"/>
          <w:spacing w:val="5"/>
          <w:sz w:val="24"/>
          <w:szCs w:val="24"/>
          <w:highlight w:val="none"/>
        </w:rPr>
        <w:t xml:space="preserve">  </w:t>
      </w:r>
      <w:r>
        <w:rPr>
          <w:rFonts w:ascii="宋体" w:hAnsi="宋体" w:eastAsia="宋体" w:cs="宋体"/>
          <w:color w:val="auto"/>
          <w:spacing w:val="-20"/>
          <w:sz w:val="24"/>
          <w:szCs w:val="24"/>
          <w:highlight w:val="none"/>
        </w:rPr>
        <w:t>编</w:t>
      </w:r>
      <w:r>
        <w:rPr>
          <w:rFonts w:ascii="宋体" w:hAnsi="宋体" w:eastAsia="宋体" w:cs="宋体"/>
          <w:color w:val="auto"/>
          <w:spacing w:val="8"/>
          <w:sz w:val="24"/>
          <w:szCs w:val="24"/>
          <w:highlight w:val="none"/>
        </w:rPr>
        <w:t xml:space="preserve">  </w:t>
      </w:r>
      <w:r>
        <w:rPr>
          <w:rFonts w:ascii="宋体" w:hAnsi="宋体" w:eastAsia="宋体" w:cs="宋体"/>
          <w:color w:val="auto"/>
          <w:spacing w:val="-20"/>
          <w:sz w:val="24"/>
          <w:szCs w:val="24"/>
          <w:highlight w:val="none"/>
        </w:rPr>
        <w:t>号</w:t>
      </w:r>
      <w:r>
        <w:rPr>
          <w:rFonts w:ascii="宋体" w:hAnsi="宋体" w:eastAsia="宋体" w:cs="宋体"/>
          <w:color w:val="auto"/>
          <w:spacing w:val="15"/>
          <w:sz w:val="24"/>
          <w:szCs w:val="24"/>
          <w:highlight w:val="none"/>
        </w:rPr>
        <w:t xml:space="preserve">  </w:t>
      </w:r>
      <w:r>
        <w:rPr>
          <w:rFonts w:ascii="宋体" w:hAnsi="宋体" w:eastAsia="宋体" w:cs="宋体"/>
          <w:color w:val="auto"/>
          <w:spacing w:val="-20"/>
          <w:sz w:val="24"/>
          <w:szCs w:val="24"/>
          <w:highlight w:val="none"/>
        </w:rPr>
        <w:t>：</w:t>
      </w:r>
      <w:r>
        <w:rPr>
          <w:rFonts w:ascii="宋体" w:hAnsi="宋体" w:eastAsia="宋体" w:cs="宋体"/>
          <w:color w:val="auto"/>
          <w:spacing w:val="29"/>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z w:val="24"/>
          <w:szCs w:val="24"/>
          <w:highlight w:val="none"/>
        </w:rPr>
        <w:t xml:space="preserve">             </w:t>
      </w:r>
    </w:p>
    <w:p>
      <w:pPr>
        <w:pStyle w:val="2"/>
        <w:spacing w:line="271" w:lineRule="auto"/>
        <w:rPr>
          <w:color w:val="auto"/>
          <w:highlight w:val="none"/>
        </w:rPr>
      </w:pPr>
    </w:p>
    <w:p>
      <w:pPr>
        <w:pStyle w:val="2"/>
        <w:spacing w:line="271" w:lineRule="auto"/>
        <w:rPr>
          <w:color w:val="auto"/>
          <w:highlight w:val="none"/>
        </w:rPr>
      </w:pPr>
    </w:p>
    <w:p>
      <w:pPr>
        <w:tabs>
          <w:tab w:val="left" w:pos="120"/>
        </w:tabs>
        <w:spacing w:before="79" w:line="218"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21"/>
          <w:sz w:val="24"/>
          <w:szCs w:val="24"/>
          <w:highlight w:val="none"/>
        </w:rPr>
        <w:t>投标总价（小写）：</w:t>
      </w:r>
      <w:r>
        <w:rPr>
          <w:rFonts w:ascii="宋体" w:hAnsi="宋体" w:eastAsia="宋体" w:cs="宋体"/>
          <w:color w:val="auto"/>
          <w:spacing w:val="38"/>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z w:val="24"/>
          <w:szCs w:val="24"/>
          <w:highlight w:val="none"/>
        </w:rPr>
        <w:t xml:space="preserve">             </w:t>
      </w: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tabs>
          <w:tab w:val="left" w:pos="1203"/>
        </w:tabs>
        <w:spacing w:before="79" w:line="22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36"/>
          <w:w w:val="89"/>
          <w:sz w:val="24"/>
          <w:szCs w:val="24"/>
          <w:highlight w:val="none"/>
        </w:rPr>
        <w:t>（大写</w:t>
      </w:r>
      <w:r>
        <w:rPr>
          <w:rFonts w:ascii="宋体" w:hAnsi="宋体" w:eastAsia="宋体" w:cs="宋体"/>
          <w:color w:val="auto"/>
          <w:spacing w:val="-32"/>
          <w:sz w:val="24"/>
          <w:szCs w:val="24"/>
          <w:highlight w:val="none"/>
        </w:rPr>
        <w:t>）：</w:t>
      </w:r>
      <w:r>
        <w:rPr>
          <w:rFonts w:ascii="宋体" w:hAnsi="宋体" w:eastAsia="宋体" w:cs="宋体"/>
          <w:color w:val="auto"/>
          <w:spacing w:val="17"/>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z w:val="24"/>
          <w:szCs w:val="24"/>
          <w:highlight w:val="none"/>
        </w:rPr>
        <w:t xml:space="preserve">             </w:t>
      </w:r>
    </w:p>
    <w:p>
      <w:pPr>
        <w:pStyle w:val="2"/>
        <w:spacing w:line="282" w:lineRule="auto"/>
        <w:rPr>
          <w:color w:val="auto"/>
          <w:highlight w:val="none"/>
        </w:rPr>
      </w:pPr>
    </w:p>
    <w:p>
      <w:pPr>
        <w:spacing w:before="79" w:line="220" w:lineRule="auto"/>
        <w:ind w:left="783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（单位盖</w:t>
      </w:r>
    </w:p>
    <w:p>
      <w:pPr>
        <w:tabs>
          <w:tab w:val="left" w:pos="120"/>
        </w:tabs>
        <w:spacing w:before="25"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11"/>
          <w:sz w:val="24"/>
          <w:szCs w:val="24"/>
          <w:highlight w:val="none"/>
        </w:rPr>
        <w:t>投</w:t>
      </w:r>
      <w:r>
        <w:rPr>
          <w:rFonts w:ascii="宋体" w:hAnsi="宋体" w:eastAsia="宋体" w:cs="宋体"/>
          <w:color w:val="auto"/>
          <w:spacing w:val="2"/>
          <w:sz w:val="24"/>
          <w:szCs w:val="24"/>
          <w:highlight w:val="none"/>
        </w:rPr>
        <w:t xml:space="preserve">    </w:t>
      </w:r>
      <w:r>
        <w:rPr>
          <w:rFonts w:ascii="宋体" w:hAnsi="宋体" w:eastAsia="宋体" w:cs="宋体"/>
          <w:color w:val="auto"/>
          <w:spacing w:val="-11"/>
          <w:sz w:val="24"/>
          <w:szCs w:val="24"/>
          <w:highlight w:val="none"/>
        </w:rPr>
        <w:t>标</w:t>
      </w:r>
      <w:r>
        <w:rPr>
          <w:rFonts w:ascii="宋体" w:hAnsi="宋体" w:eastAsia="宋体" w:cs="宋体"/>
          <w:color w:val="auto"/>
          <w:spacing w:val="3"/>
          <w:sz w:val="24"/>
          <w:szCs w:val="24"/>
          <w:highlight w:val="none"/>
        </w:rPr>
        <w:t xml:space="preserve">    </w:t>
      </w:r>
      <w:r>
        <w:rPr>
          <w:rFonts w:ascii="宋体" w:hAnsi="宋体" w:eastAsia="宋体" w:cs="宋体"/>
          <w:color w:val="auto"/>
          <w:spacing w:val="-11"/>
          <w:sz w:val="24"/>
          <w:szCs w:val="24"/>
          <w:highlight w:val="none"/>
        </w:rPr>
        <w:t>人</w:t>
      </w:r>
      <w:r>
        <w:rPr>
          <w:rFonts w:ascii="宋体" w:hAnsi="宋体" w:eastAsia="宋体" w:cs="宋体"/>
          <w:color w:val="auto"/>
          <w:spacing w:val="16"/>
          <w:sz w:val="24"/>
          <w:szCs w:val="24"/>
          <w:highlight w:val="none"/>
        </w:rPr>
        <w:t xml:space="preserve">  </w:t>
      </w:r>
      <w:r>
        <w:rPr>
          <w:rFonts w:ascii="宋体" w:hAnsi="宋体" w:eastAsia="宋体" w:cs="宋体"/>
          <w:color w:val="auto"/>
          <w:spacing w:val="-11"/>
          <w:sz w:val="24"/>
          <w:szCs w:val="24"/>
          <w:highlight w:val="none"/>
        </w:rPr>
        <w:t>：</w:t>
      </w:r>
      <w:r>
        <w:rPr>
          <w:rFonts w:ascii="宋体" w:hAnsi="宋体" w:eastAsia="宋体" w:cs="宋体"/>
          <w:color w:val="auto"/>
          <w:spacing w:val="29"/>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
          <w:sz w:val="24"/>
          <w:szCs w:val="24"/>
          <w:highlight w:val="none"/>
        </w:rPr>
        <w:t xml:space="preserve"> 章）</w:t>
      </w:r>
      <w:r>
        <w:rPr>
          <w:rFonts w:ascii="宋体" w:hAnsi="宋体" w:eastAsia="宋体" w:cs="宋体"/>
          <w:color w:val="auto"/>
          <w:sz w:val="24"/>
          <w:szCs w:val="24"/>
          <w:highlight w:val="none"/>
        </w:rPr>
        <w:t xml:space="preserve">        </w:t>
      </w:r>
    </w:p>
    <w:p>
      <w:pPr>
        <w:spacing w:before="281" w:line="220" w:lineRule="auto"/>
        <w:ind w:left="783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（签字盖</w:t>
      </w:r>
    </w:p>
    <w:p>
      <w:pPr>
        <w:tabs>
          <w:tab w:val="left" w:pos="118"/>
        </w:tabs>
        <w:spacing w:before="27" w:line="219"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ab/>
      </w:r>
      <w:r>
        <w:rPr>
          <w:rFonts w:ascii="宋体" w:hAnsi="宋体" w:eastAsia="宋体" w:cs="宋体"/>
          <w:color w:val="auto"/>
          <w:spacing w:val="-11"/>
          <w:sz w:val="24"/>
          <w:szCs w:val="24"/>
          <w:highlight w:val="none"/>
        </w:rPr>
        <w:t>法</w:t>
      </w:r>
      <w:r>
        <w:rPr>
          <w:rFonts w:ascii="宋体" w:hAnsi="宋体" w:eastAsia="宋体" w:cs="宋体"/>
          <w:color w:val="auto"/>
          <w:spacing w:val="20"/>
          <w:sz w:val="24"/>
          <w:szCs w:val="24"/>
          <w:highlight w:val="none"/>
        </w:rPr>
        <w:t xml:space="preserve"> </w:t>
      </w:r>
      <w:r>
        <w:rPr>
          <w:rFonts w:ascii="宋体" w:hAnsi="宋体" w:eastAsia="宋体" w:cs="宋体"/>
          <w:color w:val="auto"/>
          <w:spacing w:val="-11"/>
          <w:sz w:val="24"/>
          <w:szCs w:val="24"/>
          <w:highlight w:val="none"/>
        </w:rPr>
        <w:t>定 代</w:t>
      </w:r>
      <w:r>
        <w:rPr>
          <w:rFonts w:ascii="宋体" w:hAnsi="宋体" w:eastAsia="宋体" w:cs="宋体"/>
          <w:color w:val="auto"/>
          <w:spacing w:val="8"/>
          <w:sz w:val="24"/>
          <w:szCs w:val="24"/>
          <w:highlight w:val="none"/>
        </w:rPr>
        <w:t xml:space="preserve"> </w:t>
      </w:r>
      <w:r>
        <w:rPr>
          <w:rFonts w:ascii="宋体" w:hAnsi="宋体" w:eastAsia="宋体" w:cs="宋体"/>
          <w:color w:val="auto"/>
          <w:spacing w:val="-11"/>
          <w:sz w:val="24"/>
          <w:szCs w:val="24"/>
          <w:highlight w:val="none"/>
        </w:rPr>
        <w:t>表</w:t>
      </w:r>
      <w:r>
        <w:rPr>
          <w:rFonts w:ascii="宋体" w:hAnsi="宋体" w:eastAsia="宋体" w:cs="宋体"/>
          <w:color w:val="auto"/>
          <w:spacing w:val="12"/>
          <w:sz w:val="24"/>
          <w:szCs w:val="24"/>
          <w:highlight w:val="none"/>
        </w:rPr>
        <w:t xml:space="preserve"> </w:t>
      </w:r>
      <w:r>
        <w:rPr>
          <w:rFonts w:ascii="宋体" w:hAnsi="宋体" w:eastAsia="宋体" w:cs="宋体"/>
          <w:color w:val="auto"/>
          <w:spacing w:val="-11"/>
          <w:sz w:val="24"/>
          <w:szCs w:val="24"/>
          <w:highlight w:val="none"/>
        </w:rPr>
        <w:t>人</w:t>
      </w:r>
      <w:r>
        <w:rPr>
          <w:rFonts w:ascii="宋体" w:hAnsi="宋体" w:eastAsia="宋体" w:cs="宋体"/>
          <w:color w:val="auto"/>
          <w:spacing w:val="15"/>
          <w:sz w:val="24"/>
          <w:szCs w:val="24"/>
          <w:highlight w:val="none"/>
        </w:rPr>
        <w:t xml:space="preserve">  </w:t>
      </w:r>
      <w:r>
        <w:rPr>
          <w:rFonts w:ascii="宋体" w:hAnsi="宋体" w:eastAsia="宋体" w:cs="宋体"/>
          <w:color w:val="auto"/>
          <w:spacing w:val="-11"/>
          <w:sz w:val="24"/>
          <w:szCs w:val="24"/>
          <w:highlight w:val="none"/>
        </w:rPr>
        <w:t>：</w:t>
      </w:r>
      <w:r>
        <w:rPr>
          <w:rFonts w:ascii="宋体" w:hAnsi="宋体" w:eastAsia="宋体" w:cs="宋体"/>
          <w:color w:val="auto"/>
          <w:spacing w:val="29"/>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7"/>
          <w:sz w:val="24"/>
          <w:szCs w:val="24"/>
          <w:highlight w:val="none"/>
        </w:rPr>
        <w:t xml:space="preserve"> </w:t>
      </w:r>
      <w:r>
        <w:rPr>
          <w:rFonts w:ascii="宋体" w:hAnsi="宋体" w:eastAsia="宋体" w:cs="宋体"/>
          <w:color w:val="auto"/>
          <w:spacing w:val="-11"/>
          <w:sz w:val="24"/>
          <w:szCs w:val="24"/>
          <w:highlight w:val="none"/>
        </w:rPr>
        <w:t>章）</w:t>
      </w:r>
      <w:r>
        <w:rPr>
          <w:rFonts w:ascii="宋体" w:hAnsi="宋体" w:eastAsia="宋体" w:cs="宋体"/>
          <w:color w:val="auto"/>
          <w:sz w:val="24"/>
          <w:szCs w:val="24"/>
          <w:highlight w:val="none"/>
        </w:rPr>
        <w:t xml:space="preserve">        </w:t>
      </w:r>
    </w:p>
    <w:p>
      <w:pPr>
        <w:pStyle w:val="2"/>
        <w:spacing w:line="289" w:lineRule="auto"/>
        <w:rPr>
          <w:color w:val="auto"/>
          <w:highlight w:val="none"/>
        </w:rPr>
      </w:pPr>
    </w:p>
    <w:p>
      <w:pPr>
        <w:pStyle w:val="2"/>
        <w:spacing w:line="289" w:lineRule="auto"/>
        <w:rPr>
          <w:color w:val="auto"/>
          <w:highlight w:val="none"/>
        </w:rPr>
      </w:pPr>
    </w:p>
    <w:p>
      <w:pPr>
        <w:spacing w:before="79" w:line="220" w:lineRule="auto"/>
        <w:ind w:left="119"/>
        <w:rPr>
          <w:rFonts w:ascii="宋体" w:hAnsi="宋体" w:eastAsia="宋体" w:cs="宋体"/>
          <w:color w:val="auto"/>
          <w:sz w:val="24"/>
          <w:szCs w:val="24"/>
          <w:highlight w:val="none"/>
        </w:rPr>
      </w:pPr>
      <w:r>
        <w:rPr>
          <w:rFonts w:ascii="宋体" w:hAnsi="宋体" w:eastAsia="宋体" w:cs="宋体"/>
          <w:color w:val="auto"/>
          <w:spacing w:val="-21"/>
          <w:sz w:val="24"/>
          <w:szCs w:val="24"/>
          <w:highlight w:val="none"/>
        </w:rPr>
        <w:t>编</w:t>
      </w:r>
      <w:r>
        <w:rPr>
          <w:rFonts w:ascii="宋体" w:hAnsi="宋体" w:eastAsia="宋体" w:cs="宋体"/>
          <w:color w:val="auto"/>
          <w:spacing w:val="7"/>
          <w:sz w:val="24"/>
          <w:szCs w:val="24"/>
          <w:highlight w:val="none"/>
        </w:rPr>
        <w:t xml:space="preserve">  </w:t>
      </w:r>
      <w:r>
        <w:rPr>
          <w:rFonts w:ascii="宋体" w:hAnsi="宋体" w:eastAsia="宋体" w:cs="宋体"/>
          <w:color w:val="auto"/>
          <w:spacing w:val="-21"/>
          <w:sz w:val="24"/>
          <w:szCs w:val="24"/>
          <w:highlight w:val="none"/>
        </w:rPr>
        <w:t>制</w:t>
      </w:r>
      <w:r>
        <w:rPr>
          <w:rFonts w:ascii="宋体" w:hAnsi="宋体" w:eastAsia="宋体" w:cs="宋体"/>
          <w:color w:val="auto"/>
          <w:spacing w:val="10"/>
          <w:sz w:val="24"/>
          <w:szCs w:val="24"/>
          <w:highlight w:val="none"/>
        </w:rPr>
        <w:t xml:space="preserve">  </w:t>
      </w:r>
      <w:r>
        <w:rPr>
          <w:rFonts w:ascii="宋体" w:hAnsi="宋体" w:eastAsia="宋体" w:cs="宋体"/>
          <w:color w:val="auto"/>
          <w:spacing w:val="-21"/>
          <w:sz w:val="24"/>
          <w:szCs w:val="24"/>
          <w:highlight w:val="none"/>
        </w:rPr>
        <w:t>时</w:t>
      </w:r>
      <w:r>
        <w:rPr>
          <w:rFonts w:ascii="宋体" w:hAnsi="宋体" w:eastAsia="宋体" w:cs="宋体"/>
          <w:color w:val="auto"/>
          <w:spacing w:val="14"/>
          <w:sz w:val="24"/>
          <w:szCs w:val="24"/>
          <w:highlight w:val="none"/>
        </w:rPr>
        <w:t xml:space="preserve">  </w:t>
      </w:r>
      <w:r>
        <w:rPr>
          <w:rFonts w:ascii="宋体" w:hAnsi="宋体" w:eastAsia="宋体" w:cs="宋体"/>
          <w:color w:val="auto"/>
          <w:spacing w:val="-21"/>
          <w:sz w:val="24"/>
          <w:szCs w:val="24"/>
          <w:highlight w:val="none"/>
        </w:rPr>
        <w:t>间</w:t>
      </w:r>
      <w:r>
        <w:rPr>
          <w:rFonts w:ascii="宋体" w:hAnsi="宋体" w:eastAsia="宋体" w:cs="宋体"/>
          <w:color w:val="auto"/>
          <w:spacing w:val="15"/>
          <w:sz w:val="24"/>
          <w:szCs w:val="24"/>
          <w:highlight w:val="none"/>
        </w:rPr>
        <w:t xml:space="preserve">  </w:t>
      </w:r>
      <w:r>
        <w:rPr>
          <w:rFonts w:ascii="宋体" w:hAnsi="宋体" w:eastAsia="宋体" w:cs="宋体"/>
          <w:color w:val="auto"/>
          <w:spacing w:val="-21"/>
          <w:sz w:val="24"/>
          <w:szCs w:val="24"/>
          <w:highlight w:val="none"/>
        </w:rPr>
        <w:t>：</w:t>
      </w:r>
      <w:r>
        <w:rPr>
          <w:rFonts w:ascii="宋体" w:hAnsi="宋体" w:eastAsia="宋体" w:cs="宋体"/>
          <w:color w:val="auto"/>
          <w:spacing w:val="22"/>
          <w:sz w:val="24"/>
          <w:szCs w:val="24"/>
          <w:highlight w:val="none"/>
        </w:rPr>
        <w:t xml:space="preserve">  </w:t>
      </w:r>
      <w:r>
        <w:rPr>
          <w:rFonts w:ascii="宋体" w:hAnsi="宋体" w:eastAsia="宋体" w:cs="宋体"/>
          <w:color w:val="auto"/>
          <w:sz w:val="24"/>
          <w:szCs w:val="24"/>
          <w:highlight w:val="none"/>
          <w:u w:val="single" w:color="auto"/>
        </w:rPr>
        <w:t xml:space="preserve">                                            </w:t>
      </w:r>
    </w:p>
    <w:p>
      <w:pPr>
        <w:spacing w:line="220" w:lineRule="auto"/>
        <w:rPr>
          <w:rFonts w:ascii="宋体" w:hAnsi="宋体" w:eastAsia="宋体" w:cs="宋体"/>
          <w:color w:val="auto"/>
          <w:sz w:val="24"/>
          <w:szCs w:val="24"/>
          <w:highlight w:val="none"/>
        </w:rPr>
        <w:sectPr>
          <w:footerReference r:id="rId82" w:type="default"/>
          <w:pgSz w:w="11905" w:h="16843"/>
          <w:pgMar w:top="1769" w:right="1548" w:bottom="1003" w:left="1542" w:header="0" w:footer="828" w:gutter="0"/>
          <w:pgNumType w:fmt="numberInDash"/>
          <w:cols w:space="0" w:num="1"/>
          <w:rtlGutter w:val="0"/>
          <w:docGrid w:linePitch="0" w:charSpace="0"/>
        </w:sectPr>
      </w:pPr>
    </w:p>
    <w:p>
      <w:pPr>
        <w:spacing w:before="78" w:line="219" w:lineRule="auto"/>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3.5 </w:t>
      </w:r>
      <w:r>
        <w:rPr>
          <w:rFonts w:ascii="黑体" w:hAnsi="黑体" w:eastAsia="黑体" w:cs="黑体"/>
          <w:color w:val="auto"/>
          <w:spacing w:val="-1"/>
          <w:sz w:val="24"/>
          <w:szCs w:val="24"/>
          <w:highlight w:val="none"/>
        </w:rPr>
        <w:t>工程项目总价表</w:t>
      </w:r>
    </w:p>
    <w:p>
      <w:pPr>
        <w:spacing w:before="119" w:line="218" w:lineRule="auto"/>
        <w:ind w:left="3193"/>
        <w:rPr>
          <w:rFonts w:ascii="宋体" w:hAnsi="宋体" w:eastAsia="宋体" w:cs="宋体"/>
          <w:color w:val="auto"/>
          <w:sz w:val="36"/>
          <w:szCs w:val="36"/>
          <w:highlight w:val="none"/>
        </w:rPr>
      </w:pPr>
      <w:bookmarkStart w:id="352" w:name="bookmark392"/>
      <w:bookmarkEnd w:id="352"/>
      <w:r>
        <w:rPr>
          <w:rFonts w:ascii="宋体" w:hAnsi="宋体" w:eastAsia="宋体" w:cs="宋体"/>
          <w:color w:val="auto"/>
          <w:spacing w:val="-2"/>
          <w:sz w:val="36"/>
          <w:szCs w:val="36"/>
          <w:highlight w:val="none"/>
          <w14:textOutline w14:w="6531" w14:cap="flat" w14:cmpd="sng">
            <w14:solidFill>
              <w14:srgbClr w14:val="000000"/>
            </w14:solidFill>
            <w14:prstDash w14:val="solid"/>
            <w14:miter w14:val="0"/>
          </w14:textOutline>
        </w:rPr>
        <w:t>工程项目总价表</w:t>
      </w:r>
    </w:p>
    <w:p>
      <w:pPr>
        <w:spacing w:before="160" w:line="220" w:lineRule="auto"/>
        <w:ind w:left="297"/>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275" w:line="220" w:lineRule="auto"/>
        <w:ind w:left="300"/>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项目名称：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11"/>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7"/>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w:t>
      </w:r>
    </w:p>
    <w:p>
      <w:pPr>
        <w:spacing w:line="163" w:lineRule="exact"/>
        <w:rPr>
          <w:color w:val="auto"/>
          <w:highlight w:val="none"/>
        </w:rPr>
      </w:pPr>
    </w:p>
    <w:tbl>
      <w:tblPr>
        <w:tblStyle w:val="9"/>
        <w:tblW w:w="8525"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8"/>
        <w:gridCol w:w="5466"/>
        <w:gridCol w:w="1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358" w:type="dxa"/>
            <w:tcBorders>
              <w:top w:val="single" w:color="000000" w:sz="6" w:space="0"/>
              <w:left w:val="single" w:color="000000" w:sz="6" w:space="0"/>
            </w:tcBorders>
            <w:vAlign w:val="top"/>
          </w:tcPr>
          <w:p>
            <w:pPr>
              <w:pStyle w:val="10"/>
              <w:spacing w:before="168" w:line="221" w:lineRule="auto"/>
              <w:ind w:left="495"/>
              <w:rPr>
                <w:color w:val="auto"/>
                <w:sz w:val="18"/>
                <w:szCs w:val="18"/>
                <w:highlight w:val="none"/>
              </w:rPr>
            </w:pPr>
            <w:r>
              <w:rPr>
                <w:color w:val="auto"/>
                <w:spacing w:val="-2"/>
                <w:sz w:val="18"/>
                <w:szCs w:val="18"/>
                <w:highlight w:val="none"/>
              </w:rPr>
              <w:t>序号</w:t>
            </w:r>
          </w:p>
        </w:tc>
        <w:tc>
          <w:tcPr>
            <w:tcW w:w="5466" w:type="dxa"/>
            <w:tcBorders>
              <w:top w:val="single" w:color="000000" w:sz="6" w:space="0"/>
            </w:tcBorders>
            <w:vAlign w:val="top"/>
          </w:tcPr>
          <w:p>
            <w:pPr>
              <w:pStyle w:val="10"/>
              <w:spacing w:before="169" w:line="220" w:lineRule="auto"/>
              <w:ind w:left="2378"/>
              <w:rPr>
                <w:color w:val="auto"/>
                <w:sz w:val="18"/>
                <w:szCs w:val="18"/>
                <w:highlight w:val="none"/>
              </w:rPr>
            </w:pPr>
            <w:r>
              <w:rPr>
                <w:color w:val="auto"/>
                <w:spacing w:val="-2"/>
                <w:sz w:val="18"/>
                <w:szCs w:val="18"/>
                <w:highlight w:val="none"/>
              </w:rPr>
              <w:t>工程名称</w:t>
            </w:r>
          </w:p>
        </w:tc>
        <w:tc>
          <w:tcPr>
            <w:tcW w:w="1701" w:type="dxa"/>
            <w:tcBorders>
              <w:top w:val="single" w:color="000000" w:sz="6" w:space="0"/>
              <w:right w:val="single" w:color="000000" w:sz="6" w:space="0"/>
            </w:tcBorders>
            <w:vAlign w:val="top"/>
          </w:tcPr>
          <w:p>
            <w:pPr>
              <w:pStyle w:val="10"/>
              <w:spacing w:before="168" w:line="220" w:lineRule="auto"/>
              <w:ind w:left="407"/>
              <w:rPr>
                <w:color w:val="auto"/>
                <w:sz w:val="18"/>
                <w:szCs w:val="18"/>
                <w:highlight w:val="none"/>
              </w:rPr>
            </w:pPr>
            <w:r>
              <w:rPr>
                <w:color w:val="auto"/>
                <w:spacing w:val="-2"/>
                <w:sz w:val="18"/>
                <w:szCs w:val="18"/>
                <w:highlight w:val="none"/>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pStyle w:val="10"/>
              <w:spacing w:before="141" w:line="182" w:lineRule="auto"/>
              <w:ind w:left="643"/>
              <w:rPr>
                <w:color w:val="auto"/>
                <w:sz w:val="18"/>
                <w:szCs w:val="18"/>
                <w:highlight w:val="none"/>
              </w:rPr>
            </w:pPr>
            <w:r>
              <w:rPr>
                <w:color w:val="auto"/>
                <w:sz w:val="18"/>
                <w:szCs w:val="18"/>
                <w:highlight w:val="none"/>
              </w:rPr>
              <w:t>1</w:t>
            </w:r>
          </w:p>
        </w:tc>
        <w:tc>
          <w:tcPr>
            <w:tcW w:w="5466" w:type="dxa"/>
            <w:vAlign w:val="top"/>
          </w:tcPr>
          <w:p>
            <w:pPr>
              <w:pStyle w:val="10"/>
              <w:spacing w:before="111" w:line="220" w:lineRule="auto"/>
              <w:ind w:left="109"/>
              <w:rPr>
                <w:color w:val="auto"/>
                <w:sz w:val="18"/>
                <w:szCs w:val="18"/>
                <w:highlight w:val="none"/>
              </w:rPr>
            </w:pPr>
            <w:r>
              <w:rPr>
                <w:color w:val="auto"/>
                <w:spacing w:val="-1"/>
                <w:sz w:val="18"/>
                <w:szCs w:val="18"/>
                <w:highlight w:val="none"/>
              </w:rPr>
              <w:t>分类分项工程量清单</w:t>
            </w: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pStyle w:val="10"/>
              <w:spacing w:before="143" w:line="181" w:lineRule="auto"/>
              <w:ind w:left="632"/>
              <w:rPr>
                <w:color w:val="auto"/>
                <w:sz w:val="18"/>
                <w:szCs w:val="18"/>
                <w:highlight w:val="none"/>
              </w:rPr>
            </w:pPr>
            <w:r>
              <w:rPr>
                <w:color w:val="auto"/>
                <w:sz w:val="18"/>
                <w:szCs w:val="18"/>
                <w:highlight w:val="none"/>
              </w:rPr>
              <w:t>2</w:t>
            </w:r>
          </w:p>
        </w:tc>
        <w:tc>
          <w:tcPr>
            <w:tcW w:w="5466" w:type="dxa"/>
            <w:vAlign w:val="top"/>
          </w:tcPr>
          <w:p>
            <w:pPr>
              <w:pStyle w:val="10"/>
              <w:spacing w:before="113" w:line="220" w:lineRule="auto"/>
              <w:ind w:left="107"/>
              <w:rPr>
                <w:color w:val="auto"/>
                <w:sz w:val="18"/>
                <w:szCs w:val="18"/>
                <w:highlight w:val="none"/>
              </w:rPr>
            </w:pPr>
            <w:r>
              <w:rPr>
                <w:color w:val="auto"/>
                <w:spacing w:val="-2"/>
                <w:sz w:val="18"/>
                <w:szCs w:val="18"/>
                <w:highlight w:val="none"/>
              </w:rPr>
              <w:t>措施项目</w:t>
            </w: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pStyle w:val="10"/>
              <w:spacing w:before="144" w:line="181" w:lineRule="auto"/>
              <w:ind w:left="633"/>
              <w:rPr>
                <w:color w:val="auto"/>
                <w:sz w:val="18"/>
                <w:szCs w:val="18"/>
                <w:highlight w:val="none"/>
              </w:rPr>
            </w:pPr>
            <w:r>
              <w:rPr>
                <w:color w:val="auto"/>
                <w:sz w:val="18"/>
                <w:szCs w:val="18"/>
                <w:highlight w:val="none"/>
              </w:rPr>
              <w:t>3</w:t>
            </w:r>
          </w:p>
        </w:tc>
        <w:tc>
          <w:tcPr>
            <w:tcW w:w="5466" w:type="dxa"/>
            <w:vAlign w:val="top"/>
          </w:tcPr>
          <w:p>
            <w:pPr>
              <w:pStyle w:val="10"/>
              <w:spacing w:before="114" w:line="220" w:lineRule="auto"/>
              <w:ind w:left="108"/>
              <w:rPr>
                <w:color w:val="auto"/>
                <w:sz w:val="18"/>
                <w:szCs w:val="18"/>
                <w:highlight w:val="none"/>
              </w:rPr>
            </w:pPr>
            <w:r>
              <w:rPr>
                <w:color w:val="auto"/>
                <w:spacing w:val="-2"/>
                <w:sz w:val="18"/>
                <w:szCs w:val="18"/>
                <w:highlight w:val="none"/>
              </w:rPr>
              <w:t>其他项目</w:t>
            </w: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pStyle w:val="10"/>
              <w:spacing w:before="144" w:line="181" w:lineRule="auto"/>
              <w:ind w:left="629"/>
              <w:rPr>
                <w:color w:val="auto"/>
                <w:sz w:val="18"/>
                <w:szCs w:val="18"/>
                <w:highlight w:val="none"/>
              </w:rPr>
            </w:pPr>
            <w:r>
              <w:rPr>
                <w:color w:val="auto"/>
                <w:sz w:val="18"/>
                <w:szCs w:val="18"/>
                <w:highlight w:val="none"/>
              </w:rPr>
              <w:t>4</w:t>
            </w:r>
          </w:p>
        </w:tc>
        <w:tc>
          <w:tcPr>
            <w:tcW w:w="5466" w:type="dxa"/>
            <w:vAlign w:val="top"/>
          </w:tcPr>
          <w:p>
            <w:pPr>
              <w:pStyle w:val="10"/>
              <w:spacing w:before="114" w:line="220" w:lineRule="auto"/>
              <w:ind w:left="108"/>
              <w:rPr>
                <w:color w:val="auto"/>
                <w:sz w:val="18"/>
                <w:szCs w:val="18"/>
                <w:highlight w:val="none"/>
              </w:rPr>
            </w:pPr>
            <w:r>
              <w:rPr>
                <w:color w:val="auto"/>
                <w:spacing w:val="-2"/>
                <w:sz w:val="18"/>
                <w:szCs w:val="18"/>
                <w:highlight w:val="none"/>
              </w:rPr>
              <w:t>零星项目</w:t>
            </w: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pStyle w:val="10"/>
              <w:spacing w:before="146" w:line="180" w:lineRule="auto"/>
              <w:ind w:left="633"/>
              <w:rPr>
                <w:color w:val="auto"/>
                <w:sz w:val="18"/>
                <w:szCs w:val="18"/>
                <w:highlight w:val="none"/>
              </w:rPr>
            </w:pPr>
            <w:r>
              <w:rPr>
                <w:color w:val="auto"/>
                <w:sz w:val="18"/>
                <w:szCs w:val="18"/>
                <w:highlight w:val="none"/>
              </w:rPr>
              <w:t>5</w:t>
            </w:r>
          </w:p>
        </w:tc>
        <w:tc>
          <w:tcPr>
            <w:tcW w:w="5466" w:type="dxa"/>
            <w:vAlign w:val="top"/>
          </w:tcPr>
          <w:p>
            <w:pPr>
              <w:pStyle w:val="10"/>
              <w:spacing w:before="114" w:line="218" w:lineRule="auto"/>
              <w:ind w:left="109"/>
              <w:rPr>
                <w:color w:val="auto"/>
                <w:sz w:val="18"/>
                <w:szCs w:val="18"/>
                <w:highlight w:val="none"/>
              </w:rPr>
            </w:pPr>
            <w:r>
              <w:rPr>
                <w:color w:val="auto"/>
                <w:spacing w:val="-2"/>
                <w:sz w:val="18"/>
                <w:szCs w:val="18"/>
                <w:highlight w:val="none"/>
              </w:rPr>
              <w:t>工程造价</w:t>
            </w: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vAlign w:val="top"/>
          </w:tcPr>
          <w:p>
            <w:pPr>
              <w:rPr>
                <w:rFonts w:ascii="Arial"/>
                <w:color w:val="auto"/>
                <w:sz w:val="21"/>
                <w:highlight w:val="none"/>
              </w:rPr>
            </w:pPr>
          </w:p>
        </w:tc>
        <w:tc>
          <w:tcPr>
            <w:tcW w:w="5466" w:type="dxa"/>
            <w:vAlign w:val="top"/>
          </w:tcPr>
          <w:p>
            <w:pPr>
              <w:rPr>
                <w:rFonts w:ascii="Arial"/>
                <w:color w:val="auto"/>
                <w:sz w:val="21"/>
                <w:highlight w:val="none"/>
              </w:rPr>
            </w:pPr>
          </w:p>
        </w:tc>
        <w:tc>
          <w:tcPr>
            <w:tcW w:w="1701"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58" w:type="dxa"/>
            <w:tcBorders>
              <w:left w:val="single" w:color="000000" w:sz="6" w:space="0"/>
              <w:bottom w:val="single" w:color="000000" w:sz="6" w:space="0"/>
            </w:tcBorders>
            <w:vAlign w:val="top"/>
          </w:tcPr>
          <w:p>
            <w:pPr>
              <w:rPr>
                <w:rFonts w:ascii="Arial"/>
                <w:color w:val="auto"/>
                <w:sz w:val="21"/>
                <w:highlight w:val="none"/>
              </w:rPr>
            </w:pPr>
          </w:p>
        </w:tc>
        <w:tc>
          <w:tcPr>
            <w:tcW w:w="5466" w:type="dxa"/>
            <w:tcBorders>
              <w:bottom w:val="single" w:color="000000" w:sz="6" w:space="0"/>
            </w:tcBorders>
            <w:vAlign w:val="top"/>
          </w:tcPr>
          <w:p>
            <w:pPr>
              <w:pStyle w:val="10"/>
              <w:spacing w:before="124" w:line="221" w:lineRule="auto"/>
              <w:ind w:left="108"/>
              <w:rPr>
                <w:color w:val="auto"/>
                <w:sz w:val="18"/>
                <w:szCs w:val="18"/>
                <w:highlight w:val="none"/>
              </w:rPr>
            </w:pPr>
            <w:r>
              <w:rPr>
                <w:color w:val="auto"/>
                <w:spacing w:val="-2"/>
                <w:sz w:val="18"/>
                <w:szCs w:val="18"/>
                <w:highlight w:val="none"/>
              </w:rPr>
              <w:t>合计</w:t>
            </w:r>
          </w:p>
        </w:tc>
        <w:tc>
          <w:tcPr>
            <w:tcW w:w="1701" w:type="dxa"/>
            <w:tcBorders>
              <w:bottom w:val="single" w:color="000000" w:sz="6" w:space="0"/>
              <w:right w:val="single" w:color="000000" w:sz="6" w:space="0"/>
            </w:tcBorders>
            <w:vAlign w:val="top"/>
          </w:tcPr>
          <w:p>
            <w:pPr>
              <w:rPr>
                <w:rFonts w:ascii="Arial"/>
                <w:color w:val="auto"/>
                <w:sz w:val="21"/>
                <w:highlight w:val="none"/>
              </w:rPr>
            </w:pPr>
          </w:p>
        </w:tc>
      </w:tr>
    </w:tbl>
    <w:p>
      <w:pPr>
        <w:spacing w:before="87" w:line="239" w:lineRule="auto"/>
        <w:ind w:left="5775"/>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法定代笔人</w:t>
      </w:r>
    </w:p>
    <w:p>
      <w:pPr>
        <w:spacing w:before="1" w:line="194" w:lineRule="auto"/>
        <w:ind w:left="5688"/>
        <w:rPr>
          <w:rFonts w:ascii="宋体" w:hAnsi="宋体" w:eastAsia="宋体" w:cs="宋体"/>
          <w:color w:val="auto"/>
          <w:sz w:val="18"/>
          <w:szCs w:val="18"/>
          <w:highlight w:val="none"/>
        </w:rPr>
        <w:sectPr>
          <w:footerReference r:id="rId83" w:type="default"/>
          <w:pgSz w:w="11907" w:h="16841"/>
          <w:pgMar w:top="1769" w:right="1548" w:bottom="1004" w:left="1542" w:header="0" w:footer="829" w:gutter="0"/>
          <w:pgNumType w:fmt="numberInDash"/>
          <w:cols w:space="720" w:num="1"/>
        </w:sectPr>
      </w:pPr>
      <w:r>
        <w:rPr>
          <w:rFonts w:ascii="宋体" w:hAnsi="宋体" w:eastAsia="宋体" w:cs="宋体"/>
          <w:color w:val="auto"/>
          <w:spacing w:val="-3"/>
          <w:sz w:val="18"/>
          <w:szCs w:val="18"/>
          <w:highlight w:val="none"/>
        </w:rPr>
        <w:t>（或委托代表</w:t>
      </w:r>
      <w:r>
        <w:rPr>
          <w:rFonts w:ascii="宋体" w:hAnsi="宋体" w:eastAsia="宋体" w:cs="宋体"/>
          <w:color w:val="auto"/>
          <w:spacing w:val="-14"/>
          <w:w w:val="98"/>
          <w:position w:val="-1"/>
          <w:sz w:val="18"/>
          <w:szCs w:val="18"/>
          <w:highlight w:val="none"/>
        </w:rPr>
        <w:t>人</w:t>
      </w:r>
      <w:r>
        <w:rPr>
          <w:rFonts w:ascii="宋体" w:hAnsi="宋体" w:eastAsia="宋体" w:cs="宋体"/>
          <w:color w:val="auto"/>
          <w:spacing w:val="-23"/>
          <w:position w:val="-1"/>
          <w:sz w:val="18"/>
          <w:szCs w:val="18"/>
          <w:highlight w:val="none"/>
        </w:rPr>
        <w:t>）：</w:t>
      </w:r>
      <w:r>
        <w:rPr>
          <w:rFonts w:ascii="宋体" w:hAnsi="宋体" w:eastAsia="宋体" w:cs="宋体"/>
          <w:color w:val="auto"/>
          <w:spacing w:val="1"/>
          <w:position w:val="-1"/>
          <w:sz w:val="18"/>
          <w:szCs w:val="18"/>
          <w:highlight w:val="none"/>
        </w:rPr>
        <w:t xml:space="preserve">  </w:t>
      </w:r>
      <w:r>
        <w:rPr>
          <w:rFonts w:ascii="宋体" w:hAnsi="宋体" w:eastAsia="宋体" w:cs="宋体"/>
          <w:color w:val="auto"/>
          <w:position w:val="-1"/>
          <w:sz w:val="18"/>
          <w:szCs w:val="18"/>
          <w:highlight w:val="none"/>
          <w:u w:val="single" w:color="auto"/>
        </w:rPr>
        <w:t xml:space="preserve">          </w:t>
      </w:r>
      <w:r>
        <w:rPr>
          <w:rFonts w:ascii="宋体" w:hAnsi="宋体" w:eastAsia="宋体" w:cs="宋体"/>
          <w:color w:val="auto"/>
          <w:spacing w:val="-75"/>
          <w:position w:val="-1"/>
          <w:sz w:val="18"/>
          <w:szCs w:val="18"/>
          <w:highlight w:val="none"/>
        </w:rPr>
        <w:t xml:space="preserve"> </w:t>
      </w:r>
      <w:r>
        <w:rPr>
          <w:rFonts w:ascii="宋体" w:hAnsi="宋体" w:eastAsia="宋体" w:cs="宋体"/>
          <w:color w:val="auto"/>
          <w:spacing w:val="-14"/>
          <w:w w:val="98"/>
          <w:position w:val="2"/>
          <w:sz w:val="18"/>
          <w:szCs w:val="18"/>
          <w:highlight w:val="none"/>
        </w:rPr>
        <w:t>签字</w:t>
      </w:r>
    </w:p>
    <w:p>
      <w:pPr>
        <w:spacing w:before="78" w:line="218" w:lineRule="auto"/>
        <w:ind w:left="437"/>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3.6</w:t>
      </w:r>
      <w:r>
        <w:rPr>
          <w:rFonts w:ascii="Times New Roman" w:hAnsi="Times New Roman" w:eastAsia="Times New Roman" w:cs="Times New Roman"/>
          <w:color w:val="auto"/>
          <w:spacing w:val="20"/>
          <w:sz w:val="24"/>
          <w:szCs w:val="24"/>
          <w:highlight w:val="none"/>
        </w:rPr>
        <w:t xml:space="preserve"> </w:t>
      </w:r>
      <w:r>
        <w:rPr>
          <w:rFonts w:ascii="黑体" w:hAnsi="黑体" w:eastAsia="黑体" w:cs="黑体"/>
          <w:color w:val="auto"/>
          <w:spacing w:val="-2"/>
          <w:sz w:val="24"/>
          <w:szCs w:val="24"/>
          <w:highlight w:val="none"/>
        </w:rPr>
        <w:t>分类分项工程量清单计价表</w:t>
      </w:r>
    </w:p>
    <w:p>
      <w:pPr>
        <w:spacing w:before="61" w:line="218" w:lineRule="auto"/>
        <w:ind w:left="2490"/>
        <w:rPr>
          <w:rFonts w:ascii="宋体" w:hAnsi="宋体" w:eastAsia="宋体" w:cs="宋体"/>
          <w:color w:val="auto"/>
          <w:sz w:val="40"/>
          <w:szCs w:val="40"/>
          <w:highlight w:val="none"/>
        </w:rPr>
      </w:pPr>
      <w:bookmarkStart w:id="353" w:name="bookmark393"/>
      <w:bookmarkEnd w:id="353"/>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分类分项工程量清单计价表</w:t>
      </w:r>
    </w:p>
    <w:p>
      <w:pPr>
        <w:spacing w:before="11"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92" w:line="220" w:lineRule="auto"/>
        <w:ind w:left="126"/>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工程名称：</w:t>
      </w:r>
      <w:r>
        <w:rPr>
          <w:rFonts w:ascii="宋体" w:hAnsi="宋体" w:eastAsia="宋体" w:cs="宋体"/>
          <w:color w:val="auto"/>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17"/>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7"/>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w:t>
      </w:r>
    </w:p>
    <w:p>
      <w:pPr>
        <w:spacing w:line="67" w:lineRule="exact"/>
        <w:rPr>
          <w:color w:val="auto"/>
          <w:highlight w:val="none"/>
        </w:rPr>
      </w:pPr>
    </w:p>
    <w:tbl>
      <w:tblPr>
        <w:tblStyle w:val="9"/>
        <w:tblW w:w="974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124"/>
        <w:gridCol w:w="1652"/>
        <w:gridCol w:w="1527"/>
        <w:gridCol w:w="798"/>
        <w:gridCol w:w="812"/>
        <w:gridCol w:w="963"/>
        <w:gridCol w:w="1036"/>
        <w:gridCol w:w="1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trPr>
        <w:tc>
          <w:tcPr>
            <w:tcW w:w="791" w:type="dxa"/>
            <w:tcBorders>
              <w:top w:val="single" w:color="000000" w:sz="6" w:space="0"/>
              <w:left w:val="single" w:color="000000" w:sz="6" w:space="0"/>
            </w:tcBorders>
            <w:vAlign w:val="top"/>
          </w:tcPr>
          <w:p>
            <w:pPr>
              <w:pStyle w:val="10"/>
              <w:spacing w:before="147" w:line="221" w:lineRule="auto"/>
              <w:ind w:left="212"/>
              <w:rPr>
                <w:color w:val="auto"/>
                <w:sz w:val="18"/>
                <w:szCs w:val="18"/>
                <w:highlight w:val="none"/>
              </w:rPr>
            </w:pPr>
            <w:r>
              <w:rPr>
                <w:color w:val="auto"/>
                <w:spacing w:val="-2"/>
                <w:sz w:val="18"/>
                <w:szCs w:val="18"/>
                <w:highlight w:val="none"/>
              </w:rPr>
              <w:t>序号</w:t>
            </w:r>
          </w:p>
        </w:tc>
        <w:tc>
          <w:tcPr>
            <w:tcW w:w="1124" w:type="dxa"/>
            <w:tcBorders>
              <w:top w:val="single" w:color="000000" w:sz="6" w:space="0"/>
            </w:tcBorders>
            <w:vAlign w:val="top"/>
          </w:tcPr>
          <w:p>
            <w:pPr>
              <w:pStyle w:val="10"/>
              <w:spacing w:before="146" w:line="220" w:lineRule="auto"/>
              <w:ind w:left="200"/>
              <w:rPr>
                <w:color w:val="auto"/>
                <w:sz w:val="18"/>
                <w:szCs w:val="18"/>
                <w:highlight w:val="none"/>
              </w:rPr>
            </w:pPr>
            <w:r>
              <w:rPr>
                <w:color w:val="auto"/>
                <w:spacing w:val="-2"/>
                <w:sz w:val="18"/>
                <w:szCs w:val="18"/>
                <w:highlight w:val="none"/>
              </w:rPr>
              <w:t>项目编码</w:t>
            </w:r>
          </w:p>
        </w:tc>
        <w:tc>
          <w:tcPr>
            <w:tcW w:w="1652" w:type="dxa"/>
            <w:tcBorders>
              <w:top w:val="single" w:color="000000" w:sz="6" w:space="0"/>
            </w:tcBorders>
            <w:vAlign w:val="top"/>
          </w:tcPr>
          <w:p>
            <w:pPr>
              <w:pStyle w:val="10"/>
              <w:spacing w:before="147" w:line="220" w:lineRule="auto"/>
              <w:ind w:left="466"/>
              <w:rPr>
                <w:color w:val="auto"/>
                <w:sz w:val="18"/>
                <w:szCs w:val="18"/>
                <w:highlight w:val="none"/>
              </w:rPr>
            </w:pPr>
            <w:r>
              <w:rPr>
                <w:color w:val="auto"/>
                <w:spacing w:val="-2"/>
                <w:sz w:val="18"/>
                <w:szCs w:val="18"/>
                <w:highlight w:val="none"/>
              </w:rPr>
              <w:t>项目名称</w:t>
            </w:r>
          </w:p>
        </w:tc>
        <w:tc>
          <w:tcPr>
            <w:tcW w:w="1527" w:type="dxa"/>
            <w:tcBorders>
              <w:top w:val="single" w:color="000000" w:sz="6" w:space="0"/>
            </w:tcBorders>
            <w:vAlign w:val="top"/>
          </w:tcPr>
          <w:p>
            <w:pPr>
              <w:pStyle w:val="10"/>
              <w:spacing w:before="146" w:line="220" w:lineRule="auto"/>
              <w:ind w:left="405"/>
              <w:rPr>
                <w:color w:val="auto"/>
                <w:sz w:val="18"/>
                <w:szCs w:val="18"/>
                <w:highlight w:val="none"/>
              </w:rPr>
            </w:pPr>
            <w:r>
              <w:rPr>
                <w:color w:val="auto"/>
                <w:spacing w:val="-2"/>
                <w:sz w:val="18"/>
                <w:szCs w:val="18"/>
                <w:highlight w:val="none"/>
              </w:rPr>
              <w:t>项目特征</w:t>
            </w:r>
          </w:p>
        </w:tc>
        <w:tc>
          <w:tcPr>
            <w:tcW w:w="798" w:type="dxa"/>
            <w:tcBorders>
              <w:top w:val="single" w:color="000000" w:sz="6" w:space="0"/>
            </w:tcBorders>
            <w:vAlign w:val="top"/>
          </w:tcPr>
          <w:p>
            <w:pPr>
              <w:pStyle w:val="10"/>
              <w:spacing w:before="29" w:line="224" w:lineRule="auto"/>
              <w:ind w:left="311" w:right="128" w:hanging="180"/>
              <w:rPr>
                <w:color w:val="auto"/>
                <w:sz w:val="18"/>
                <w:szCs w:val="18"/>
                <w:highlight w:val="none"/>
              </w:rPr>
            </w:pPr>
            <w:r>
              <w:rPr>
                <w:color w:val="auto"/>
                <w:spacing w:val="-3"/>
                <w:sz w:val="18"/>
                <w:szCs w:val="18"/>
                <w:highlight w:val="none"/>
              </w:rPr>
              <w:t>计量单</w:t>
            </w:r>
            <w:r>
              <w:rPr>
                <w:color w:val="auto"/>
                <w:sz w:val="18"/>
                <w:szCs w:val="18"/>
                <w:highlight w:val="none"/>
              </w:rPr>
              <w:t xml:space="preserve"> 位</w:t>
            </w:r>
          </w:p>
        </w:tc>
        <w:tc>
          <w:tcPr>
            <w:tcW w:w="812" w:type="dxa"/>
            <w:tcBorders>
              <w:top w:val="single" w:color="000000" w:sz="6" w:space="0"/>
            </w:tcBorders>
            <w:vAlign w:val="top"/>
          </w:tcPr>
          <w:p>
            <w:pPr>
              <w:pStyle w:val="10"/>
              <w:spacing w:before="29" w:line="224" w:lineRule="auto"/>
              <w:ind w:left="319" w:right="134" w:hanging="177"/>
              <w:rPr>
                <w:color w:val="auto"/>
                <w:sz w:val="18"/>
                <w:szCs w:val="18"/>
                <w:highlight w:val="none"/>
              </w:rPr>
            </w:pPr>
            <w:r>
              <w:rPr>
                <w:color w:val="auto"/>
                <w:spacing w:val="-4"/>
                <w:sz w:val="18"/>
                <w:szCs w:val="18"/>
                <w:highlight w:val="none"/>
              </w:rPr>
              <w:t>工程数</w:t>
            </w:r>
            <w:r>
              <w:rPr>
                <w:color w:val="auto"/>
                <w:spacing w:val="1"/>
                <w:sz w:val="18"/>
                <w:szCs w:val="18"/>
                <w:highlight w:val="none"/>
              </w:rPr>
              <w:t xml:space="preserve"> </w:t>
            </w:r>
            <w:r>
              <w:rPr>
                <w:color w:val="auto"/>
                <w:sz w:val="18"/>
                <w:szCs w:val="18"/>
                <w:highlight w:val="none"/>
              </w:rPr>
              <w:t>量</w:t>
            </w:r>
          </w:p>
        </w:tc>
        <w:tc>
          <w:tcPr>
            <w:tcW w:w="963" w:type="dxa"/>
            <w:tcBorders>
              <w:top w:val="single" w:color="000000" w:sz="6" w:space="0"/>
            </w:tcBorders>
            <w:vAlign w:val="top"/>
          </w:tcPr>
          <w:p>
            <w:pPr>
              <w:pStyle w:val="10"/>
              <w:spacing w:before="29" w:line="241" w:lineRule="auto"/>
              <w:ind w:left="308"/>
              <w:rPr>
                <w:color w:val="auto"/>
                <w:sz w:val="18"/>
                <w:szCs w:val="18"/>
                <w:highlight w:val="none"/>
              </w:rPr>
            </w:pPr>
            <w:r>
              <w:rPr>
                <w:color w:val="auto"/>
                <w:spacing w:val="-3"/>
                <w:sz w:val="18"/>
                <w:szCs w:val="18"/>
                <w:highlight w:val="none"/>
              </w:rPr>
              <w:t>单价</w:t>
            </w:r>
          </w:p>
          <w:p>
            <w:pPr>
              <w:pStyle w:val="10"/>
              <w:spacing w:line="206" w:lineRule="auto"/>
              <w:ind w:left="223"/>
              <w:rPr>
                <w:color w:val="auto"/>
                <w:sz w:val="18"/>
                <w:szCs w:val="18"/>
                <w:highlight w:val="none"/>
              </w:rPr>
            </w:pPr>
            <w:r>
              <w:rPr>
                <w:color w:val="auto"/>
                <w:spacing w:val="-6"/>
                <w:sz w:val="18"/>
                <w:szCs w:val="18"/>
                <w:highlight w:val="none"/>
              </w:rPr>
              <w:t>（元）</w:t>
            </w:r>
          </w:p>
        </w:tc>
        <w:tc>
          <w:tcPr>
            <w:tcW w:w="1036" w:type="dxa"/>
            <w:tcBorders>
              <w:top w:val="single" w:color="000000" w:sz="6" w:space="0"/>
            </w:tcBorders>
            <w:vAlign w:val="top"/>
          </w:tcPr>
          <w:p>
            <w:pPr>
              <w:pStyle w:val="10"/>
              <w:spacing w:before="29" w:line="241" w:lineRule="auto"/>
              <w:ind w:left="348"/>
              <w:rPr>
                <w:color w:val="auto"/>
                <w:sz w:val="18"/>
                <w:szCs w:val="18"/>
                <w:highlight w:val="none"/>
              </w:rPr>
            </w:pPr>
            <w:r>
              <w:rPr>
                <w:color w:val="auto"/>
                <w:spacing w:val="-2"/>
                <w:sz w:val="18"/>
                <w:szCs w:val="18"/>
                <w:highlight w:val="none"/>
              </w:rPr>
              <w:t>合价</w:t>
            </w:r>
          </w:p>
          <w:p>
            <w:pPr>
              <w:pStyle w:val="10"/>
              <w:spacing w:line="206" w:lineRule="auto"/>
              <w:ind w:left="261"/>
              <w:rPr>
                <w:color w:val="auto"/>
                <w:sz w:val="18"/>
                <w:szCs w:val="18"/>
                <w:highlight w:val="none"/>
              </w:rPr>
            </w:pPr>
            <w:r>
              <w:rPr>
                <w:color w:val="auto"/>
                <w:spacing w:val="-6"/>
                <w:sz w:val="18"/>
                <w:szCs w:val="18"/>
                <w:highlight w:val="none"/>
              </w:rPr>
              <w:t>（元）</w:t>
            </w:r>
          </w:p>
        </w:tc>
        <w:tc>
          <w:tcPr>
            <w:tcW w:w="1042" w:type="dxa"/>
            <w:tcBorders>
              <w:top w:val="single" w:color="000000" w:sz="6" w:space="0"/>
              <w:right w:val="single" w:color="000000" w:sz="6" w:space="0"/>
            </w:tcBorders>
            <w:vAlign w:val="top"/>
          </w:tcPr>
          <w:p>
            <w:pPr>
              <w:pStyle w:val="10"/>
              <w:spacing w:before="29" w:line="224" w:lineRule="auto"/>
              <w:ind w:left="167" w:right="152"/>
              <w:rPr>
                <w:color w:val="auto"/>
                <w:sz w:val="18"/>
                <w:szCs w:val="18"/>
                <w:highlight w:val="none"/>
              </w:rPr>
            </w:pPr>
            <w:r>
              <w:rPr>
                <w:color w:val="auto"/>
                <w:spacing w:val="-3"/>
                <w:sz w:val="18"/>
                <w:szCs w:val="18"/>
                <w:highlight w:val="none"/>
              </w:rPr>
              <w:t>主要技术</w:t>
            </w:r>
            <w:r>
              <w:rPr>
                <w:color w:val="auto"/>
                <w:spacing w:val="2"/>
                <w:sz w:val="18"/>
                <w:szCs w:val="18"/>
                <w:highlight w:val="none"/>
              </w:rPr>
              <w:t xml:space="preserve"> </w:t>
            </w:r>
            <w:r>
              <w:rPr>
                <w:color w:val="auto"/>
                <w:spacing w:val="-3"/>
                <w:sz w:val="18"/>
                <w:szCs w:val="18"/>
                <w:highlight w:val="none"/>
              </w:rPr>
              <w:t>条款编码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pStyle w:val="10"/>
              <w:spacing w:before="72" w:line="182" w:lineRule="auto"/>
              <w:ind w:left="361"/>
              <w:rPr>
                <w:color w:val="auto"/>
                <w:sz w:val="18"/>
                <w:szCs w:val="18"/>
                <w:highlight w:val="none"/>
              </w:rPr>
            </w:pPr>
            <w:r>
              <w:rPr>
                <w:color w:val="auto"/>
                <w:sz w:val="18"/>
                <w:szCs w:val="18"/>
                <w:highlight w:val="none"/>
              </w:rPr>
              <w:t>1</w:t>
            </w: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91" w:type="dxa"/>
            <w:tcBorders>
              <w:left w:val="single" w:color="000000" w:sz="6" w:space="0"/>
            </w:tcBorders>
            <w:vAlign w:val="top"/>
          </w:tcPr>
          <w:p>
            <w:pPr>
              <w:pStyle w:val="10"/>
              <w:spacing w:before="76" w:line="181" w:lineRule="auto"/>
              <w:ind w:left="349"/>
              <w:rPr>
                <w:color w:val="auto"/>
                <w:sz w:val="18"/>
                <w:szCs w:val="18"/>
                <w:highlight w:val="none"/>
              </w:rPr>
            </w:pPr>
            <w:r>
              <w:rPr>
                <w:color w:val="auto"/>
                <w:sz w:val="18"/>
                <w:szCs w:val="18"/>
                <w:highlight w:val="none"/>
              </w:rPr>
              <w:t>2</w:t>
            </w: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vAlign w:val="top"/>
          </w:tcPr>
          <w:p>
            <w:pPr>
              <w:rPr>
                <w:rFonts w:ascii="Arial"/>
                <w:color w:val="auto"/>
                <w:sz w:val="21"/>
                <w:highlight w:val="none"/>
              </w:rPr>
            </w:pPr>
          </w:p>
        </w:tc>
        <w:tc>
          <w:tcPr>
            <w:tcW w:w="1124" w:type="dxa"/>
            <w:vAlign w:val="top"/>
          </w:tcPr>
          <w:p>
            <w:pPr>
              <w:rPr>
                <w:rFonts w:ascii="Arial"/>
                <w:color w:val="auto"/>
                <w:sz w:val="21"/>
                <w:highlight w:val="none"/>
              </w:rPr>
            </w:pPr>
          </w:p>
        </w:tc>
        <w:tc>
          <w:tcPr>
            <w:tcW w:w="1652" w:type="dxa"/>
            <w:vAlign w:val="top"/>
          </w:tcPr>
          <w:p>
            <w:pPr>
              <w:rPr>
                <w:rFonts w:ascii="Arial"/>
                <w:color w:val="auto"/>
                <w:sz w:val="21"/>
                <w:highlight w:val="none"/>
              </w:rPr>
            </w:pPr>
          </w:p>
        </w:tc>
        <w:tc>
          <w:tcPr>
            <w:tcW w:w="1527" w:type="dxa"/>
            <w:vAlign w:val="top"/>
          </w:tcPr>
          <w:p>
            <w:pPr>
              <w:rPr>
                <w:rFonts w:ascii="Arial"/>
                <w:color w:val="auto"/>
                <w:sz w:val="21"/>
                <w:highlight w:val="none"/>
              </w:rPr>
            </w:pPr>
          </w:p>
        </w:tc>
        <w:tc>
          <w:tcPr>
            <w:tcW w:w="798" w:type="dxa"/>
            <w:vAlign w:val="top"/>
          </w:tcPr>
          <w:p>
            <w:pPr>
              <w:rPr>
                <w:rFonts w:ascii="Arial"/>
                <w:color w:val="auto"/>
                <w:sz w:val="21"/>
                <w:highlight w:val="none"/>
              </w:rPr>
            </w:pPr>
          </w:p>
        </w:tc>
        <w:tc>
          <w:tcPr>
            <w:tcW w:w="812" w:type="dxa"/>
            <w:vAlign w:val="top"/>
          </w:tcPr>
          <w:p>
            <w:pPr>
              <w:rPr>
                <w:rFonts w:ascii="Arial"/>
                <w:color w:val="auto"/>
                <w:sz w:val="21"/>
                <w:highlight w:val="none"/>
              </w:rPr>
            </w:pPr>
          </w:p>
        </w:tc>
        <w:tc>
          <w:tcPr>
            <w:tcW w:w="963" w:type="dxa"/>
            <w:vAlign w:val="top"/>
          </w:tcPr>
          <w:p>
            <w:pPr>
              <w:rPr>
                <w:rFonts w:ascii="Arial"/>
                <w:color w:val="auto"/>
                <w:sz w:val="21"/>
                <w:highlight w:val="none"/>
              </w:rPr>
            </w:pPr>
          </w:p>
        </w:tc>
        <w:tc>
          <w:tcPr>
            <w:tcW w:w="1036" w:type="dxa"/>
            <w:vAlign w:val="top"/>
          </w:tcPr>
          <w:p>
            <w:pPr>
              <w:rPr>
                <w:rFonts w:ascii="Arial"/>
                <w:color w:val="auto"/>
                <w:sz w:val="21"/>
                <w:highlight w:val="none"/>
              </w:rPr>
            </w:pPr>
          </w:p>
        </w:tc>
        <w:tc>
          <w:tcPr>
            <w:tcW w:w="104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91" w:type="dxa"/>
            <w:tcBorders>
              <w:left w:val="single" w:color="000000" w:sz="6" w:space="0"/>
              <w:bottom w:val="single" w:color="000000" w:sz="6" w:space="0"/>
            </w:tcBorders>
            <w:vAlign w:val="top"/>
          </w:tcPr>
          <w:p>
            <w:pPr>
              <w:rPr>
                <w:rFonts w:ascii="Arial"/>
                <w:color w:val="auto"/>
                <w:sz w:val="21"/>
                <w:highlight w:val="none"/>
              </w:rPr>
            </w:pPr>
          </w:p>
        </w:tc>
        <w:tc>
          <w:tcPr>
            <w:tcW w:w="1124" w:type="dxa"/>
            <w:tcBorders>
              <w:bottom w:val="single" w:color="000000" w:sz="6" w:space="0"/>
            </w:tcBorders>
            <w:vAlign w:val="top"/>
          </w:tcPr>
          <w:p>
            <w:pPr>
              <w:rPr>
                <w:rFonts w:ascii="Arial"/>
                <w:color w:val="auto"/>
                <w:sz w:val="21"/>
                <w:highlight w:val="none"/>
              </w:rPr>
            </w:pPr>
          </w:p>
        </w:tc>
        <w:tc>
          <w:tcPr>
            <w:tcW w:w="1652" w:type="dxa"/>
            <w:tcBorders>
              <w:bottom w:val="single" w:color="000000" w:sz="6" w:space="0"/>
            </w:tcBorders>
            <w:vAlign w:val="top"/>
          </w:tcPr>
          <w:p>
            <w:pPr>
              <w:pStyle w:val="10"/>
              <w:spacing w:before="59" w:line="221" w:lineRule="auto"/>
              <w:ind w:left="106"/>
              <w:rPr>
                <w:color w:val="auto"/>
                <w:sz w:val="18"/>
                <w:szCs w:val="18"/>
                <w:highlight w:val="none"/>
              </w:rPr>
            </w:pPr>
            <w:r>
              <w:rPr>
                <w:color w:val="auto"/>
                <w:spacing w:val="-4"/>
                <w:sz w:val="18"/>
                <w:szCs w:val="18"/>
                <w:highlight w:val="none"/>
              </w:rPr>
              <w:t>合</w:t>
            </w:r>
            <w:r>
              <w:rPr>
                <w:color w:val="auto"/>
                <w:spacing w:val="3"/>
                <w:sz w:val="18"/>
                <w:szCs w:val="18"/>
                <w:highlight w:val="none"/>
              </w:rPr>
              <w:t xml:space="preserve">   </w:t>
            </w:r>
            <w:r>
              <w:rPr>
                <w:color w:val="auto"/>
                <w:spacing w:val="-4"/>
                <w:sz w:val="18"/>
                <w:szCs w:val="18"/>
                <w:highlight w:val="none"/>
              </w:rPr>
              <w:t>计</w:t>
            </w:r>
          </w:p>
        </w:tc>
        <w:tc>
          <w:tcPr>
            <w:tcW w:w="1527" w:type="dxa"/>
            <w:tcBorders>
              <w:bottom w:val="single" w:color="000000" w:sz="6" w:space="0"/>
            </w:tcBorders>
            <w:vAlign w:val="top"/>
          </w:tcPr>
          <w:p>
            <w:pPr>
              <w:rPr>
                <w:rFonts w:ascii="Arial"/>
                <w:color w:val="auto"/>
                <w:sz w:val="21"/>
                <w:highlight w:val="none"/>
              </w:rPr>
            </w:pPr>
          </w:p>
        </w:tc>
        <w:tc>
          <w:tcPr>
            <w:tcW w:w="798" w:type="dxa"/>
            <w:tcBorders>
              <w:bottom w:val="single" w:color="000000" w:sz="6" w:space="0"/>
            </w:tcBorders>
            <w:vAlign w:val="top"/>
          </w:tcPr>
          <w:p>
            <w:pPr>
              <w:rPr>
                <w:rFonts w:ascii="Arial"/>
                <w:color w:val="auto"/>
                <w:sz w:val="21"/>
                <w:highlight w:val="none"/>
              </w:rPr>
            </w:pPr>
          </w:p>
        </w:tc>
        <w:tc>
          <w:tcPr>
            <w:tcW w:w="812" w:type="dxa"/>
            <w:tcBorders>
              <w:bottom w:val="single" w:color="000000" w:sz="6" w:space="0"/>
            </w:tcBorders>
            <w:vAlign w:val="top"/>
          </w:tcPr>
          <w:p>
            <w:pPr>
              <w:rPr>
                <w:rFonts w:ascii="Arial"/>
                <w:color w:val="auto"/>
                <w:sz w:val="21"/>
                <w:highlight w:val="none"/>
              </w:rPr>
            </w:pPr>
          </w:p>
        </w:tc>
        <w:tc>
          <w:tcPr>
            <w:tcW w:w="963" w:type="dxa"/>
            <w:tcBorders>
              <w:bottom w:val="single" w:color="000000" w:sz="6" w:space="0"/>
            </w:tcBorders>
            <w:vAlign w:val="top"/>
          </w:tcPr>
          <w:p>
            <w:pPr>
              <w:rPr>
                <w:rFonts w:ascii="Arial"/>
                <w:color w:val="auto"/>
                <w:sz w:val="21"/>
                <w:highlight w:val="none"/>
              </w:rPr>
            </w:pPr>
          </w:p>
        </w:tc>
        <w:tc>
          <w:tcPr>
            <w:tcW w:w="1036" w:type="dxa"/>
            <w:tcBorders>
              <w:bottom w:val="single" w:color="000000" w:sz="6" w:space="0"/>
            </w:tcBorders>
            <w:vAlign w:val="top"/>
          </w:tcPr>
          <w:p>
            <w:pPr>
              <w:rPr>
                <w:rFonts w:ascii="Arial"/>
                <w:color w:val="auto"/>
                <w:sz w:val="21"/>
                <w:highlight w:val="none"/>
              </w:rPr>
            </w:pPr>
          </w:p>
        </w:tc>
        <w:tc>
          <w:tcPr>
            <w:tcW w:w="1042" w:type="dxa"/>
            <w:tcBorders>
              <w:bottom w:val="single" w:color="000000" w:sz="6" w:space="0"/>
              <w:right w:val="single" w:color="000000" w:sz="6" w:space="0"/>
            </w:tcBorders>
            <w:vAlign w:val="top"/>
          </w:tcPr>
          <w:p>
            <w:pPr>
              <w:rPr>
                <w:rFonts w:ascii="Arial"/>
                <w:color w:val="auto"/>
                <w:sz w:val="21"/>
                <w:highlight w:val="none"/>
              </w:rPr>
            </w:pPr>
          </w:p>
        </w:tc>
      </w:tr>
    </w:tbl>
    <w:p>
      <w:pPr>
        <w:spacing w:before="79"/>
        <w:ind w:left="7563"/>
        <w:rPr>
          <w:rFonts w:ascii="宋体" w:hAnsi="宋体" w:eastAsia="宋体" w:cs="宋体"/>
          <w:color w:val="auto"/>
          <w:sz w:val="18"/>
          <w:szCs w:val="18"/>
          <w:highlight w:val="none"/>
        </w:rPr>
      </w:pPr>
      <w:r>
        <w:rPr>
          <w:rFonts w:ascii="宋体" w:hAnsi="宋体" w:eastAsia="宋体" w:cs="宋体"/>
          <w:color w:val="auto"/>
          <w:position w:val="-5"/>
          <w:sz w:val="18"/>
          <w:szCs w:val="18"/>
          <w:highlight w:val="none"/>
        </w:rPr>
        <w:drawing>
          <wp:inline distT="0" distB="0" distL="0" distR="0">
            <wp:extent cx="4445" cy="147320"/>
            <wp:effectExtent l="0" t="0" r="10795" b="508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2"/>
                    <a:stretch>
                      <a:fillRect/>
                    </a:stretch>
                  </pic:blipFill>
                  <pic:spPr>
                    <a:xfrm>
                      <a:off x="0" y="0"/>
                      <a:ext cx="4572" cy="147827"/>
                    </a:xfrm>
                    <a:prstGeom prst="rect">
                      <a:avLst/>
                    </a:prstGeom>
                  </pic:spPr>
                </pic:pic>
              </a:graphicData>
            </a:graphic>
          </wp:inline>
        </w:drawing>
      </w:r>
      <w:r>
        <w:rPr>
          <w:rFonts w:ascii="宋体" w:hAnsi="宋体" w:eastAsia="宋体" w:cs="宋体"/>
          <w:color w:val="auto"/>
          <w:spacing w:val="23"/>
          <w:sz w:val="18"/>
          <w:szCs w:val="18"/>
          <w:highlight w:val="none"/>
        </w:rPr>
        <w:t xml:space="preserve"> </w:t>
      </w:r>
      <w:r>
        <w:rPr>
          <w:rFonts w:ascii="宋体" w:hAnsi="宋体" w:eastAsia="宋体" w:cs="宋体"/>
          <w:color w:val="auto"/>
          <w:spacing w:val="-2"/>
          <w:sz w:val="18"/>
          <w:szCs w:val="18"/>
          <w:highlight w:val="none"/>
        </w:rPr>
        <w:t>法定代表人</w:t>
      </w:r>
    </w:p>
    <w:p>
      <w:pPr>
        <w:spacing w:before="126" w:line="220" w:lineRule="auto"/>
        <w:ind w:right="26"/>
        <w:jc w:val="right"/>
        <w:rPr>
          <w:rFonts w:hint="eastAsia" w:ascii="宋体" w:hAnsi="宋体" w:eastAsia="宋体" w:cs="宋体"/>
          <w:color w:val="auto"/>
          <w:sz w:val="18"/>
          <w:szCs w:val="18"/>
          <w:highlight w:val="none"/>
          <w:lang w:eastAsia="zh-CN"/>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10"/>
          <w:sz w:val="18"/>
          <w:szCs w:val="18"/>
          <w:highlight w:val="none"/>
        </w:rPr>
        <w:t>）</w:t>
      </w:r>
      <w:r>
        <w:rPr>
          <w:rFonts w:ascii="宋体" w:hAnsi="宋体" w:eastAsia="宋体" w:cs="宋体"/>
          <w:color w:val="auto"/>
          <w:spacing w:val="24"/>
          <w:w w:val="101"/>
          <w:sz w:val="18"/>
          <w:szCs w:val="18"/>
          <w:highlight w:val="none"/>
        </w:rPr>
        <w:t xml:space="preserve"> </w:t>
      </w:r>
      <w:r>
        <w:rPr>
          <w:rFonts w:ascii="宋体" w:hAnsi="宋体" w:eastAsia="宋体" w:cs="宋体"/>
          <w:color w:val="auto"/>
          <w:spacing w:val="-10"/>
          <w:sz w:val="18"/>
          <w:szCs w:val="18"/>
          <w:highlight w:val="none"/>
        </w:rPr>
        <w:t>：</w:t>
      </w:r>
      <w:r>
        <w:rPr>
          <w:rFonts w:ascii="宋体" w:hAnsi="宋体" w:eastAsia="宋体" w:cs="宋体"/>
          <w:color w:val="auto"/>
          <w:spacing w:val="44"/>
          <w:w w:val="101"/>
          <w:sz w:val="18"/>
          <w:szCs w:val="18"/>
          <w:highlight w:val="none"/>
          <w:u w:val="single" w:color="auto"/>
        </w:rPr>
        <w:t xml:space="preserve">  </w:t>
      </w:r>
      <w:r>
        <w:rPr>
          <w:rFonts w:ascii="宋体" w:hAnsi="宋体" w:eastAsia="宋体" w:cs="宋体"/>
          <w:color w:val="auto"/>
          <w:spacing w:val="-82"/>
          <w:sz w:val="18"/>
          <w:szCs w:val="18"/>
          <w:highlight w:val="none"/>
        </w:rPr>
        <w:t xml:space="preserve"> </w:t>
      </w:r>
      <w:r>
        <w:rPr>
          <w:rFonts w:ascii="宋体" w:hAnsi="宋体" w:eastAsia="宋体" w:cs="宋体"/>
          <w:color w:val="auto"/>
          <w:spacing w:val="-2"/>
          <w:sz w:val="18"/>
          <w:szCs w:val="18"/>
          <w:highlight w:val="none"/>
        </w:rPr>
        <w:t>签</w:t>
      </w:r>
      <w:r>
        <w:rPr>
          <w:rFonts w:hint="eastAsia" w:ascii="宋体" w:hAnsi="宋体" w:eastAsia="宋体" w:cs="宋体"/>
          <w:color w:val="auto"/>
          <w:spacing w:val="-2"/>
          <w:sz w:val="18"/>
          <w:szCs w:val="18"/>
          <w:highlight w:val="none"/>
          <w:lang w:eastAsia="zh-CN"/>
        </w:rPr>
        <w:t>字</w:t>
      </w: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
      <w:pPr>
        <w:pStyle w:val="2"/>
        <w:spacing w:line="243"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spacing w:before="78" w:line="219" w:lineRule="auto"/>
        <w:ind w:left="37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3.7 </w:t>
      </w:r>
      <w:r>
        <w:rPr>
          <w:rFonts w:ascii="黑体" w:hAnsi="黑体" w:eastAsia="黑体" w:cs="黑体"/>
          <w:color w:val="auto"/>
          <w:spacing w:val="-1"/>
          <w:sz w:val="24"/>
          <w:szCs w:val="24"/>
          <w:highlight w:val="none"/>
        </w:rPr>
        <w:t>措施项目清单计价表</w:t>
      </w:r>
    </w:p>
    <w:p>
      <w:pPr>
        <w:spacing w:before="82" w:line="218" w:lineRule="auto"/>
        <w:ind w:left="3026"/>
        <w:rPr>
          <w:rFonts w:ascii="宋体" w:hAnsi="宋体" w:eastAsia="宋体" w:cs="宋体"/>
          <w:color w:val="auto"/>
          <w:sz w:val="40"/>
          <w:szCs w:val="40"/>
          <w:highlight w:val="none"/>
        </w:rPr>
      </w:pPr>
      <w:bookmarkStart w:id="354" w:name="bookmark394"/>
      <w:bookmarkEnd w:id="354"/>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措施项目清单计价表</w:t>
      </w:r>
    </w:p>
    <w:p>
      <w:pPr>
        <w:spacing w:before="54"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169" w:line="220" w:lineRule="auto"/>
        <w:ind w:left="127"/>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工程名称：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w:t>
      </w:r>
    </w:p>
    <w:p>
      <w:pPr>
        <w:spacing w:line="122" w:lineRule="exact"/>
        <w:rPr>
          <w:color w:val="auto"/>
          <w:highlight w:val="none"/>
        </w:rPr>
      </w:pPr>
    </w:p>
    <w:tbl>
      <w:tblPr>
        <w:tblStyle w:val="9"/>
        <w:tblW w:w="96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3152"/>
        <w:gridCol w:w="839"/>
        <w:gridCol w:w="872"/>
        <w:gridCol w:w="1061"/>
        <w:gridCol w:w="966"/>
        <w:gridCol w:w="1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594" w:type="dxa"/>
            <w:tcBorders>
              <w:top w:val="single" w:color="000000" w:sz="6" w:space="0"/>
              <w:left w:val="single" w:color="000000" w:sz="6" w:space="0"/>
            </w:tcBorders>
            <w:vAlign w:val="top"/>
          </w:tcPr>
          <w:p>
            <w:pPr>
              <w:pStyle w:val="10"/>
              <w:spacing w:before="146" w:line="220" w:lineRule="auto"/>
              <w:ind w:left="436"/>
              <w:rPr>
                <w:color w:val="auto"/>
                <w:sz w:val="18"/>
                <w:szCs w:val="18"/>
                <w:highlight w:val="none"/>
              </w:rPr>
            </w:pPr>
            <w:r>
              <w:rPr>
                <w:color w:val="auto"/>
                <w:spacing w:val="-2"/>
                <w:sz w:val="18"/>
                <w:szCs w:val="18"/>
                <w:highlight w:val="none"/>
              </w:rPr>
              <w:t>项目编码</w:t>
            </w:r>
          </w:p>
        </w:tc>
        <w:tc>
          <w:tcPr>
            <w:tcW w:w="3152" w:type="dxa"/>
            <w:tcBorders>
              <w:top w:val="single" w:color="000000" w:sz="6" w:space="0"/>
            </w:tcBorders>
            <w:vAlign w:val="top"/>
          </w:tcPr>
          <w:p>
            <w:pPr>
              <w:pStyle w:val="10"/>
              <w:spacing w:before="147" w:line="220" w:lineRule="auto"/>
              <w:ind w:left="1217"/>
              <w:rPr>
                <w:color w:val="auto"/>
                <w:sz w:val="18"/>
                <w:szCs w:val="18"/>
                <w:highlight w:val="none"/>
              </w:rPr>
            </w:pPr>
            <w:r>
              <w:rPr>
                <w:color w:val="auto"/>
                <w:spacing w:val="-2"/>
                <w:sz w:val="18"/>
                <w:szCs w:val="18"/>
                <w:highlight w:val="none"/>
              </w:rPr>
              <w:t>项目名称</w:t>
            </w:r>
          </w:p>
        </w:tc>
        <w:tc>
          <w:tcPr>
            <w:tcW w:w="839" w:type="dxa"/>
            <w:tcBorders>
              <w:top w:val="single" w:color="000000" w:sz="6" w:space="0"/>
            </w:tcBorders>
            <w:vAlign w:val="top"/>
          </w:tcPr>
          <w:p>
            <w:pPr>
              <w:pStyle w:val="10"/>
              <w:spacing w:before="147" w:line="220" w:lineRule="auto"/>
              <w:ind w:left="245"/>
              <w:rPr>
                <w:color w:val="auto"/>
                <w:sz w:val="18"/>
                <w:szCs w:val="18"/>
                <w:highlight w:val="none"/>
              </w:rPr>
            </w:pPr>
            <w:r>
              <w:rPr>
                <w:color w:val="auto"/>
                <w:spacing w:val="-3"/>
                <w:sz w:val="18"/>
                <w:szCs w:val="18"/>
                <w:highlight w:val="none"/>
              </w:rPr>
              <w:t>单位</w:t>
            </w:r>
          </w:p>
        </w:tc>
        <w:tc>
          <w:tcPr>
            <w:tcW w:w="872" w:type="dxa"/>
            <w:tcBorders>
              <w:top w:val="single" w:color="000000" w:sz="6" w:space="0"/>
            </w:tcBorders>
            <w:vAlign w:val="top"/>
          </w:tcPr>
          <w:p>
            <w:pPr>
              <w:pStyle w:val="10"/>
              <w:spacing w:before="146" w:line="220" w:lineRule="auto"/>
              <w:ind w:left="263"/>
              <w:rPr>
                <w:color w:val="auto"/>
                <w:sz w:val="18"/>
                <w:szCs w:val="18"/>
                <w:highlight w:val="none"/>
              </w:rPr>
            </w:pPr>
            <w:r>
              <w:rPr>
                <w:color w:val="auto"/>
                <w:spacing w:val="-3"/>
                <w:sz w:val="18"/>
                <w:szCs w:val="18"/>
                <w:highlight w:val="none"/>
              </w:rPr>
              <w:t>数量</w:t>
            </w:r>
          </w:p>
        </w:tc>
        <w:tc>
          <w:tcPr>
            <w:tcW w:w="1061" w:type="dxa"/>
            <w:tcBorders>
              <w:top w:val="single" w:color="000000" w:sz="6" w:space="0"/>
            </w:tcBorders>
            <w:vAlign w:val="top"/>
          </w:tcPr>
          <w:p>
            <w:pPr>
              <w:pStyle w:val="10"/>
              <w:spacing w:before="29" w:line="241" w:lineRule="auto"/>
              <w:ind w:left="358"/>
              <w:rPr>
                <w:color w:val="auto"/>
                <w:sz w:val="18"/>
                <w:szCs w:val="18"/>
                <w:highlight w:val="none"/>
              </w:rPr>
            </w:pPr>
            <w:r>
              <w:rPr>
                <w:color w:val="auto"/>
                <w:spacing w:val="-3"/>
                <w:sz w:val="18"/>
                <w:szCs w:val="18"/>
                <w:highlight w:val="none"/>
              </w:rPr>
              <w:t>单价</w:t>
            </w:r>
          </w:p>
          <w:p>
            <w:pPr>
              <w:pStyle w:val="10"/>
              <w:spacing w:line="206" w:lineRule="auto"/>
              <w:ind w:left="273"/>
              <w:rPr>
                <w:color w:val="auto"/>
                <w:sz w:val="18"/>
                <w:szCs w:val="18"/>
                <w:highlight w:val="none"/>
              </w:rPr>
            </w:pPr>
            <w:r>
              <w:rPr>
                <w:color w:val="auto"/>
                <w:spacing w:val="-6"/>
                <w:sz w:val="18"/>
                <w:szCs w:val="18"/>
                <w:highlight w:val="none"/>
              </w:rPr>
              <w:t>（元）</w:t>
            </w:r>
          </w:p>
        </w:tc>
        <w:tc>
          <w:tcPr>
            <w:tcW w:w="966" w:type="dxa"/>
            <w:tcBorders>
              <w:top w:val="single" w:color="000000" w:sz="6" w:space="0"/>
            </w:tcBorders>
            <w:vAlign w:val="top"/>
          </w:tcPr>
          <w:p>
            <w:pPr>
              <w:pStyle w:val="10"/>
              <w:spacing w:before="29" w:line="241" w:lineRule="auto"/>
              <w:ind w:left="312"/>
              <w:rPr>
                <w:color w:val="auto"/>
                <w:sz w:val="18"/>
                <w:szCs w:val="18"/>
                <w:highlight w:val="none"/>
              </w:rPr>
            </w:pPr>
            <w:r>
              <w:rPr>
                <w:color w:val="auto"/>
                <w:spacing w:val="-2"/>
                <w:sz w:val="18"/>
                <w:szCs w:val="18"/>
                <w:highlight w:val="none"/>
              </w:rPr>
              <w:t>合价</w:t>
            </w:r>
          </w:p>
          <w:p>
            <w:pPr>
              <w:pStyle w:val="10"/>
              <w:spacing w:line="206" w:lineRule="auto"/>
              <w:ind w:left="228"/>
              <w:rPr>
                <w:color w:val="auto"/>
                <w:sz w:val="18"/>
                <w:szCs w:val="18"/>
                <w:highlight w:val="none"/>
              </w:rPr>
            </w:pPr>
            <w:r>
              <w:rPr>
                <w:color w:val="auto"/>
                <w:spacing w:val="-6"/>
                <w:sz w:val="18"/>
                <w:szCs w:val="18"/>
                <w:highlight w:val="none"/>
              </w:rPr>
              <w:t>（元）</w:t>
            </w:r>
          </w:p>
        </w:tc>
        <w:tc>
          <w:tcPr>
            <w:tcW w:w="1136" w:type="dxa"/>
            <w:tcBorders>
              <w:top w:val="single" w:color="000000" w:sz="6" w:space="0"/>
              <w:right w:val="single" w:color="000000" w:sz="6" w:space="0"/>
            </w:tcBorders>
            <w:vAlign w:val="top"/>
          </w:tcPr>
          <w:p>
            <w:pPr>
              <w:pStyle w:val="10"/>
              <w:spacing w:before="147" w:line="221" w:lineRule="auto"/>
              <w:ind w:left="397"/>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94" w:type="dxa"/>
            <w:tcBorders>
              <w:left w:val="single" w:color="000000" w:sz="6" w:space="0"/>
            </w:tcBorders>
            <w:vAlign w:val="top"/>
          </w:tcPr>
          <w:p>
            <w:pPr>
              <w:pStyle w:val="10"/>
              <w:spacing w:before="113" w:line="139" w:lineRule="exact"/>
              <w:ind w:left="708"/>
              <w:rPr>
                <w:color w:val="auto"/>
                <w:sz w:val="18"/>
                <w:szCs w:val="18"/>
                <w:highlight w:val="none"/>
              </w:rPr>
            </w:pPr>
            <w:r>
              <w:rPr>
                <w:color w:val="auto"/>
                <w:position w:val="-4"/>
                <w:sz w:val="18"/>
                <w:szCs w:val="18"/>
                <w:highlight w:val="none"/>
              </w:rPr>
              <w:t>一</w:t>
            </w:r>
          </w:p>
        </w:tc>
        <w:tc>
          <w:tcPr>
            <w:tcW w:w="3152" w:type="dxa"/>
            <w:vAlign w:val="top"/>
          </w:tcPr>
          <w:p>
            <w:pPr>
              <w:pStyle w:val="10"/>
              <w:spacing w:before="46" w:line="220" w:lineRule="auto"/>
              <w:ind w:left="1037"/>
              <w:rPr>
                <w:color w:val="auto"/>
                <w:sz w:val="18"/>
                <w:szCs w:val="18"/>
                <w:highlight w:val="none"/>
              </w:rPr>
            </w:pPr>
            <w:r>
              <w:rPr>
                <w:color w:val="auto"/>
                <w:spacing w:val="-2"/>
                <w:sz w:val="18"/>
                <w:szCs w:val="18"/>
                <w:highlight w:val="none"/>
              </w:rPr>
              <w:t>不可计量措施</w:t>
            </w: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vAlign w:val="top"/>
          </w:tcPr>
          <w:p>
            <w:pPr>
              <w:pStyle w:val="10"/>
              <w:spacing w:before="116" w:line="178" w:lineRule="auto"/>
              <w:ind w:left="708"/>
              <w:rPr>
                <w:color w:val="auto"/>
                <w:sz w:val="18"/>
                <w:szCs w:val="18"/>
                <w:highlight w:val="none"/>
              </w:rPr>
            </w:pPr>
            <w:r>
              <w:rPr>
                <w:color w:val="auto"/>
                <w:sz w:val="18"/>
                <w:szCs w:val="18"/>
                <w:highlight w:val="none"/>
              </w:rPr>
              <w:t>二</w:t>
            </w:r>
          </w:p>
        </w:tc>
        <w:tc>
          <w:tcPr>
            <w:tcW w:w="3152" w:type="dxa"/>
            <w:vAlign w:val="top"/>
          </w:tcPr>
          <w:p>
            <w:pPr>
              <w:pStyle w:val="10"/>
              <w:spacing w:before="83" w:line="220" w:lineRule="auto"/>
              <w:ind w:left="1127"/>
              <w:rPr>
                <w:color w:val="auto"/>
                <w:sz w:val="18"/>
                <w:szCs w:val="18"/>
                <w:highlight w:val="none"/>
              </w:rPr>
            </w:pPr>
            <w:r>
              <w:rPr>
                <w:color w:val="auto"/>
                <w:spacing w:val="-2"/>
                <w:sz w:val="18"/>
                <w:szCs w:val="18"/>
                <w:highlight w:val="none"/>
              </w:rPr>
              <w:t>可计量措施</w:t>
            </w: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vAlign w:val="top"/>
          </w:tcPr>
          <w:p>
            <w:pPr>
              <w:rPr>
                <w:rFonts w:ascii="Arial"/>
                <w:color w:val="auto"/>
                <w:sz w:val="21"/>
                <w:highlight w:val="none"/>
              </w:rPr>
            </w:pPr>
          </w:p>
        </w:tc>
        <w:tc>
          <w:tcPr>
            <w:tcW w:w="3152" w:type="dxa"/>
            <w:vAlign w:val="top"/>
          </w:tcPr>
          <w:p>
            <w:pPr>
              <w:rPr>
                <w:rFonts w:ascii="Arial"/>
                <w:color w:val="auto"/>
                <w:sz w:val="21"/>
                <w:highlight w:val="none"/>
              </w:rPr>
            </w:pPr>
          </w:p>
        </w:tc>
        <w:tc>
          <w:tcPr>
            <w:tcW w:w="839" w:type="dxa"/>
            <w:vAlign w:val="top"/>
          </w:tcPr>
          <w:p>
            <w:pPr>
              <w:rPr>
                <w:rFonts w:ascii="Arial"/>
                <w:color w:val="auto"/>
                <w:sz w:val="21"/>
                <w:highlight w:val="none"/>
              </w:rPr>
            </w:pPr>
          </w:p>
        </w:tc>
        <w:tc>
          <w:tcPr>
            <w:tcW w:w="872" w:type="dxa"/>
            <w:vAlign w:val="top"/>
          </w:tcPr>
          <w:p>
            <w:pPr>
              <w:rPr>
                <w:rFonts w:ascii="Arial"/>
                <w:color w:val="auto"/>
                <w:sz w:val="21"/>
                <w:highlight w:val="none"/>
              </w:rPr>
            </w:pPr>
          </w:p>
        </w:tc>
        <w:tc>
          <w:tcPr>
            <w:tcW w:w="1061" w:type="dxa"/>
            <w:vAlign w:val="top"/>
          </w:tcPr>
          <w:p>
            <w:pPr>
              <w:rPr>
                <w:rFonts w:ascii="Arial"/>
                <w:color w:val="auto"/>
                <w:sz w:val="21"/>
                <w:highlight w:val="none"/>
              </w:rPr>
            </w:pPr>
          </w:p>
        </w:tc>
        <w:tc>
          <w:tcPr>
            <w:tcW w:w="966" w:type="dxa"/>
            <w:vAlign w:val="top"/>
          </w:tcPr>
          <w:p>
            <w:pPr>
              <w:rPr>
                <w:rFonts w:ascii="Arial"/>
                <w:color w:val="auto"/>
                <w:sz w:val="21"/>
                <w:highlight w:val="none"/>
              </w:rPr>
            </w:pPr>
          </w:p>
        </w:tc>
        <w:tc>
          <w:tcPr>
            <w:tcW w:w="113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518" w:type="dxa"/>
            <w:gridSpan w:val="5"/>
            <w:tcBorders>
              <w:left w:val="single" w:color="000000" w:sz="6" w:space="0"/>
              <w:bottom w:val="single" w:color="000000" w:sz="6" w:space="0"/>
            </w:tcBorders>
            <w:vAlign w:val="top"/>
          </w:tcPr>
          <w:p>
            <w:pPr>
              <w:pStyle w:val="10"/>
              <w:spacing w:before="97" w:line="221" w:lineRule="auto"/>
              <w:ind w:left="3581"/>
              <w:rPr>
                <w:color w:val="auto"/>
                <w:sz w:val="18"/>
                <w:szCs w:val="18"/>
                <w:highlight w:val="none"/>
              </w:rPr>
            </w:pPr>
            <w:r>
              <w:rPr>
                <w:color w:val="auto"/>
                <w:spacing w:val="-2"/>
                <w:sz w:val="18"/>
                <w:szCs w:val="18"/>
                <w:highlight w:val="none"/>
              </w:rPr>
              <w:t>合计</w:t>
            </w:r>
          </w:p>
        </w:tc>
        <w:tc>
          <w:tcPr>
            <w:tcW w:w="966" w:type="dxa"/>
            <w:tcBorders>
              <w:bottom w:val="single" w:color="000000" w:sz="6" w:space="0"/>
            </w:tcBorders>
            <w:vAlign w:val="top"/>
          </w:tcPr>
          <w:p>
            <w:pPr>
              <w:rPr>
                <w:rFonts w:ascii="Arial"/>
                <w:color w:val="auto"/>
                <w:sz w:val="21"/>
                <w:highlight w:val="none"/>
              </w:rPr>
            </w:pPr>
          </w:p>
        </w:tc>
        <w:tc>
          <w:tcPr>
            <w:tcW w:w="1136" w:type="dxa"/>
            <w:tcBorders>
              <w:bottom w:val="single" w:color="000000" w:sz="6" w:space="0"/>
              <w:right w:val="single" w:color="000000" w:sz="6" w:space="0"/>
            </w:tcBorders>
            <w:vAlign w:val="top"/>
          </w:tcPr>
          <w:p>
            <w:pPr>
              <w:rPr>
                <w:rFonts w:ascii="Arial"/>
                <w:color w:val="auto"/>
                <w:sz w:val="21"/>
                <w:highlight w:val="none"/>
              </w:rPr>
            </w:pPr>
          </w:p>
        </w:tc>
      </w:tr>
    </w:tbl>
    <w:p>
      <w:pPr>
        <w:spacing w:before="25" w:line="220" w:lineRule="auto"/>
        <w:ind w:left="6765"/>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83" w:line="220" w:lineRule="auto"/>
        <w:ind w:left="6586"/>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11"/>
          <w:sz w:val="18"/>
          <w:szCs w:val="18"/>
          <w:highlight w:val="none"/>
        </w:rPr>
        <w:t>）</w:t>
      </w:r>
      <w:r>
        <w:rPr>
          <w:rFonts w:ascii="宋体" w:hAnsi="宋体" w:eastAsia="宋体" w:cs="宋体"/>
          <w:color w:val="auto"/>
          <w:spacing w:val="25"/>
          <w:sz w:val="18"/>
          <w:szCs w:val="18"/>
          <w:highlight w:val="none"/>
        </w:rPr>
        <w:t xml:space="preserve"> </w:t>
      </w:r>
      <w:r>
        <w:rPr>
          <w:rFonts w:ascii="宋体" w:hAnsi="宋体" w:eastAsia="宋体" w:cs="宋体"/>
          <w:color w:val="auto"/>
          <w:spacing w:val="-11"/>
          <w:sz w:val="18"/>
          <w:szCs w:val="18"/>
          <w:highlight w:val="none"/>
        </w:rPr>
        <w:t>：</w:t>
      </w:r>
      <w:r>
        <w:rPr>
          <w:rFonts w:ascii="宋体" w:hAnsi="宋体" w:eastAsia="宋体" w:cs="宋体"/>
          <w:color w:val="auto"/>
          <w:spacing w:val="14"/>
          <w:sz w:val="18"/>
          <w:szCs w:val="18"/>
          <w:highlight w:val="none"/>
          <w:u w:val="single" w:color="auto"/>
        </w:rPr>
        <w:t xml:space="preserve">      </w:t>
      </w:r>
      <w:r>
        <w:rPr>
          <w:rFonts w:ascii="宋体" w:hAnsi="宋体" w:eastAsia="宋体" w:cs="宋体"/>
          <w:color w:val="auto"/>
          <w:spacing w:val="-78"/>
          <w:sz w:val="18"/>
          <w:szCs w:val="18"/>
          <w:highlight w:val="none"/>
        </w:rPr>
        <w:t xml:space="preserve"> </w:t>
      </w:r>
      <w:r>
        <w:rPr>
          <w:rFonts w:ascii="宋体" w:hAnsi="宋体" w:eastAsia="宋体" w:cs="宋体"/>
          <w:color w:val="auto"/>
          <w:spacing w:val="-2"/>
          <w:sz w:val="18"/>
          <w:szCs w:val="18"/>
          <w:highlight w:val="none"/>
        </w:rPr>
        <w:t>签字</w:t>
      </w:r>
    </w:p>
    <w:p>
      <w:pPr>
        <w:spacing w:line="220" w:lineRule="auto"/>
        <w:rPr>
          <w:rFonts w:ascii="宋体" w:hAnsi="宋体" w:eastAsia="宋体" w:cs="宋体"/>
          <w:color w:val="auto"/>
          <w:sz w:val="18"/>
          <w:szCs w:val="18"/>
          <w:highlight w:val="none"/>
        </w:rPr>
        <w:sectPr>
          <w:footerReference r:id="rId84" w:type="default"/>
          <w:pgSz w:w="11907" w:h="16841"/>
          <w:pgMar w:top="1769" w:right="1161" w:bottom="1004" w:left="1108" w:header="0" w:footer="829" w:gutter="0"/>
          <w:pgNumType w:fmt="numberInDash"/>
          <w:cols w:space="720" w:num="1"/>
        </w:sectPr>
      </w:pPr>
    </w:p>
    <w:p>
      <w:pPr>
        <w:spacing w:before="78" w:line="219" w:lineRule="auto"/>
        <w:ind w:left="23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3.8 </w:t>
      </w:r>
      <w:r>
        <w:rPr>
          <w:rFonts w:ascii="黑体" w:hAnsi="黑体" w:eastAsia="黑体" w:cs="黑体"/>
          <w:color w:val="auto"/>
          <w:spacing w:val="-1"/>
          <w:sz w:val="24"/>
          <w:szCs w:val="24"/>
          <w:highlight w:val="none"/>
        </w:rPr>
        <w:t>不可计量措施项目清单计价表</w:t>
      </w:r>
    </w:p>
    <w:p>
      <w:pPr>
        <w:spacing w:line="229" w:lineRule="exact"/>
        <w:rPr>
          <w:color w:val="auto"/>
          <w:highlight w:val="none"/>
        </w:rPr>
      </w:pPr>
    </w:p>
    <w:p>
      <w:pPr>
        <w:spacing w:line="229" w:lineRule="exact"/>
        <w:rPr>
          <w:color w:val="auto"/>
          <w:highlight w:val="none"/>
        </w:rPr>
        <w:sectPr>
          <w:footerReference r:id="rId85" w:type="default"/>
          <w:pgSz w:w="11907" w:h="16841"/>
          <w:pgMar w:top="1769" w:right="1303" w:bottom="1004" w:left="1250" w:header="0" w:footer="829" w:gutter="0"/>
          <w:pgNumType w:fmt="numberInDash"/>
          <w:cols w:equalWidth="0" w:num="1">
            <w:col w:w="9352"/>
          </w:cols>
        </w:sectPr>
      </w:pPr>
    </w:p>
    <w:p>
      <w:pPr>
        <w:pStyle w:val="2"/>
        <w:spacing w:line="262" w:lineRule="auto"/>
        <w:rPr>
          <w:color w:val="auto"/>
          <w:highlight w:val="none"/>
        </w:rPr>
      </w:pPr>
    </w:p>
    <w:p>
      <w:pPr>
        <w:pStyle w:val="2"/>
        <w:spacing w:line="262" w:lineRule="auto"/>
        <w:rPr>
          <w:color w:val="auto"/>
          <w:highlight w:val="none"/>
        </w:rPr>
      </w:pPr>
    </w:p>
    <w:p>
      <w:pPr>
        <w:spacing w:before="59" w:line="362" w:lineRule="exact"/>
        <w:ind w:left="125"/>
        <w:rPr>
          <w:rFonts w:ascii="宋体" w:hAnsi="宋体" w:eastAsia="宋体" w:cs="宋体"/>
          <w:color w:val="auto"/>
          <w:sz w:val="18"/>
          <w:szCs w:val="18"/>
          <w:highlight w:val="none"/>
        </w:rPr>
      </w:pPr>
      <w:r>
        <w:rPr>
          <w:rFonts w:ascii="宋体" w:hAnsi="宋体" w:eastAsia="宋体" w:cs="宋体"/>
          <w:color w:val="auto"/>
          <w:spacing w:val="-8"/>
          <w:position w:val="14"/>
          <w:sz w:val="18"/>
          <w:szCs w:val="18"/>
          <w:highlight w:val="none"/>
        </w:rPr>
        <w:t>合同编号：</w:t>
      </w:r>
    </w:p>
    <w:p>
      <w:pPr>
        <w:spacing w:line="184" w:lineRule="auto"/>
        <w:ind w:left="126"/>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工程名称：</w:t>
      </w:r>
    </w:p>
    <w:p>
      <w:pPr>
        <w:pStyle w:val="2"/>
        <w:spacing w:line="14" w:lineRule="auto"/>
        <w:rPr>
          <w:color w:val="auto"/>
          <w:sz w:val="2"/>
          <w:highlight w:val="none"/>
        </w:rPr>
      </w:pPr>
      <w:r>
        <w:rPr>
          <w:color w:val="auto"/>
          <w:sz w:val="2"/>
          <w:szCs w:val="2"/>
          <w:highlight w:val="none"/>
        </w:rPr>
        <w:br w:type="column"/>
      </w:r>
    </w:p>
    <w:p>
      <w:pPr>
        <w:spacing w:before="79" w:line="218" w:lineRule="auto"/>
        <w:rPr>
          <w:rFonts w:ascii="宋体" w:hAnsi="宋体" w:eastAsia="宋体" w:cs="宋体"/>
          <w:color w:val="auto"/>
          <w:sz w:val="40"/>
          <w:szCs w:val="40"/>
          <w:highlight w:val="none"/>
        </w:rPr>
      </w:pPr>
      <w:bookmarkStart w:id="355" w:name="bookmark395"/>
      <w:bookmarkEnd w:id="355"/>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不可计量措施项目清单计价表</w:t>
      </w:r>
    </w:p>
    <w:p>
      <w:pPr>
        <w:pStyle w:val="2"/>
        <w:spacing w:line="334" w:lineRule="auto"/>
        <w:rPr>
          <w:color w:val="auto"/>
          <w:highlight w:val="none"/>
        </w:rPr>
      </w:pPr>
    </w:p>
    <w:p>
      <w:pPr>
        <w:spacing w:before="59" w:line="185" w:lineRule="auto"/>
        <w:ind w:left="5352"/>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第</w:t>
      </w:r>
      <w:r>
        <w:rPr>
          <w:rFonts w:ascii="宋体" w:hAnsi="宋体" w:eastAsia="宋体" w:cs="宋体"/>
          <w:color w:val="auto"/>
          <w:spacing w:val="13"/>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9"/>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9"/>
          <w:sz w:val="18"/>
          <w:szCs w:val="18"/>
          <w:highlight w:val="none"/>
        </w:rPr>
        <w:t>页</w:t>
      </w:r>
    </w:p>
    <w:p>
      <w:pPr>
        <w:spacing w:line="185" w:lineRule="auto"/>
        <w:rPr>
          <w:rFonts w:ascii="宋体" w:hAnsi="宋体" w:eastAsia="宋体" w:cs="宋体"/>
          <w:color w:val="auto"/>
          <w:sz w:val="18"/>
          <w:szCs w:val="18"/>
          <w:highlight w:val="none"/>
        </w:rPr>
        <w:sectPr>
          <w:type w:val="continuous"/>
          <w:pgSz w:w="11907" w:h="16841"/>
          <w:pgMar w:top="400" w:right="1303" w:bottom="1004" w:left="1250" w:header="0" w:footer="829" w:gutter="0"/>
          <w:pgNumType w:fmt="numberInDash"/>
          <w:cols w:equalWidth="0" w:num="2">
            <w:col w:w="1986" w:space="100"/>
            <w:col w:w="7266"/>
          </w:cols>
        </w:sectPr>
      </w:pPr>
    </w:p>
    <w:p>
      <w:pPr>
        <w:spacing w:line="145" w:lineRule="exact"/>
        <w:rPr>
          <w:color w:val="auto"/>
          <w:highlight w:val="none"/>
        </w:rPr>
      </w:pPr>
    </w:p>
    <w:tbl>
      <w:tblPr>
        <w:tblStyle w:val="9"/>
        <w:tblW w:w="933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2962"/>
        <w:gridCol w:w="810"/>
        <w:gridCol w:w="2020"/>
        <w:gridCol w:w="693"/>
        <w:gridCol w:w="1002"/>
        <w:gridCol w:w="10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76" w:type="dxa"/>
            <w:tcBorders>
              <w:top w:val="single" w:color="000000" w:sz="6" w:space="0"/>
              <w:left w:val="single" w:color="000000" w:sz="6" w:space="0"/>
            </w:tcBorders>
            <w:vAlign w:val="top"/>
          </w:tcPr>
          <w:p>
            <w:pPr>
              <w:pStyle w:val="10"/>
              <w:spacing w:before="29" w:line="223" w:lineRule="auto"/>
              <w:ind w:left="293" w:right="118" w:hanging="176"/>
              <w:rPr>
                <w:color w:val="auto"/>
                <w:sz w:val="18"/>
                <w:szCs w:val="18"/>
                <w:highlight w:val="none"/>
              </w:rPr>
            </w:pPr>
            <w:r>
              <w:rPr>
                <w:color w:val="auto"/>
                <w:spacing w:val="-4"/>
                <w:sz w:val="18"/>
                <w:szCs w:val="18"/>
                <w:highlight w:val="none"/>
              </w:rPr>
              <w:t>项目编</w:t>
            </w:r>
            <w:r>
              <w:rPr>
                <w:color w:val="auto"/>
                <w:spacing w:val="1"/>
                <w:sz w:val="18"/>
                <w:szCs w:val="18"/>
                <w:highlight w:val="none"/>
              </w:rPr>
              <w:t xml:space="preserve"> </w:t>
            </w:r>
            <w:r>
              <w:rPr>
                <w:color w:val="auto"/>
                <w:sz w:val="18"/>
                <w:szCs w:val="18"/>
                <w:highlight w:val="none"/>
              </w:rPr>
              <w:t>码</w:t>
            </w:r>
          </w:p>
        </w:tc>
        <w:tc>
          <w:tcPr>
            <w:tcW w:w="2962" w:type="dxa"/>
            <w:tcBorders>
              <w:top w:val="single" w:color="000000" w:sz="6" w:space="0"/>
            </w:tcBorders>
            <w:vAlign w:val="top"/>
          </w:tcPr>
          <w:p>
            <w:pPr>
              <w:pStyle w:val="10"/>
              <w:spacing w:before="147" w:line="220" w:lineRule="auto"/>
              <w:ind w:left="1124"/>
              <w:rPr>
                <w:color w:val="auto"/>
                <w:sz w:val="18"/>
                <w:szCs w:val="18"/>
                <w:highlight w:val="none"/>
              </w:rPr>
            </w:pPr>
            <w:r>
              <w:rPr>
                <w:color w:val="auto"/>
                <w:spacing w:val="-2"/>
                <w:sz w:val="18"/>
                <w:szCs w:val="18"/>
                <w:highlight w:val="none"/>
              </w:rPr>
              <w:t>项目名称</w:t>
            </w:r>
          </w:p>
        </w:tc>
        <w:tc>
          <w:tcPr>
            <w:tcW w:w="810" w:type="dxa"/>
            <w:tcBorders>
              <w:top w:val="single" w:color="000000" w:sz="6" w:space="0"/>
            </w:tcBorders>
            <w:vAlign w:val="top"/>
          </w:tcPr>
          <w:p>
            <w:pPr>
              <w:pStyle w:val="10"/>
              <w:spacing w:before="147" w:line="220" w:lineRule="auto"/>
              <w:ind w:left="230"/>
              <w:rPr>
                <w:color w:val="auto"/>
                <w:sz w:val="18"/>
                <w:szCs w:val="18"/>
                <w:highlight w:val="none"/>
              </w:rPr>
            </w:pPr>
            <w:r>
              <w:rPr>
                <w:color w:val="auto"/>
                <w:spacing w:val="-3"/>
                <w:sz w:val="18"/>
                <w:szCs w:val="18"/>
                <w:highlight w:val="none"/>
              </w:rPr>
              <w:t>单位</w:t>
            </w:r>
          </w:p>
        </w:tc>
        <w:tc>
          <w:tcPr>
            <w:tcW w:w="2020" w:type="dxa"/>
            <w:tcBorders>
              <w:top w:val="single" w:color="000000" w:sz="6" w:space="0"/>
            </w:tcBorders>
            <w:vAlign w:val="top"/>
          </w:tcPr>
          <w:p>
            <w:pPr>
              <w:pStyle w:val="10"/>
              <w:spacing w:before="146" w:line="220" w:lineRule="auto"/>
              <w:ind w:left="655"/>
              <w:rPr>
                <w:color w:val="auto"/>
                <w:sz w:val="18"/>
                <w:szCs w:val="18"/>
                <w:highlight w:val="none"/>
              </w:rPr>
            </w:pPr>
            <w:r>
              <w:rPr>
                <w:color w:val="auto"/>
                <w:spacing w:val="-2"/>
                <w:sz w:val="18"/>
                <w:szCs w:val="18"/>
                <w:highlight w:val="none"/>
              </w:rPr>
              <w:t>计算基础</w:t>
            </w:r>
          </w:p>
        </w:tc>
        <w:tc>
          <w:tcPr>
            <w:tcW w:w="693" w:type="dxa"/>
            <w:tcBorders>
              <w:top w:val="single" w:color="000000" w:sz="6" w:space="0"/>
            </w:tcBorders>
            <w:vAlign w:val="top"/>
          </w:tcPr>
          <w:p>
            <w:pPr>
              <w:pStyle w:val="10"/>
              <w:spacing w:before="29" w:line="223" w:lineRule="auto"/>
              <w:ind w:left="133" w:right="127" w:firstLine="50"/>
              <w:rPr>
                <w:color w:val="auto"/>
                <w:sz w:val="18"/>
                <w:szCs w:val="18"/>
                <w:highlight w:val="none"/>
              </w:rPr>
            </w:pPr>
            <w:r>
              <w:rPr>
                <w:color w:val="auto"/>
                <w:spacing w:val="-9"/>
                <w:sz w:val="18"/>
                <w:szCs w:val="18"/>
                <w:highlight w:val="none"/>
              </w:rPr>
              <w:t>费率</w:t>
            </w:r>
            <w:r>
              <w:rPr>
                <w:color w:val="auto"/>
                <w:sz w:val="18"/>
                <w:szCs w:val="18"/>
                <w:highlight w:val="none"/>
              </w:rPr>
              <w:t xml:space="preserve"> </w:t>
            </w:r>
            <w:r>
              <w:rPr>
                <w:color w:val="auto"/>
                <w:spacing w:val="-8"/>
                <w:sz w:val="18"/>
                <w:szCs w:val="18"/>
                <w:highlight w:val="none"/>
              </w:rPr>
              <w:t>（%）</w:t>
            </w:r>
          </w:p>
        </w:tc>
        <w:tc>
          <w:tcPr>
            <w:tcW w:w="1002" w:type="dxa"/>
            <w:tcBorders>
              <w:top w:val="single" w:color="000000" w:sz="6" w:space="0"/>
            </w:tcBorders>
            <w:vAlign w:val="top"/>
          </w:tcPr>
          <w:p>
            <w:pPr>
              <w:pStyle w:val="10"/>
              <w:spacing w:before="29" w:line="239" w:lineRule="auto"/>
              <w:ind w:left="332"/>
              <w:rPr>
                <w:color w:val="auto"/>
                <w:sz w:val="18"/>
                <w:szCs w:val="18"/>
                <w:highlight w:val="none"/>
              </w:rPr>
            </w:pPr>
            <w:r>
              <w:rPr>
                <w:color w:val="auto"/>
                <w:spacing w:val="-3"/>
                <w:sz w:val="18"/>
                <w:szCs w:val="18"/>
                <w:highlight w:val="none"/>
              </w:rPr>
              <w:t>金额</w:t>
            </w:r>
          </w:p>
          <w:p>
            <w:pPr>
              <w:pStyle w:val="10"/>
              <w:spacing w:line="206" w:lineRule="auto"/>
              <w:ind w:left="244"/>
              <w:rPr>
                <w:color w:val="auto"/>
                <w:sz w:val="18"/>
                <w:szCs w:val="18"/>
                <w:highlight w:val="none"/>
              </w:rPr>
            </w:pPr>
            <w:r>
              <w:rPr>
                <w:color w:val="auto"/>
                <w:spacing w:val="-6"/>
                <w:sz w:val="18"/>
                <w:szCs w:val="18"/>
                <w:highlight w:val="none"/>
              </w:rPr>
              <w:t>（元）</w:t>
            </w:r>
          </w:p>
        </w:tc>
        <w:tc>
          <w:tcPr>
            <w:tcW w:w="1073" w:type="dxa"/>
            <w:tcBorders>
              <w:top w:val="single" w:color="000000" w:sz="6" w:space="0"/>
              <w:right w:val="single" w:color="000000" w:sz="6" w:space="0"/>
            </w:tcBorders>
            <w:vAlign w:val="top"/>
          </w:tcPr>
          <w:p>
            <w:pPr>
              <w:pStyle w:val="10"/>
              <w:spacing w:before="147" w:line="221" w:lineRule="auto"/>
              <w:ind w:left="363"/>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776" w:type="dxa"/>
            <w:tcBorders>
              <w:left w:val="single" w:color="000000" w:sz="6" w:space="0"/>
            </w:tcBorders>
            <w:vAlign w:val="top"/>
          </w:tcPr>
          <w:p>
            <w:pPr>
              <w:pStyle w:val="10"/>
              <w:spacing w:before="69" w:line="182" w:lineRule="auto"/>
              <w:ind w:left="353"/>
              <w:rPr>
                <w:color w:val="auto"/>
                <w:sz w:val="18"/>
                <w:szCs w:val="18"/>
                <w:highlight w:val="none"/>
              </w:rPr>
            </w:pPr>
            <w:r>
              <w:rPr>
                <w:color w:val="auto"/>
                <w:sz w:val="18"/>
                <w:szCs w:val="18"/>
                <w:highlight w:val="none"/>
              </w:rPr>
              <w:t>1</w:t>
            </w: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76" w:type="dxa"/>
            <w:tcBorders>
              <w:left w:val="single" w:color="000000" w:sz="6" w:space="0"/>
            </w:tcBorders>
            <w:vAlign w:val="top"/>
          </w:tcPr>
          <w:p>
            <w:pPr>
              <w:rPr>
                <w:rFonts w:ascii="Arial"/>
                <w:color w:val="auto"/>
                <w:sz w:val="21"/>
                <w:highlight w:val="none"/>
              </w:rPr>
            </w:pPr>
          </w:p>
        </w:tc>
        <w:tc>
          <w:tcPr>
            <w:tcW w:w="2962"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2020" w:type="dxa"/>
            <w:vAlign w:val="top"/>
          </w:tcPr>
          <w:p>
            <w:pPr>
              <w:rPr>
                <w:rFonts w:ascii="Arial"/>
                <w:color w:val="auto"/>
                <w:sz w:val="21"/>
                <w:highlight w:val="none"/>
              </w:rPr>
            </w:pPr>
          </w:p>
        </w:tc>
        <w:tc>
          <w:tcPr>
            <w:tcW w:w="693"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7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261" w:type="dxa"/>
            <w:gridSpan w:val="5"/>
            <w:tcBorders>
              <w:left w:val="single" w:color="000000" w:sz="6" w:space="0"/>
              <w:bottom w:val="single" w:color="000000" w:sz="6" w:space="0"/>
            </w:tcBorders>
            <w:vAlign w:val="top"/>
          </w:tcPr>
          <w:p>
            <w:pPr>
              <w:pStyle w:val="10"/>
              <w:spacing w:before="88" w:line="221" w:lineRule="auto"/>
              <w:ind w:left="3454"/>
              <w:rPr>
                <w:color w:val="auto"/>
                <w:sz w:val="18"/>
                <w:szCs w:val="18"/>
                <w:highlight w:val="none"/>
              </w:rPr>
            </w:pPr>
            <w:r>
              <w:rPr>
                <w:color w:val="auto"/>
                <w:spacing w:val="-2"/>
                <w:sz w:val="18"/>
                <w:szCs w:val="18"/>
                <w:highlight w:val="none"/>
              </w:rPr>
              <w:t>合计</w:t>
            </w:r>
          </w:p>
        </w:tc>
        <w:tc>
          <w:tcPr>
            <w:tcW w:w="1002" w:type="dxa"/>
            <w:tcBorders>
              <w:bottom w:val="single" w:color="000000" w:sz="6" w:space="0"/>
            </w:tcBorders>
            <w:vAlign w:val="top"/>
          </w:tcPr>
          <w:p>
            <w:pPr>
              <w:rPr>
                <w:rFonts w:ascii="Arial"/>
                <w:color w:val="auto"/>
                <w:sz w:val="21"/>
                <w:highlight w:val="none"/>
              </w:rPr>
            </w:pPr>
          </w:p>
        </w:tc>
        <w:tc>
          <w:tcPr>
            <w:tcW w:w="1073" w:type="dxa"/>
            <w:tcBorders>
              <w:bottom w:val="single" w:color="000000" w:sz="6" w:space="0"/>
              <w:right w:val="single" w:color="000000" w:sz="6" w:space="0"/>
            </w:tcBorders>
            <w:vAlign w:val="top"/>
          </w:tcPr>
          <w:p>
            <w:pPr>
              <w:rPr>
                <w:rFonts w:ascii="Arial"/>
                <w:color w:val="auto"/>
                <w:sz w:val="21"/>
                <w:highlight w:val="none"/>
              </w:rPr>
            </w:pPr>
          </w:p>
        </w:tc>
      </w:tr>
    </w:tbl>
    <w:p>
      <w:pPr>
        <w:spacing w:before="27" w:line="220" w:lineRule="auto"/>
        <w:ind w:firstLine="5808" w:firstLineChars="3300"/>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18" w:line="220" w:lineRule="auto"/>
        <w:jc w:val="center"/>
        <w:rPr>
          <w:rFonts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lang w:val="en-US" w:eastAsia="zh-CN"/>
        </w:rPr>
        <w:t xml:space="preserve">                                                 </w:t>
      </w:r>
      <w:r>
        <w:rPr>
          <w:rFonts w:ascii="宋体" w:hAnsi="宋体" w:eastAsia="宋体" w:cs="宋体"/>
          <w:color w:val="auto"/>
          <w:spacing w:val="-2"/>
          <w:sz w:val="18"/>
          <w:szCs w:val="18"/>
          <w:highlight w:val="none"/>
        </w:rPr>
        <w:t>（或委托代理人</w:t>
      </w:r>
      <w:r>
        <w:rPr>
          <w:rFonts w:ascii="宋体" w:hAnsi="宋体" w:eastAsia="宋体" w:cs="宋体"/>
          <w:color w:val="auto"/>
          <w:spacing w:val="-10"/>
          <w:sz w:val="18"/>
          <w:szCs w:val="18"/>
          <w:highlight w:val="none"/>
        </w:rPr>
        <w:t>）</w:t>
      </w:r>
      <w:r>
        <w:rPr>
          <w:rFonts w:ascii="宋体" w:hAnsi="宋体" w:eastAsia="宋体" w:cs="宋体"/>
          <w:color w:val="auto"/>
          <w:spacing w:val="24"/>
          <w:w w:val="101"/>
          <w:sz w:val="18"/>
          <w:szCs w:val="18"/>
          <w:highlight w:val="none"/>
        </w:rPr>
        <w:t xml:space="preserve"> </w:t>
      </w:r>
      <w:r>
        <w:rPr>
          <w:rFonts w:ascii="宋体" w:hAnsi="宋体" w:eastAsia="宋体" w:cs="宋体"/>
          <w:color w:val="auto"/>
          <w:spacing w:val="-10"/>
          <w:sz w:val="18"/>
          <w:szCs w:val="18"/>
          <w:highlight w:val="none"/>
        </w:rPr>
        <w:t>：</w:t>
      </w:r>
      <w:r>
        <w:rPr>
          <w:rFonts w:ascii="宋体" w:hAnsi="宋体" w:eastAsia="宋体" w:cs="宋体"/>
          <w:color w:val="auto"/>
          <w:spacing w:val="14"/>
          <w:sz w:val="18"/>
          <w:szCs w:val="18"/>
          <w:highlight w:val="none"/>
          <w:u w:val="single" w:color="auto"/>
        </w:rPr>
        <w:t xml:space="preserve">    </w:t>
      </w:r>
      <w:r>
        <w:rPr>
          <w:rFonts w:ascii="宋体" w:hAnsi="宋体" w:eastAsia="宋体" w:cs="宋体"/>
          <w:color w:val="auto"/>
          <w:spacing w:val="-79"/>
          <w:sz w:val="18"/>
          <w:szCs w:val="18"/>
          <w:highlight w:val="none"/>
        </w:rPr>
        <w:t xml:space="preserve"> </w:t>
      </w:r>
      <w:r>
        <w:rPr>
          <w:rFonts w:ascii="宋体" w:hAnsi="宋体" w:eastAsia="宋体" w:cs="宋体"/>
          <w:color w:val="auto"/>
          <w:spacing w:val="-2"/>
          <w:sz w:val="18"/>
          <w:szCs w:val="18"/>
          <w:highlight w:val="none"/>
        </w:rPr>
        <w:t>签</w:t>
      </w:r>
      <w:r>
        <w:rPr>
          <w:rFonts w:ascii="宋体" w:hAnsi="宋体" w:eastAsia="宋体" w:cs="宋体"/>
          <w:color w:val="auto"/>
          <w:sz w:val="18"/>
          <w:szCs w:val="18"/>
          <w:highlight w:val="none"/>
        </w:rPr>
        <w:t>字</w:t>
      </w:r>
    </w:p>
    <w:p>
      <w:pPr>
        <w:spacing w:line="185" w:lineRule="auto"/>
        <w:rPr>
          <w:rFonts w:ascii="宋体" w:hAnsi="宋体" w:eastAsia="宋体" w:cs="宋体"/>
          <w:color w:val="auto"/>
          <w:sz w:val="18"/>
          <w:szCs w:val="18"/>
          <w:highlight w:val="none"/>
        </w:rPr>
        <w:sectPr>
          <w:type w:val="continuous"/>
          <w:pgSz w:w="11907" w:h="16841"/>
          <w:pgMar w:top="400" w:right="1303" w:bottom="1004" w:left="1250" w:header="0" w:footer="829" w:gutter="0"/>
          <w:pgNumType w:fmt="numberInDash"/>
          <w:cols w:equalWidth="0" w:num="1">
            <w:col w:w="9352"/>
          </w:cols>
        </w:sectPr>
      </w:pPr>
    </w:p>
    <w:p>
      <w:pPr>
        <w:pStyle w:val="2"/>
        <w:spacing w:line="261" w:lineRule="auto"/>
        <w:rPr>
          <w:color w:val="auto"/>
          <w:highlight w:val="none"/>
        </w:rPr>
      </w:pPr>
    </w:p>
    <w:p>
      <w:pPr>
        <w:spacing w:before="78" w:line="219" w:lineRule="auto"/>
        <w:ind w:left="41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3.9 </w:t>
      </w:r>
      <w:r>
        <w:rPr>
          <w:rFonts w:ascii="黑体" w:hAnsi="黑体" w:eastAsia="黑体" w:cs="黑体"/>
          <w:color w:val="auto"/>
          <w:spacing w:val="-1"/>
          <w:sz w:val="24"/>
          <w:szCs w:val="24"/>
          <w:highlight w:val="none"/>
        </w:rPr>
        <w:t>可计量措施项目清单计价表</w:t>
      </w:r>
    </w:p>
    <w:p>
      <w:pPr>
        <w:spacing w:before="94" w:line="218" w:lineRule="auto"/>
        <w:ind w:left="2464"/>
        <w:rPr>
          <w:rFonts w:ascii="宋体" w:hAnsi="宋体" w:eastAsia="宋体" w:cs="宋体"/>
          <w:color w:val="auto"/>
          <w:sz w:val="40"/>
          <w:szCs w:val="40"/>
          <w:highlight w:val="none"/>
        </w:rPr>
      </w:pPr>
      <w:bookmarkStart w:id="356" w:name="bookmark396"/>
      <w:bookmarkEnd w:id="356"/>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可计量措施项目清单计价表</w:t>
      </w:r>
    </w:p>
    <w:p>
      <w:pPr>
        <w:spacing w:before="73"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183" w:line="220" w:lineRule="auto"/>
        <w:ind w:left="126"/>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工程名称：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w:t>
      </w:r>
    </w:p>
    <w:p>
      <w:pPr>
        <w:spacing w:line="135" w:lineRule="exact"/>
        <w:rPr>
          <w:color w:val="auto"/>
          <w:highlight w:val="none"/>
        </w:rPr>
      </w:pPr>
    </w:p>
    <w:tbl>
      <w:tblPr>
        <w:tblStyle w:val="9"/>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2399"/>
        <w:gridCol w:w="1100"/>
        <w:gridCol w:w="750"/>
        <w:gridCol w:w="765"/>
        <w:gridCol w:w="1125"/>
        <w:gridCol w:w="975"/>
        <w:gridCol w:w="9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89" w:type="dxa"/>
            <w:tcBorders>
              <w:top w:val="single" w:color="000000" w:sz="6" w:space="0"/>
              <w:left w:val="single" w:color="000000" w:sz="6" w:space="0"/>
            </w:tcBorders>
            <w:vAlign w:val="top"/>
          </w:tcPr>
          <w:p>
            <w:pPr>
              <w:pStyle w:val="10"/>
              <w:spacing w:before="29" w:line="224" w:lineRule="auto"/>
              <w:ind w:left="300" w:right="123" w:hanging="176"/>
              <w:rPr>
                <w:color w:val="auto"/>
                <w:sz w:val="18"/>
                <w:szCs w:val="18"/>
                <w:highlight w:val="none"/>
              </w:rPr>
            </w:pPr>
            <w:r>
              <w:rPr>
                <w:color w:val="auto"/>
                <w:spacing w:val="-4"/>
                <w:sz w:val="18"/>
                <w:szCs w:val="18"/>
                <w:highlight w:val="none"/>
              </w:rPr>
              <w:t>项目编</w:t>
            </w:r>
            <w:r>
              <w:rPr>
                <w:color w:val="auto"/>
                <w:spacing w:val="1"/>
                <w:sz w:val="18"/>
                <w:szCs w:val="18"/>
                <w:highlight w:val="none"/>
              </w:rPr>
              <w:t xml:space="preserve"> </w:t>
            </w:r>
            <w:r>
              <w:rPr>
                <w:color w:val="auto"/>
                <w:sz w:val="18"/>
                <w:szCs w:val="18"/>
                <w:highlight w:val="none"/>
              </w:rPr>
              <w:t>码</w:t>
            </w:r>
          </w:p>
        </w:tc>
        <w:tc>
          <w:tcPr>
            <w:tcW w:w="2399" w:type="dxa"/>
            <w:tcBorders>
              <w:top w:val="single" w:color="000000" w:sz="6" w:space="0"/>
            </w:tcBorders>
            <w:vAlign w:val="top"/>
          </w:tcPr>
          <w:p>
            <w:pPr>
              <w:pStyle w:val="10"/>
              <w:spacing w:before="147" w:line="220" w:lineRule="auto"/>
              <w:ind w:left="840"/>
              <w:rPr>
                <w:color w:val="auto"/>
                <w:sz w:val="18"/>
                <w:szCs w:val="18"/>
                <w:highlight w:val="none"/>
              </w:rPr>
            </w:pPr>
            <w:r>
              <w:rPr>
                <w:color w:val="auto"/>
                <w:spacing w:val="-2"/>
                <w:sz w:val="18"/>
                <w:szCs w:val="18"/>
                <w:highlight w:val="none"/>
              </w:rPr>
              <w:t>项目名称</w:t>
            </w:r>
          </w:p>
        </w:tc>
        <w:tc>
          <w:tcPr>
            <w:tcW w:w="1100" w:type="dxa"/>
            <w:tcBorders>
              <w:top w:val="single" w:color="000000" w:sz="6" w:space="0"/>
            </w:tcBorders>
            <w:vAlign w:val="top"/>
          </w:tcPr>
          <w:p>
            <w:pPr>
              <w:pStyle w:val="10"/>
              <w:spacing w:before="146" w:line="220" w:lineRule="auto"/>
              <w:rPr>
                <w:color w:val="auto"/>
                <w:sz w:val="18"/>
                <w:szCs w:val="18"/>
                <w:highlight w:val="none"/>
              </w:rPr>
            </w:pPr>
            <w:r>
              <w:rPr>
                <w:color w:val="auto"/>
                <w:spacing w:val="-2"/>
                <w:sz w:val="18"/>
                <w:szCs w:val="18"/>
                <w:highlight w:val="none"/>
              </w:rPr>
              <w:t>项目特征</w:t>
            </w:r>
          </w:p>
        </w:tc>
        <w:tc>
          <w:tcPr>
            <w:tcW w:w="750" w:type="dxa"/>
            <w:tcBorders>
              <w:top w:val="single" w:color="000000" w:sz="6" w:space="0"/>
            </w:tcBorders>
            <w:vAlign w:val="top"/>
          </w:tcPr>
          <w:p>
            <w:pPr>
              <w:pStyle w:val="10"/>
              <w:spacing w:before="147" w:line="220" w:lineRule="auto"/>
              <w:ind w:left="214"/>
              <w:rPr>
                <w:color w:val="auto"/>
                <w:sz w:val="18"/>
                <w:szCs w:val="18"/>
                <w:highlight w:val="none"/>
              </w:rPr>
            </w:pPr>
            <w:r>
              <w:rPr>
                <w:color w:val="auto"/>
                <w:spacing w:val="-3"/>
                <w:sz w:val="18"/>
                <w:szCs w:val="18"/>
                <w:highlight w:val="none"/>
              </w:rPr>
              <w:t>单位</w:t>
            </w:r>
          </w:p>
        </w:tc>
        <w:tc>
          <w:tcPr>
            <w:tcW w:w="765" w:type="dxa"/>
            <w:tcBorders>
              <w:top w:val="single" w:color="000000" w:sz="6" w:space="0"/>
            </w:tcBorders>
            <w:vAlign w:val="top"/>
          </w:tcPr>
          <w:p>
            <w:pPr>
              <w:pStyle w:val="10"/>
              <w:spacing w:before="146" w:line="220" w:lineRule="auto"/>
              <w:ind w:left="256"/>
              <w:rPr>
                <w:color w:val="auto"/>
                <w:sz w:val="18"/>
                <w:szCs w:val="18"/>
                <w:highlight w:val="none"/>
              </w:rPr>
            </w:pPr>
            <w:r>
              <w:rPr>
                <w:color w:val="auto"/>
                <w:spacing w:val="-3"/>
                <w:sz w:val="18"/>
                <w:szCs w:val="18"/>
                <w:highlight w:val="none"/>
              </w:rPr>
              <w:t>数量</w:t>
            </w:r>
          </w:p>
        </w:tc>
        <w:tc>
          <w:tcPr>
            <w:tcW w:w="1125" w:type="dxa"/>
            <w:tcBorders>
              <w:top w:val="single" w:color="000000" w:sz="6" w:space="0"/>
            </w:tcBorders>
            <w:vAlign w:val="top"/>
          </w:tcPr>
          <w:p>
            <w:pPr>
              <w:pStyle w:val="10"/>
              <w:spacing w:before="147" w:line="218" w:lineRule="auto"/>
              <w:ind w:left="119"/>
              <w:rPr>
                <w:color w:val="auto"/>
                <w:sz w:val="18"/>
                <w:szCs w:val="18"/>
                <w:highlight w:val="none"/>
              </w:rPr>
            </w:pPr>
            <w:r>
              <w:rPr>
                <w:color w:val="auto"/>
                <w:spacing w:val="-4"/>
                <w:sz w:val="18"/>
                <w:szCs w:val="18"/>
                <w:highlight w:val="none"/>
              </w:rPr>
              <w:t>单价（元）</w:t>
            </w:r>
          </w:p>
        </w:tc>
        <w:tc>
          <w:tcPr>
            <w:tcW w:w="975" w:type="dxa"/>
            <w:tcBorders>
              <w:top w:val="single" w:color="000000" w:sz="6" w:space="0"/>
            </w:tcBorders>
            <w:vAlign w:val="top"/>
          </w:tcPr>
          <w:p>
            <w:pPr>
              <w:pStyle w:val="10"/>
              <w:spacing w:before="29" w:line="241" w:lineRule="auto"/>
              <w:ind w:left="341"/>
              <w:rPr>
                <w:color w:val="auto"/>
                <w:sz w:val="18"/>
                <w:szCs w:val="18"/>
                <w:highlight w:val="none"/>
              </w:rPr>
            </w:pPr>
            <w:r>
              <w:rPr>
                <w:color w:val="auto"/>
                <w:spacing w:val="-2"/>
                <w:sz w:val="18"/>
                <w:szCs w:val="18"/>
                <w:highlight w:val="none"/>
              </w:rPr>
              <w:t>合价</w:t>
            </w:r>
          </w:p>
          <w:p>
            <w:pPr>
              <w:pStyle w:val="10"/>
              <w:spacing w:line="206" w:lineRule="auto"/>
              <w:ind w:left="254"/>
              <w:rPr>
                <w:color w:val="auto"/>
                <w:sz w:val="18"/>
                <w:szCs w:val="18"/>
                <w:highlight w:val="none"/>
              </w:rPr>
            </w:pPr>
            <w:r>
              <w:rPr>
                <w:color w:val="auto"/>
                <w:spacing w:val="-6"/>
                <w:sz w:val="18"/>
                <w:szCs w:val="18"/>
                <w:highlight w:val="none"/>
              </w:rPr>
              <w:t>（元）</w:t>
            </w:r>
          </w:p>
        </w:tc>
        <w:tc>
          <w:tcPr>
            <w:tcW w:w="960" w:type="dxa"/>
            <w:tcBorders>
              <w:top w:val="single" w:color="000000" w:sz="6" w:space="0"/>
              <w:right w:val="single" w:color="000000" w:sz="6" w:space="0"/>
            </w:tcBorders>
            <w:vAlign w:val="top"/>
          </w:tcPr>
          <w:p>
            <w:pPr>
              <w:pStyle w:val="10"/>
              <w:spacing w:before="147" w:line="221" w:lineRule="auto"/>
              <w:ind w:left="375"/>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vAlign w:val="top"/>
          </w:tcPr>
          <w:p>
            <w:pPr>
              <w:rPr>
                <w:rFonts w:ascii="Arial"/>
                <w:color w:val="auto"/>
                <w:sz w:val="21"/>
                <w:highlight w:val="none"/>
              </w:rPr>
            </w:pPr>
          </w:p>
        </w:tc>
        <w:tc>
          <w:tcPr>
            <w:tcW w:w="2399" w:type="dxa"/>
            <w:vAlign w:val="top"/>
          </w:tcPr>
          <w:p>
            <w:pPr>
              <w:rPr>
                <w:rFonts w:ascii="Arial"/>
                <w:color w:val="auto"/>
                <w:sz w:val="21"/>
                <w:highlight w:val="none"/>
              </w:rPr>
            </w:pPr>
          </w:p>
        </w:tc>
        <w:tc>
          <w:tcPr>
            <w:tcW w:w="1100" w:type="dxa"/>
            <w:vAlign w:val="top"/>
          </w:tcPr>
          <w:p>
            <w:pPr>
              <w:rPr>
                <w:rFonts w:ascii="Arial"/>
                <w:color w:val="auto"/>
                <w:sz w:val="21"/>
                <w:highlight w:val="none"/>
              </w:rPr>
            </w:pPr>
          </w:p>
        </w:tc>
        <w:tc>
          <w:tcPr>
            <w:tcW w:w="750" w:type="dxa"/>
            <w:vAlign w:val="top"/>
          </w:tcPr>
          <w:p>
            <w:pPr>
              <w:rPr>
                <w:rFonts w:ascii="Arial"/>
                <w:color w:val="auto"/>
                <w:sz w:val="21"/>
                <w:highlight w:val="none"/>
              </w:rPr>
            </w:pPr>
          </w:p>
        </w:tc>
        <w:tc>
          <w:tcPr>
            <w:tcW w:w="76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96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6928" w:type="dxa"/>
            <w:gridSpan w:val="6"/>
            <w:tcBorders>
              <w:left w:val="single" w:color="000000" w:sz="6" w:space="0"/>
              <w:bottom w:val="single" w:color="000000" w:sz="6" w:space="0"/>
            </w:tcBorders>
            <w:vAlign w:val="top"/>
          </w:tcPr>
          <w:p>
            <w:pPr>
              <w:pStyle w:val="10"/>
              <w:spacing w:before="105" w:line="221" w:lineRule="auto"/>
              <w:ind w:left="3615"/>
              <w:rPr>
                <w:color w:val="auto"/>
                <w:sz w:val="18"/>
                <w:szCs w:val="18"/>
                <w:highlight w:val="none"/>
              </w:rPr>
            </w:pPr>
            <w:r>
              <w:rPr>
                <w:color w:val="auto"/>
                <w:spacing w:val="-2"/>
                <w:sz w:val="18"/>
                <w:szCs w:val="18"/>
                <w:highlight w:val="none"/>
              </w:rPr>
              <w:t>合计</w:t>
            </w:r>
          </w:p>
        </w:tc>
        <w:tc>
          <w:tcPr>
            <w:tcW w:w="975" w:type="dxa"/>
            <w:tcBorders>
              <w:bottom w:val="single" w:color="000000" w:sz="6" w:space="0"/>
            </w:tcBorders>
            <w:vAlign w:val="top"/>
          </w:tcPr>
          <w:p>
            <w:pPr>
              <w:rPr>
                <w:rFonts w:ascii="Arial"/>
                <w:color w:val="auto"/>
                <w:sz w:val="21"/>
                <w:highlight w:val="none"/>
              </w:rPr>
            </w:pPr>
          </w:p>
        </w:tc>
        <w:tc>
          <w:tcPr>
            <w:tcW w:w="960" w:type="dxa"/>
            <w:tcBorders>
              <w:bottom w:val="single" w:color="000000" w:sz="6" w:space="0"/>
              <w:right w:val="single" w:color="000000" w:sz="6" w:space="0"/>
            </w:tcBorders>
            <w:vAlign w:val="top"/>
          </w:tcPr>
          <w:p>
            <w:pPr>
              <w:rPr>
                <w:rFonts w:ascii="Arial"/>
                <w:color w:val="auto"/>
                <w:sz w:val="21"/>
                <w:highlight w:val="none"/>
              </w:rPr>
            </w:pPr>
          </w:p>
        </w:tc>
      </w:tr>
    </w:tbl>
    <w:p>
      <w:pPr>
        <w:spacing w:before="27" w:line="220" w:lineRule="auto"/>
        <w:jc w:val="center"/>
        <w:rPr>
          <w:rFonts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lang w:val="en-US" w:eastAsia="zh-CN"/>
        </w:rPr>
        <w:t xml:space="preserve">                                                   </w:t>
      </w:r>
      <w:r>
        <w:rPr>
          <w:rFonts w:ascii="宋体" w:hAnsi="宋体" w:eastAsia="宋体" w:cs="宋体"/>
          <w:color w:val="auto"/>
          <w:spacing w:val="-2"/>
          <w:sz w:val="18"/>
          <w:szCs w:val="18"/>
          <w:highlight w:val="none"/>
        </w:rPr>
        <w:t>法定代表人</w:t>
      </w:r>
    </w:p>
    <w:p>
      <w:pPr>
        <w:spacing w:before="90" w:line="220" w:lineRule="auto"/>
        <w:jc w:val="right"/>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11"/>
          <w:sz w:val="18"/>
          <w:szCs w:val="18"/>
          <w:highlight w:val="none"/>
        </w:rPr>
        <w:t>）</w:t>
      </w:r>
      <w:r>
        <w:rPr>
          <w:rFonts w:ascii="宋体" w:hAnsi="宋体" w:eastAsia="宋体" w:cs="宋体"/>
          <w:color w:val="auto"/>
          <w:spacing w:val="25"/>
          <w:sz w:val="18"/>
          <w:szCs w:val="18"/>
          <w:highlight w:val="none"/>
        </w:rPr>
        <w:t xml:space="preserve"> </w:t>
      </w:r>
      <w:r>
        <w:rPr>
          <w:rFonts w:ascii="宋体" w:hAnsi="宋体" w:eastAsia="宋体" w:cs="宋体"/>
          <w:color w:val="auto"/>
          <w:spacing w:val="-11"/>
          <w:sz w:val="18"/>
          <w:szCs w:val="18"/>
          <w:highlight w:val="none"/>
        </w:rPr>
        <w:t>：</w:t>
      </w:r>
      <w:r>
        <w:rPr>
          <w:rFonts w:ascii="宋体" w:hAnsi="宋体" w:eastAsia="宋体" w:cs="宋体"/>
          <w:color w:val="auto"/>
          <w:spacing w:val="14"/>
          <w:sz w:val="18"/>
          <w:szCs w:val="18"/>
          <w:highlight w:val="none"/>
          <w:u w:val="single" w:color="auto"/>
        </w:rPr>
        <w:t xml:space="preserve">      </w:t>
      </w:r>
      <w:r>
        <w:rPr>
          <w:rFonts w:ascii="宋体" w:hAnsi="宋体" w:eastAsia="宋体" w:cs="宋体"/>
          <w:color w:val="auto"/>
          <w:spacing w:val="-78"/>
          <w:sz w:val="18"/>
          <w:szCs w:val="18"/>
          <w:highlight w:val="none"/>
        </w:rPr>
        <w:t xml:space="preserve"> </w:t>
      </w:r>
      <w:r>
        <w:rPr>
          <w:rFonts w:ascii="宋体" w:hAnsi="宋体" w:eastAsia="宋体" w:cs="宋体"/>
          <w:color w:val="auto"/>
          <w:spacing w:val="-2"/>
          <w:sz w:val="18"/>
          <w:szCs w:val="18"/>
          <w:highlight w:val="none"/>
        </w:rPr>
        <w:t>签字</w:t>
      </w:r>
    </w:p>
    <w:p>
      <w:pPr>
        <w:spacing w:line="220" w:lineRule="auto"/>
        <w:rPr>
          <w:rFonts w:ascii="宋体" w:hAnsi="宋体" w:eastAsia="宋体" w:cs="宋体"/>
          <w:color w:val="auto"/>
          <w:sz w:val="18"/>
          <w:szCs w:val="18"/>
          <w:highlight w:val="none"/>
        </w:rPr>
        <w:sectPr>
          <w:footerReference r:id="rId86" w:type="default"/>
          <w:pgSz w:w="11907" w:h="16841"/>
          <w:pgMar w:top="1769" w:right="1548" w:bottom="1004" w:left="1542" w:header="0" w:footer="829" w:gutter="0"/>
          <w:pgNumType w:fmt="numberInDash"/>
          <w:cols w:space="720" w:num="1"/>
        </w:sectPr>
      </w:pPr>
    </w:p>
    <w:p>
      <w:pPr>
        <w:spacing w:before="7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3.10 </w:t>
      </w:r>
      <w:r>
        <w:rPr>
          <w:rFonts w:ascii="黑体" w:hAnsi="黑体" w:eastAsia="黑体" w:cs="黑体"/>
          <w:color w:val="auto"/>
          <w:spacing w:val="-1"/>
          <w:sz w:val="24"/>
          <w:szCs w:val="24"/>
          <w:highlight w:val="none"/>
        </w:rPr>
        <w:t>其他项目清单计价表</w:t>
      </w:r>
    </w:p>
    <w:p>
      <w:pPr>
        <w:pStyle w:val="2"/>
        <w:spacing w:line="336" w:lineRule="auto"/>
        <w:rPr>
          <w:color w:val="auto"/>
          <w:highlight w:val="none"/>
        </w:rPr>
      </w:pPr>
    </w:p>
    <w:p>
      <w:pPr>
        <w:spacing w:before="130" w:line="218" w:lineRule="auto"/>
        <w:ind w:left="2772"/>
        <w:rPr>
          <w:rFonts w:ascii="宋体" w:hAnsi="宋体" w:eastAsia="宋体" w:cs="宋体"/>
          <w:color w:val="auto"/>
          <w:sz w:val="40"/>
          <w:szCs w:val="40"/>
          <w:highlight w:val="none"/>
        </w:rPr>
      </w:pPr>
      <w:bookmarkStart w:id="357" w:name="bookmark397"/>
      <w:bookmarkEnd w:id="357"/>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其他项目清单计价表</w:t>
      </w:r>
    </w:p>
    <w:p>
      <w:pPr>
        <w:spacing w:before="276" w:line="228" w:lineRule="auto"/>
        <w:ind w:left="12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合同编号：</w:t>
      </w:r>
    </w:p>
    <w:p>
      <w:pPr>
        <w:spacing w:before="173" w:line="228" w:lineRule="auto"/>
        <w:ind w:left="127"/>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工程名称：                                                                  第</w:t>
      </w:r>
      <w:r>
        <w:rPr>
          <w:rFonts w:ascii="宋体" w:hAnsi="宋体" w:eastAsia="宋体" w:cs="宋体"/>
          <w:color w:val="auto"/>
          <w:spacing w:val="37"/>
          <w:sz w:val="19"/>
          <w:szCs w:val="19"/>
          <w:highlight w:val="none"/>
        </w:rPr>
        <w:t xml:space="preserve"> </w:t>
      </w:r>
      <w:r>
        <w:rPr>
          <w:rFonts w:ascii="宋体" w:hAnsi="宋体" w:eastAsia="宋体" w:cs="宋体"/>
          <w:color w:val="auto"/>
          <w:spacing w:val="1"/>
          <w:sz w:val="19"/>
          <w:szCs w:val="19"/>
          <w:highlight w:val="none"/>
        </w:rPr>
        <w:t>1 页、共</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1 页</w:t>
      </w:r>
    </w:p>
    <w:p>
      <w:pPr>
        <w:spacing w:line="142" w:lineRule="exact"/>
        <w:rPr>
          <w:color w:val="auto"/>
          <w:highlight w:val="none"/>
        </w:rPr>
      </w:pPr>
    </w:p>
    <w:tbl>
      <w:tblPr>
        <w:tblStyle w:val="9"/>
        <w:tblW w:w="911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1"/>
        <w:gridCol w:w="3758"/>
        <w:gridCol w:w="2228"/>
        <w:gridCol w:w="18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231" w:type="dxa"/>
            <w:tcBorders>
              <w:top w:val="single" w:color="000000" w:sz="6" w:space="0"/>
              <w:left w:val="single" w:color="000000" w:sz="6" w:space="0"/>
            </w:tcBorders>
            <w:vAlign w:val="top"/>
          </w:tcPr>
          <w:p>
            <w:pPr>
              <w:pStyle w:val="10"/>
              <w:spacing w:before="82" w:line="230" w:lineRule="auto"/>
              <w:ind w:left="411"/>
              <w:rPr>
                <w:color w:val="auto"/>
                <w:sz w:val="19"/>
                <w:szCs w:val="19"/>
                <w:highlight w:val="none"/>
              </w:rPr>
            </w:pPr>
            <w:r>
              <w:rPr>
                <w:color w:val="auto"/>
                <w:spacing w:val="5"/>
                <w:sz w:val="19"/>
                <w:szCs w:val="19"/>
                <w:highlight w:val="none"/>
              </w:rPr>
              <w:t>序号</w:t>
            </w:r>
          </w:p>
        </w:tc>
        <w:tc>
          <w:tcPr>
            <w:tcW w:w="3758" w:type="dxa"/>
            <w:tcBorders>
              <w:top w:val="single" w:color="000000" w:sz="6" w:space="0"/>
            </w:tcBorders>
            <w:vAlign w:val="top"/>
          </w:tcPr>
          <w:p>
            <w:pPr>
              <w:pStyle w:val="10"/>
              <w:spacing w:before="82" w:line="229" w:lineRule="auto"/>
              <w:ind w:left="1484"/>
              <w:rPr>
                <w:color w:val="auto"/>
                <w:sz w:val="19"/>
                <w:szCs w:val="19"/>
                <w:highlight w:val="none"/>
              </w:rPr>
            </w:pPr>
            <w:r>
              <w:rPr>
                <w:color w:val="auto"/>
                <w:spacing w:val="6"/>
                <w:sz w:val="19"/>
                <w:szCs w:val="19"/>
                <w:highlight w:val="none"/>
              </w:rPr>
              <w:t>项目名称</w:t>
            </w:r>
          </w:p>
        </w:tc>
        <w:tc>
          <w:tcPr>
            <w:tcW w:w="2228" w:type="dxa"/>
            <w:tcBorders>
              <w:top w:val="single" w:color="000000" w:sz="6" w:space="0"/>
            </w:tcBorders>
            <w:vAlign w:val="top"/>
          </w:tcPr>
          <w:p>
            <w:pPr>
              <w:pStyle w:val="10"/>
              <w:spacing w:before="83" w:line="228" w:lineRule="auto"/>
              <w:ind w:left="622"/>
              <w:rPr>
                <w:color w:val="auto"/>
                <w:sz w:val="19"/>
                <w:szCs w:val="19"/>
                <w:highlight w:val="none"/>
              </w:rPr>
            </w:pPr>
            <w:r>
              <w:rPr>
                <w:color w:val="auto"/>
                <w:spacing w:val="5"/>
                <w:sz w:val="19"/>
                <w:szCs w:val="19"/>
                <w:highlight w:val="none"/>
              </w:rPr>
              <w:t>金额（元）</w:t>
            </w:r>
          </w:p>
        </w:tc>
        <w:tc>
          <w:tcPr>
            <w:tcW w:w="1896" w:type="dxa"/>
            <w:tcBorders>
              <w:top w:val="single" w:color="000000" w:sz="6" w:space="0"/>
              <w:right w:val="single" w:color="000000" w:sz="6" w:space="0"/>
            </w:tcBorders>
            <w:vAlign w:val="top"/>
          </w:tcPr>
          <w:p>
            <w:pPr>
              <w:pStyle w:val="10"/>
              <w:spacing w:before="82" w:line="230" w:lineRule="auto"/>
              <w:ind w:left="757"/>
              <w:rPr>
                <w:color w:val="auto"/>
                <w:sz w:val="19"/>
                <w:szCs w:val="19"/>
                <w:highlight w:val="none"/>
              </w:rPr>
            </w:pPr>
            <w:r>
              <w:rPr>
                <w:color w:val="auto"/>
                <w:spacing w:val="4"/>
                <w:sz w:val="19"/>
                <w:szCs w:val="19"/>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pStyle w:val="10"/>
              <w:spacing w:before="112" w:line="188" w:lineRule="auto"/>
              <w:ind w:left="578"/>
              <w:rPr>
                <w:color w:val="auto"/>
                <w:sz w:val="19"/>
                <w:szCs w:val="19"/>
                <w:highlight w:val="none"/>
              </w:rPr>
            </w:pPr>
            <w:r>
              <w:rPr>
                <w:color w:val="auto"/>
                <w:sz w:val="19"/>
                <w:szCs w:val="19"/>
                <w:highlight w:val="none"/>
              </w:rPr>
              <w:t>1</w:t>
            </w:r>
          </w:p>
        </w:tc>
        <w:tc>
          <w:tcPr>
            <w:tcW w:w="3758" w:type="dxa"/>
            <w:vAlign w:val="top"/>
          </w:tcPr>
          <w:p>
            <w:pPr>
              <w:pStyle w:val="10"/>
              <w:spacing w:before="79" w:line="229" w:lineRule="auto"/>
              <w:ind w:left="109"/>
              <w:rPr>
                <w:color w:val="auto"/>
                <w:sz w:val="19"/>
                <w:szCs w:val="19"/>
                <w:highlight w:val="none"/>
              </w:rPr>
            </w:pPr>
            <w:r>
              <w:rPr>
                <w:color w:val="auto"/>
                <w:spacing w:val="6"/>
                <w:sz w:val="19"/>
                <w:szCs w:val="19"/>
                <w:highlight w:val="none"/>
              </w:rPr>
              <w:t>预留金</w:t>
            </w: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vAlign w:val="top"/>
          </w:tcPr>
          <w:p>
            <w:pPr>
              <w:rPr>
                <w:rFonts w:ascii="Arial"/>
                <w:color w:val="auto"/>
                <w:sz w:val="21"/>
                <w:highlight w:val="none"/>
              </w:rPr>
            </w:pPr>
          </w:p>
        </w:tc>
        <w:tc>
          <w:tcPr>
            <w:tcW w:w="3758" w:type="dxa"/>
            <w:vAlign w:val="top"/>
          </w:tcPr>
          <w:p>
            <w:pPr>
              <w:rPr>
                <w:rFonts w:ascii="Arial"/>
                <w:color w:val="auto"/>
                <w:sz w:val="21"/>
                <w:highlight w:val="none"/>
              </w:rPr>
            </w:pPr>
          </w:p>
        </w:tc>
        <w:tc>
          <w:tcPr>
            <w:tcW w:w="2228" w:type="dxa"/>
            <w:vAlign w:val="top"/>
          </w:tcPr>
          <w:p>
            <w:pPr>
              <w:rPr>
                <w:rFonts w:ascii="Arial"/>
                <w:color w:val="auto"/>
                <w:sz w:val="21"/>
                <w:highlight w:val="none"/>
              </w:rPr>
            </w:pPr>
          </w:p>
        </w:tc>
        <w:tc>
          <w:tcPr>
            <w:tcW w:w="1896"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989" w:type="dxa"/>
            <w:gridSpan w:val="2"/>
            <w:tcBorders>
              <w:left w:val="single" w:color="000000" w:sz="6" w:space="0"/>
              <w:bottom w:val="single" w:color="000000" w:sz="6" w:space="0"/>
            </w:tcBorders>
            <w:vAlign w:val="top"/>
          </w:tcPr>
          <w:p>
            <w:pPr>
              <w:pStyle w:val="10"/>
              <w:spacing w:before="91" w:line="230" w:lineRule="auto"/>
              <w:ind w:left="2295"/>
              <w:rPr>
                <w:color w:val="auto"/>
                <w:sz w:val="19"/>
                <w:szCs w:val="19"/>
                <w:highlight w:val="none"/>
              </w:rPr>
            </w:pPr>
            <w:r>
              <w:rPr>
                <w:color w:val="auto"/>
                <w:spacing w:val="4"/>
                <w:sz w:val="19"/>
                <w:szCs w:val="19"/>
                <w:highlight w:val="none"/>
              </w:rPr>
              <w:t>合计</w:t>
            </w:r>
          </w:p>
        </w:tc>
        <w:tc>
          <w:tcPr>
            <w:tcW w:w="2228" w:type="dxa"/>
            <w:tcBorders>
              <w:bottom w:val="single" w:color="000000" w:sz="6" w:space="0"/>
            </w:tcBorders>
            <w:vAlign w:val="top"/>
          </w:tcPr>
          <w:p>
            <w:pPr>
              <w:rPr>
                <w:rFonts w:ascii="Arial"/>
                <w:color w:val="auto"/>
                <w:sz w:val="21"/>
                <w:highlight w:val="none"/>
              </w:rPr>
            </w:pPr>
          </w:p>
        </w:tc>
        <w:tc>
          <w:tcPr>
            <w:tcW w:w="1896" w:type="dxa"/>
            <w:tcBorders>
              <w:bottom w:val="single" w:color="000000" w:sz="6" w:space="0"/>
              <w:right w:val="single" w:color="000000" w:sz="6" w:space="0"/>
            </w:tcBorders>
            <w:vAlign w:val="top"/>
          </w:tcPr>
          <w:p>
            <w:pPr>
              <w:rPr>
                <w:rFonts w:ascii="Arial"/>
                <w:color w:val="auto"/>
                <w:sz w:val="21"/>
                <w:highlight w:val="none"/>
              </w:rPr>
            </w:pPr>
          </w:p>
        </w:tc>
      </w:tr>
    </w:tbl>
    <w:p>
      <w:pPr>
        <w:spacing w:before="85" w:line="220" w:lineRule="auto"/>
        <w:ind w:left="6147"/>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138" w:line="220" w:lineRule="auto"/>
        <w:ind w:left="6070"/>
        <w:rPr>
          <w:rFonts w:ascii="宋体" w:hAnsi="宋体" w:eastAsia="宋体" w:cs="宋体"/>
          <w:color w:val="auto"/>
          <w:sz w:val="18"/>
          <w:szCs w:val="18"/>
          <w:highlight w:val="none"/>
        </w:rPr>
      </w:pPr>
      <w:r>
        <w:rPr>
          <w:rFonts w:ascii="宋体" w:hAnsi="宋体" w:eastAsia="宋体" w:cs="宋体"/>
          <w:color w:val="auto"/>
          <w:spacing w:val="-10"/>
          <w:sz w:val="18"/>
          <w:szCs w:val="18"/>
          <w:highlight w:val="none"/>
        </w:rPr>
        <w:t>（或委托代理人</w:t>
      </w:r>
      <w:r>
        <w:rPr>
          <w:rFonts w:ascii="宋体" w:hAnsi="宋体" w:eastAsia="宋体" w:cs="宋体"/>
          <w:color w:val="auto"/>
          <w:spacing w:val="-19"/>
          <w:sz w:val="18"/>
          <w:szCs w:val="18"/>
          <w:highlight w:val="none"/>
        </w:rPr>
        <w:t>）：</w:t>
      </w:r>
      <w:r>
        <w:rPr>
          <w:rFonts w:ascii="宋体" w:hAnsi="宋体" w:eastAsia="宋体" w:cs="宋体"/>
          <w:color w:val="auto"/>
          <w:spacing w:val="42"/>
          <w:sz w:val="18"/>
          <w:szCs w:val="18"/>
          <w:highlight w:val="none"/>
        </w:rPr>
        <w:t xml:space="preserve"> </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19"/>
          <w:sz w:val="18"/>
          <w:szCs w:val="18"/>
          <w:highlight w:val="none"/>
        </w:rPr>
        <w:t>（</w:t>
      </w:r>
      <w:r>
        <w:rPr>
          <w:rFonts w:ascii="宋体" w:hAnsi="宋体" w:eastAsia="宋体" w:cs="宋体"/>
          <w:color w:val="auto"/>
          <w:spacing w:val="-10"/>
          <w:sz w:val="18"/>
          <w:szCs w:val="18"/>
          <w:highlight w:val="none"/>
        </w:rPr>
        <w:t>签字）</w:t>
      </w:r>
    </w:p>
    <w:p>
      <w:pPr>
        <w:spacing w:line="220" w:lineRule="auto"/>
        <w:rPr>
          <w:rFonts w:ascii="宋体" w:hAnsi="宋体" w:eastAsia="宋体" w:cs="宋体"/>
          <w:color w:val="auto"/>
          <w:sz w:val="18"/>
          <w:szCs w:val="18"/>
          <w:highlight w:val="none"/>
        </w:rPr>
        <w:sectPr>
          <w:footerReference r:id="rId87" w:type="default"/>
          <w:pgSz w:w="11907" w:h="16841"/>
          <w:pgMar w:top="1769" w:right="1313" w:bottom="1004" w:left="1542" w:header="0" w:footer="829" w:gutter="0"/>
          <w:pgNumType w:fmt="numberInDash"/>
          <w:cols w:space="720" w:num="1"/>
        </w:sectPr>
      </w:pPr>
    </w:p>
    <w:p>
      <w:pPr>
        <w:pStyle w:val="2"/>
        <w:spacing w:line="266" w:lineRule="auto"/>
        <w:rPr>
          <w:color w:val="auto"/>
          <w:highlight w:val="none"/>
        </w:rPr>
      </w:pPr>
    </w:p>
    <w:p>
      <w:pPr>
        <w:spacing w:before="78"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3.11 </w:t>
      </w:r>
      <w:r>
        <w:rPr>
          <w:rFonts w:ascii="黑体" w:hAnsi="黑体" w:eastAsia="黑体" w:cs="黑体"/>
          <w:color w:val="auto"/>
          <w:spacing w:val="-2"/>
          <w:sz w:val="24"/>
          <w:szCs w:val="24"/>
          <w:highlight w:val="none"/>
        </w:rPr>
        <w:t>零星工作项目计价表</w:t>
      </w:r>
    </w:p>
    <w:p>
      <w:pPr>
        <w:spacing w:before="311" w:line="218" w:lineRule="auto"/>
        <w:ind w:left="2813"/>
        <w:rPr>
          <w:rFonts w:ascii="宋体" w:hAnsi="宋体" w:eastAsia="宋体" w:cs="宋体"/>
          <w:color w:val="auto"/>
          <w:sz w:val="40"/>
          <w:szCs w:val="40"/>
          <w:highlight w:val="none"/>
        </w:rPr>
      </w:pPr>
      <w:bookmarkStart w:id="358" w:name="bookmark398"/>
      <w:bookmarkEnd w:id="358"/>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零星工作项目计价表</w:t>
      </w:r>
    </w:p>
    <w:p>
      <w:pPr>
        <w:spacing w:before="42"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234" w:line="220" w:lineRule="auto"/>
        <w:jc w:val="right"/>
        <w:rPr>
          <w:rFonts w:ascii="宋体" w:hAnsi="宋体" w:eastAsia="宋体" w:cs="宋体"/>
          <w:color w:val="auto"/>
          <w:sz w:val="18"/>
          <w:szCs w:val="18"/>
          <w:highlight w:val="none"/>
        </w:rPr>
      </w:pPr>
      <w:r>
        <w:rPr>
          <w:rFonts w:ascii="宋体" w:hAnsi="宋体" w:eastAsia="宋体" w:cs="宋体"/>
          <w:color w:val="auto"/>
          <w:spacing w:val="-16"/>
          <w:sz w:val="18"/>
          <w:szCs w:val="18"/>
          <w:highlight w:val="none"/>
        </w:rPr>
        <w:t>工程名称：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rFonts w:ascii="宋体" w:hAnsi="宋体" w:eastAsia="宋体" w:cs="宋体"/>
          <w:color w:val="auto"/>
          <w:spacing w:val="-16"/>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16"/>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6"/>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16"/>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6"/>
          <w:sz w:val="18"/>
          <w:szCs w:val="18"/>
          <w:highlight w:val="none"/>
        </w:rPr>
        <w:t>页</w:t>
      </w:r>
    </w:p>
    <w:p>
      <w:pPr>
        <w:spacing w:line="211" w:lineRule="exact"/>
        <w:rPr>
          <w:color w:val="auto"/>
          <w:highlight w:val="none"/>
        </w:rPr>
      </w:pPr>
    </w:p>
    <w:tbl>
      <w:tblPr>
        <w:tblStyle w:val="9"/>
        <w:tblW w:w="91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3329"/>
        <w:gridCol w:w="1699"/>
        <w:gridCol w:w="1076"/>
        <w:gridCol w:w="1186"/>
        <w:gridCol w:w="9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39" w:type="dxa"/>
            <w:tcBorders>
              <w:top w:val="single" w:color="000000" w:sz="6" w:space="0"/>
              <w:left w:val="single" w:color="000000" w:sz="6" w:space="0"/>
            </w:tcBorders>
            <w:vAlign w:val="top"/>
          </w:tcPr>
          <w:p>
            <w:pPr>
              <w:pStyle w:val="10"/>
              <w:spacing w:before="75" w:line="221" w:lineRule="auto"/>
              <w:ind w:left="286"/>
              <w:rPr>
                <w:color w:val="auto"/>
                <w:sz w:val="18"/>
                <w:szCs w:val="18"/>
                <w:highlight w:val="none"/>
              </w:rPr>
            </w:pPr>
            <w:r>
              <w:rPr>
                <w:color w:val="auto"/>
                <w:spacing w:val="-2"/>
                <w:sz w:val="18"/>
                <w:szCs w:val="18"/>
                <w:highlight w:val="none"/>
              </w:rPr>
              <w:t>序号</w:t>
            </w:r>
          </w:p>
        </w:tc>
        <w:tc>
          <w:tcPr>
            <w:tcW w:w="3329" w:type="dxa"/>
            <w:tcBorders>
              <w:top w:val="single" w:color="000000" w:sz="6" w:space="0"/>
            </w:tcBorders>
            <w:vAlign w:val="top"/>
          </w:tcPr>
          <w:p>
            <w:pPr>
              <w:pStyle w:val="10"/>
              <w:spacing w:before="74" w:line="222" w:lineRule="auto"/>
              <w:ind w:left="1487"/>
              <w:rPr>
                <w:color w:val="auto"/>
                <w:sz w:val="18"/>
                <w:szCs w:val="18"/>
                <w:highlight w:val="none"/>
              </w:rPr>
            </w:pPr>
            <w:r>
              <w:rPr>
                <w:color w:val="auto"/>
                <w:spacing w:val="-3"/>
                <w:sz w:val="18"/>
                <w:szCs w:val="18"/>
                <w:highlight w:val="none"/>
              </w:rPr>
              <w:t>名称</w:t>
            </w:r>
          </w:p>
        </w:tc>
        <w:tc>
          <w:tcPr>
            <w:tcW w:w="1699" w:type="dxa"/>
            <w:tcBorders>
              <w:top w:val="single" w:color="000000" w:sz="6" w:space="0"/>
            </w:tcBorders>
            <w:vAlign w:val="top"/>
          </w:tcPr>
          <w:p>
            <w:pPr>
              <w:pStyle w:val="10"/>
              <w:spacing w:before="74" w:line="220" w:lineRule="auto"/>
              <w:ind w:left="501"/>
              <w:rPr>
                <w:color w:val="auto"/>
                <w:sz w:val="18"/>
                <w:szCs w:val="18"/>
                <w:highlight w:val="none"/>
              </w:rPr>
            </w:pPr>
            <w:r>
              <w:rPr>
                <w:color w:val="auto"/>
                <w:spacing w:val="-3"/>
                <w:sz w:val="18"/>
                <w:szCs w:val="18"/>
                <w:highlight w:val="none"/>
              </w:rPr>
              <w:t>型号规格</w:t>
            </w:r>
          </w:p>
        </w:tc>
        <w:tc>
          <w:tcPr>
            <w:tcW w:w="1076" w:type="dxa"/>
            <w:tcBorders>
              <w:top w:val="single" w:color="000000" w:sz="6" w:space="0"/>
            </w:tcBorders>
            <w:vAlign w:val="top"/>
          </w:tcPr>
          <w:p>
            <w:pPr>
              <w:pStyle w:val="10"/>
              <w:spacing w:before="75" w:line="220" w:lineRule="auto"/>
              <w:ind w:left="184"/>
              <w:rPr>
                <w:color w:val="auto"/>
                <w:sz w:val="18"/>
                <w:szCs w:val="18"/>
                <w:highlight w:val="none"/>
              </w:rPr>
            </w:pPr>
            <w:r>
              <w:rPr>
                <w:color w:val="auto"/>
                <w:spacing w:val="-2"/>
                <w:sz w:val="18"/>
                <w:szCs w:val="18"/>
                <w:highlight w:val="none"/>
              </w:rPr>
              <w:t>计量单位</w:t>
            </w:r>
          </w:p>
        </w:tc>
        <w:tc>
          <w:tcPr>
            <w:tcW w:w="1186" w:type="dxa"/>
            <w:tcBorders>
              <w:top w:val="single" w:color="000000" w:sz="6" w:space="0"/>
            </w:tcBorders>
            <w:vAlign w:val="top"/>
          </w:tcPr>
          <w:p>
            <w:pPr>
              <w:pStyle w:val="10"/>
              <w:spacing w:before="75" w:line="218" w:lineRule="auto"/>
              <w:ind w:left="156"/>
              <w:rPr>
                <w:color w:val="auto"/>
                <w:sz w:val="18"/>
                <w:szCs w:val="18"/>
                <w:highlight w:val="none"/>
              </w:rPr>
            </w:pPr>
            <w:r>
              <w:rPr>
                <w:color w:val="auto"/>
                <w:spacing w:val="-2"/>
                <w:sz w:val="18"/>
                <w:szCs w:val="18"/>
                <w:highlight w:val="none"/>
              </w:rPr>
              <w:t>单价（元）</w:t>
            </w:r>
          </w:p>
        </w:tc>
        <w:tc>
          <w:tcPr>
            <w:tcW w:w="963" w:type="dxa"/>
            <w:tcBorders>
              <w:top w:val="single" w:color="000000" w:sz="6" w:space="0"/>
              <w:right w:val="single" w:color="000000" w:sz="6" w:space="0"/>
            </w:tcBorders>
            <w:vAlign w:val="top"/>
          </w:tcPr>
          <w:p>
            <w:pPr>
              <w:pStyle w:val="10"/>
              <w:spacing w:before="75" w:line="221" w:lineRule="auto"/>
              <w:ind w:left="313"/>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9" w:type="dxa"/>
            <w:tcBorders>
              <w:left w:val="single" w:color="000000" w:sz="6" w:space="0"/>
            </w:tcBorders>
            <w:vAlign w:val="top"/>
          </w:tcPr>
          <w:p>
            <w:pPr>
              <w:pStyle w:val="10"/>
              <w:spacing w:before="81" w:line="182" w:lineRule="auto"/>
              <w:ind w:left="434"/>
              <w:rPr>
                <w:color w:val="auto"/>
                <w:sz w:val="18"/>
                <w:szCs w:val="18"/>
                <w:highlight w:val="none"/>
              </w:rPr>
            </w:pPr>
            <w:r>
              <w:rPr>
                <w:color w:val="auto"/>
                <w:sz w:val="18"/>
                <w:szCs w:val="18"/>
                <w:highlight w:val="none"/>
              </w:rPr>
              <w:t>1</w:t>
            </w:r>
          </w:p>
        </w:tc>
        <w:tc>
          <w:tcPr>
            <w:tcW w:w="3329" w:type="dxa"/>
            <w:vAlign w:val="top"/>
          </w:tcPr>
          <w:p>
            <w:pPr>
              <w:pStyle w:val="10"/>
              <w:spacing w:before="52" w:line="222" w:lineRule="auto"/>
              <w:ind w:left="108"/>
              <w:rPr>
                <w:color w:val="auto"/>
                <w:sz w:val="18"/>
                <w:szCs w:val="18"/>
                <w:highlight w:val="none"/>
              </w:rPr>
            </w:pPr>
            <w:r>
              <w:rPr>
                <w:color w:val="auto"/>
                <w:spacing w:val="-3"/>
                <w:sz w:val="18"/>
                <w:szCs w:val="18"/>
                <w:highlight w:val="none"/>
              </w:rPr>
              <w:t>人工</w:t>
            </w: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9" w:type="dxa"/>
            <w:tcBorders>
              <w:left w:val="single" w:color="000000" w:sz="6" w:space="0"/>
            </w:tcBorders>
            <w:vAlign w:val="top"/>
          </w:tcPr>
          <w:p>
            <w:pPr>
              <w:pStyle w:val="10"/>
              <w:spacing w:before="83" w:line="181" w:lineRule="auto"/>
              <w:ind w:left="423"/>
              <w:rPr>
                <w:color w:val="auto"/>
                <w:sz w:val="18"/>
                <w:szCs w:val="18"/>
                <w:highlight w:val="none"/>
              </w:rPr>
            </w:pPr>
            <w:r>
              <w:rPr>
                <w:color w:val="auto"/>
                <w:sz w:val="18"/>
                <w:szCs w:val="18"/>
                <w:highlight w:val="none"/>
              </w:rPr>
              <w:t>2</w:t>
            </w:r>
          </w:p>
        </w:tc>
        <w:tc>
          <w:tcPr>
            <w:tcW w:w="3329" w:type="dxa"/>
            <w:vAlign w:val="top"/>
          </w:tcPr>
          <w:p>
            <w:pPr>
              <w:pStyle w:val="10"/>
              <w:spacing w:before="52" w:line="219" w:lineRule="auto"/>
              <w:ind w:left="106"/>
              <w:rPr>
                <w:color w:val="auto"/>
                <w:sz w:val="18"/>
                <w:szCs w:val="18"/>
                <w:highlight w:val="none"/>
              </w:rPr>
            </w:pPr>
            <w:r>
              <w:rPr>
                <w:color w:val="auto"/>
                <w:spacing w:val="-2"/>
                <w:sz w:val="18"/>
                <w:szCs w:val="18"/>
                <w:highlight w:val="none"/>
              </w:rPr>
              <w:t>材料</w:t>
            </w: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9" w:type="dxa"/>
            <w:tcBorders>
              <w:left w:val="single" w:color="000000" w:sz="6" w:space="0"/>
            </w:tcBorders>
            <w:vAlign w:val="top"/>
          </w:tcPr>
          <w:p>
            <w:pPr>
              <w:pStyle w:val="10"/>
              <w:spacing w:before="83" w:line="181" w:lineRule="auto"/>
              <w:ind w:left="425"/>
              <w:rPr>
                <w:color w:val="auto"/>
                <w:sz w:val="18"/>
                <w:szCs w:val="18"/>
                <w:highlight w:val="none"/>
              </w:rPr>
            </w:pPr>
            <w:r>
              <w:rPr>
                <w:color w:val="auto"/>
                <w:sz w:val="18"/>
                <w:szCs w:val="18"/>
                <w:highlight w:val="none"/>
              </w:rPr>
              <w:t>3</w:t>
            </w:r>
          </w:p>
        </w:tc>
        <w:tc>
          <w:tcPr>
            <w:tcW w:w="3329" w:type="dxa"/>
            <w:vAlign w:val="top"/>
          </w:tcPr>
          <w:p>
            <w:pPr>
              <w:pStyle w:val="10"/>
              <w:spacing w:before="52" w:line="219" w:lineRule="auto"/>
              <w:ind w:left="106"/>
              <w:rPr>
                <w:color w:val="auto"/>
                <w:sz w:val="18"/>
                <w:szCs w:val="18"/>
                <w:highlight w:val="none"/>
              </w:rPr>
            </w:pPr>
            <w:r>
              <w:rPr>
                <w:color w:val="auto"/>
                <w:spacing w:val="-2"/>
                <w:sz w:val="18"/>
                <w:szCs w:val="18"/>
                <w:highlight w:val="none"/>
              </w:rPr>
              <w:t>机械</w:t>
            </w: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bottom w:val="single" w:color="000000" w:sz="4" w:space="0"/>
            </w:tcBorders>
            <w:vAlign w:val="top"/>
          </w:tcPr>
          <w:p>
            <w:pPr>
              <w:rPr>
                <w:rFonts w:ascii="Arial"/>
                <w:color w:val="auto"/>
                <w:sz w:val="21"/>
                <w:highlight w:val="none"/>
              </w:rPr>
            </w:pPr>
          </w:p>
        </w:tc>
        <w:tc>
          <w:tcPr>
            <w:tcW w:w="3329" w:type="dxa"/>
            <w:tcBorders>
              <w:bottom w:val="single" w:color="000000" w:sz="4" w:space="0"/>
            </w:tcBorders>
            <w:vAlign w:val="top"/>
          </w:tcPr>
          <w:p>
            <w:pPr>
              <w:rPr>
                <w:rFonts w:ascii="Arial"/>
                <w:color w:val="auto"/>
                <w:sz w:val="21"/>
                <w:highlight w:val="none"/>
              </w:rPr>
            </w:pPr>
          </w:p>
        </w:tc>
        <w:tc>
          <w:tcPr>
            <w:tcW w:w="1699" w:type="dxa"/>
            <w:tcBorders>
              <w:bottom w:val="single" w:color="000000" w:sz="4" w:space="0"/>
            </w:tcBorders>
            <w:vAlign w:val="top"/>
          </w:tcPr>
          <w:p>
            <w:pPr>
              <w:rPr>
                <w:rFonts w:ascii="Arial"/>
                <w:color w:val="auto"/>
                <w:sz w:val="21"/>
                <w:highlight w:val="none"/>
              </w:rPr>
            </w:pPr>
          </w:p>
        </w:tc>
        <w:tc>
          <w:tcPr>
            <w:tcW w:w="1076" w:type="dxa"/>
            <w:tcBorders>
              <w:bottom w:val="single" w:color="000000" w:sz="4" w:space="0"/>
            </w:tcBorders>
            <w:vAlign w:val="top"/>
          </w:tcPr>
          <w:p>
            <w:pPr>
              <w:rPr>
                <w:rFonts w:ascii="Arial"/>
                <w:color w:val="auto"/>
                <w:sz w:val="21"/>
                <w:highlight w:val="none"/>
              </w:rPr>
            </w:pPr>
          </w:p>
        </w:tc>
        <w:tc>
          <w:tcPr>
            <w:tcW w:w="1186" w:type="dxa"/>
            <w:tcBorders>
              <w:bottom w:val="single" w:color="000000" w:sz="4" w:space="0"/>
            </w:tcBorders>
            <w:vAlign w:val="top"/>
          </w:tcPr>
          <w:p>
            <w:pPr>
              <w:rPr>
                <w:rFonts w:ascii="Arial"/>
                <w:color w:val="auto"/>
                <w:sz w:val="21"/>
                <w:highlight w:val="none"/>
              </w:rPr>
            </w:pPr>
          </w:p>
        </w:tc>
        <w:tc>
          <w:tcPr>
            <w:tcW w:w="963" w:type="dxa"/>
            <w:tcBorders>
              <w:bottom w:val="single" w:color="000000" w:sz="4" w:space="0"/>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39" w:type="dxa"/>
            <w:tcBorders>
              <w:top w:val="single" w:color="000000" w:sz="4" w:space="0"/>
              <w:left w:val="single" w:color="000000" w:sz="6" w:space="0"/>
            </w:tcBorders>
            <w:vAlign w:val="top"/>
          </w:tcPr>
          <w:p>
            <w:pPr>
              <w:rPr>
                <w:rFonts w:ascii="Arial"/>
                <w:color w:val="auto"/>
                <w:sz w:val="21"/>
                <w:highlight w:val="none"/>
              </w:rPr>
            </w:pPr>
          </w:p>
        </w:tc>
        <w:tc>
          <w:tcPr>
            <w:tcW w:w="3329" w:type="dxa"/>
            <w:tcBorders>
              <w:top w:val="single" w:color="000000" w:sz="4" w:space="0"/>
            </w:tcBorders>
            <w:vAlign w:val="top"/>
          </w:tcPr>
          <w:p>
            <w:pPr>
              <w:rPr>
                <w:rFonts w:ascii="Arial"/>
                <w:color w:val="auto"/>
                <w:sz w:val="21"/>
                <w:highlight w:val="none"/>
              </w:rPr>
            </w:pPr>
          </w:p>
        </w:tc>
        <w:tc>
          <w:tcPr>
            <w:tcW w:w="1699" w:type="dxa"/>
            <w:tcBorders>
              <w:top w:val="single" w:color="000000" w:sz="4" w:space="0"/>
            </w:tcBorders>
            <w:vAlign w:val="top"/>
          </w:tcPr>
          <w:p>
            <w:pPr>
              <w:rPr>
                <w:rFonts w:ascii="Arial"/>
                <w:color w:val="auto"/>
                <w:sz w:val="21"/>
                <w:highlight w:val="none"/>
              </w:rPr>
            </w:pPr>
          </w:p>
        </w:tc>
        <w:tc>
          <w:tcPr>
            <w:tcW w:w="1076" w:type="dxa"/>
            <w:tcBorders>
              <w:top w:val="single" w:color="000000" w:sz="4" w:space="0"/>
            </w:tcBorders>
            <w:vAlign w:val="top"/>
          </w:tcPr>
          <w:p>
            <w:pPr>
              <w:rPr>
                <w:rFonts w:ascii="Arial"/>
                <w:color w:val="auto"/>
                <w:sz w:val="21"/>
                <w:highlight w:val="none"/>
              </w:rPr>
            </w:pPr>
          </w:p>
        </w:tc>
        <w:tc>
          <w:tcPr>
            <w:tcW w:w="1186" w:type="dxa"/>
            <w:tcBorders>
              <w:top w:val="single" w:color="000000" w:sz="4" w:space="0"/>
            </w:tcBorders>
            <w:vAlign w:val="top"/>
          </w:tcPr>
          <w:p>
            <w:pPr>
              <w:rPr>
                <w:rFonts w:ascii="Arial"/>
                <w:color w:val="auto"/>
                <w:sz w:val="21"/>
                <w:highlight w:val="none"/>
              </w:rPr>
            </w:pPr>
          </w:p>
        </w:tc>
        <w:tc>
          <w:tcPr>
            <w:tcW w:w="963" w:type="dxa"/>
            <w:tcBorders>
              <w:top w:val="single" w:color="000000" w:sz="4" w:space="0"/>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vAlign w:val="top"/>
          </w:tcPr>
          <w:p>
            <w:pPr>
              <w:rPr>
                <w:rFonts w:ascii="Arial"/>
                <w:color w:val="auto"/>
                <w:sz w:val="21"/>
                <w:highlight w:val="none"/>
              </w:rPr>
            </w:pPr>
          </w:p>
        </w:tc>
        <w:tc>
          <w:tcPr>
            <w:tcW w:w="3329" w:type="dxa"/>
            <w:vAlign w:val="top"/>
          </w:tcPr>
          <w:p>
            <w:pPr>
              <w:rPr>
                <w:rFonts w:ascii="Arial"/>
                <w:color w:val="auto"/>
                <w:sz w:val="21"/>
                <w:highlight w:val="none"/>
              </w:rPr>
            </w:pPr>
          </w:p>
        </w:tc>
        <w:tc>
          <w:tcPr>
            <w:tcW w:w="1699" w:type="dxa"/>
            <w:vAlign w:val="top"/>
          </w:tcPr>
          <w:p>
            <w:pPr>
              <w:rPr>
                <w:rFonts w:ascii="Arial"/>
                <w:color w:val="auto"/>
                <w:sz w:val="21"/>
                <w:highlight w:val="none"/>
              </w:rPr>
            </w:pPr>
          </w:p>
        </w:tc>
        <w:tc>
          <w:tcPr>
            <w:tcW w:w="1076" w:type="dxa"/>
            <w:vAlign w:val="top"/>
          </w:tcPr>
          <w:p>
            <w:pPr>
              <w:rPr>
                <w:rFonts w:ascii="Arial"/>
                <w:color w:val="auto"/>
                <w:sz w:val="21"/>
                <w:highlight w:val="none"/>
              </w:rPr>
            </w:pPr>
          </w:p>
        </w:tc>
        <w:tc>
          <w:tcPr>
            <w:tcW w:w="1186" w:type="dxa"/>
            <w:vAlign w:val="top"/>
          </w:tcPr>
          <w:p>
            <w:pPr>
              <w:rPr>
                <w:rFonts w:ascii="Arial"/>
                <w:color w:val="auto"/>
                <w:sz w:val="21"/>
                <w:highlight w:val="none"/>
              </w:rPr>
            </w:pPr>
          </w:p>
        </w:tc>
        <w:tc>
          <w:tcPr>
            <w:tcW w:w="96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9" w:type="dxa"/>
            <w:tcBorders>
              <w:left w:val="single" w:color="000000" w:sz="6" w:space="0"/>
              <w:bottom w:val="single" w:color="000000" w:sz="6" w:space="0"/>
            </w:tcBorders>
            <w:vAlign w:val="top"/>
          </w:tcPr>
          <w:p>
            <w:pPr>
              <w:rPr>
                <w:rFonts w:ascii="Arial"/>
                <w:color w:val="auto"/>
                <w:sz w:val="21"/>
                <w:highlight w:val="none"/>
              </w:rPr>
            </w:pPr>
          </w:p>
        </w:tc>
        <w:tc>
          <w:tcPr>
            <w:tcW w:w="3329" w:type="dxa"/>
            <w:tcBorders>
              <w:bottom w:val="single" w:color="000000" w:sz="6" w:space="0"/>
            </w:tcBorders>
            <w:vAlign w:val="top"/>
          </w:tcPr>
          <w:p>
            <w:pPr>
              <w:rPr>
                <w:rFonts w:ascii="Arial"/>
                <w:color w:val="auto"/>
                <w:sz w:val="21"/>
                <w:highlight w:val="none"/>
              </w:rPr>
            </w:pPr>
          </w:p>
        </w:tc>
        <w:tc>
          <w:tcPr>
            <w:tcW w:w="1699" w:type="dxa"/>
            <w:tcBorders>
              <w:bottom w:val="single" w:color="000000" w:sz="6" w:space="0"/>
            </w:tcBorders>
            <w:vAlign w:val="top"/>
          </w:tcPr>
          <w:p>
            <w:pPr>
              <w:rPr>
                <w:rFonts w:ascii="Arial"/>
                <w:color w:val="auto"/>
                <w:sz w:val="21"/>
                <w:highlight w:val="none"/>
              </w:rPr>
            </w:pPr>
          </w:p>
        </w:tc>
        <w:tc>
          <w:tcPr>
            <w:tcW w:w="1076" w:type="dxa"/>
            <w:tcBorders>
              <w:bottom w:val="single" w:color="000000" w:sz="6" w:space="0"/>
            </w:tcBorders>
            <w:vAlign w:val="top"/>
          </w:tcPr>
          <w:p>
            <w:pPr>
              <w:rPr>
                <w:rFonts w:ascii="Arial"/>
                <w:color w:val="auto"/>
                <w:sz w:val="21"/>
                <w:highlight w:val="none"/>
              </w:rPr>
            </w:pPr>
          </w:p>
        </w:tc>
        <w:tc>
          <w:tcPr>
            <w:tcW w:w="1186" w:type="dxa"/>
            <w:tcBorders>
              <w:bottom w:val="single" w:color="000000" w:sz="6" w:space="0"/>
            </w:tcBorders>
            <w:vAlign w:val="top"/>
          </w:tcPr>
          <w:p>
            <w:pPr>
              <w:rPr>
                <w:rFonts w:ascii="Arial"/>
                <w:color w:val="auto"/>
                <w:sz w:val="21"/>
                <w:highlight w:val="none"/>
              </w:rPr>
            </w:pPr>
          </w:p>
        </w:tc>
        <w:tc>
          <w:tcPr>
            <w:tcW w:w="963" w:type="dxa"/>
            <w:tcBorders>
              <w:bottom w:val="single" w:color="000000" w:sz="6" w:space="0"/>
              <w:right w:val="single" w:color="000000" w:sz="6" w:space="0"/>
            </w:tcBorders>
            <w:vAlign w:val="top"/>
          </w:tcPr>
          <w:p>
            <w:pPr>
              <w:rPr>
                <w:rFonts w:ascii="Arial"/>
                <w:color w:val="auto"/>
                <w:sz w:val="21"/>
                <w:highlight w:val="none"/>
              </w:rPr>
            </w:pPr>
          </w:p>
        </w:tc>
      </w:tr>
    </w:tbl>
    <w:p>
      <w:pPr>
        <w:spacing w:before="92" w:line="220" w:lineRule="auto"/>
        <w:ind w:left="6349"/>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86" w:line="220" w:lineRule="auto"/>
        <w:ind w:left="6171"/>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7"/>
          <w:sz w:val="18"/>
          <w:szCs w:val="18"/>
          <w:highlight w:val="none"/>
        </w:rPr>
        <w:t>）</w:t>
      </w:r>
      <w:r>
        <w:rPr>
          <w:rFonts w:ascii="宋体" w:hAnsi="宋体" w:eastAsia="宋体" w:cs="宋体"/>
          <w:color w:val="auto"/>
          <w:spacing w:val="25"/>
          <w:w w:val="101"/>
          <w:sz w:val="18"/>
          <w:szCs w:val="18"/>
          <w:highlight w:val="none"/>
        </w:rPr>
        <w:t xml:space="preserve"> </w:t>
      </w:r>
      <w:r>
        <w:rPr>
          <w:rFonts w:ascii="宋体" w:hAnsi="宋体" w:eastAsia="宋体" w:cs="宋体"/>
          <w:color w:val="auto"/>
          <w:spacing w:val="-7"/>
          <w:sz w:val="18"/>
          <w:szCs w:val="18"/>
          <w:highlight w:val="none"/>
        </w:rPr>
        <w:t>：</w:t>
      </w:r>
      <w:r>
        <w:rPr>
          <w:rFonts w:ascii="宋体" w:hAnsi="宋体" w:eastAsia="宋体" w:cs="宋体"/>
          <w:color w:val="auto"/>
          <w:spacing w:val="14"/>
          <w:sz w:val="18"/>
          <w:szCs w:val="18"/>
          <w:highlight w:val="none"/>
          <w:u w:val="single" w:color="auto"/>
        </w:rPr>
        <w:t xml:space="preserve">   </w:t>
      </w:r>
      <w:r>
        <w:rPr>
          <w:rFonts w:ascii="宋体" w:hAnsi="宋体" w:eastAsia="宋体" w:cs="宋体"/>
          <w:color w:val="auto"/>
          <w:spacing w:val="-39"/>
          <w:sz w:val="18"/>
          <w:szCs w:val="18"/>
          <w:highlight w:val="none"/>
        </w:rPr>
        <w:t xml:space="preserve"> </w:t>
      </w:r>
      <w:r>
        <w:rPr>
          <w:rFonts w:ascii="宋体" w:hAnsi="宋体" w:eastAsia="宋体" w:cs="宋体"/>
          <w:color w:val="auto"/>
          <w:spacing w:val="-7"/>
          <w:sz w:val="18"/>
          <w:szCs w:val="18"/>
          <w:highlight w:val="none"/>
        </w:rPr>
        <w:t>（</w:t>
      </w:r>
      <w:r>
        <w:rPr>
          <w:rFonts w:ascii="宋体" w:hAnsi="宋体" w:eastAsia="宋体" w:cs="宋体"/>
          <w:color w:val="auto"/>
          <w:spacing w:val="-2"/>
          <w:sz w:val="18"/>
          <w:szCs w:val="18"/>
          <w:highlight w:val="none"/>
        </w:rPr>
        <w:t>签</w:t>
      </w:r>
      <w:r>
        <w:rPr>
          <w:rFonts w:ascii="宋体" w:hAnsi="宋体" w:eastAsia="宋体" w:cs="宋体"/>
          <w:color w:val="auto"/>
          <w:spacing w:val="-5"/>
          <w:sz w:val="18"/>
          <w:szCs w:val="18"/>
          <w:highlight w:val="none"/>
        </w:rPr>
        <w:t>字）</w:t>
      </w:r>
    </w:p>
    <w:p>
      <w:pPr>
        <w:spacing w:line="220" w:lineRule="auto"/>
        <w:rPr>
          <w:rFonts w:ascii="宋体" w:hAnsi="宋体" w:eastAsia="宋体" w:cs="宋体"/>
          <w:color w:val="auto"/>
          <w:sz w:val="18"/>
          <w:szCs w:val="18"/>
          <w:highlight w:val="none"/>
        </w:rPr>
        <w:sectPr>
          <w:footerReference r:id="rId88" w:type="default"/>
          <w:pgSz w:w="11907" w:h="16841"/>
          <w:pgMar w:top="1769" w:right="1221" w:bottom="1004" w:left="1542" w:header="0" w:footer="829" w:gutter="0"/>
          <w:pgNumType w:fmt="numberInDash"/>
          <w:cols w:space="720" w:num="1"/>
        </w:sectPr>
      </w:pPr>
    </w:p>
    <w:p>
      <w:pPr>
        <w:spacing w:before="32"/>
        <w:rPr>
          <w:color w:val="auto"/>
          <w:highlight w:val="none"/>
        </w:rPr>
      </w:pPr>
    </w:p>
    <w:p>
      <w:pPr>
        <w:rPr>
          <w:color w:val="auto"/>
          <w:highlight w:val="none"/>
        </w:rPr>
        <w:sectPr>
          <w:footerReference r:id="rId89" w:type="default"/>
          <w:pgSz w:w="11907" w:h="16841"/>
          <w:pgMar w:top="1769" w:right="1493" w:bottom="1004" w:left="1464" w:header="0" w:footer="829" w:gutter="0"/>
          <w:pgNumType w:fmt="numberInDash"/>
          <w:cols w:equalWidth="0" w:num="1">
            <w:col w:w="8949"/>
          </w:cols>
        </w:sectPr>
      </w:pPr>
    </w:p>
    <w:p>
      <w:pPr>
        <w:spacing w:before="47"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3.12 </w:t>
      </w:r>
      <w:r>
        <w:rPr>
          <w:rFonts w:ascii="黑体" w:hAnsi="黑体" w:eastAsia="黑体" w:cs="黑体"/>
          <w:color w:val="auto"/>
          <w:spacing w:val="-1"/>
          <w:sz w:val="24"/>
          <w:szCs w:val="24"/>
          <w:highlight w:val="none"/>
        </w:rPr>
        <w:t>材料和设备暂估价表</w:t>
      </w:r>
    </w:p>
    <w:p>
      <w:pPr>
        <w:spacing w:before="60" w:line="218" w:lineRule="auto"/>
        <w:ind w:left="2682"/>
        <w:rPr>
          <w:rFonts w:ascii="宋体" w:hAnsi="宋体" w:eastAsia="宋体" w:cs="宋体"/>
          <w:color w:val="auto"/>
          <w:sz w:val="40"/>
          <w:szCs w:val="40"/>
          <w:highlight w:val="none"/>
        </w:rPr>
      </w:pPr>
      <w:bookmarkStart w:id="359" w:name="bookmark399"/>
      <w:bookmarkEnd w:id="359"/>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材料和设备暂估价表</w:t>
      </w:r>
    </w:p>
    <w:p>
      <w:pPr>
        <w:spacing w:before="19" w:line="228" w:lineRule="auto"/>
        <w:ind w:left="12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合同编号：</w:t>
      </w:r>
    </w:p>
    <w:p>
      <w:pPr>
        <w:spacing w:before="24" w:line="194" w:lineRule="auto"/>
        <w:ind w:left="127"/>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工程名称：项目</w:t>
      </w:r>
      <w:r>
        <w:rPr>
          <w:rFonts w:ascii="宋体" w:hAnsi="宋体" w:eastAsia="宋体" w:cs="宋体"/>
          <w:color w:val="auto"/>
          <w:spacing w:val="17"/>
          <w:sz w:val="19"/>
          <w:szCs w:val="19"/>
          <w:highlight w:val="none"/>
        </w:rPr>
        <w:t xml:space="preserve"> </w:t>
      </w:r>
      <w:r>
        <w:rPr>
          <w:rFonts w:ascii="宋体" w:hAnsi="宋体" w:eastAsia="宋体" w:cs="宋体"/>
          <w:color w:val="auto"/>
          <w:spacing w:val="2"/>
          <w:sz w:val="19"/>
          <w:szCs w:val="19"/>
          <w:highlight w:val="none"/>
        </w:rPr>
        <w:t>1</w:t>
      </w:r>
    </w:p>
    <w:p>
      <w:pPr>
        <w:pStyle w:val="2"/>
        <w:spacing w:line="14" w:lineRule="auto"/>
        <w:rPr>
          <w:color w:val="auto"/>
          <w:sz w:val="2"/>
          <w:highlight w:val="none"/>
        </w:rPr>
      </w:pPr>
      <w:r>
        <w:rPr>
          <w:color w:val="auto"/>
          <w:sz w:val="2"/>
          <w:szCs w:val="2"/>
          <w:highlight w:val="none"/>
        </w:rPr>
        <w:br w:type="column"/>
      </w:r>
    </w:p>
    <w:p>
      <w:pPr>
        <w:pStyle w:val="2"/>
        <w:spacing w:line="268" w:lineRule="auto"/>
        <w:rPr>
          <w:color w:val="auto"/>
          <w:highlight w:val="none"/>
        </w:rPr>
      </w:pPr>
    </w:p>
    <w:p>
      <w:pPr>
        <w:pStyle w:val="2"/>
        <w:spacing w:line="268" w:lineRule="auto"/>
        <w:rPr>
          <w:color w:val="auto"/>
          <w:highlight w:val="none"/>
        </w:rPr>
      </w:pPr>
    </w:p>
    <w:p>
      <w:pPr>
        <w:pStyle w:val="2"/>
        <w:spacing w:line="268" w:lineRule="auto"/>
        <w:rPr>
          <w:color w:val="auto"/>
          <w:highlight w:val="none"/>
        </w:rPr>
      </w:pPr>
    </w:p>
    <w:p>
      <w:pPr>
        <w:pStyle w:val="2"/>
        <w:spacing w:line="269" w:lineRule="auto"/>
        <w:rPr>
          <w:color w:val="auto"/>
          <w:highlight w:val="none"/>
        </w:rPr>
      </w:pPr>
    </w:p>
    <w:p>
      <w:pPr>
        <w:spacing w:before="62" w:line="194" w:lineRule="auto"/>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20"/>
          <w:sz w:val="19"/>
          <w:szCs w:val="19"/>
          <w:highlight w:val="none"/>
        </w:rPr>
        <w:t xml:space="preserve"> </w:t>
      </w:r>
      <w:r>
        <w:rPr>
          <w:rFonts w:ascii="宋体" w:hAnsi="宋体" w:eastAsia="宋体" w:cs="宋体"/>
          <w:color w:val="auto"/>
          <w:spacing w:val="-3"/>
          <w:sz w:val="19"/>
          <w:szCs w:val="19"/>
          <w:highlight w:val="none"/>
        </w:rPr>
        <w:t>页、共</w:t>
      </w:r>
      <w:r>
        <w:rPr>
          <w:rFonts w:ascii="宋体" w:hAnsi="宋体" w:eastAsia="宋体" w:cs="宋体"/>
          <w:color w:val="auto"/>
          <w:spacing w:val="28"/>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19"/>
          <w:sz w:val="19"/>
          <w:szCs w:val="19"/>
          <w:highlight w:val="none"/>
        </w:rPr>
        <w:t xml:space="preserve"> </w:t>
      </w:r>
      <w:r>
        <w:rPr>
          <w:rFonts w:ascii="宋体" w:hAnsi="宋体" w:eastAsia="宋体" w:cs="宋体"/>
          <w:color w:val="auto"/>
          <w:spacing w:val="-3"/>
          <w:sz w:val="19"/>
          <w:szCs w:val="19"/>
          <w:highlight w:val="none"/>
        </w:rPr>
        <w:t>页</w:t>
      </w:r>
    </w:p>
    <w:p>
      <w:pPr>
        <w:spacing w:line="194" w:lineRule="auto"/>
        <w:rPr>
          <w:rFonts w:ascii="宋体" w:hAnsi="宋体" w:eastAsia="宋体" w:cs="宋体"/>
          <w:color w:val="auto"/>
          <w:sz w:val="19"/>
          <w:szCs w:val="19"/>
          <w:highlight w:val="none"/>
        </w:rPr>
        <w:sectPr>
          <w:type w:val="continuous"/>
          <w:pgSz w:w="11907" w:h="16841"/>
          <w:pgMar w:top="400" w:right="1493" w:bottom="1004" w:left="1464" w:header="0" w:footer="829" w:gutter="0"/>
          <w:pgNumType w:fmt="numberInDash"/>
          <w:cols w:equalWidth="0" w:num="2">
            <w:col w:w="7140" w:space="100"/>
            <w:col w:w="1709"/>
          </w:cols>
        </w:sectPr>
      </w:pPr>
    </w:p>
    <w:p>
      <w:pPr>
        <w:spacing w:line="29" w:lineRule="exact"/>
        <w:rPr>
          <w:color w:val="auto"/>
          <w:highlight w:val="none"/>
        </w:rPr>
      </w:pPr>
    </w:p>
    <w:tbl>
      <w:tblPr>
        <w:tblStyle w:val="9"/>
        <w:tblW w:w="89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0"/>
        <w:gridCol w:w="929"/>
        <w:gridCol w:w="1340"/>
        <w:gridCol w:w="1356"/>
        <w:gridCol w:w="1043"/>
        <w:gridCol w:w="604"/>
        <w:gridCol w:w="1158"/>
        <w:gridCol w:w="819"/>
        <w:gridCol w:w="7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80" w:type="dxa"/>
            <w:tcBorders>
              <w:top w:val="single" w:color="000000" w:sz="6" w:space="0"/>
              <w:left w:val="single" w:color="000000" w:sz="6" w:space="0"/>
            </w:tcBorders>
            <w:vAlign w:val="top"/>
          </w:tcPr>
          <w:p>
            <w:pPr>
              <w:pStyle w:val="10"/>
              <w:spacing w:before="164" w:line="230" w:lineRule="auto"/>
              <w:ind w:left="287"/>
              <w:rPr>
                <w:color w:val="auto"/>
                <w:sz w:val="19"/>
                <w:szCs w:val="19"/>
                <w:highlight w:val="none"/>
              </w:rPr>
            </w:pPr>
            <w:r>
              <w:rPr>
                <w:color w:val="auto"/>
                <w:spacing w:val="5"/>
                <w:sz w:val="19"/>
                <w:szCs w:val="19"/>
                <w:highlight w:val="none"/>
              </w:rPr>
              <w:t>序号</w:t>
            </w:r>
          </w:p>
        </w:tc>
        <w:tc>
          <w:tcPr>
            <w:tcW w:w="929" w:type="dxa"/>
            <w:tcBorders>
              <w:top w:val="single" w:color="000000" w:sz="6" w:space="0"/>
            </w:tcBorders>
            <w:vAlign w:val="top"/>
          </w:tcPr>
          <w:p>
            <w:pPr>
              <w:pStyle w:val="10"/>
              <w:spacing w:before="164" w:line="228" w:lineRule="auto"/>
              <w:ind w:left="267"/>
              <w:rPr>
                <w:color w:val="auto"/>
                <w:sz w:val="19"/>
                <w:szCs w:val="19"/>
                <w:highlight w:val="none"/>
              </w:rPr>
            </w:pPr>
            <w:r>
              <w:rPr>
                <w:color w:val="auto"/>
                <w:spacing w:val="4"/>
                <w:sz w:val="19"/>
                <w:szCs w:val="19"/>
                <w:highlight w:val="none"/>
              </w:rPr>
              <w:t>编码</w:t>
            </w:r>
          </w:p>
        </w:tc>
        <w:tc>
          <w:tcPr>
            <w:tcW w:w="1340" w:type="dxa"/>
            <w:tcBorders>
              <w:top w:val="single" w:color="000000" w:sz="6" w:space="0"/>
            </w:tcBorders>
            <w:vAlign w:val="top"/>
          </w:tcPr>
          <w:p>
            <w:pPr>
              <w:pStyle w:val="10"/>
              <w:spacing w:before="34" w:line="259" w:lineRule="exact"/>
              <w:ind w:left="270"/>
              <w:rPr>
                <w:color w:val="auto"/>
                <w:sz w:val="19"/>
                <w:szCs w:val="19"/>
                <w:highlight w:val="none"/>
              </w:rPr>
            </w:pPr>
            <w:r>
              <w:rPr>
                <w:color w:val="auto"/>
                <w:spacing w:val="7"/>
                <w:position w:val="4"/>
                <w:sz w:val="19"/>
                <w:szCs w:val="19"/>
                <w:highlight w:val="none"/>
              </w:rPr>
              <w:t>材料（设</w:t>
            </w:r>
          </w:p>
          <w:p>
            <w:pPr>
              <w:pStyle w:val="10"/>
              <w:spacing w:line="216" w:lineRule="auto"/>
              <w:ind w:left="272"/>
              <w:rPr>
                <w:color w:val="auto"/>
                <w:sz w:val="19"/>
                <w:szCs w:val="19"/>
                <w:highlight w:val="none"/>
              </w:rPr>
            </w:pPr>
            <w:r>
              <w:rPr>
                <w:color w:val="auto"/>
                <w:spacing w:val="6"/>
                <w:sz w:val="19"/>
                <w:szCs w:val="19"/>
                <w:highlight w:val="none"/>
              </w:rPr>
              <w:t>备）名称</w:t>
            </w:r>
          </w:p>
        </w:tc>
        <w:tc>
          <w:tcPr>
            <w:tcW w:w="1356" w:type="dxa"/>
            <w:tcBorders>
              <w:top w:val="single" w:color="000000" w:sz="6" w:space="0"/>
            </w:tcBorders>
            <w:vAlign w:val="top"/>
          </w:tcPr>
          <w:p>
            <w:pPr>
              <w:pStyle w:val="10"/>
              <w:spacing w:before="164" w:line="228" w:lineRule="auto"/>
              <w:ind w:left="282"/>
              <w:rPr>
                <w:color w:val="auto"/>
                <w:sz w:val="19"/>
                <w:szCs w:val="19"/>
                <w:highlight w:val="none"/>
              </w:rPr>
            </w:pPr>
            <w:r>
              <w:rPr>
                <w:color w:val="auto"/>
                <w:spacing w:val="7"/>
                <w:sz w:val="19"/>
                <w:szCs w:val="19"/>
                <w:highlight w:val="none"/>
              </w:rPr>
              <w:t>规格型号</w:t>
            </w:r>
          </w:p>
        </w:tc>
        <w:tc>
          <w:tcPr>
            <w:tcW w:w="1043" w:type="dxa"/>
            <w:tcBorders>
              <w:top w:val="single" w:color="000000" w:sz="6" w:space="0"/>
            </w:tcBorders>
            <w:vAlign w:val="top"/>
          </w:tcPr>
          <w:p>
            <w:pPr>
              <w:pStyle w:val="10"/>
              <w:spacing w:before="164" w:line="229" w:lineRule="auto"/>
              <w:ind w:left="128"/>
              <w:rPr>
                <w:color w:val="auto"/>
                <w:sz w:val="19"/>
                <w:szCs w:val="19"/>
                <w:highlight w:val="none"/>
              </w:rPr>
            </w:pPr>
            <w:r>
              <w:rPr>
                <w:color w:val="auto"/>
                <w:spacing w:val="7"/>
                <w:sz w:val="19"/>
                <w:szCs w:val="19"/>
                <w:highlight w:val="none"/>
              </w:rPr>
              <w:t>计量单位</w:t>
            </w:r>
          </w:p>
        </w:tc>
        <w:tc>
          <w:tcPr>
            <w:tcW w:w="604" w:type="dxa"/>
            <w:tcBorders>
              <w:top w:val="single" w:color="000000" w:sz="6" w:space="0"/>
            </w:tcBorders>
            <w:textDirection w:val="tbRlV"/>
            <w:vAlign w:val="top"/>
          </w:tcPr>
          <w:p>
            <w:pPr>
              <w:pStyle w:val="10"/>
              <w:spacing w:before="198" w:line="216" w:lineRule="auto"/>
              <w:ind w:left="34"/>
              <w:rPr>
                <w:color w:val="auto"/>
                <w:sz w:val="19"/>
                <w:szCs w:val="19"/>
                <w:highlight w:val="none"/>
              </w:rPr>
            </w:pPr>
            <w:r>
              <w:rPr>
                <w:color w:val="auto"/>
                <w:spacing w:val="9"/>
                <w:sz w:val="19"/>
                <w:szCs w:val="19"/>
                <w:highlight w:val="none"/>
              </w:rPr>
              <w:t>数</w:t>
            </w:r>
            <w:r>
              <w:rPr>
                <w:color w:val="auto"/>
                <w:spacing w:val="-35"/>
                <w:sz w:val="19"/>
                <w:szCs w:val="19"/>
                <w:highlight w:val="none"/>
              </w:rPr>
              <w:t xml:space="preserve"> </w:t>
            </w:r>
            <w:r>
              <w:rPr>
                <w:color w:val="auto"/>
                <w:spacing w:val="9"/>
                <w:sz w:val="19"/>
                <w:szCs w:val="19"/>
                <w:highlight w:val="none"/>
              </w:rPr>
              <w:t>量</w:t>
            </w:r>
          </w:p>
        </w:tc>
        <w:tc>
          <w:tcPr>
            <w:tcW w:w="1158" w:type="dxa"/>
            <w:tcBorders>
              <w:top w:val="single" w:color="000000" w:sz="6" w:space="0"/>
            </w:tcBorders>
            <w:vAlign w:val="top"/>
          </w:tcPr>
          <w:p>
            <w:pPr>
              <w:pStyle w:val="10"/>
              <w:spacing w:before="35" w:line="234" w:lineRule="auto"/>
              <w:ind w:left="298" w:right="173" w:hanging="102"/>
              <w:rPr>
                <w:color w:val="auto"/>
                <w:sz w:val="19"/>
                <w:szCs w:val="19"/>
                <w:highlight w:val="none"/>
              </w:rPr>
            </w:pPr>
            <w:r>
              <w:rPr>
                <w:color w:val="auto"/>
                <w:spacing w:val="5"/>
                <w:sz w:val="19"/>
                <w:szCs w:val="19"/>
                <w:highlight w:val="none"/>
              </w:rPr>
              <w:t>暂估单价</w:t>
            </w:r>
            <w:r>
              <w:rPr>
                <w:color w:val="auto"/>
                <w:spacing w:val="1"/>
                <w:sz w:val="19"/>
                <w:szCs w:val="19"/>
                <w:highlight w:val="none"/>
              </w:rPr>
              <w:t xml:space="preserve"> </w:t>
            </w:r>
            <w:r>
              <w:rPr>
                <w:color w:val="auto"/>
                <w:spacing w:val="-2"/>
                <w:sz w:val="19"/>
                <w:szCs w:val="19"/>
                <w:highlight w:val="none"/>
              </w:rPr>
              <w:t>（元）</w:t>
            </w:r>
          </w:p>
        </w:tc>
        <w:tc>
          <w:tcPr>
            <w:tcW w:w="819" w:type="dxa"/>
            <w:tcBorders>
              <w:top w:val="single" w:color="000000" w:sz="6" w:space="0"/>
            </w:tcBorders>
            <w:vAlign w:val="top"/>
          </w:tcPr>
          <w:p>
            <w:pPr>
              <w:pStyle w:val="10"/>
              <w:spacing w:before="35" w:line="234" w:lineRule="auto"/>
              <w:ind w:left="130" w:right="121" w:firstLine="91"/>
              <w:rPr>
                <w:color w:val="auto"/>
                <w:sz w:val="19"/>
                <w:szCs w:val="19"/>
                <w:highlight w:val="none"/>
              </w:rPr>
            </w:pPr>
            <w:r>
              <w:rPr>
                <w:color w:val="auto"/>
                <w:spacing w:val="4"/>
                <w:sz w:val="19"/>
                <w:szCs w:val="19"/>
                <w:highlight w:val="none"/>
              </w:rPr>
              <w:t>合价</w:t>
            </w:r>
            <w:r>
              <w:rPr>
                <w:color w:val="auto"/>
                <w:sz w:val="19"/>
                <w:szCs w:val="19"/>
                <w:highlight w:val="none"/>
              </w:rPr>
              <w:t xml:space="preserve">  </w:t>
            </w:r>
            <w:r>
              <w:rPr>
                <w:color w:val="auto"/>
                <w:spacing w:val="-3"/>
                <w:sz w:val="19"/>
                <w:szCs w:val="19"/>
                <w:highlight w:val="none"/>
              </w:rPr>
              <w:t>（元）</w:t>
            </w:r>
          </w:p>
        </w:tc>
        <w:tc>
          <w:tcPr>
            <w:tcW w:w="704" w:type="dxa"/>
            <w:tcBorders>
              <w:top w:val="single" w:color="000000" w:sz="6" w:space="0"/>
              <w:right w:val="single" w:color="000000" w:sz="6" w:space="0"/>
            </w:tcBorders>
            <w:vAlign w:val="top"/>
          </w:tcPr>
          <w:p>
            <w:pPr>
              <w:pStyle w:val="10"/>
              <w:spacing w:before="164" w:line="230" w:lineRule="auto"/>
              <w:ind w:left="163"/>
              <w:rPr>
                <w:color w:val="auto"/>
                <w:sz w:val="19"/>
                <w:szCs w:val="19"/>
                <w:highlight w:val="none"/>
              </w:rPr>
            </w:pPr>
            <w:r>
              <w:rPr>
                <w:color w:val="auto"/>
                <w:spacing w:val="4"/>
                <w:sz w:val="19"/>
                <w:szCs w:val="19"/>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vAlign w:val="top"/>
          </w:tcPr>
          <w:p>
            <w:pPr>
              <w:rPr>
                <w:rFonts w:ascii="Arial"/>
                <w:color w:val="auto"/>
                <w:sz w:val="21"/>
                <w:highlight w:val="none"/>
              </w:rPr>
            </w:pPr>
          </w:p>
        </w:tc>
        <w:tc>
          <w:tcPr>
            <w:tcW w:w="929" w:type="dxa"/>
            <w:vAlign w:val="top"/>
          </w:tcPr>
          <w:p>
            <w:pPr>
              <w:rPr>
                <w:rFonts w:ascii="Arial"/>
                <w:color w:val="auto"/>
                <w:sz w:val="21"/>
                <w:highlight w:val="none"/>
              </w:rPr>
            </w:pPr>
          </w:p>
        </w:tc>
        <w:tc>
          <w:tcPr>
            <w:tcW w:w="1340" w:type="dxa"/>
            <w:vAlign w:val="top"/>
          </w:tcPr>
          <w:p>
            <w:pPr>
              <w:rPr>
                <w:rFonts w:ascii="Arial"/>
                <w:color w:val="auto"/>
                <w:sz w:val="21"/>
                <w:highlight w:val="none"/>
              </w:rPr>
            </w:pPr>
          </w:p>
        </w:tc>
        <w:tc>
          <w:tcPr>
            <w:tcW w:w="1356" w:type="dxa"/>
            <w:vAlign w:val="top"/>
          </w:tcPr>
          <w:p>
            <w:pPr>
              <w:rPr>
                <w:rFonts w:ascii="Arial"/>
                <w:color w:val="auto"/>
                <w:sz w:val="21"/>
                <w:highlight w:val="none"/>
              </w:rPr>
            </w:pPr>
          </w:p>
        </w:tc>
        <w:tc>
          <w:tcPr>
            <w:tcW w:w="1043" w:type="dxa"/>
            <w:vAlign w:val="top"/>
          </w:tcPr>
          <w:p>
            <w:pPr>
              <w:rPr>
                <w:rFonts w:ascii="Arial"/>
                <w:color w:val="auto"/>
                <w:sz w:val="21"/>
                <w:highlight w:val="none"/>
              </w:rPr>
            </w:pPr>
          </w:p>
        </w:tc>
        <w:tc>
          <w:tcPr>
            <w:tcW w:w="604" w:type="dxa"/>
            <w:vAlign w:val="top"/>
          </w:tcPr>
          <w:p>
            <w:pPr>
              <w:rPr>
                <w:rFonts w:ascii="Arial"/>
                <w:color w:val="auto"/>
                <w:sz w:val="21"/>
                <w:highlight w:val="none"/>
              </w:rPr>
            </w:pPr>
          </w:p>
        </w:tc>
        <w:tc>
          <w:tcPr>
            <w:tcW w:w="1158" w:type="dxa"/>
            <w:vAlign w:val="top"/>
          </w:tcPr>
          <w:p>
            <w:pPr>
              <w:rPr>
                <w:rFonts w:ascii="Arial"/>
                <w:color w:val="auto"/>
                <w:sz w:val="21"/>
                <w:highlight w:val="none"/>
              </w:rPr>
            </w:pPr>
          </w:p>
        </w:tc>
        <w:tc>
          <w:tcPr>
            <w:tcW w:w="819" w:type="dxa"/>
            <w:vAlign w:val="top"/>
          </w:tcPr>
          <w:p>
            <w:pPr>
              <w:rPr>
                <w:rFonts w:ascii="Arial"/>
                <w:color w:val="auto"/>
                <w:sz w:val="21"/>
                <w:highlight w:val="none"/>
              </w:rPr>
            </w:pPr>
          </w:p>
        </w:tc>
        <w:tc>
          <w:tcPr>
            <w:tcW w:w="70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410" w:type="dxa"/>
            <w:gridSpan w:val="7"/>
            <w:tcBorders>
              <w:left w:val="single" w:color="000000" w:sz="6" w:space="0"/>
              <w:bottom w:val="single" w:color="000000" w:sz="6" w:space="0"/>
            </w:tcBorders>
            <w:vAlign w:val="top"/>
          </w:tcPr>
          <w:p>
            <w:pPr>
              <w:pStyle w:val="10"/>
              <w:spacing w:before="74" w:line="230" w:lineRule="auto"/>
              <w:ind w:left="3507"/>
              <w:rPr>
                <w:color w:val="auto"/>
                <w:sz w:val="19"/>
                <w:szCs w:val="19"/>
                <w:highlight w:val="none"/>
              </w:rPr>
            </w:pPr>
            <w:r>
              <w:rPr>
                <w:color w:val="auto"/>
                <w:spacing w:val="4"/>
                <w:sz w:val="19"/>
                <w:szCs w:val="19"/>
                <w:highlight w:val="none"/>
              </w:rPr>
              <w:t>合计</w:t>
            </w:r>
          </w:p>
        </w:tc>
        <w:tc>
          <w:tcPr>
            <w:tcW w:w="819" w:type="dxa"/>
            <w:tcBorders>
              <w:bottom w:val="single" w:color="000000" w:sz="6" w:space="0"/>
            </w:tcBorders>
            <w:vAlign w:val="top"/>
          </w:tcPr>
          <w:p>
            <w:pPr>
              <w:rPr>
                <w:rFonts w:ascii="Arial"/>
                <w:color w:val="auto"/>
                <w:sz w:val="21"/>
                <w:highlight w:val="none"/>
              </w:rPr>
            </w:pPr>
          </w:p>
        </w:tc>
        <w:tc>
          <w:tcPr>
            <w:tcW w:w="704" w:type="dxa"/>
            <w:tcBorders>
              <w:bottom w:val="single" w:color="000000" w:sz="6" w:space="0"/>
              <w:right w:val="single" w:color="000000" w:sz="6" w:space="0"/>
            </w:tcBorders>
            <w:vAlign w:val="top"/>
          </w:tcPr>
          <w:p>
            <w:pPr>
              <w:rPr>
                <w:rFonts w:ascii="Arial"/>
                <w:color w:val="auto"/>
                <w:sz w:val="21"/>
                <w:highlight w:val="none"/>
              </w:rPr>
            </w:pPr>
          </w:p>
        </w:tc>
      </w:tr>
    </w:tbl>
    <w:p>
      <w:pPr>
        <w:pStyle w:val="2"/>
        <w:spacing w:line="14" w:lineRule="auto"/>
        <w:rPr>
          <w:color w:val="auto"/>
          <w:sz w:val="2"/>
          <w:highlight w:val="none"/>
        </w:rPr>
      </w:pPr>
    </w:p>
    <w:p>
      <w:pPr>
        <w:spacing w:line="14" w:lineRule="auto"/>
        <w:rPr>
          <w:color w:val="auto"/>
          <w:sz w:val="2"/>
          <w:szCs w:val="2"/>
          <w:highlight w:val="none"/>
        </w:rPr>
        <w:sectPr>
          <w:type w:val="continuous"/>
          <w:pgSz w:w="11907" w:h="16841"/>
          <w:pgMar w:top="400" w:right="1493" w:bottom="1004" w:left="1464" w:header="0" w:footer="829" w:gutter="0"/>
          <w:pgNumType w:fmt="numberInDash"/>
          <w:cols w:equalWidth="0" w:num="1">
            <w:col w:w="8949"/>
          </w:cols>
        </w:sectPr>
      </w:pPr>
    </w:p>
    <w:p>
      <w:pPr>
        <w:spacing w:before="27" w:line="218" w:lineRule="auto"/>
        <w:ind w:left="124"/>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注：投标人应将上述材料、工程设备估单价计入工程量清单综合单价报价中。</w:t>
      </w:r>
    </w:p>
    <w:p>
      <w:pPr>
        <w:pStyle w:val="2"/>
        <w:spacing w:line="14" w:lineRule="auto"/>
        <w:rPr>
          <w:color w:val="auto"/>
          <w:sz w:val="2"/>
          <w:highlight w:val="none"/>
        </w:rPr>
      </w:pPr>
      <w:r>
        <w:rPr>
          <w:color w:val="auto"/>
          <w:sz w:val="2"/>
          <w:szCs w:val="2"/>
          <w:highlight w:val="none"/>
        </w:rPr>
        <w:br w:type="column"/>
      </w:r>
    </w:p>
    <w:p>
      <w:pPr>
        <w:spacing w:before="25" w:line="220" w:lineRule="auto"/>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tabs>
          <w:tab w:val="left" w:pos="1058"/>
        </w:tabs>
        <w:spacing w:before="19" w:line="212" w:lineRule="auto"/>
        <w:ind w:left="66" w:right="381" w:firstLine="11"/>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5"/>
          <w:sz w:val="18"/>
          <w:szCs w:val="18"/>
          <w:highlight w:val="none"/>
        </w:rPr>
        <w:t>）</w:t>
      </w:r>
      <w:r>
        <w:rPr>
          <w:rFonts w:ascii="宋体" w:hAnsi="宋体" w:eastAsia="宋体" w:cs="宋体"/>
          <w:color w:val="auto"/>
          <w:spacing w:val="3"/>
          <w:sz w:val="18"/>
          <w:szCs w:val="18"/>
          <w:highlight w:val="none"/>
        </w:rPr>
        <w:t xml:space="preserve"> </w:t>
      </w:r>
      <w:r>
        <w:rPr>
          <w:rFonts w:ascii="宋体" w:hAnsi="宋体" w:eastAsia="宋体" w:cs="宋体"/>
          <w:color w:val="auto"/>
          <w:spacing w:val="-5"/>
          <w:sz w:val="18"/>
          <w:szCs w:val="18"/>
          <w:highlight w:val="none"/>
        </w:rPr>
        <w:t>：</w:t>
      </w:r>
      <w:r>
        <w:rPr>
          <w:rFonts w:ascii="宋体" w:hAnsi="宋体" w:eastAsia="宋体" w:cs="宋体"/>
          <w:color w:val="auto"/>
          <w:sz w:val="18"/>
          <w:szCs w:val="18"/>
          <w:highlight w:val="none"/>
        </w:rPr>
        <w:t xml:space="preserve"> </w:t>
      </w:r>
      <w:r>
        <w:rPr>
          <w:rFonts w:ascii="宋体" w:hAnsi="宋体" w:eastAsia="宋体" w:cs="宋体"/>
          <w:color w:val="auto"/>
          <w:sz w:val="18"/>
          <w:szCs w:val="18"/>
          <w:highlight w:val="none"/>
          <w:u w:val="single" w:color="auto"/>
        </w:rPr>
        <w:tab/>
      </w:r>
      <w:r>
        <w:rPr>
          <w:rFonts w:ascii="宋体" w:hAnsi="宋体" w:eastAsia="宋体" w:cs="宋体"/>
          <w:color w:val="auto"/>
          <w:spacing w:val="-13"/>
          <w:sz w:val="18"/>
          <w:szCs w:val="18"/>
          <w:highlight w:val="none"/>
        </w:rPr>
        <w:t xml:space="preserve"> </w:t>
      </w:r>
      <w:r>
        <w:rPr>
          <w:rFonts w:ascii="宋体" w:hAnsi="宋体" w:eastAsia="宋体" w:cs="宋体"/>
          <w:color w:val="auto"/>
          <w:spacing w:val="-22"/>
          <w:sz w:val="18"/>
          <w:szCs w:val="18"/>
          <w:highlight w:val="none"/>
        </w:rPr>
        <w:t>（签字）</w:t>
      </w:r>
    </w:p>
    <w:p>
      <w:pPr>
        <w:spacing w:line="212" w:lineRule="auto"/>
        <w:rPr>
          <w:rFonts w:ascii="宋体" w:hAnsi="宋体" w:eastAsia="宋体" w:cs="宋体"/>
          <w:color w:val="auto"/>
          <w:sz w:val="18"/>
          <w:szCs w:val="18"/>
          <w:highlight w:val="none"/>
        </w:rPr>
        <w:sectPr>
          <w:type w:val="continuous"/>
          <w:pgSz w:w="11907" w:h="16841"/>
          <w:pgMar w:top="400" w:right="1493" w:bottom="1004" w:left="1464" w:header="0" w:footer="829" w:gutter="0"/>
          <w:pgNumType w:fmt="numberInDash"/>
          <w:cols w:equalWidth="0" w:num="2">
            <w:col w:w="6699" w:space="100"/>
            <w:col w:w="2151"/>
          </w:cols>
        </w:sectPr>
      </w:pPr>
    </w:p>
    <w:p>
      <w:pPr>
        <w:pStyle w:val="2"/>
        <w:spacing w:line="243" w:lineRule="auto"/>
        <w:rPr>
          <w:color w:val="auto"/>
          <w:highlight w:val="none"/>
        </w:rPr>
      </w:pPr>
    </w:p>
    <w:p>
      <w:pPr>
        <w:pStyle w:val="2"/>
        <w:spacing w:line="243"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spacing w:before="78" w:line="219" w:lineRule="auto"/>
        <w:ind w:left="15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3.13 </w:t>
      </w:r>
      <w:r>
        <w:rPr>
          <w:rFonts w:ascii="黑体" w:hAnsi="黑体" w:eastAsia="黑体" w:cs="黑体"/>
          <w:color w:val="auto"/>
          <w:spacing w:val="-1"/>
          <w:sz w:val="24"/>
          <w:szCs w:val="24"/>
          <w:highlight w:val="none"/>
        </w:rPr>
        <w:t>工程单价汇总表</w:t>
      </w:r>
    </w:p>
    <w:p>
      <w:pPr>
        <w:spacing w:before="144" w:line="218" w:lineRule="auto"/>
        <w:ind w:left="5531"/>
        <w:rPr>
          <w:rFonts w:ascii="宋体" w:hAnsi="宋体" w:eastAsia="宋体" w:cs="宋体"/>
          <w:color w:val="auto"/>
          <w:sz w:val="40"/>
          <w:szCs w:val="40"/>
          <w:highlight w:val="none"/>
        </w:rPr>
      </w:pPr>
      <w:bookmarkStart w:id="360" w:name="bookmark400"/>
      <w:bookmarkEnd w:id="360"/>
      <w:r>
        <w:rPr>
          <w:rFonts w:ascii="宋体" w:hAnsi="宋体" w:eastAsia="宋体" w:cs="宋体"/>
          <w:color w:val="auto"/>
          <w:spacing w:val="-2"/>
          <w:sz w:val="40"/>
          <w:szCs w:val="40"/>
          <w:highlight w:val="none"/>
          <w14:textOutline w14:w="7271" w14:cap="flat" w14:cmpd="sng">
            <w14:solidFill>
              <w14:srgbClr w14:val="000000"/>
            </w14:solidFill>
            <w14:prstDash w14:val="solid"/>
            <w14:miter w14:val="0"/>
          </w14:textOutline>
        </w:rPr>
        <w:t>工程单价汇总表</w:t>
      </w:r>
    </w:p>
    <w:p>
      <w:pPr>
        <w:spacing w:before="188"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296" w:line="220" w:lineRule="auto"/>
        <w:ind w:left="127"/>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工程名称：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23"/>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14"/>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19"/>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11"/>
          <w:sz w:val="18"/>
          <w:szCs w:val="18"/>
          <w:highlight w:val="none"/>
        </w:rPr>
        <w:t xml:space="preserve"> </w:t>
      </w:r>
      <w:r>
        <w:rPr>
          <w:rFonts w:ascii="宋体" w:hAnsi="宋体" w:eastAsia="宋体" w:cs="宋体"/>
          <w:color w:val="auto"/>
          <w:spacing w:val="-15"/>
          <w:sz w:val="18"/>
          <w:szCs w:val="18"/>
          <w:highlight w:val="none"/>
        </w:rPr>
        <w:t>页</w:t>
      </w:r>
    </w:p>
    <w:p>
      <w:pPr>
        <w:spacing w:line="176" w:lineRule="exact"/>
        <w:rPr>
          <w:color w:val="auto"/>
          <w:highlight w:val="none"/>
        </w:rPr>
      </w:pPr>
    </w:p>
    <w:tbl>
      <w:tblPr>
        <w:tblStyle w:val="9"/>
        <w:tblW w:w="138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259"/>
        <w:gridCol w:w="1504"/>
        <w:gridCol w:w="678"/>
        <w:gridCol w:w="909"/>
        <w:gridCol w:w="813"/>
        <w:gridCol w:w="892"/>
        <w:gridCol w:w="894"/>
        <w:gridCol w:w="892"/>
        <w:gridCol w:w="907"/>
        <w:gridCol w:w="815"/>
        <w:gridCol w:w="988"/>
        <w:gridCol w:w="767"/>
        <w:gridCol w:w="815"/>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69" w:type="dxa"/>
            <w:vMerge w:val="restart"/>
            <w:tcBorders>
              <w:top w:val="single" w:color="000000" w:sz="6" w:space="0"/>
              <w:left w:val="single" w:color="000000" w:sz="4" w:space="0"/>
              <w:bottom w:val="nil"/>
            </w:tcBorders>
            <w:vAlign w:val="top"/>
          </w:tcPr>
          <w:p>
            <w:pPr>
              <w:spacing w:line="462" w:lineRule="auto"/>
              <w:rPr>
                <w:rFonts w:ascii="Arial"/>
                <w:color w:val="auto"/>
                <w:sz w:val="21"/>
                <w:highlight w:val="none"/>
              </w:rPr>
            </w:pPr>
          </w:p>
          <w:p>
            <w:pPr>
              <w:pStyle w:val="10"/>
              <w:spacing w:before="59" w:line="221" w:lineRule="auto"/>
              <w:ind w:left="152"/>
              <w:rPr>
                <w:color w:val="auto"/>
                <w:sz w:val="18"/>
                <w:szCs w:val="18"/>
                <w:highlight w:val="none"/>
              </w:rPr>
            </w:pPr>
            <w:r>
              <w:rPr>
                <w:color w:val="auto"/>
                <w:spacing w:val="-2"/>
                <w:sz w:val="18"/>
                <w:szCs w:val="18"/>
                <w:highlight w:val="none"/>
              </w:rPr>
              <w:t>序号</w:t>
            </w:r>
          </w:p>
        </w:tc>
        <w:tc>
          <w:tcPr>
            <w:tcW w:w="1259"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8" w:line="220" w:lineRule="auto"/>
              <w:ind w:left="267"/>
              <w:rPr>
                <w:color w:val="auto"/>
                <w:sz w:val="18"/>
                <w:szCs w:val="18"/>
                <w:highlight w:val="none"/>
              </w:rPr>
            </w:pPr>
            <w:r>
              <w:rPr>
                <w:color w:val="auto"/>
                <w:spacing w:val="-2"/>
                <w:sz w:val="18"/>
                <w:szCs w:val="18"/>
                <w:highlight w:val="none"/>
              </w:rPr>
              <w:t>项目编码</w:t>
            </w:r>
          </w:p>
        </w:tc>
        <w:tc>
          <w:tcPr>
            <w:tcW w:w="1504"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9" w:line="220" w:lineRule="auto"/>
              <w:ind w:left="393"/>
              <w:rPr>
                <w:color w:val="auto"/>
                <w:sz w:val="18"/>
                <w:szCs w:val="18"/>
                <w:highlight w:val="none"/>
              </w:rPr>
            </w:pPr>
            <w:r>
              <w:rPr>
                <w:color w:val="auto"/>
                <w:spacing w:val="-2"/>
                <w:sz w:val="18"/>
                <w:szCs w:val="18"/>
                <w:highlight w:val="none"/>
              </w:rPr>
              <w:t>项目名称</w:t>
            </w:r>
          </w:p>
        </w:tc>
        <w:tc>
          <w:tcPr>
            <w:tcW w:w="678" w:type="dxa"/>
            <w:vMerge w:val="restart"/>
            <w:tcBorders>
              <w:top w:val="single" w:color="000000" w:sz="6" w:space="0"/>
              <w:bottom w:val="nil"/>
            </w:tcBorders>
            <w:vAlign w:val="top"/>
          </w:tcPr>
          <w:p>
            <w:pPr>
              <w:spacing w:line="345" w:lineRule="auto"/>
              <w:rPr>
                <w:rFonts w:ascii="Arial"/>
                <w:color w:val="auto"/>
                <w:sz w:val="21"/>
                <w:highlight w:val="none"/>
              </w:rPr>
            </w:pPr>
          </w:p>
          <w:p>
            <w:pPr>
              <w:pStyle w:val="10"/>
              <w:spacing w:before="59" w:line="239" w:lineRule="auto"/>
              <w:ind w:left="158"/>
              <w:rPr>
                <w:color w:val="auto"/>
                <w:sz w:val="18"/>
                <w:szCs w:val="18"/>
                <w:highlight w:val="none"/>
              </w:rPr>
            </w:pPr>
            <w:r>
              <w:rPr>
                <w:color w:val="auto"/>
                <w:spacing w:val="-2"/>
                <w:sz w:val="18"/>
                <w:szCs w:val="18"/>
                <w:highlight w:val="none"/>
              </w:rPr>
              <w:t>计量</w:t>
            </w:r>
          </w:p>
          <w:p>
            <w:pPr>
              <w:pStyle w:val="10"/>
              <w:spacing w:line="220" w:lineRule="auto"/>
              <w:ind w:left="160"/>
              <w:rPr>
                <w:color w:val="auto"/>
                <w:sz w:val="18"/>
                <w:szCs w:val="18"/>
                <w:highlight w:val="none"/>
              </w:rPr>
            </w:pPr>
            <w:r>
              <w:rPr>
                <w:color w:val="auto"/>
                <w:spacing w:val="-3"/>
                <w:sz w:val="18"/>
                <w:szCs w:val="18"/>
                <w:highlight w:val="none"/>
              </w:rPr>
              <w:t>单位</w:t>
            </w:r>
          </w:p>
        </w:tc>
        <w:tc>
          <w:tcPr>
            <w:tcW w:w="3508" w:type="dxa"/>
            <w:gridSpan w:val="4"/>
            <w:tcBorders>
              <w:top w:val="single" w:color="000000" w:sz="6" w:space="0"/>
            </w:tcBorders>
            <w:vAlign w:val="top"/>
          </w:tcPr>
          <w:p>
            <w:pPr>
              <w:pStyle w:val="10"/>
              <w:spacing w:before="214" w:line="219" w:lineRule="auto"/>
              <w:ind w:left="1304"/>
              <w:rPr>
                <w:color w:val="auto"/>
                <w:sz w:val="18"/>
                <w:szCs w:val="18"/>
                <w:highlight w:val="none"/>
              </w:rPr>
            </w:pPr>
            <w:r>
              <w:rPr>
                <w:color w:val="auto"/>
                <w:spacing w:val="-2"/>
                <w:sz w:val="18"/>
                <w:szCs w:val="18"/>
                <w:highlight w:val="none"/>
              </w:rPr>
              <w:t>基本直接费</w:t>
            </w:r>
          </w:p>
        </w:tc>
        <w:tc>
          <w:tcPr>
            <w:tcW w:w="892"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9" w:line="220" w:lineRule="auto"/>
              <w:ind w:left="180"/>
              <w:rPr>
                <w:color w:val="auto"/>
                <w:sz w:val="18"/>
                <w:szCs w:val="18"/>
                <w:highlight w:val="none"/>
              </w:rPr>
            </w:pPr>
            <w:r>
              <w:rPr>
                <w:color w:val="auto"/>
                <w:spacing w:val="-2"/>
                <w:sz w:val="18"/>
                <w:szCs w:val="18"/>
                <w:highlight w:val="none"/>
              </w:rPr>
              <w:t>措施费</w:t>
            </w:r>
          </w:p>
        </w:tc>
        <w:tc>
          <w:tcPr>
            <w:tcW w:w="907"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9" w:line="220" w:lineRule="auto"/>
              <w:ind w:left="202"/>
              <w:rPr>
                <w:color w:val="auto"/>
                <w:sz w:val="18"/>
                <w:szCs w:val="18"/>
                <w:highlight w:val="none"/>
              </w:rPr>
            </w:pPr>
            <w:r>
              <w:rPr>
                <w:color w:val="auto"/>
                <w:spacing w:val="-5"/>
                <w:sz w:val="18"/>
                <w:szCs w:val="18"/>
                <w:highlight w:val="none"/>
              </w:rPr>
              <w:t>间接费</w:t>
            </w:r>
          </w:p>
        </w:tc>
        <w:tc>
          <w:tcPr>
            <w:tcW w:w="815" w:type="dxa"/>
            <w:vMerge w:val="restart"/>
            <w:tcBorders>
              <w:top w:val="single" w:color="000000" w:sz="6" w:space="0"/>
              <w:bottom w:val="nil"/>
            </w:tcBorders>
            <w:vAlign w:val="top"/>
          </w:tcPr>
          <w:p>
            <w:pPr>
              <w:spacing w:line="344" w:lineRule="auto"/>
              <w:rPr>
                <w:rFonts w:ascii="Arial"/>
                <w:color w:val="auto"/>
                <w:sz w:val="21"/>
                <w:highlight w:val="none"/>
              </w:rPr>
            </w:pPr>
          </w:p>
          <w:p>
            <w:pPr>
              <w:pStyle w:val="10"/>
              <w:spacing w:before="59" w:line="230" w:lineRule="auto"/>
              <w:ind w:left="324" w:right="133" w:hanging="178"/>
              <w:rPr>
                <w:color w:val="auto"/>
                <w:sz w:val="18"/>
                <w:szCs w:val="18"/>
                <w:highlight w:val="none"/>
              </w:rPr>
            </w:pPr>
            <w:r>
              <w:rPr>
                <w:color w:val="auto"/>
                <w:spacing w:val="-4"/>
                <w:sz w:val="18"/>
                <w:szCs w:val="18"/>
                <w:highlight w:val="none"/>
              </w:rPr>
              <w:t>企业利</w:t>
            </w:r>
            <w:r>
              <w:rPr>
                <w:color w:val="auto"/>
                <w:spacing w:val="1"/>
                <w:sz w:val="18"/>
                <w:szCs w:val="18"/>
                <w:highlight w:val="none"/>
              </w:rPr>
              <w:t xml:space="preserve"> </w:t>
            </w:r>
            <w:r>
              <w:rPr>
                <w:color w:val="auto"/>
                <w:sz w:val="18"/>
                <w:szCs w:val="18"/>
                <w:highlight w:val="none"/>
              </w:rPr>
              <w:t>润</w:t>
            </w:r>
          </w:p>
        </w:tc>
        <w:tc>
          <w:tcPr>
            <w:tcW w:w="988" w:type="dxa"/>
            <w:vMerge w:val="restart"/>
            <w:tcBorders>
              <w:top w:val="single" w:color="000000" w:sz="6" w:space="0"/>
              <w:bottom w:val="nil"/>
            </w:tcBorders>
            <w:vAlign w:val="top"/>
          </w:tcPr>
          <w:p>
            <w:pPr>
              <w:pStyle w:val="10"/>
              <w:spacing w:before="288" w:line="218" w:lineRule="auto"/>
              <w:ind w:left="233"/>
              <w:rPr>
                <w:color w:val="auto"/>
                <w:sz w:val="18"/>
                <w:szCs w:val="18"/>
                <w:highlight w:val="none"/>
              </w:rPr>
            </w:pPr>
            <w:r>
              <w:rPr>
                <w:color w:val="auto"/>
                <w:spacing w:val="-3"/>
                <w:sz w:val="18"/>
                <w:szCs w:val="18"/>
                <w:highlight w:val="none"/>
              </w:rPr>
              <w:t>未计价</w:t>
            </w:r>
          </w:p>
          <w:p>
            <w:pPr>
              <w:pStyle w:val="10"/>
              <w:spacing w:before="22" w:line="219" w:lineRule="auto"/>
              <w:ind w:left="142"/>
              <w:rPr>
                <w:color w:val="auto"/>
                <w:sz w:val="18"/>
                <w:szCs w:val="18"/>
                <w:highlight w:val="none"/>
              </w:rPr>
            </w:pPr>
            <w:r>
              <w:rPr>
                <w:color w:val="auto"/>
                <w:spacing w:val="-2"/>
                <w:sz w:val="18"/>
                <w:szCs w:val="18"/>
                <w:highlight w:val="none"/>
              </w:rPr>
              <w:t>装置性材</w:t>
            </w:r>
          </w:p>
          <w:p>
            <w:pPr>
              <w:pStyle w:val="10"/>
              <w:spacing w:before="19" w:line="220" w:lineRule="auto"/>
              <w:ind w:left="322"/>
              <w:rPr>
                <w:color w:val="auto"/>
                <w:sz w:val="18"/>
                <w:szCs w:val="18"/>
                <w:highlight w:val="none"/>
              </w:rPr>
            </w:pPr>
            <w:r>
              <w:rPr>
                <w:color w:val="auto"/>
                <w:spacing w:val="-2"/>
                <w:sz w:val="18"/>
                <w:szCs w:val="18"/>
                <w:highlight w:val="none"/>
              </w:rPr>
              <w:t>料费</w:t>
            </w:r>
          </w:p>
        </w:tc>
        <w:tc>
          <w:tcPr>
            <w:tcW w:w="767"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9" w:line="218" w:lineRule="auto"/>
              <w:ind w:left="210"/>
              <w:rPr>
                <w:color w:val="auto"/>
                <w:sz w:val="18"/>
                <w:szCs w:val="18"/>
                <w:highlight w:val="none"/>
              </w:rPr>
            </w:pPr>
            <w:r>
              <w:rPr>
                <w:color w:val="auto"/>
                <w:spacing w:val="-2"/>
                <w:sz w:val="18"/>
                <w:szCs w:val="18"/>
                <w:highlight w:val="none"/>
              </w:rPr>
              <w:t>价差</w:t>
            </w:r>
          </w:p>
        </w:tc>
        <w:tc>
          <w:tcPr>
            <w:tcW w:w="815"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9" w:line="220" w:lineRule="auto"/>
              <w:ind w:left="236"/>
              <w:rPr>
                <w:color w:val="auto"/>
                <w:sz w:val="18"/>
                <w:szCs w:val="18"/>
                <w:highlight w:val="none"/>
              </w:rPr>
            </w:pPr>
            <w:r>
              <w:rPr>
                <w:color w:val="auto"/>
                <w:spacing w:val="-2"/>
                <w:sz w:val="18"/>
                <w:szCs w:val="18"/>
                <w:highlight w:val="none"/>
              </w:rPr>
              <w:t>税金</w:t>
            </w:r>
          </w:p>
        </w:tc>
        <w:tc>
          <w:tcPr>
            <w:tcW w:w="1019" w:type="dxa"/>
            <w:vMerge w:val="restart"/>
            <w:tcBorders>
              <w:top w:val="single" w:color="000000" w:sz="6" w:space="0"/>
              <w:bottom w:val="nil"/>
            </w:tcBorders>
            <w:vAlign w:val="top"/>
          </w:tcPr>
          <w:p>
            <w:pPr>
              <w:spacing w:line="462" w:lineRule="auto"/>
              <w:rPr>
                <w:rFonts w:ascii="Arial"/>
                <w:color w:val="auto"/>
                <w:sz w:val="21"/>
                <w:highlight w:val="none"/>
              </w:rPr>
            </w:pPr>
          </w:p>
          <w:p>
            <w:pPr>
              <w:pStyle w:val="10"/>
              <w:spacing w:before="59" w:line="221" w:lineRule="auto"/>
              <w:ind w:left="333"/>
              <w:rPr>
                <w:color w:val="auto"/>
                <w:sz w:val="18"/>
                <w:szCs w:val="18"/>
                <w:highlight w:val="none"/>
              </w:rPr>
            </w:pPr>
            <w:r>
              <w:rPr>
                <w:color w:val="auto"/>
                <w:spacing w:val="-2"/>
                <w:sz w:val="18"/>
                <w:szCs w:val="18"/>
                <w:highlight w:val="none"/>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69" w:type="dxa"/>
            <w:vMerge w:val="continue"/>
            <w:tcBorders>
              <w:top w:val="nil"/>
              <w:left w:val="single" w:color="000000" w:sz="4" w:space="0"/>
            </w:tcBorders>
            <w:vAlign w:val="top"/>
          </w:tcPr>
          <w:p>
            <w:pPr>
              <w:rPr>
                <w:rFonts w:ascii="Arial"/>
                <w:color w:val="auto"/>
                <w:sz w:val="21"/>
                <w:highlight w:val="none"/>
              </w:rPr>
            </w:pPr>
          </w:p>
        </w:tc>
        <w:tc>
          <w:tcPr>
            <w:tcW w:w="1259" w:type="dxa"/>
            <w:vMerge w:val="continue"/>
            <w:tcBorders>
              <w:top w:val="nil"/>
            </w:tcBorders>
            <w:vAlign w:val="top"/>
          </w:tcPr>
          <w:p>
            <w:pPr>
              <w:rPr>
                <w:rFonts w:ascii="Arial"/>
                <w:color w:val="auto"/>
                <w:sz w:val="21"/>
                <w:highlight w:val="none"/>
              </w:rPr>
            </w:pPr>
          </w:p>
        </w:tc>
        <w:tc>
          <w:tcPr>
            <w:tcW w:w="1504" w:type="dxa"/>
            <w:vMerge w:val="continue"/>
            <w:tcBorders>
              <w:top w:val="nil"/>
            </w:tcBorders>
            <w:vAlign w:val="top"/>
          </w:tcPr>
          <w:p>
            <w:pPr>
              <w:rPr>
                <w:rFonts w:ascii="Arial"/>
                <w:color w:val="auto"/>
                <w:sz w:val="21"/>
                <w:highlight w:val="none"/>
              </w:rPr>
            </w:pPr>
          </w:p>
        </w:tc>
        <w:tc>
          <w:tcPr>
            <w:tcW w:w="678" w:type="dxa"/>
            <w:vMerge w:val="continue"/>
            <w:tcBorders>
              <w:top w:val="nil"/>
            </w:tcBorders>
            <w:vAlign w:val="top"/>
          </w:tcPr>
          <w:p>
            <w:pPr>
              <w:rPr>
                <w:rFonts w:ascii="Arial"/>
                <w:color w:val="auto"/>
                <w:sz w:val="21"/>
                <w:highlight w:val="none"/>
              </w:rPr>
            </w:pPr>
          </w:p>
        </w:tc>
        <w:tc>
          <w:tcPr>
            <w:tcW w:w="909" w:type="dxa"/>
            <w:vAlign w:val="top"/>
          </w:tcPr>
          <w:p>
            <w:pPr>
              <w:pStyle w:val="10"/>
              <w:spacing w:before="221" w:line="220" w:lineRule="auto"/>
              <w:ind w:left="185"/>
              <w:rPr>
                <w:color w:val="auto"/>
                <w:sz w:val="18"/>
                <w:szCs w:val="18"/>
                <w:highlight w:val="none"/>
              </w:rPr>
            </w:pPr>
            <w:r>
              <w:rPr>
                <w:color w:val="auto"/>
                <w:spacing w:val="-2"/>
                <w:sz w:val="18"/>
                <w:szCs w:val="18"/>
                <w:highlight w:val="none"/>
              </w:rPr>
              <w:t>人工费</w:t>
            </w:r>
          </w:p>
        </w:tc>
        <w:tc>
          <w:tcPr>
            <w:tcW w:w="813" w:type="dxa"/>
            <w:vAlign w:val="top"/>
          </w:tcPr>
          <w:p>
            <w:pPr>
              <w:pStyle w:val="10"/>
              <w:spacing w:before="221" w:line="219" w:lineRule="auto"/>
              <w:ind w:left="139"/>
              <w:rPr>
                <w:color w:val="auto"/>
                <w:sz w:val="18"/>
                <w:szCs w:val="18"/>
                <w:highlight w:val="none"/>
              </w:rPr>
            </w:pPr>
            <w:r>
              <w:rPr>
                <w:color w:val="auto"/>
                <w:spacing w:val="-2"/>
                <w:sz w:val="18"/>
                <w:szCs w:val="18"/>
                <w:highlight w:val="none"/>
              </w:rPr>
              <w:t>材料费</w:t>
            </w:r>
          </w:p>
        </w:tc>
        <w:tc>
          <w:tcPr>
            <w:tcW w:w="892" w:type="dxa"/>
            <w:vAlign w:val="top"/>
          </w:tcPr>
          <w:p>
            <w:pPr>
              <w:pStyle w:val="10"/>
              <w:spacing w:before="221" w:line="219" w:lineRule="auto"/>
              <w:ind w:left="177"/>
              <w:rPr>
                <w:color w:val="auto"/>
                <w:sz w:val="18"/>
                <w:szCs w:val="18"/>
                <w:highlight w:val="none"/>
              </w:rPr>
            </w:pPr>
            <w:r>
              <w:rPr>
                <w:color w:val="auto"/>
                <w:spacing w:val="-2"/>
                <w:sz w:val="18"/>
                <w:szCs w:val="18"/>
                <w:highlight w:val="none"/>
              </w:rPr>
              <w:t>机械费</w:t>
            </w:r>
          </w:p>
        </w:tc>
        <w:tc>
          <w:tcPr>
            <w:tcW w:w="894" w:type="dxa"/>
            <w:vAlign w:val="top"/>
          </w:tcPr>
          <w:p>
            <w:pPr>
              <w:pStyle w:val="10"/>
              <w:spacing w:before="221" w:line="220" w:lineRule="auto"/>
              <w:ind w:left="179"/>
              <w:rPr>
                <w:color w:val="auto"/>
                <w:sz w:val="18"/>
                <w:szCs w:val="18"/>
                <w:highlight w:val="none"/>
              </w:rPr>
            </w:pPr>
            <w:r>
              <w:rPr>
                <w:color w:val="auto"/>
                <w:spacing w:val="-2"/>
                <w:sz w:val="18"/>
                <w:szCs w:val="18"/>
                <w:highlight w:val="none"/>
              </w:rPr>
              <w:t>其他费</w:t>
            </w:r>
          </w:p>
        </w:tc>
        <w:tc>
          <w:tcPr>
            <w:tcW w:w="892" w:type="dxa"/>
            <w:vMerge w:val="continue"/>
            <w:tcBorders>
              <w:top w:val="nil"/>
            </w:tcBorders>
            <w:vAlign w:val="top"/>
          </w:tcPr>
          <w:p>
            <w:pPr>
              <w:rPr>
                <w:rFonts w:ascii="Arial"/>
                <w:color w:val="auto"/>
                <w:sz w:val="21"/>
                <w:highlight w:val="none"/>
              </w:rPr>
            </w:pPr>
          </w:p>
        </w:tc>
        <w:tc>
          <w:tcPr>
            <w:tcW w:w="907" w:type="dxa"/>
            <w:vMerge w:val="continue"/>
            <w:tcBorders>
              <w:top w:val="nil"/>
            </w:tcBorders>
            <w:vAlign w:val="top"/>
          </w:tcPr>
          <w:p>
            <w:pPr>
              <w:rPr>
                <w:rFonts w:ascii="Arial"/>
                <w:color w:val="auto"/>
                <w:sz w:val="21"/>
                <w:highlight w:val="none"/>
              </w:rPr>
            </w:pPr>
          </w:p>
        </w:tc>
        <w:tc>
          <w:tcPr>
            <w:tcW w:w="815" w:type="dxa"/>
            <w:vMerge w:val="continue"/>
            <w:tcBorders>
              <w:top w:val="nil"/>
            </w:tcBorders>
            <w:vAlign w:val="top"/>
          </w:tcPr>
          <w:p>
            <w:pPr>
              <w:rPr>
                <w:rFonts w:ascii="Arial"/>
                <w:color w:val="auto"/>
                <w:sz w:val="21"/>
                <w:highlight w:val="none"/>
              </w:rPr>
            </w:pPr>
          </w:p>
        </w:tc>
        <w:tc>
          <w:tcPr>
            <w:tcW w:w="988" w:type="dxa"/>
            <w:vMerge w:val="continue"/>
            <w:tcBorders>
              <w:top w:val="nil"/>
            </w:tcBorders>
            <w:vAlign w:val="top"/>
          </w:tcPr>
          <w:p>
            <w:pPr>
              <w:rPr>
                <w:rFonts w:ascii="Arial"/>
                <w:color w:val="auto"/>
                <w:sz w:val="21"/>
                <w:highlight w:val="none"/>
              </w:rPr>
            </w:pPr>
          </w:p>
        </w:tc>
        <w:tc>
          <w:tcPr>
            <w:tcW w:w="767" w:type="dxa"/>
            <w:vMerge w:val="continue"/>
            <w:tcBorders>
              <w:top w:val="nil"/>
            </w:tcBorders>
            <w:vAlign w:val="top"/>
          </w:tcPr>
          <w:p>
            <w:pPr>
              <w:rPr>
                <w:rFonts w:ascii="Arial"/>
                <w:color w:val="auto"/>
                <w:sz w:val="21"/>
                <w:highlight w:val="none"/>
              </w:rPr>
            </w:pPr>
          </w:p>
        </w:tc>
        <w:tc>
          <w:tcPr>
            <w:tcW w:w="815" w:type="dxa"/>
            <w:vMerge w:val="continue"/>
            <w:tcBorders>
              <w:top w:val="nil"/>
            </w:tcBorders>
            <w:vAlign w:val="top"/>
          </w:tcPr>
          <w:p>
            <w:pPr>
              <w:rPr>
                <w:rFonts w:ascii="Arial"/>
                <w:color w:val="auto"/>
                <w:sz w:val="21"/>
                <w:highlight w:val="none"/>
              </w:rPr>
            </w:pPr>
          </w:p>
        </w:tc>
        <w:tc>
          <w:tcPr>
            <w:tcW w:w="1019" w:type="dxa"/>
            <w:vMerge w:val="continue"/>
            <w:tcBorders>
              <w:top w:val="nil"/>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vAlign w:val="top"/>
          </w:tcPr>
          <w:p>
            <w:pPr>
              <w:pStyle w:val="10"/>
              <w:spacing w:before="154" w:line="182" w:lineRule="auto"/>
              <w:ind w:left="298"/>
              <w:rPr>
                <w:color w:val="auto"/>
                <w:sz w:val="18"/>
                <w:szCs w:val="18"/>
                <w:highlight w:val="none"/>
              </w:rPr>
            </w:pPr>
            <w:r>
              <w:rPr>
                <w:color w:val="auto"/>
                <w:sz w:val="18"/>
                <w:szCs w:val="18"/>
                <w:highlight w:val="none"/>
              </w:rPr>
              <w:t>1</w:t>
            </w: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69" w:type="dxa"/>
            <w:tcBorders>
              <w:left w:val="single" w:color="000000" w:sz="6" w:space="0"/>
            </w:tcBorders>
            <w:vAlign w:val="top"/>
          </w:tcPr>
          <w:p>
            <w:pPr>
              <w:pStyle w:val="10"/>
              <w:spacing w:before="156" w:line="181" w:lineRule="auto"/>
              <w:ind w:left="287"/>
              <w:rPr>
                <w:color w:val="auto"/>
                <w:sz w:val="18"/>
                <w:szCs w:val="18"/>
                <w:highlight w:val="none"/>
              </w:rPr>
            </w:pPr>
            <w:r>
              <w:rPr>
                <w:color w:val="auto"/>
                <w:sz w:val="18"/>
                <w:szCs w:val="18"/>
                <w:highlight w:val="none"/>
              </w:rPr>
              <w:t>2</w:t>
            </w: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vAlign w:val="top"/>
          </w:tcPr>
          <w:p>
            <w:pPr>
              <w:rPr>
                <w:rFonts w:ascii="Arial"/>
                <w:color w:val="auto"/>
                <w:sz w:val="21"/>
                <w:highlight w:val="none"/>
              </w:rPr>
            </w:pP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69" w:type="dxa"/>
            <w:tcBorders>
              <w:left w:val="single" w:color="000000" w:sz="6" w:space="0"/>
            </w:tcBorders>
            <w:vAlign w:val="top"/>
          </w:tcPr>
          <w:p>
            <w:pPr>
              <w:rPr>
                <w:rFonts w:ascii="Arial"/>
                <w:color w:val="auto"/>
                <w:sz w:val="21"/>
                <w:highlight w:val="none"/>
              </w:rPr>
            </w:pP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vAlign w:val="top"/>
          </w:tcPr>
          <w:p>
            <w:pPr>
              <w:rPr>
                <w:rFonts w:ascii="Arial"/>
                <w:color w:val="auto"/>
                <w:sz w:val="21"/>
                <w:highlight w:val="none"/>
              </w:rPr>
            </w:pP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vAlign w:val="top"/>
          </w:tcPr>
          <w:p>
            <w:pPr>
              <w:rPr>
                <w:rFonts w:ascii="Arial"/>
                <w:color w:val="auto"/>
                <w:sz w:val="21"/>
                <w:highlight w:val="none"/>
              </w:rPr>
            </w:pP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69" w:type="dxa"/>
            <w:tcBorders>
              <w:left w:val="single" w:color="000000" w:sz="6" w:space="0"/>
            </w:tcBorders>
            <w:vAlign w:val="top"/>
          </w:tcPr>
          <w:p>
            <w:pPr>
              <w:rPr>
                <w:rFonts w:ascii="Arial"/>
                <w:color w:val="auto"/>
                <w:sz w:val="21"/>
                <w:highlight w:val="none"/>
              </w:rPr>
            </w:pPr>
          </w:p>
        </w:tc>
        <w:tc>
          <w:tcPr>
            <w:tcW w:w="1259" w:type="dxa"/>
            <w:vAlign w:val="top"/>
          </w:tcPr>
          <w:p>
            <w:pPr>
              <w:rPr>
                <w:rFonts w:ascii="Arial"/>
                <w:color w:val="auto"/>
                <w:sz w:val="21"/>
                <w:highlight w:val="none"/>
              </w:rPr>
            </w:pPr>
          </w:p>
        </w:tc>
        <w:tc>
          <w:tcPr>
            <w:tcW w:w="1504" w:type="dxa"/>
            <w:vAlign w:val="top"/>
          </w:tcPr>
          <w:p>
            <w:pPr>
              <w:rPr>
                <w:rFonts w:ascii="Arial"/>
                <w:color w:val="auto"/>
                <w:sz w:val="21"/>
                <w:highlight w:val="none"/>
              </w:rPr>
            </w:pPr>
          </w:p>
        </w:tc>
        <w:tc>
          <w:tcPr>
            <w:tcW w:w="678" w:type="dxa"/>
            <w:vAlign w:val="top"/>
          </w:tcPr>
          <w:p>
            <w:pPr>
              <w:rPr>
                <w:rFonts w:ascii="Arial"/>
                <w:color w:val="auto"/>
                <w:sz w:val="21"/>
                <w:highlight w:val="none"/>
              </w:rPr>
            </w:pPr>
          </w:p>
        </w:tc>
        <w:tc>
          <w:tcPr>
            <w:tcW w:w="909" w:type="dxa"/>
            <w:vAlign w:val="top"/>
          </w:tcPr>
          <w:p>
            <w:pPr>
              <w:rPr>
                <w:rFonts w:ascii="Arial"/>
                <w:color w:val="auto"/>
                <w:sz w:val="21"/>
                <w:highlight w:val="none"/>
              </w:rPr>
            </w:pPr>
          </w:p>
        </w:tc>
        <w:tc>
          <w:tcPr>
            <w:tcW w:w="813"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894" w:type="dxa"/>
            <w:vAlign w:val="top"/>
          </w:tcPr>
          <w:p>
            <w:pPr>
              <w:rPr>
                <w:rFonts w:ascii="Arial"/>
                <w:color w:val="auto"/>
                <w:sz w:val="21"/>
                <w:highlight w:val="none"/>
              </w:rPr>
            </w:pPr>
          </w:p>
        </w:tc>
        <w:tc>
          <w:tcPr>
            <w:tcW w:w="892" w:type="dxa"/>
            <w:vAlign w:val="top"/>
          </w:tcPr>
          <w:p>
            <w:pPr>
              <w:rPr>
                <w:rFonts w:ascii="Arial"/>
                <w:color w:val="auto"/>
                <w:sz w:val="21"/>
                <w:highlight w:val="none"/>
              </w:rPr>
            </w:pPr>
          </w:p>
        </w:tc>
        <w:tc>
          <w:tcPr>
            <w:tcW w:w="90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988" w:type="dxa"/>
            <w:vAlign w:val="top"/>
          </w:tcPr>
          <w:p>
            <w:pPr>
              <w:rPr>
                <w:rFonts w:ascii="Arial"/>
                <w:color w:val="auto"/>
                <w:sz w:val="21"/>
                <w:highlight w:val="none"/>
              </w:rPr>
            </w:pPr>
          </w:p>
        </w:tc>
        <w:tc>
          <w:tcPr>
            <w:tcW w:w="767" w:type="dxa"/>
            <w:vAlign w:val="top"/>
          </w:tcPr>
          <w:p>
            <w:pPr>
              <w:rPr>
                <w:rFonts w:ascii="Arial"/>
                <w:color w:val="auto"/>
                <w:sz w:val="21"/>
                <w:highlight w:val="none"/>
              </w:rPr>
            </w:pPr>
          </w:p>
        </w:tc>
        <w:tc>
          <w:tcPr>
            <w:tcW w:w="815" w:type="dxa"/>
            <w:vAlign w:val="top"/>
          </w:tcPr>
          <w:p>
            <w:pPr>
              <w:rPr>
                <w:rFonts w:ascii="Arial"/>
                <w:color w:val="auto"/>
                <w:sz w:val="21"/>
                <w:highlight w:val="none"/>
              </w:rPr>
            </w:pPr>
          </w:p>
        </w:tc>
        <w:tc>
          <w:tcPr>
            <w:tcW w:w="101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69" w:type="dxa"/>
            <w:tcBorders>
              <w:left w:val="single" w:color="000000" w:sz="6" w:space="0"/>
              <w:bottom w:val="single" w:color="000000" w:sz="6" w:space="0"/>
            </w:tcBorders>
            <w:vAlign w:val="top"/>
          </w:tcPr>
          <w:p>
            <w:pPr>
              <w:rPr>
                <w:rFonts w:ascii="Arial"/>
                <w:color w:val="auto"/>
                <w:sz w:val="21"/>
                <w:highlight w:val="none"/>
              </w:rPr>
            </w:pPr>
          </w:p>
        </w:tc>
        <w:tc>
          <w:tcPr>
            <w:tcW w:w="1259" w:type="dxa"/>
            <w:tcBorders>
              <w:bottom w:val="single" w:color="000000" w:sz="6" w:space="0"/>
            </w:tcBorders>
            <w:vAlign w:val="top"/>
          </w:tcPr>
          <w:p>
            <w:pPr>
              <w:rPr>
                <w:rFonts w:ascii="Arial"/>
                <w:color w:val="auto"/>
                <w:sz w:val="21"/>
                <w:highlight w:val="none"/>
              </w:rPr>
            </w:pPr>
          </w:p>
        </w:tc>
        <w:tc>
          <w:tcPr>
            <w:tcW w:w="1504" w:type="dxa"/>
            <w:tcBorders>
              <w:bottom w:val="single" w:color="000000" w:sz="6" w:space="0"/>
            </w:tcBorders>
            <w:vAlign w:val="top"/>
          </w:tcPr>
          <w:p>
            <w:pPr>
              <w:rPr>
                <w:rFonts w:ascii="Arial"/>
                <w:color w:val="auto"/>
                <w:sz w:val="21"/>
                <w:highlight w:val="none"/>
              </w:rPr>
            </w:pPr>
          </w:p>
        </w:tc>
        <w:tc>
          <w:tcPr>
            <w:tcW w:w="678" w:type="dxa"/>
            <w:tcBorders>
              <w:bottom w:val="single" w:color="000000" w:sz="6" w:space="0"/>
            </w:tcBorders>
            <w:vAlign w:val="top"/>
          </w:tcPr>
          <w:p>
            <w:pPr>
              <w:rPr>
                <w:rFonts w:ascii="Arial"/>
                <w:color w:val="auto"/>
                <w:sz w:val="21"/>
                <w:highlight w:val="none"/>
              </w:rPr>
            </w:pPr>
          </w:p>
        </w:tc>
        <w:tc>
          <w:tcPr>
            <w:tcW w:w="909" w:type="dxa"/>
            <w:tcBorders>
              <w:bottom w:val="single" w:color="000000" w:sz="6" w:space="0"/>
            </w:tcBorders>
            <w:vAlign w:val="top"/>
          </w:tcPr>
          <w:p>
            <w:pPr>
              <w:rPr>
                <w:rFonts w:ascii="Arial"/>
                <w:color w:val="auto"/>
                <w:sz w:val="21"/>
                <w:highlight w:val="none"/>
              </w:rPr>
            </w:pPr>
          </w:p>
        </w:tc>
        <w:tc>
          <w:tcPr>
            <w:tcW w:w="813" w:type="dxa"/>
            <w:tcBorders>
              <w:bottom w:val="single" w:color="000000" w:sz="6" w:space="0"/>
            </w:tcBorders>
            <w:vAlign w:val="top"/>
          </w:tcPr>
          <w:p>
            <w:pPr>
              <w:rPr>
                <w:rFonts w:ascii="Arial"/>
                <w:color w:val="auto"/>
                <w:sz w:val="21"/>
                <w:highlight w:val="none"/>
              </w:rPr>
            </w:pPr>
          </w:p>
        </w:tc>
        <w:tc>
          <w:tcPr>
            <w:tcW w:w="892" w:type="dxa"/>
            <w:tcBorders>
              <w:bottom w:val="single" w:color="000000" w:sz="6" w:space="0"/>
            </w:tcBorders>
            <w:vAlign w:val="top"/>
          </w:tcPr>
          <w:p>
            <w:pPr>
              <w:rPr>
                <w:rFonts w:ascii="Arial"/>
                <w:color w:val="auto"/>
                <w:sz w:val="21"/>
                <w:highlight w:val="none"/>
              </w:rPr>
            </w:pPr>
          </w:p>
        </w:tc>
        <w:tc>
          <w:tcPr>
            <w:tcW w:w="894" w:type="dxa"/>
            <w:tcBorders>
              <w:bottom w:val="single" w:color="000000" w:sz="6" w:space="0"/>
            </w:tcBorders>
            <w:vAlign w:val="top"/>
          </w:tcPr>
          <w:p>
            <w:pPr>
              <w:rPr>
                <w:rFonts w:ascii="Arial"/>
                <w:color w:val="auto"/>
                <w:sz w:val="21"/>
                <w:highlight w:val="none"/>
              </w:rPr>
            </w:pPr>
          </w:p>
        </w:tc>
        <w:tc>
          <w:tcPr>
            <w:tcW w:w="892" w:type="dxa"/>
            <w:tcBorders>
              <w:bottom w:val="single" w:color="000000" w:sz="6" w:space="0"/>
            </w:tcBorders>
            <w:vAlign w:val="top"/>
          </w:tcPr>
          <w:p>
            <w:pPr>
              <w:rPr>
                <w:rFonts w:ascii="Arial"/>
                <w:color w:val="auto"/>
                <w:sz w:val="21"/>
                <w:highlight w:val="none"/>
              </w:rPr>
            </w:pPr>
          </w:p>
        </w:tc>
        <w:tc>
          <w:tcPr>
            <w:tcW w:w="907" w:type="dxa"/>
            <w:tcBorders>
              <w:bottom w:val="single" w:color="000000" w:sz="6" w:space="0"/>
            </w:tcBorders>
            <w:vAlign w:val="top"/>
          </w:tcPr>
          <w:p>
            <w:pPr>
              <w:rPr>
                <w:rFonts w:ascii="Arial"/>
                <w:color w:val="auto"/>
                <w:sz w:val="21"/>
                <w:highlight w:val="none"/>
              </w:rPr>
            </w:pPr>
          </w:p>
        </w:tc>
        <w:tc>
          <w:tcPr>
            <w:tcW w:w="815" w:type="dxa"/>
            <w:tcBorders>
              <w:bottom w:val="single" w:color="000000" w:sz="6" w:space="0"/>
            </w:tcBorders>
            <w:vAlign w:val="top"/>
          </w:tcPr>
          <w:p>
            <w:pPr>
              <w:rPr>
                <w:rFonts w:ascii="Arial"/>
                <w:color w:val="auto"/>
                <w:sz w:val="21"/>
                <w:highlight w:val="none"/>
              </w:rPr>
            </w:pPr>
          </w:p>
        </w:tc>
        <w:tc>
          <w:tcPr>
            <w:tcW w:w="988" w:type="dxa"/>
            <w:tcBorders>
              <w:bottom w:val="single" w:color="000000" w:sz="6" w:space="0"/>
            </w:tcBorders>
            <w:vAlign w:val="top"/>
          </w:tcPr>
          <w:p>
            <w:pPr>
              <w:rPr>
                <w:rFonts w:ascii="Arial"/>
                <w:color w:val="auto"/>
                <w:sz w:val="21"/>
                <w:highlight w:val="none"/>
              </w:rPr>
            </w:pPr>
          </w:p>
        </w:tc>
        <w:tc>
          <w:tcPr>
            <w:tcW w:w="767" w:type="dxa"/>
            <w:tcBorders>
              <w:bottom w:val="single" w:color="000000" w:sz="6" w:space="0"/>
            </w:tcBorders>
            <w:vAlign w:val="top"/>
          </w:tcPr>
          <w:p>
            <w:pPr>
              <w:rPr>
                <w:rFonts w:ascii="Arial"/>
                <w:color w:val="auto"/>
                <w:sz w:val="21"/>
                <w:highlight w:val="none"/>
              </w:rPr>
            </w:pPr>
          </w:p>
        </w:tc>
        <w:tc>
          <w:tcPr>
            <w:tcW w:w="815" w:type="dxa"/>
            <w:tcBorders>
              <w:bottom w:val="single" w:color="000000" w:sz="6" w:space="0"/>
            </w:tcBorders>
            <w:vAlign w:val="top"/>
          </w:tcPr>
          <w:p>
            <w:pPr>
              <w:rPr>
                <w:rFonts w:ascii="Arial"/>
                <w:color w:val="auto"/>
                <w:sz w:val="21"/>
                <w:highlight w:val="none"/>
              </w:rPr>
            </w:pPr>
          </w:p>
        </w:tc>
        <w:tc>
          <w:tcPr>
            <w:tcW w:w="1019" w:type="dxa"/>
            <w:tcBorders>
              <w:bottom w:val="single" w:color="000000" w:sz="6" w:space="0"/>
              <w:right w:val="single" w:color="000000" w:sz="6" w:space="0"/>
            </w:tcBorders>
            <w:vAlign w:val="top"/>
          </w:tcPr>
          <w:p>
            <w:pPr>
              <w:rPr>
                <w:rFonts w:ascii="Arial"/>
                <w:color w:val="auto"/>
                <w:sz w:val="21"/>
                <w:highlight w:val="none"/>
              </w:rPr>
            </w:pPr>
          </w:p>
        </w:tc>
      </w:tr>
    </w:tbl>
    <w:p>
      <w:pPr>
        <w:spacing w:before="119" w:line="220" w:lineRule="auto"/>
        <w:ind w:left="11798"/>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tabs>
          <w:tab w:val="left" w:pos="12661"/>
        </w:tabs>
        <w:spacing w:before="115" w:line="229" w:lineRule="auto"/>
        <w:ind w:left="11670" w:right="463" w:firstLine="11"/>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5"/>
          <w:sz w:val="18"/>
          <w:szCs w:val="18"/>
          <w:highlight w:val="none"/>
        </w:rPr>
        <w:t>）</w:t>
      </w:r>
      <w:r>
        <w:rPr>
          <w:rFonts w:ascii="宋体" w:hAnsi="宋体" w:eastAsia="宋体" w:cs="宋体"/>
          <w:color w:val="auto"/>
          <w:spacing w:val="3"/>
          <w:sz w:val="18"/>
          <w:szCs w:val="18"/>
          <w:highlight w:val="none"/>
        </w:rPr>
        <w:t xml:space="preserve"> </w:t>
      </w:r>
      <w:r>
        <w:rPr>
          <w:rFonts w:ascii="宋体" w:hAnsi="宋体" w:eastAsia="宋体" w:cs="宋体"/>
          <w:color w:val="auto"/>
          <w:spacing w:val="-5"/>
          <w:sz w:val="18"/>
          <w:szCs w:val="18"/>
          <w:highlight w:val="none"/>
        </w:rPr>
        <w:t>：</w:t>
      </w:r>
      <w:r>
        <w:rPr>
          <w:rFonts w:ascii="宋体" w:hAnsi="宋体" w:eastAsia="宋体" w:cs="宋体"/>
          <w:color w:val="auto"/>
          <w:sz w:val="18"/>
          <w:szCs w:val="18"/>
          <w:highlight w:val="none"/>
        </w:rPr>
        <w:t xml:space="preserve"> </w:t>
      </w:r>
      <w:r>
        <w:rPr>
          <w:rFonts w:ascii="宋体" w:hAnsi="宋体" w:eastAsia="宋体" w:cs="宋体"/>
          <w:color w:val="auto"/>
          <w:sz w:val="18"/>
          <w:szCs w:val="18"/>
          <w:highlight w:val="none"/>
          <w:u w:val="single" w:color="auto"/>
        </w:rPr>
        <w:tab/>
      </w:r>
      <w:r>
        <w:rPr>
          <w:rFonts w:ascii="宋体" w:hAnsi="宋体" w:eastAsia="宋体" w:cs="宋体"/>
          <w:color w:val="auto"/>
          <w:spacing w:val="-13"/>
          <w:sz w:val="18"/>
          <w:szCs w:val="18"/>
          <w:highlight w:val="none"/>
        </w:rPr>
        <w:t xml:space="preserve"> </w:t>
      </w:r>
      <w:r>
        <w:rPr>
          <w:rFonts w:ascii="宋体" w:hAnsi="宋体" w:eastAsia="宋体" w:cs="宋体"/>
          <w:color w:val="auto"/>
          <w:spacing w:val="-22"/>
          <w:sz w:val="18"/>
          <w:szCs w:val="18"/>
          <w:highlight w:val="none"/>
        </w:rPr>
        <w:t>（签字）</w:t>
      </w:r>
    </w:p>
    <w:p>
      <w:pPr>
        <w:spacing w:line="229" w:lineRule="auto"/>
        <w:rPr>
          <w:rFonts w:ascii="宋体" w:hAnsi="宋体" w:eastAsia="宋体" w:cs="宋体"/>
          <w:color w:val="auto"/>
          <w:sz w:val="18"/>
          <w:szCs w:val="18"/>
          <w:highlight w:val="none"/>
        </w:rPr>
        <w:sectPr>
          <w:footerReference r:id="rId90" w:type="default"/>
          <w:pgSz w:w="16841" w:h="11907"/>
          <w:pgMar w:top="400" w:right="1557" w:bottom="1002" w:left="1447" w:header="0" w:footer="828" w:gutter="0"/>
          <w:pgNumType w:fmt="numberInDash"/>
          <w:cols w:space="720" w:num="1"/>
        </w:sectPr>
      </w:pPr>
    </w:p>
    <w:p>
      <w:pPr>
        <w:pStyle w:val="2"/>
        <w:spacing w:line="245" w:lineRule="auto"/>
        <w:rPr>
          <w:color w:val="auto"/>
          <w:highlight w:val="none"/>
        </w:rPr>
      </w:pPr>
    </w:p>
    <w:p>
      <w:pPr>
        <w:spacing w:before="78"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3.14 </w:t>
      </w:r>
      <w:r>
        <w:rPr>
          <w:rFonts w:ascii="黑体" w:hAnsi="黑体" w:eastAsia="黑体" w:cs="黑体"/>
          <w:color w:val="auto"/>
          <w:spacing w:val="-1"/>
          <w:sz w:val="24"/>
          <w:szCs w:val="24"/>
          <w:highlight w:val="none"/>
        </w:rPr>
        <w:t>工程单价费（税）率汇总表</w:t>
      </w:r>
    </w:p>
    <w:p>
      <w:pPr>
        <w:pStyle w:val="2"/>
        <w:spacing w:line="371" w:lineRule="auto"/>
        <w:rPr>
          <w:color w:val="auto"/>
          <w:highlight w:val="none"/>
        </w:rPr>
      </w:pPr>
    </w:p>
    <w:p>
      <w:pPr>
        <w:spacing w:before="130" w:line="218" w:lineRule="auto"/>
        <w:ind w:left="2072"/>
        <w:rPr>
          <w:rFonts w:ascii="宋体" w:hAnsi="宋体" w:eastAsia="宋体" w:cs="宋体"/>
          <w:color w:val="auto"/>
          <w:sz w:val="40"/>
          <w:szCs w:val="40"/>
          <w:highlight w:val="none"/>
        </w:rPr>
      </w:pPr>
      <w:bookmarkStart w:id="361" w:name="bookmark401"/>
      <w:bookmarkEnd w:id="361"/>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工程单价费（税）率汇总表</w:t>
      </w:r>
    </w:p>
    <w:p>
      <w:pPr>
        <w:spacing w:line="140" w:lineRule="exact"/>
        <w:rPr>
          <w:color w:val="auto"/>
          <w:highlight w:val="none"/>
        </w:rPr>
      </w:pPr>
    </w:p>
    <w:p>
      <w:pPr>
        <w:spacing w:line="140" w:lineRule="exact"/>
        <w:rPr>
          <w:color w:val="auto"/>
          <w:highlight w:val="none"/>
        </w:rPr>
        <w:sectPr>
          <w:footerReference r:id="rId91" w:type="default"/>
          <w:pgSz w:w="11907" w:h="16841"/>
          <w:pgMar w:top="1769" w:right="1517" w:bottom="1004" w:left="1542" w:header="0" w:footer="829" w:gutter="0"/>
          <w:pgNumType w:fmt="numberInDash"/>
          <w:cols w:equalWidth="0" w:num="1">
            <w:col w:w="8925"/>
          </w:cols>
        </w:sectPr>
      </w:pPr>
    </w:p>
    <w:p>
      <w:pPr>
        <w:spacing w:before="39" w:line="418" w:lineRule="exact"/>
        <w:ind w:left="126"/>
        <w:rPr>
          <w:rFonts w:ascii="宋体" w:hAnsi="宋体" w:eastAsia="宋体" w:cs="宋体"/>
          <w:color w:val="auto"/>
          <w:sz w:val="19"/>
          <w:szCs w:val="19"/>
          <w:highlight w:val="none"/>
        </w:rPr>
      </w:pPr>
      <w:r>
        <w:rPr>
          <w:rFonts w:ascii="宋体" w:hAnsi="宋体" w:eastAsia="宋体" w:cs="宋体"/>
          <w:color w:val="auto"/>
          <w:spacing w:val="5"/>
          <w:position w:val="17"/>
          <w:sz w:val="19"/>
          <w:szCs w:val="19"/>
          <w:highlight w:val="none"/>
        </w:rPr>
        <w:t>合同编号：</w:t>
      </w:r>
    </w:p>
    <w:p>
      <w:pPr>
        <w:spacing w:line="229" w:lineRule="auto"/>
        <w:ind w:left="12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工程名称：</w:t>
      </w:r>
    </w:p>
    <w:p>
      <w:pPr>
        <w:pStyle w:val="2"/>
        <w:spacing w:line="14" w:lineRule="auto"/>
        <w:rPr>
          <w:color w:val="auto"/>
          <w:sz w:val="2"/>
          <w:highlight w:val="none"/>
        </w:rPr>
      </w:pPr>
      <w:r>
        <w:rPr>
          <w:color w:val="auto"/>
          <w:sz w:val="2"/>
          <w:szCs w:val="2"/>
          <w:highlight w:val="none"/>
        </w:rPr>
        <w:br w:type="column"/>
      </w:r>
    </w:p>
    <w:p>
      <w:pPr>
        <w:pStyle w:val="2"/>
        <w:spacing w:line="258" w:lineRule="auto"/>
        <w:rPr>
          <w:color w:val="auto"/>
          <w:highlight w:val="none"/>
        </w:rPr>
      </w:pPr>
    </w:p>
    <w:p>
      <w:pPr>
        <w:pStyle w:val="2"/>
        <w:spacing w:line="259" w:lineRule="auto"/>
        <w:rPr>
          <w:color w:val="auto"/>
          <w:highlight w:val="none"/>
        </w:rPr>
      </w:pPr>
    </w:p>
    <w:p>
      <w:pPr>
        <w:spacing w:before="62" w:line="194" w:lineRule="auto"/>
        <w:rPr>
          <w:rFonts w:ascii="宋体" w:hAnsi="宋体" w:eastAsia="宋体" w:cs="宋体"/>
          <w:color w:val="auto"/>
          <w:sz w:val="19"/>
          <w:szCs w:val="19"/>
          <w:highlight w:val="none"/>
        </w:rPr>
      </w:pPr>
      <w:r>
        <w:rPr>
          <w:rFonts w:ascii="宋体" w:hAnsi="宋体" w:eastAsia="宋体" w:cs="宋体"/>
          <w:color w:val="auto"/>
          <w:spacing w:val="-3"/>
          <w:sz w:val="19"/>
          <w:szCs w:val="19"/>
          <w:highlight w:val="none"/>
        </w:rPr>
        <w:t>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20"/>
          <w:sz w:val="19"/>
          <w:szCs w:val="19"/>
          <w:highlight w:val="none"/>
        </w:rPr>
        <w:t xml:space="preserve"> </w:t>
      </w:r>
      <w:r>
        <w:rPr>
          <w:rFonts w:ascii="宋体" w:hAnsi="宋体" w:eastAsia="宋体" w:cs="宋体"/>
          <w:color w:val="auto"/>
          <w:spacing w:val="-3"/>
          <w:sz w:val="19"/>
          <w:szCs w:val="19"/>
          <w:highlight w:val="none"/>
        </w:rPr>
        <w:t>页、共</w:t>
      </w:r>
      <w:r>
        <w:rPr>
          <w:rFonts w:ascii="宋体" w:hAnsi="宋体" w:eastAsia="宋体" w:cs="宋体"/>
          <w:color w:val="auto"/>
          <w:spacing w:val="28"/>
          <w:sz w:val="19"/>
          <w:szCs w:val="19"/>
          <w:highlight w:val="none"/>
        </w:rPr>
        <w:t xml:space="preserve"> </w:t>
      </w:r>
      <w:r>
        <w:rPr>
          <w:rFonts w:ascii="宋体" w:hAnsi="宋体" w:eastAsia="宋体" w:cs="宋体"/>
          <w:color w:val="auto"/>
          <w:spacing w:val="-3"/>
          <w:sz w:val="19"/>
          <w:szCs w:val="19"/>
          <w:highlight w:val="none"/>
        </w:rPr>
        <w:t>1</w:t>
      </w:r>
      <w:r>
        <w:rPr>
          <w:rFonts w:ascii="宋体" w:hAnsi="宋体" w:eastAsia="宋体" w:cs="宋体"/>
          <w:color w:val="auto"/>
          <w:spacing w:val="19"/>
          <w:sz w:val="19"/>
          <w:szCs w:val="19"/>
          <w:highlight w:val="none"/>
        </w:rPr>
        <w:t xml:space="preserve"> </w:t>
      </w:r>
      <w:r>
        <w:rPr>
          <w:rFonts w:ascii="宋体" w:hAnsi="宋体" w:eastAsia="宋体" w:cs="宋体"/>
          <w:color w:val="auto"/>
          <w:spacing w:val="-3"/>
          <w:sz w:val="19"/>
          <w:szCs w:val="19"/>
          <w:highlight w:val="none"/>
        </w:rPr>
        <w:t>页</w:t>
      </w:r>
    </w:p>
    <w:p>
      <w:pPr>
        <w:spacing w:line="194" w:lineRule="auto"/>
        <w:rPr>
          <w:rFonts w:ascii="宋体" w:hAnsi="宋体" w:eastAsia="宋体" w:cs="宋体"/>
          <w:color w:val="auto"/>
          <w:sz w:val="19"/>
          <w:szCs w:val="19"/>
          <w:highlight w:val="none"/>
        </w:rPr>
        <w:sectPr>
          <w:type w:val="continuous"/>
          <w:pgSz w:w="11907" w:h="16841"/>
          <w:pgMar w:top="400" w:right="1517" w:bottom="1004" w:left="1464" w:header="0" w:footer="829" w:gutter="0"/>
          <w:pgNumType w:fmt="numberInDash"/>
          <w:cols w:equalWidth="0" w:num="2">
            <w:col w:w="7114" w:space="100"/>
            <w:col w:w="1712"/>
          </w:cols>
        </w:sectPr>
      </w:pPr>
    </w:p>
    <w:p>
      <w:pPr>
        <w:spacing w:line="29" w:lineRule="exact"/>
        <w:rPr>
          <w:color w:val="auto"/>
          <w:highlight w:val="none"/>
        </w:rPr>
      </w:pPr>
    </w:p>
    <w:tbl>
      <w:tblPr>
        <w:tblStyle w:val="9"/>
        <w:tblW w:w="89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1328"/>
        <w:gridCol w:w="1330"/>
        <w:gridCol w:w="1330"/>
        <w:gridCol w:w="1330"/>
        <w:gridCol w:w="1313"/>
        <w:gridCol w:w="13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9" w:type="dxa"/>
            <w:vMerge w:val="restart"/>
            <w:tcBorders>
              <w:top w:val="single" w:color="000000" w:sz="6" w:space="0"/>
              <w:left w:val="single" w:color="000000" w:sz="6" w:space="0"/>
              <w:bottom w:val="nil"/>
            </w:tcBorders>
            <w:vAlign w:val="top"/>
          </w:tcPr>
          <w:p>
            <w:pPr>
              <w:pStyle w:val="10"/>
              <w:spacing w:before="239" w:line="230" w:lineRule="auto"/>
              <w:ind w:left="265"/>
              <w:rPr>
                <w:color w:val="auto"/>
                <w:sz w:val="19"/>
                <w:szCs w:val="19"/>
                <w:highlight w:val="none"/>
              </w:rPr>
            </w:pPr>
            <w:r>
              <w:rPr>
                <w:color w:val="auto"/>
                <w:spacing w:val="5"/>
                <w:sz w:val="19"/>
                <w:szCs w:val="19"/>
                <w:highlight w:val="none"/>
              </w:rPr>
              <w:t>序号</w:t>
            </w:r>
          </w:p>
        </w:tc>
        <w:tc>
          <w:tcPr>
            <w:tcW w:w="1328" w:type="dxa"/>
            <w:vMerge w:val="restart"/>
            <w:tcBorders>
              <w:top w:val="single" w:color="000000" w:sz="6" w:space="0"/>
              <w:bottom w:val="nil"/>
            </w:tcBorders>
            <w:vAlign w:val="top"/>
          </w:tcPr>
          <w:p>
            <w:pPr>
              <w:pStyle w:val="10"/>
              <w:spacing w:before="239" w:line="228" w:lineRule="auto"/>
              <w:ind w:left="268"/>
              <w:rPr>
                <w:color w:val="auto"/>
                <w:sz w:val="19"/>
                <w:szCs w:val="19"/>
                <w:highlight w:val="none"/>
              </w:rPr>
            </w:pPr>
            <w:r>
              <w:rPr>
                <w:color w:val="auto"/>
                <w:spacing w:val="6"/>
                <w:sz w:val="19"/>
                <w:szCs w:val="19"/>
                <w:highlight w:val="none"/>
              </w:rPr>
              <w:t>工程类别</w:t>
            </w:r>
          </w:p>
        </w:tc>
        <w:tc>
          <w:tcPr>
            <w:tcW w:w="5303" w:type="dxa"/>
            <w:gridSpan w:val="4"/>
            <w:tcBorders>
              <w:top w:val="single" w:color="000000" w:sz="6" w:space="0"/>
            </w:tcBorders>
            <w:vAlign w:val="top"/>
          </w:tcPr>
          <w:p>
            <w:pPr>
              <w:pStyle w:val="10"/>
              <w:spacing w:before="68" w:line="227" w:lineRule="auto"/>
              <w:ind w:left="1508"/>
              <w:rPr>
                <w:color w:val="auto"/>
                <w:sz w:val="19"/>
                <w:szCs w:val="19"/>
                <w:highlight w:val="none"/>
              </w:rPr>
            </w:pPr>
            <w:r>
              <w:rPr>
                <w:color w:val="auto"/>
                <w:spacing w:val="7"/>
                <w:sz w:val="19"/>
                <w:szCs w:val="19"/>
                <w:highlight w:val="none"/>
              </w:rPr>
              <w:t>工程单价费（税）率（%）</w:t>
            </w:r>
          </w:p>
        </w:tc>
        <w:tc>
          <w:tcPr>
            <w:tcW w:w="1339" w:type="dxa"/>
            <w:vMerge w:val="restart"/>
            <w:tcBorders>
              <w:top w:val="single" w:color="000000" w:sz="6" w:space="0"/>
              <w:bottom w:val="nil"/>
              <w:right w:val="single" w:color="000000" w:sz="6" w:space="0"/>
            </w:tcBorders>
            <w:vAlign w:val="top"/>
          </w:tcPr>
          <w:p>
            <w:pPr>
              <w:pStyle w:val="10"/>
              <w:spacing w:before="239" w:line="230" w:lineRule="auto"/>
              <w:ind w:left="478"/>
              <w:rPr>
                <w:color w:val="auto"/>
                <w:sz w:val="19"/>
                <w:szCs w:val="19"/>
                <w:highlight w:val="none"/>
              </w:rPr>
            </w:pPr>
            <w:r>
              <w:rPr>
                <w:color w:val="auto"/>
                <w:spacing w:val="4"/>
                <w:sz w:val="19"/>
                <w:szCs w:val="19"/>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9" w:type="dxa"/>
            <w:vMerge w:val="continue"/>
            <w:tcBorders>
              <w:top w:val="nil"/>
              <w:left w:val="single" w:color="000000" w:sz="6" w:space="0"/>
            </w:tcBorders>
            <w:vAlign w:val="top"/>
          </w:tcPr>
          <w:p>
            <w:pPr>
              <w:rPr>
                <w:rFonts w:ascii="Arial"/>
                <w:color w:val="auto"/>
                <w:sz w:val="21"/>
                <w:highlight w:val="none"/>
              </w:rPr>
            </w:pPr>
          </w:p>
        </w:tc>
        <w:tc>
          <w:tcPr>
            <w:tcW w:w="1328" w:type="dxa"/>
            <w:vMerge w:val="continue"/>
            <w:tcBorders>
              <w:top w:val="nil"/>
            </w:tcBorders>
            <w:vAlign w:val="top"/>
          </w:tcPr>
          <w:p>
            <w:pPr>
              <w:rPr>
                <w:rFonts w:ascii="Arial"/>
                <w:color w:val="auto"/>
                <w:sz w:val="21"/>
                <w:highlight w:val="none"/>
              </w:rPr>
            </w:pPr>
          </w:p>
        </w:tc>
        <w:tc>
          <w:tcPr>
            <w:tcW w:w="1330" w:type="dxa"/>
            <w:vAlign w:val="top"/>
          </w:tcPr>
          <w:p>
            <w:pPr>
              <w:pStyle w:val="10"/>
              <w:spacing w:before="71" w:line="229" w:lineRule="auto"/>
              <w:ind w:left="366"/>
              <w:rPr>
                <w:color w:val="auto"/>
                <w:sz w:val="19"/>
                <w:szCs w:val="19"/>
                <w:highlight w:val="none"/>
              </w:rPr>
            </w:pPr>
            <w:r>
              <w:rPr>
                <w:color w:val="auto"/>
                <w:spacing w:val="6"/>
                <w:sz w:val="19"/>
                <w:szCs w:val="19"/>
                <w:highlight w:val="none"/>
              </w:rPr>
              <w:t>措施费</w:t>
            </w:r>
          </w:p>
        </w:tc>
        <w:tc>
          <w:tcPr>
            <w:tcW w:w="1330" w:type="dxa"/>
            <w:vAlign w:val="top"/>
          </w:tcPr>
          <w:p>
            <w:pPr>
              <w:pStyle w:val="10"/>
              <w:spacing w:before="71" w:line="229" w:lineRule="auto"/>
              <w:ind w:left="384"/>
              <w:rPr>
                <w:color w:val="auto"/>
                <w:sz w:val="19"/>
                <w:szCs w:val="19"/>
                <w:highlight w:val="none"/>
              </w:rPr>
            </w:pPr>
            <w:r>
              <w:rPr>
                <w:color w:val="auto"/>
                <w:spacing w:val="1"/>
                <w:sz w:val="19"/>
                <w:szCs w:val="19"/>
                <w:highlight w:val="none"/>
              </w:rPr>
              <w:t>间接费</w:t>
            </w:r>
          </w:p>
        </w:tc>
        <w:tc>
          <w:tcPr>
            <w:tcW w:w="1330" w:type="dxa"/>
            <w:vAlign w:val="top"/>
          </w:tcPr>
          <w:p>
            <w:pPr>
              <w:pStyle w:val="10"/>
              <w:spacing w:before="71" w:line="229" w:lineRule="auto"/>
              <w:ind w:left="472"/>
              <w:rPr>
                <w:color w:val="auto"/>
                <w:sz w:val="19"/>
                <w:szCs w:val="19"/>
                <w:highlight w:val="none"/>
              </w:rPr>
            </w:pPr>
            <w:r>
              <w:rPr>
                <w:color w:val="auto"/>
                <w:spacing w:val="4"/>
                <w:sz w:val="19"/>
                <w:szCs w:val="19"/>
                <w:highlight w:val="none"/>
              </w:rPr>
              <w:t>利润</w:t>
            </w:r>
          </w:p>
        </w:tc>
        <w:tc>
          <w:tcPr>
            <w:tcW w:w="1313" w:type="dxa"/>
            <w:vAlign w:val="top"/>
          </w:tcPr>
          <w:p>
            <w:pPr>
              <w:pStyle w:val="10"/>
              <w:spacing w:before="71" w:line="229" w:lineRule="auto"/>
              <w:ind w:left="463"/>
              <w:rPr>
                <w:color w:val="auto"/>
                <w:sz w:val="19"/>
                <w:szCs w:val="19"/>
                <w:highlight w:val="none"/>
              </w:rPr>
            </w:pPr>
            <w:r>
              <w:rPr>
                <w:color w:val="auto"/>
                <w:spacing w:val="5"/>
                <w:sz w:val="19"/>
                <w:szCs w:val="19"/>
                <w:highlight w:val="none"/>
              </w:rPr>
              <w:t>税金</w:t>
            </w:r>
          </w:p>
        </w:tc>
        <w:tc>
          <w:tcPr>
            <w:tcW w:w="1339" w:type="dxa"/>
            <w:vMerge w:val="continue"/>
            <w:tcBorders>
              <w:top w:val="nil"/>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vAlign w:val="top"/>
          </w:tcPr>
          <w:p>
            <w:pPr>
              <w:rPr>
                <w:rFonts w:ascii="Arial"/>
                <w:color w:val="auto"/>
                <w:sz w:val="21"/>
                <w:highlight w:val="none"/>
              </w:rPr>
            </w:pPr>
          </w:p>
        </w:tc>
        <w:tc>
          <w:tcPr>
            <w:tcW w:w="1328"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30" w:type="dxa"/>
            <w:vAlign w:val="top"/>
          </w:tcPr>
          <w:p>
            <w:pPr>
              <w:rPr>
                <w:rFonts w:ascii="Arial"/>
                <w:color w:val="auto"/>
                <w:sz w:val="21"/>
                <w:highlight w:val="none"/>
              </w:rPr>
            </w:pPr>
          </w:p>
        </w:tc>
        <w:tc>
          <w:tcPr>
            <w:tcW w:w="1313" w:type="dxa"/>
            <w:vAlign w:val="top"/>
          </w:tcPr>
          <w:p>
            <w:pPr>
              <w:rPr>
                <w:rFonts w:ascii="Arial"/>
                <w:color w:val="auto"/>
                <w:sz w:val="21"/>
                <w:highlight w:val="none"/>
              </w:rPr>
            </w:pPr>
          </w:p>
        </w:tc>
        <w:tc>
          <w:tcPr>
            <w:tcW w:w="133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939" w:type="dxa"/>
            <w:tcBorders>
              <w:left w:val="single" w:color="000000" w:sz="6" w:space="0"/>
              <w:bottom w:val="single" w:color="000000" w:sz="6" w:space="0"/>
            </w:tcBorders>
            <w:vAlign w:val="top"/>
          </w:tcPr>
          <w:p>
            <w:pPr>
              <w:rPr>
                <w:rFonts w:ascii="Arial"/>
                <w:color w:val="auto"/>
                <w:sz w:val="21"/>
                <w:highlight w:val="none"/>
              </w:rPr>
            </w:pPr>
          </w:p>
        </w:tc>
        <w:tc>
          <w:tcPr>
            <w:tcW w:w="1328" w:type="dxa"/>
            <w:tcBorders>
              <w:bottom w:val="single" w:color="000000" w:sz="6" w:space="0"/>
            </w:tcBorders>
            <w:vAlign w:val="top"/>
          </w:tcPr>
          <w:p>
            <w:pPr>
              <w:rPr>
                <w:rFonts w:ascii="Arial"/>
                <w:color w:val="auto"/>
                <w:sz w:val="21"/>
                <w:highlight w:val="none"/>
              </w:rPr>
            </w:pPr>
          </w:p>
        </w:tc>
        <w:tc>
          <w:tcPr>
            <w:tcW w:w="1330" w:type="dxa"/>
            <w:tcBorders>
              <w:bottom w:val="single" w:color="000000" w:sz="6" w:space="0"/>
            </w:tcBorders>
            <w:vAlign w:val="top"/>
          </w:tcPr>
          <w:p>
            <w:pPr>
              <w:rPr>
                <w:rFonts w:ascii="Arial"/>
                <w:color w:val="auto"/>
                <w:sz w:val="21"/>
                <w:highlight w:val="none"/>
              </w:rPr>
            </w:pPr>
          </w:p>
        </w:tc>
        <w:tc>
          <w:tcPr>
            <w:tcW w:w="1330" w:type="dxa"/>
            <w:tcBorders>
              <w:bottom w:val="single" w:color="000000" w:sz="6" w:space="0"/>
            </w:tcBorders>
            <w:vAlign w:val="top"/>
          </w:tcPr>
          <w:p>
            <w:pPr>
              <w:rPr>
                <w:rFonts w:ascii="Arial"/>
                <w:color w:val="auto"/>
                <w:sz w:val="21"/>
                <w:highlight w:val="none"/>
              </w:rPr>
            </w:pPr>
          </w:p>
        </w:tc>
        <w:tc>
          <w:tcPr>
            <w:tcW w:w="1330" w:type="dxa"/>
            <w:tcBorders>
              <w:bottom w:val="single" w:color="000000" w:sz="6" w:space="0"/>
            </w:tcBorders>
            <w:vAlign w:val="top"/>
          </w:tcPr>
          <w:p>
            <w:pPr>
              <w:rPr>
                <w:rFonts w:ascii="Arial"/>
                <w:color w:val="auto"/>
                <w:sz w:val="21"/>
                <w:highlight w:val="none"/>
              </w:rPr>
            </w:pPr>
          </w:p>
        </w:tc>
        <w:tc>
          <w:tcPr>
            <w:tcW w:w="1313" w:type="dxa"/>
            <w:tcBorders>
              <w:bottom w:val="single" w:color="000000" w:sz="6" w:space="0"/>
            </w:tcBorders>
            <w:vAlign w:val="top"/>
          </w:tcPr>
          <w:p>
            <w:pPr>
              <w:rPr>
                <w:rFonts w:ascii="Arial"/>
                <w:color w:val="auto"/>
                <w:sz w:val="21"/>
                <w:highlight w:val="none"/>
              </w:rPr>
            </w:pPr>
          </w:p>
        </w:tc>
        <w:tc>
          <w:tcPr>
            <w:tcW w:w="1339" w:type="dxa"/>
            <w:tcBorders>
              <w:bottom w:val="single" w:color="000000" w:sz="6" w:space="0"/>
              <w:right w:val="single" w:color="000000" w:sz="6" w:space="0"/>
            </w:tcBorders>
            <w:vAlign w:val="top"/>
          </w:tcPr>
          <w:p>
            <w:pPr>
              <w:rPr>
                <w:rFonts w:ascii="Arial"/>
                <w:color w:val="auto"/>
                <w:sz w:val="21"/>
                <w:highlight w:val="none"/>
              </w:rPr>
            </w:pPr>
          </w:p>
        </w:tc>
      </w:tr>
    </w:tbl>
    <w:p>
      <w:pPr>
        <w:spacing w:before="70" w:line="220" w:lineRule="auto"/>
        <w:ind w:left="6383"/>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法定代表人：</w:t>
      </w:r>
    </w:p>
    <w:p>
      <w:pPr>
        <w:spacing w:before="109" w:line="185" w:lineRule="auto"/>
        <w:ind w:left="6387"/>
        <w:rPr>
          <w:rFonts w:ascii="宋体" w:hAnsi="宋体" w:eastAsia="宋体" w:cs="宋体"/>
          <w:color w:val="auto"/>
          <w:sz w:val="18"/>
          <w:szCs w:val="18"/>
          <w:highlight w:val="none"/>
        </w:rPr>
      </w:pPr>
      <w:r>
        <w:rPr>
          <w:rFonts w:ascii="宋体" w:hAnsi="宋体" w:eastAsia="宋体" w:cs="宋体"/>
          <w:color w:val="auto"/>
          <w:spacing w:val="-10"/>
          <w:sz w:val="18"/>
          <w:szCs w:val="18"/>
          <w:highlight w:val="none"/>
        </w:rPr>
        <w:t xml:space="preserve">（或委托代理人） </w:t>
      </w:r>
      <w:r>
        <w:rPr>
          <w:rFonts w:ascii="宋体" w:hAnsi="宋体" w:eastAsia="宋体" w:cs="宋体"/>
          <w:color w:val="auto"/>
          <w:spacing w:val="1"/>
          <w:sz w:val="18"/>
          <w:szCs w:val="18"/>
          <w:highlight w:val="none"/>
          <w:u w:val="single" w:color="auto"/>
        </w:rPr>
        <w:t xml:space="preserve">     </w:t>
      </w:r>
      <w:r>
        <w:rPr>
          <w:rFonts w:ascii="宋体" w:hAnsi="宋体" w:eastAsia="宋体" w:cs="宋体"/>
          <w:color w:val="auto"/>
          <w:spacing w:val="-80"/>
          <w:sz w:val="18"/>
          <w:szCs w:val="18"/>
          <w:highlight w:val="none"/>
        </w:rPr>
        <w:t xml:space="preserve"> </w:t>
      </w:r>
      <w:r>
        <w:rPr>
          <w:rFonts w:ascii="宋体" w:hAnsi="宋体" w:eastAsia="宋体" w:cs="宋体"/>
          <w:color w:val="auto"/>
          <w:spacing w:val="-10"/>
          <w:sz w:val="18"/>
          <w:szCs w:val="18"/>
          <w:highlight w:val="none"/>
        </w:rPr>
        <w:t>签字）</w:t>
      </w:r>
    </w:p>
    <w:p>
      <w:pPr>
        <w:spacing w:line="185" w:lineRule="auto"/>
        <w:rPr>
          <w:rFonts w:ascii="宋体" w:hAnsi="宋体" w:eastAsia="宋体" w:cs="宋体"/>
          <w:color w:val="auto"/>
          <w:sz w:val="18"/>
          <w:szCs w:val="18"/>
          <w:highlight w:val="none"/>
        </w:rPr>
        <w:sectPr>
          <w:type w:val="continuous"/>
          <w:pgSz w:w="11907" w:h="16841"/>
          <w:pgMar w:top="400" w:right="1517" w:bottom="1004" w:left="1464" w:header="0" w:footer="829" w:gutter="0"/>
          <w:pgNumType w:fmt="numberInDash"/>
          <w:cols w:equalWidth="0" w:num="1">
            <w:col w:w="8925"/>
          </w:cols>
        </w:sectPr>
      </w:pPr>
    </w:p>
    <w:p>
      <w:pPr>
        <w:pStyle w:val="2"/>
        <w:spacing w:line="277" w:lineRule="auto"/>
        <w:rPr>
          <w:color w:val="auto"/>
          <w:highlight w:val="none"/>
        </w:rPr>
      </w:pPr>
    </w:p>
    <w:p>
      <w:pPr>
        <w:pStyle w:val="2"/>
        <w:spacing w:line="277" w:lineRule="auto"/>
        <w:rPr>
          <w:color w:val="auto"/>
          <w:highlight w:val="none"/>
        </w:rPr>
      </w:pPr>
    </w:p>
    <w:p>
      <w:pPr>
        <w:pStyle w:val="2"/>
        <w:spacing w:line="277" w:lineRule="auto"/>
        <w:rPr>
          <w:color w:val="auto"/>
          <w:highlight w:val="none"/>
        </w:rPr>
      </w:pPr>
    </w:p>
    <w:p>
      <w:pPr>
        <w:pStyle w:val="2"/>
        <w:spacing w:line="278" w:lineRule="auto"/>
        <w:rPr>
          <w:color w:val="auto"/>
          <w:highlight w:val="none"/>
        </w:rPr>
      </w:pPr>
    </w:p>
    <w:p>
      <w:pPr>
        <w:pStyle w:val="2"/>
        <w:spacing w:line="278" w:lineRule="auto"/>
        <w:rPr>
          <w:color w:val="auto"/>
          <w:highlight w:val="none"/>
        </w:rPr>
      </w:pPr>
    </w:p>
    <w:p>
      <w:pPr>
        <w:pStyle w:val="2"/>
        <w:spacing w:line="278" w:lineRule="auto"/>
        <w:rPr>
          <w:color w:val="auto"/>
          <w:highlight w:val="none"/>
        </w:rPr>
      </w:pPr>
    </w:p>
    <w:p>
      <w:pPr>
        <w:spacing w:before="78"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3.15 </w:t>
      </w:r>
      <w:r>
        <w:rPr>
          <w:rFonts w:ascii="黑体" w:hAnsi="黑体" w:eastAsia="黑体" w:cs="黑体"/>
          <w:color w:val="auto"/>
          <w:spacing w:val="-1"/>
          <w:sz w:val="24"/>
          <w:szCs w:val="24"/>
          <w:highlight w:val="none"/>
        </w:rPr>
        <w:t>投标人生产电、风、水、砂石基础单价汇总表</w:t>
      </w:r>
    </w:p>
    <w:p>
      <w:pPr>
        <w:spacing w:before="224" w:line="218" w:lineRule="auto"/>
        <w:ind w:left="2710"/>
        <w:rPr>
          <w:rFonts w:ascii="宋体" w:hAnsi="宋体" w:eastAsia="宋体" w:cs="宋体"/>
          <w:color w:val="auto"/>
          <w:sz w:val="40"/>
          <w:szCs w:val="40"/>
          <w:highlight w:val="none"/>
        </w:rPr>
      </w:pPr>
      <w:bookmarkStart w:id="362" w:name="bookmark402"/>
      <w:bookmarkEnd w:id="362"/>
      <w:r>
        <w:rPr>
          <w:rFonts w:ascii="宋体" w:hAnsi="宋体" w:eastAsia="宋体" w:cs="宋体"/>
          <w:color w:val="auto"/>
          <w:sz w:val="40"/>
          <w:szCs w:val="40"/>
          <w:highlight w:val="none"/>
          <w14:textOutline w14:w="7271" w14:cap="flat" w14:cmpd="sng">
            <w14:solidFill>
              <w14:srgbClr w14:val="000000"/>
            </w14:solidFill>
            <w14:prstDash w14:val="solid"/>
            <w14:miter w14:val="0"/>
          </w14:textOutline>
        </w:rPr>
        <w:t>投标人生产电、风、水、砂石基础单价汇总表</w:t>
      </w:r>
    </w:p>
    <w:p>
      <w:pPr>
        <w:spacing w:before="53"/>
        <w:rPr>
          <w:color w:val="auto"/>
          <w:highlight w:val="none"/>
        </w:rPr>
      </w:pPr>
    </w:p>
    <w:p>
      <w:pPr>
        <w:rPr>
          <w:color w:val="auto"/>
          <w:highlight w:val="none"/>
        </w:rPr>
        <w:sectPr>
          <w:footerReference r:id="rId92" w:type="default"/>
          <w:pgSz w:w="16841" w:h="11907"/>
          <w:pgMar w:top="400" w:right="1843" w:bottom="1002" w:left="1579" w:header="0" w:footer="828" w:gutter="0"/>
          <w:pgNumType w:fmt="numberInDash"/>
          <w:cols w:equalWidth="0" w:num="1">
            <w:col w:w="13418"/>
          </w:cols>
        </w:sectPr>
      </w:pPr>
    </w:p>
    <w:p>
      <w:pPr>
        <w:spacing w:before="192" w:line="269" w:lineRule="exact"/>
        <w:ind w:left="125"/>
        <w:rPr>
          <w:rFonts w:ascii="宋体" w:hAnsi="宋体" w:eastAsia="宋体" w:cs="宋体"/>
          <w:color w:val="auto"/>
          <w:sz w:val="18"/>
          <w:szCs w:val="18"/>
          <w:highlight w:val="none"/>
        </w:rPr>
      </w:pPr>
      <w:r>
        <w:rPr>
          <w:rFonts w:ascii="宋体" w:hAnsi="宋体" w:eastAsia="宋体" w:cs="宋体"/>
          <w:color w:val="auto"/>
          <w:spacing w:val="-8"/>
          <w:position w:val="6"/>
          <w:sz w:val="18"/>
          <w:szCs w:val="18"/>
          <w:highlight w:val="none"/>
        </w:rPr>
        <w:t>合同编号：</w:t>
      </w:r>
    </w:p>
    <w:p>
      <w:pPr>
        <w:spacing w:line="184" w:lineRule="auto"/>
        <w:ind w:left="126"/>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工程名称：</w:t>
      </w:r>
    </w:p>
    <w:p>
      <w:pPr>
        <w:pStyle w:val="2"/>
        <w:spacing w:line="14" w:lineRule="auto"/>
        <w:rPr>
          <w:color w:val="auto"/>
          <w:sz w:val="2"/>
          <w:highlight w:val="none"/>
        </w:rPr>
      </w:pPr>
      <w:r>
        <w:rPr>
          <w:color w:val="auto"/>
          <w:sz w:val="2"/>
          <w:szCs w:val="2"/>
          <w:highlight w:val="none"/>
        </w:rPr>
        <w:br w:type="column"/>
      </w:r>
    </w:p>
    <w:p>
      <w:pPr>
        <w:spacing w:before="34" w:line="220" w:lineRule="auto"/>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7"/>
          <w:sz w:val="18"/>
          <w:szCs w:val="18"/>
          <w:highlight w:val="none"/>
        </w:rPr>
        <w:t xml:space="preserve">  </w:t>
      </w:r>
      <w:r>
        <w:rPr>
          <w:rFonts w:ascii="宋体" w:hAnsi="宋体" w:eastAsia="宋体" w:cs="宋体"/>
          <w:color w:val="auto"/>
          <w:spacing w:val="-9"/>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9"/>
          <w:sz w:val="18"/>
          <w:szCs w:val="18"/>
          <w:highlight w:val="none"/>
        </w:rPr>
        <w:t>页</w:t>
      </w:r>
    </w:p>
    <w:p>
      <w:pPr>
        <w:spacing w:before="210" w:line="185" w:lineRule="auto"/>
        <w:ind w:left="1084"/>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单位：元</w:t>
      </w:r>
    </w:p>
    <w:p>
      <w:pPr>
        <w:spacing w:line="185" w:lineRule="auto"/>
        <w:rPr>
          <w:rFonts w:ascii="宋体" w:hAnsi="宋体" w:eastAsia="宋体" w:cs="宋体"/>
          <w:color w:val="auto"/>
          <w:sz w:val="18"/>
          <w:szCs w:val="18"/>
          <w:highlight w:val="none"/>
        </w:rPr>
        <w:sectPr>
          <w:type w:val="continuous"/>
          <w:pgSz w:w="16841" w:h="11907"/>
          <w:pgMar w:top="400" w:right="1843" w:bottom="1002" w:left="1579" w:header="0" w:footer="828" w:gutter="0"/>
          <w:pgNumType w:fmt="numberInDash"/>
          <w:cols w:equalWidth="0" w:num="2">
            <w:col w:w="11405" w:space="100"/>
            <w:col w:w="1914"/>
          </w:cols>
        </w:sectPr>
      </w:pPr>
    </w:p>
    <w:p>
      <w:pPr>
        <w:spacing w:line="61" w:lineRule="exact"/>
        <w:rPr>
          <w:color w:val="auto"/>
          <w:highlight w:val="none"/>
        </w:rPr>
      </w:pPr>
    </w:p>
    <w:tbl>
      <w:tblPr>
        <w:tblStyle w:val="9"/>
        <w:tblW w:w="1340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4"/>
        <w:gridCol w:w="2117"/>
        <w:gridCol w:w="1218"/>
        <w:gridCol w:w="1095"/>
        <w:gridCol w:w="1199"/>
        <w:gridCol w:w="1359"/>
        <w:gridCol w:w="1305"/>
        <w:gridCol w:w="1501"/>
        <w:gridCol w:w="1395"/>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944" w:type="dxa"/>
            <w:tcBorders>
              <w:top w:val="single" w:color="000000" w:sz="6" w:space="0"/>
              <w:left w:val="single" w:color="000000" w:sz="6" w:space="0"/>
            </w:tcBorders>
            <w:vAlign w:val="top"/>
          </w:tcPr>
          <w:p>
            <w:pPr>
              <w:pStyle w:val="10"/>
              <w:spacing w:before="106" w:line="221" w:lineRule="auto"/>
              <w:ind w:left="288"/>
              <w:rPr>
                <w:color w:val="auto"/>
                <w:sz w:val="18"/>
                <w:szCs w:val="18"/>
                <w:highlight w:val="none"/>
              </w:rPr>
            </w:pPr>
            <w:r>
              <w:rPr>
                <w:color w:val="auto"/>
                <w:spacing w:val="-2"/>
                <w:sz w:val="18"/>
                <w:szCs w:val="18"/>
                <w:highlight w:val="none"/>
              </w:rPr>
              <w:t>序号</w:t>
            </w:r>
          </w:p>
        </w:tc>
        <w:tc>
          <w:tcPr>
            <w:tcW w:w="2117" w:type="dxa"/>
            <w:tcBorders>
              <w:top w:val="single" w:color="000000" w:sz="6" w:space="0"/>
            </w:tcBorders>
            <w:vAlign w:val="top"/>
          </w:tcPr>
          <w:p>
            <w:pPr>
              <w:pStyle w:val="10"/>
              <w:spacing w:before="106" w:line="222" w:lineRule="auto"/>
              <w:ind w:left="879"/>
              <w:rPr>
                <w:color w:val="auto"/>
                <w:sz w:val="18"/>
                <w:szCs w:val="18"/>
                <w:highlight w:val="none"/>
              </w:rPr>
            </w:pPr>
            <w:r>
              <w:rPr>
                <w:color w:val="auto"/>
                <w:spacing w:val="-3"/>
                <w:sz w:val="18"/>
                <w:szCs w:val="18"/>
                <w:highlight w:val="none"/>
              </w:rPr>
              <w:t>名称</w:t>
            </w:r>
          </w:p>
        </w:tc>
        <w:tc>
          <w:tcPr>
            <w:tcW w:w="1218" w:type="dxa"/>
            <w:tcBorders>
              <w:top w:val="single" w:color="000000" w:sz="6" w:space="0"/>
            </w:tcBorders>
            <w:vAlign w:val="top"/>
          </w:tcPr>
          <w:p>
            <w:pPr>
              <w:pStyle w:val="10"/>
              <w:spacing w:before="105" w:line="220" w:lineRule="auto"/>
              <w:ind w:left="251"/>
              <w:rPr>
                <w:color w:val="auto"/>
                <w:sz w:val="18"/>
                <w:szCs w:val="18"/>
                <w:highlight w:val="none"/>
              </w:rPr>
            </w:pPr>
            <w:r>
              <w:rPr>
                <w:color w:val="auto"/>
                <w:spacing w:val="-2"/>
                <w:sz w:val="18"/>
                <w:szCs w:val="18"/>
                <w:highlight w:val="none"/>
              </w:rPr>
              <w:t>规格型号</w:t>
            </w:r>
          </w:p>
        </w:tc>
        <w:tc>
          <w:tcPr>
            <w:tcW w:w="1095" w:type="dxa"/>
            <w:tcBorders>
              <w:top w:val="single" w:color="000000" w:sz="6" w:space="0"/>
            </w:tcBorders>
            <w:vAlign w:val="top"/>
          </w:tcPr>
          <w:p>
            <w:pPr>
              <w:pStyle w:val="10"/>
              <w:spacing w:before="106" w:line="220" w:lineRule="auto"/>
              <w:ind w:left="189"/>
              <w:rPr>
                <w:color w:val="auto"/>
                <w:sz w:val="18"/>
                <w:szCs w:val="18"/>
                <w:highlight w:val="none"/>
              </w:rPr>
            </w:pPr>
            <w:r>
              <w:rPr>
                <w:color w:val="auto"/>
                <w:spacing w:val="-2"/>
                <w:sz w:val="18"/>
                <w:szCs w:val="18"/>
                <w:highlight w:val="none"/>
              </w:rPr>
              <w:t>计量单位</w:t>
            </w:r>
          </w:p>
        </w:tc>
        <w:tc>
          <w:tcPr>
            <w:tcW w:w="1199" w:type="dxa"/>
            <w:tcBorders>
              <w:top w:val="single" w:color="000000" w:sz="6" w:space="0"/>
            </w:tcBorders>
            <w:vAlign w:val="top"/>
          </w:tcPr>
          <w:p>
            <w:pPr>
              <w:pStyle w:val="10"/>
              <w:spacing w:before="106" w:line="220" w:lineRule="auto"/>
              <w:ind w:left="332"/>
              <w:rPr>
                <w:color w:val="auto"/>
                <w:sz w:val="18"/>
                <w:szCs w:val="18"/>
                <w:highlight w:val="none"/>
              </w:rPr>
            </w:pPr>
            <w:r>
              <w:rPr>
                <w:color w:val="auto"/>
                <w:spacing w:val="-2"/>
                <w:sz w:val="18"/>
                <w:szCs w:val="18"/>
                <w:highlight w:val="none"/>
              </w:rPr>
              <w:t>人工费</w:t>
            </w:r>
          </w:p>
        </w:tc>
        <w:tc>
          <w:tcPr>
            <w:tcW w:w="1359" w:type="dxa"/>
            <w:tcBorders>
              <w:top w:val="single" w:color="000000" w:sz="6" w:space="0"/>
            </w:tcBorders>
            <w:vAlign w:val="top"/>
          </w:tcPr>
          <w:p>
            <w:pPr>
              <w:pStyle w:val="10"/>
              <w:spacing w:before="106" w:line="219" w:lineRule="auto"/>
              <w:ind w:left="416"/>
              <w:rPr>
                <w:color w:val="auto"/>
                <w:sz w:val="18"/>
                <w:szCs w:val="18"/>
                <w:highlight w:val="none"/>
              </w:rPr>
            </w:pPr>
            <w:r>
              <w:rPr>
                <w:color w:val="auto"/>
                <w:spacing w:val="-2"/>
                <w:sz w:val="18"/>
                <w:szCs w:val="18"/>
                <w:highlight w:val="none"/>
              </w:rPr>
              <w:t>材料费</w:t>
            </w:r>
          </w:p>
        </w:tc>
        <w:tc>
          <w:tcPr>
            <w:tcW w:w="1305" w:type="dxa"/>
            <w:tcBorders>
              <w:top w:val="single" w:color="000000" w:sz="6" w:space="0"/>
            </w:tcBorders>
            <w:vAlign w:val="top"/>
          </w:tcPr>
          <w:p>
            <w:pPr>
              <w:pStyle w:val="10"/>
              <w:spacing w:before="106" w:line="219" w:lineRule="auto"/>
              <w:ind w:left="208"/>
              <w:rPr>
                <w:color w:val="auto"/>
                <w:sz w:val="18"/>
                <w:szCs w:val="18"/>
                <w:highlight w:val="none"/>
              </w:rPr>
            </w:pPr>
            <w:r>
              <w:rPr>
                <w:color w:val="auto"/>
                <w:spacing w:val="-2"/>
                <w:sz w:val="18"/>
                <w:szCs w:val="18"/>
                <w:highlight w:val="none"/>
              </w:rPr>
              <w:t>机械使用费</w:t>
            </w:r>
          </w:p>
        </w:tc>
        <w:tc>
          <w:tcPr>
            <w:tcW w:w="1501" w:type="dxa"/>
            <w:tcBorders>
              <w:top w:val="single" w:color="000000" w:sz="6" w:space="0"/>
            </w:tcBorders>
            <w:vAlign w:val="top"/>
          </w:tcPr>
          <w:p>
            <w:pPr>
              <w:pStyle w:val="10"/>
              <w:spacing w:before="106" w:line="220" w:lineRule="auto"/>
              <w:ind w:left="400"/>
              <w:rPr>
                <w:color w:val="auto"/>
                <w:sz w:val="18"/>
                <w:szCs w:val="18"/>
                <w:highlight w:val="none"/>
              </w:rPr>
            </w:pPr>
            <w:r>
              <w:rPr>
                <w:color w:val="auto"/>
                <w:spacing w:val="-2"/>
                <w:sz w:val="18"/>
                <w:szCs w:val="18"/>
                <w:highlight w:val="none"/>
              </w:rPr>
              <w:t>其他费用</w:t>
            </w:r>
          </w:p>
        </w:tc>
        <w:tc>
          <w:tcPr>
            <w:tcW w:w="1395" w:type="dxa"/>
            <w:tcBorders>
              <w:top w:val="single" w:color="000000" w:sz="6" w:space="0"/>
            </w:tcBorders>
            <w:vAlign w:val="top"/>
          </w:tcPr>
          <w:p>
            <w:pPr>
              <w:pStyle w:val="10"/>
              <w:spacing w:before="106" w:line="221" w:lineRule="auto"/>
              <w:ind w:left="529"/>
              <w:rPr>
                <w:color w:val="auto"/>
                <w:sz w:val="18"/>
                <w:szCs w:val="18"/>
                <w:highlight w:val="none"/>
              </w:rPr>
            </w:pPr>
            <w:r>
              <w:rPr>
                <w:color w:val="auto"/>
                <w:spacing w:val="-2"/>
                <w:sz w:val="18"/>
                <w:szCs w:val="18"/>
                <w:highlight w:val="none"/>
              </w:rPr>
              <w:t>合计</w:t>
            </w:r>
          </w:p>
        </w:tc>
        <w:tc>
          <w:tcPr>
            <w:tcW w:w="1269" w:type="dxa"/>
            <w:tcBorders>
              <w:top w:val="single" w:color="000000" w:sz="6" w:space="0"/>
              <w:right w:val="single" w:color="000000" w:sz="6" w:space="0"/>
            </w:tcBorders>
            <w:vAlign w:val="top"/>
          </w:tcPr>
          <w:p>
            <w:pPr>
              <w:pStyle w:val="10"/>
              <w:spacing w:before="106" w:line="221" w:lineRule="auto"/>
              <w:ind w:left="460"/>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vAlign w:val="top"/>
          </w:tcPr>
          <w:p>
            <w:pPr>
              <w:pStyle w:val="10"/>
              <w:spacing w:before="133" w:line="182" w:lineRule="auto"/>
              <w:ind w:left="437"/>
              <w:rPr>
                <w:color w:val="auto"/>
                <w:sz w:val="18"/>
                <w:szCs w:val="18"/>
                <w:highlight w:val="none"/>
              </w:rPr>
            </w:pPr>
            <w:r>
              <w:rPr>
                <w:color w:val="auto"/>
                <w:sz w:val="18"/>
                <w:szCs w:val="18"/>
                <w:highlight w:val="none"/>
              </w:rPr>
              <w:t>1</w:t>
            </w: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vAlign w:val="top"/>
          </w:tcPr>
          <w:p>
            <w:pPr>
              <w:rPr>
                <w:rFonts w:ascii="Arial"/>
                <w:color w:val="auto"/>
                <w:sz w:val="21"/>
                <w:highlight w:val="none"/>
              </w:rPr>
            </w:pPr>
          </w:p>
        </w:tc>
        <w:tc>
          <w:tcPr>
            <w:tcW w:w="2117" w:type="dxa"/>
            <w:vAlign w:val="top"/>
          </w:tcPr>
          <w:p>
            <w:pPr>
              <w:rPr>
                <w:rFonts w:ascii="Arial"/>
                <w:color w:val="auto"/>
                <w:sz w:val="21"/>
                <w:highlight w:val="none"/>
              </w:rPr>
            </w:pPr>
          </w:p>
        </w:tc>
        <w:tc>
          <w:tcPr>
            <w:tcW w:w="1218" w:type="dxa"/>
            <w:vAlign w:val="top"/>
          </w:tcPr>
          <w:p>
            <w:pPr>
              <w:rPr>
                <w:rFonts w:ascii="Arial"/>
                <w:color w:val="auto"/>
                <w:sz w:val="21"/>
                <w:highlight w:val="none"/>
              </w:rPr>
            </w:pPr>
          </w:p>
        </w:tc>
        <w:tc>
          <w:tcPr>
            <w:tcW w:w="1095" w:type="dxa"/>
            <w:vAlign w:val="top"/>
          </w:tcPr>
          <w:p>
            <w:pPr>
              <w:rPr>
                <w:rFonts w:ascii="Arial"/>
                <w:color w:val="auto"/>
                <w:sz w:val="21"/>
                <w:highlight w:val="none"/>
              </w:rPr>
            </w:pPr>
          </w:p>
        </w:tc>
        <w:tc>
          <w:tcPr>
            <w:tcW w:w="1199" w:type="dxa"/>
            <w:vAlign w:val="top"/>
          </w:tcPr>
          <w:p>
            <w:pPr>
              <w:rPr>
                <w:rFonts w:ascii="Arial"/>
                <w:color w:val="auto"/>
                <w:sz w:val="21"/>
                <w:highlight w:val="none"/>
              </w:rPr>
            </w:pPr>
          </w:p>
        </w:tc>
        <w:tc>
          <w:tcPr>
            <w:tcW w:w="1359" w:type="dxa"/>
            <w:vAlign w:val="top"/>
          </w:tcPr>
          <w:p>
            <w:pPr>
              <w:rPr>
                <w:rFonts w:ascii="Arial"/>
                <w:color w:val="auto"/>
                <w:sz w:val="21"/>
                <w:highlight w:val="none"/>
              </w:rPr>
            </w:pPr>
          </w:p>
        </w:tc>
        <w:tc>
          <w:tcPr>
            <w:tcW w:w="1305" w:type="dxa"/>
            <w:vAlign w:val="top"/>
          </w:tcPr>
          <w:p>
            <w:pPr>
              <w:rPr>
                <w:rFonts w:ascii="Arial"/>
                <w:color w:val="auto"/>
                <w:sz w:val="21"/>
                <w:highlight w:val="none"/>
              </w:rPr>
            </w:pPr>
          </w:p>
        </w:tc>
        <w:tc>
          <w:tcPr>
            <w:tcW w:w="1501" w:type="dxa"/>
            <w:vAlign w:val="top"/>
          </w:tcPr>
          <w:p>
            <w:pPr>
              <w:rPr>
                <w:rFonts w:ascii="Arial"/>
                <w:color w:val="auto"/>
                <w:sz w:val="21"/>
                <w:highlight w:val="none"/>
              </w:rPr>
            </w:pPr>
          </w:p>
        </w:tc>
        <w:tc>
          <w:tcPr>
            <w:tcW w:w="1395" w:type="dxa"/>
            <w:vAlign w:val="top"/>
          </w:tcPr>
          <w:p>
            <w:pPr>
              <w:rPr>
                <w:rFonts w:ascii="Arial"/>
                <w:color w:val="auto"/>
                <w:sz w:val="21"/>
                <w:highlight w:val="none"/>
              </w:rPr>
            </w:pPr>
          </w:p>
        </w:tc>
        <w:tc>
          <w:tcPr>
            <w:tcW w:w="126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44" w:type="dxa"/>
            <w:tcBorders>
              <w:left w:val="single" w:color="000000" w:sz="6" w:space="0"/>
              <w:bottom w:val="single" w:color="000000" w:sz="6" w:space="0"/>
            </w:tcBorders>
            <w:vAlign w:val="top"/>
          </w:tcPr>
          <w:p>
            <w:pPr>
              <w:rPr>
                <w:rFonts w:ascii="Arial"/>
                <w:color w:val="auto"/>
                <w:sz w:val="21"/>
                <w:highlight w:val="none"/>
              </w:rPr>
            </w:pPr>
          </w:p>
        </w:tc>
        <w:tc>
          <w:tcPr>
            <w:tcW w:w="2117" w:type="dxa"/>
            <w:tcBorders>
              <w:bottom w:val="single" w:color="000000" w:sz="6" w:space="0"/>
            </w:tcBorders>
            <w:vAlign w:val="top"/>
          </w:tcPr>
          <w:p>
            <w:pPr>
              <w:rPr>
                <w:rFonts w:ascii="Arial"/>
                <w:color w:val="auto"/>
                <w:sz w:val="21"/>
                <w:highlight w:val="none"/>
              </w:rPr>
            </w:pPr>
          </w:p>
        </w:tc>
        <w:tc>
          <w:tcPr>
            <w:tcW w:w="1218" w:type="dxa"/>
            <w:tcBorders>
              <w:bottom w:val="single" w:color="000000" w:sz="6" w:space="0"/>
            </w:tcBorders>
            <w:vAlign w:val="top"/>
          </w:tcPr>
          <w:p>
            <w:pPr>
              <w:rPr>
                <w:rFonts w:ascii="Arial"/>
                <w:color w:val="auto"/>
                <w:sz w:val="21"/>
                <w:highlight w:val="none"/>
              </w:rPr>
            </w:pPr>
          </w:p>
        </w:tc>
        <w:tc>
          <w:tcPr>
            <w:tcW w:w="1095" w:type="dxa"/>
            <w:tcBorders>
              <w:bottom w:val="single" w:color="000000" w:sz="6" w:space="0"/>
            </w:tcBorders>
            <w:vAlign w:val="top"/>
          </w:tcPr>
          <w:p>
            <w:pPr>
              <w:rPr>
                <w:rFonts w:ascii="Arial"/>
                <w:color w:val="auto"/>
                <w:sz w:val="21"/>
                <w:highlight w:val="none"/>
              </w:rPr>
            </w:pPr>
          </w:p>
        </w:tc>
        <w:tc>
          <w:tcPr>
            <w:tcW w:w="1199" w:type="dxa"/>
            <w:tcBorders>
              <w:bottom w:val="single" w:color="000000" w:sz="6" w:space="0"/>
            </w:tcBorders>
            <w:vAlign w:val="top"/>
          </w:tcPr>
          <w:p>
            <w:pPr>
              <w:rPr>
                <w:rFonts w:ascii="Arial"/>
                <w:color w:val="auto"/>
                <w:sz w:val="21"/>
                <w:highlight w:val="none"/>
              </w:rPr>
            </w:pPr>
          </w:p>
        </w:tc>
        <w:tc>
          <w:tcPr>
            <w:tcW w:w="1359" w:type="dxa"/>
            <w:tcBorders>
              <w:bottom w:val="single" w:color="000000" w:sz="6" w:space="0"/>
            </w:tcBorders>
            <w:vAlign w:val="top"/>
          </w:tcPr>
          <w:p>
            <w:pPr>
              <w:rPr>
                <w:rFonts w:ascii="Arial"/>
                <w:color w:val="auto"/>
                <w:sz w:val="21"/>
                <w:highlight w:val="none"/>
              </w:rPr>
            </w:pPr>
          </w:p>
        </w:tc>
        <w:tc>
          <w:tcPr>
            <w:tcW w:w="1305" w:type="dxa"/>
            <w:tcBorders>
              <w:bottom w:val="single" w:color="000000" w:sz="6" w:space="0"/>
            </w:tcBorders>
            <w:vAlign w:val="top"/>
          </w:tcPr>
          <w:p>
            <w:pPr>
              <w:rPr>
                <w:rFonts w:ascii="Arial"/>
                <w:color w:val="auto"/>
                <w:sz w:val="21"/>
                <w:highlight w:val="none"/>
              </w:rPr>
            </w:pPr>
          </w:p>
        </w:tc>
        <w:tc>
          <w:tcPr>
            <w:tcW w:w="1501" w:type="dxa"/>
            <w:tcBorders>
              <w:bottom w:val="single" w:color="000000" w:sz="6" w:space="0"/>
            </w:tcBorders>
            <w:vAlign w:val="top"/>
          </w:tcPr>
          <w:p>
            <w:pPr>
              <w:rPr>
                <w:rFonts w:ascii="Arial"/>
                <w:color w:val="auto"/>
                <w:sz w:val="21"/>
                <w:highlight w:val="none"/>
              </w:rPr>
            </w:pPr>
          </w:p>
        </w:tc>
        <w:tc>
          <w:tcPr>
            <w:tcW w:w="1395" w:type="dxa"/>
            <w:tcBorders>
              <w:bottom w:val="single" w:color="000000" w:sz="6" w:space="0"/>
            </w:tcBorders>
            <w:vAlign w:val="top"/>
          </w:tcPr>
          <w:p>
            <w:pPr>
              <w:rPr>
                <w:rFonts w:ascii="Arial"/>
                <w:color w:val="auto"/>
                <w:sz w:val="21"/>
                <w:highlight w:val="none"/>
              </w:rPr>
            </w:pPr>
          </w:p>
        </w:tc>
        <w:tc>
          <w:tcPr>
            <w:tcW w:w="1269" w:type="dxa"/>
            <w:tcBorders>
              <w:bottom w:val="single" w:color="000000" w:sz="6" w:space="0"/>
              <w:right w:val="single" w:color="000000" w:sz="6" w:space="0"/>
            </w:tcBorders>
            <w:vAlign w:val="top"/>
          </w:tcPr>
          <w:p>
            <w:pPr>
              <w:rPr>
                <w:rFonts w:ascii="Arial"/>
                <w:color w:val="auto"/>
                <w:sz w:val="21"/>
                <w:highlight w:val="none"/>
              </w:rPr>
            </w:pPr>
          </w:p>
        </w:tc>
      </w:tr>
    </w:tbl>
    <w:p>
      <w:pPr>
        <w:spacing w:before="123" w:line="220" w:lineRule="auto"/>
        <w:ind w:left="10734"/>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tabs>
          <w:tab w:val="left" w:pos="13230"/>
          <w:tab w:val="left" w:pos="13440"/>
        </w:tabs>
        <w:spacing w:before="120" w:line="212" w:lineRule="auto"/>
        <w:ind w:left="10552" w:right="360" w:firstLine="4"/>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（或委托代理人</w:t>
      </w:r>
      <w:r>
        <w:rPr>
          <w:rFonts w:ascii="宋体" w:hAnsi="宋体" w:eastAsia="宋体" w:cs="宋体"/>
          <w:color w:val="auto"/>
          <w:spacing w:val="1"/>
          <w:sz w:val="18"/>
          <w:szCs w:val="18"/>
          <w:highlight w:val="none"/>
        </w:rPr>
        <w:t>）：</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42"/>
          <w:sz w:val="18"/>
          <w:szCs w:val="18"/>
          <w:highlight w:val="none"/>
        </w:rPr>
        <w:t xml:space="preserve"> </w:t>
      </w:r>
      <w:r>
        <w:rPr>
          <w:rFonts w:ascii="宋体" w:hAnsi="宋体" w:eastAsia="宋体" w:cs="宋体"/>
          <w:color w:val="auto"/>
          <w:spacing w:val="1"/>
          <w:sz w:val="18"/>
          <w:szCs w:val="18"/>
          <w:highlight w:val="none"/>
        </w:rPr>
        <w:t>（</w:t>
      </w:r>
      <w:r>
        <w:rPr>
          <w:rFonts w:ascii="宋体" w:hAnsi="宋体" w:eastAsia="宋体" w:cs="宋体"/>
          <w:color w:val="auto"/>
          <w:spacing w:val="-9"/>
          <w:sz w:val="18"/>
          <w:szCs w:val="18"/>
          <w:highlight w:val="none"/>
        </w:rPr>
        <w:t>签</w:t>
      </w:r>
      <w:r>
        <w:rPr>
          <w:rFonts w:ascii="宋体" w:hAnsi="宋体" w:eastAsia="宋体" w:cs="宋体"/>
          <w:color w:val="auto"/>
          <w:sz w:val="18"/>
          <w:szCs w:val="18"/>
          <w:highlight w:val="none"/>
        </w:rPr>
        <w:t xml:space="preserve"> </w:t>
      </w:r>
      <w:r>
        <w:rPr>
          <w:rFonts w:ascii="宋体" w:hAnsi="宋体" w:eastAsia="宋体" w:cs="宋体"/>
          <w:color w:val="auto"/>
          <w:spacing w:val="-5"/>
          <w:sz w:val="18"/>
          <w:szCs w:val="18"/>
          <w:highlight w:val="none"/>
        </w:rPr>
        <w:t>字）</w:t>
      </w:r>
    </w:p>
    <w:p>
      <w:pPr>
        <w:spacing w:line="212" w:lineRule="auto"/>
        <w:rPr>
          <w:rFonts w:ascii="宋体" w:hAnsi="宋体" w:eastAsia="宋体" w:cs="宋体"/>
          <w:color w:val="auto"/>
          <w:sz w:val="18"/>
          <w:szCs w:val="18"/>
          <w:highlight w:val="none"/>
        </w:rPr>
        <w:sectPr>
          <w:type w:val="continuous"/>
          <w:pgSz w:w="16841" w:h="11907"/>
          <w:pgMar w:top="400" w:right="1843" w:bottom="1002" w:left="1579" w:header="0" w:footer="828" w:gutter="0"/>
          <w:pgNumType w:fmt="numberInDash"/>
          <w:cols w:equalWidth="0" w:num="1">
            <w:col w:w="13418"/>
          </w:cols>
        </w:sectPr>
      </w:pPr>
    </w:p>
    <w:p>
      <w:pPr>
        <w:pStyle w:val="2"/>
        <w:spacing w:line="276" w:lineRule="auto"/>
        <w:rPr>
          <w:color w:val="auto"/>
          <w:highlight w:val="none"/>
        </w:rPr>
      </w:pPr>
    </w:p>
    <w:p>
      <w:pPr>
        <w:pStyle w:val="2"/>
        <w:spacing w:line="276" w:lineRule="auto"/>
        <w:rPr>
          <w:color w:val="auto"/>
          <w:highlight w:val="none"/>
        </w:rPr>
      </w:pPr>
    </w:p>
    <w:p>
      <w:pPr>
        <w:pStyle w:val="2"/>
        <w:spacing w:line="276" w:lineRule="auto"/>
        <w:rPr>
          <w:color w:val="auto"/>
          <w:highlight w:val="none"/>
        </w:rPr>
      </w:pPr>
    </w:p>
    <w:p>
      <w:pPr>
        <w:pStyle w:val="2"/>
        <w:spacing w:line="276" w:lineRule="auto"/>
        <w:rPr>
          <w:color w:val="auto"/>
          <w:highlight w:val="none"/>
        </w:rPr>
      </w:pPr>
    </w:p>
    <w:p>
      <w:pPr>
        <w:spacing w:before="78"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3.16 </w:t>
      </w:r>
      <w:r>
        <w:rPr>
          <w:rFonts w:ascii="黑体" w:hAnsi="黑体" w:eastAsia="黑体" w:cs="黑体"/>
          <w:color w:val="auto"/>
          <w:spacing w:val="-1"/>
          <w:sz w:val="24"/>
          <w:szCs w:val="24"/>
          <w:highlight w:val="none"/>
        </w:rPr>
        <w:t>投标人生产混凝土配合比材料费表</w:t>
      </w:r>
    </w:p>
    <w:p>
      <w:pPr>
        <w:spacing w:before="148" w:line="219" w:lineRule="auto"/>
        <w:ind w:left="3808"/>
        <w:rPr>
          <w:rFonts w:ascii="宋体" w:hAnsi="宋体" w:eastAsia="宋体" w:cs="宋体"/>
          <w:color w:val="auto"/>
          <w:sz w:val="40"/>
          <w:szCs w:val="40"/>
          <w:highlight w:val="none"/>
        </w:rPr>
      </w:pPr>
      <w:bookmarkStart w:id="363" w:name="bookmark403"/>
      <w:bookmarkEnd w:id="363"/>
      <w:bookmarkStart w:id="364" w:name="bookmark404"/>
      <w:bookmarkEnd w:id="364"/>
      <w:r>
        <w:rPr>
          <w:rFonts w:ascii="宋体" w:hAnsi="宋体" w:eastAsia="宋体" w:cs="宋体"/>
          <w:color w:val="auto"/>
          <w:sz w:val="40"/>
          <w:szCs w:val="40"/>
          <w:highlight w:val="none"/>
          <w14:textOutline w14:w="7271" w14:cap="flat" w14:cmpd="sng">
            <w14:solidFill>
              <w14:srgbClr w14:val="000000"/>
            </w14:solidFill>
            <w14:prstDash w14:val="solid"/>
            <w14:miter w14:val="0"/>
          </w14:textOutline>
        </w:rPr>
        <w:t>投标人生产混凝土配合比材料费表</w:t>
      </w:r>
    </w:p>
    <w:p>
      <w:pPr>
        <w:spacing w:before="115"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101"/>
        <w:ind w:left="126"/>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工程名称：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color w:val="auto"/>
          <w:position w:val="-5"/>
          <w:sz w:val="18"/>
          <w:szCs w:val="18"/>
          <w:highlight w:val="none"/>
        </w:rPr>
        <w:drawing>
          <wp:inline distT="0" distB="0" distL="0" distR="0">
            <wp:extent cx="2540" cy="147320"/>
            <wp:effectExtent l="0" t="0" r="12700" b="508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2"/>
                    <a:stretch>
                      <a:fillRect/>
                    </a:stretch>
                  </pic:blipFill>
                  <pic:spPr>
                    <a:xfrm>
                      <a:off x="0" y="0"/>
                      <a:ext cx="3047" cy="147828"/>
                    </a:xfrm>
                    <a:prstGeom prst="rect">
                      <a:avLst/>
                    </a:prstGeom>
                  </pic:spPr>
                </pic:pic>
              </a:graphicData>
            </a:graphic>
          </wp:inline>
        </w:drawing>
      </w:r>
      <w:r>
        <w:rPr>
          <w:rFonts w:ascii="宋体" w:hAnsi="宋体" w:eastAsia="宋体" w:cs="宋体"/>
          <w:color w:val="auto"/>
          <w:spacing w:val="3"/>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35"/>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13"/>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20"/>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11"/>
          <w:sz w:val="18"/>
          <w:szCs w:val="18"/>
          <w:highlight w:val="none"/>
        </w:rPr>
        <w:t xml:space="preserve"> </w:t>
      </w:r>
      <w:r>
        <w:rPr>
          <w:rFonts w:ascii="宋体" w:hAnsi="宋体" w:eastAsia="宋体" w:cs="宋体"/>
          <w:color w:val="auto"/>
          <w:spacing w:val="-15"/>
          <w:sz w:val="18"/>
          <w:szCs w:val="18"/>
          <w:highlight w:val="none"/>
        </w:rPr>
        <w:t>页</w:t>
      </w:r>
    </w:p>
    <w:p>
      <w:pPr>
        <w:spacing w:line="105" w:lineRule="exact"/>
        <w:rPr>
          <w:color w:val="auto"/>
          <w:highlight w:val="none"/>
        </w:rPr>
      </w:pPr>
    </w:p>
    <w:tbl>
      <w:tblPr>
        <w:tblStyle w:val="9"/>
        <w:tblW w:w="135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2021"/>
        <w:gridCol w:w="1312"/>
        <w:gridCol w:w="1057"/>
        <w:gridCol w:w="1021"/>
        <w:gridCol w:w="936"/>
        <w:gridCol w:w="1002"/>
        <w:gridCol w:w="1057"/>
        <w:gridCol w:w="1072"/>
        <w:gridCol w:w="1074"/>
        <w:gridCol w:w="1228"/>
        <w:gridCol w:w="11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7" w:type="dxa"/>
            <w:vMerge w:val="restart"/>
            <w:tcBorders>
              <w:top w:val="single" w:color="000000" w:sz="6" w:space="0"/>
              <w:left w:val="single" w:color="000000" w:sz="6" w:space="0"/>
              <w:bottom w:val="nil"/>
            </w:tcBorders>
            <w:vAlign w:val="top"/>
          </w:tcPr>
          <w:p>
            <w:pPr>
              <w:spacing w:line="253" w:lineRule="auto"/>
              <w:rPr>
                <w:rFonts w:ascii="Arial"/>
                <w:color w:val="auto"/>
                <w:sz w:val="21"/>
                <w:highlight w:val="none"/>
              </w:rPr>
            </w:pPr>
          </w:p>
          <w:p>
            <w:pPr>
              <w:pStyle w:val="10"/>
              <w:spacing w:before="58" w:line="221" w:lineRule="auto"/>
              <w:ind w:left="140"/>
              <w:rPr>
                <w:color w:val="auto"/>
                <w:sz w:val="18"/>
                <w:szCs w:val="18"/>
                <w:highlight w:val="none"/>
              </w:rPr>
            </w:pPr>
            <w:r>
              <w:rPr>
                <w:color w:val="auto"/>
                <w:spacing w:val="-2"/>
                <w:sz w:val="18"/>
                <w:szCs w:val="18"/>
                <w:highlight w:val="none"/>
              </w:rPr>
              <w:t>序号</w:t>
            </w:r>
          </w:p>
        </w:tc>
        <w:tc>
          <w:tcPr>
            <w:tcW w:w="2021" w:type="dxa"/>
            <w:vMerge w:val="restart"/>
            <w:tcBorders>
              <w:top w:val="single" w:color="000000" w:sz="6" w:space="0"/>
              <w:bottom w:val="nil"/>
            </w:tcBorders>
            <w:vAlign w:val="top"/>
          </w:tcPr>
          <w:p>
            <w:pPr>
              <w:spacing w:line="253" w:lineRule="auto"/>
              <w:rPr>
                <w:rFonts w:ascii="Arial"/>
                <w:color w:val="auto"/>
                <w:sz w:val="21"/>
                <w:highlight w:val="none"/>
              </w:rPr>
            </w:pPr>
          </w:p>
          <w:p>
            <w:pPr>
              <w:pStyle w:val="10"/>
              <w:spacing w:before="58" w:line="222" w:lineRule="auto"/>
              <w:ind w:left="830"/>
              <w:rPr>
                <w:color w:val="auto"/>
                <w:sz w:val="18"/>
                <w:szCs w:val="18"/>
                <w:highlight w:val="none"/>
              </w:rPr>
            </w:pPr>
            <w:r>
              <w:rPr>
                <w:color w:val="auto"/>
                <w:spacing w:val="-3"/>
                <w:sz w:val="18"/>
                <w:szCs w:val="18"/>
                <w:highlight w:val="none"/>
              </w:rPr>
              <w:t>名称</w:t>
            </w:r>
          </w:p>
        </w:tc>
        <w:tc>
          <w:tcPr>
            <w:tcW w:w="1312" w:type="dxa"/>
            <w:vMerge w:val="restart"/>
            <w:tcBorders>
              <w:top w:val="single" w:color="000000" w:sz="6" w:space="0"/>
              <w:bottom w:val="nil"/>
            </w:tcBorders>
            <w:vAlign w:val="top"/>
          </w:tcPr>
          <w:p>
            <w:pPr>
              <w:spacing w:line="252" w:lineRule="auto"/>
              <w:rPr>
                <w:rFonts w:ascii="Arial"/>
                <w:color w:val="auto"/>
                <w:sz w:val="21"/>
                <w:highlight w:val="none"/>
              </w:rPr>
            </w:pPr>
          </w:p>
          <w:p>
            <w:pPr>
              <w:pStyle w:val="10"/>
              <w:spacing w:before="59" w:line="220" w:lineRule="auto"/>
              <w:ind w:left="293"/>
              <w:rPr>
                <w:color w:val="auto"/>
                <w:sz w:val="18"/>
                <w:szCs w:val="18"/>
                <w:highlight w:val="none"/>
              </w:rPr>
            </w:pPr>
            <w:r>
              <w:rPr>
                <w:color w:val="auto"/>
                <w:spacing w:val="-2"/>
                <w:sz w:val="18"/>
                <w:szCs w:val="18"/>
                <w:highlight w:val="none"/>
              </w:rPr>
              <w:t>规格型号</w:t>
            </w:r>
          </w:p>
        </w:tc>
        <w:tc>
          <w:tcPr>
            <w:tcW w:w="1057" w:type="dxa"/>
            <w:vMerge w:val="restart"/>
            <w:tcBorders>
              <w:top w:val="single" w:color="000000" w:sz="6" w:space="0"/>
              <w:bottom w:val="nil"/>
            </w:tcBorders>
            <w:vAlign w:val="top"/>
          </w:tcPr>
          <w:p>
            <w:pPr>
              <w:spacing w:line="253" w:lineRule="auto"/>
              <w:rPr>
                <w:rFonts w:ascii="Arial"/>
                <w:color w:val="auto"/>
                <w:sz w:val="21"/>
                <w:highlight w:val="none"/>
              </w:rPr>
            </w:pPr>
          </w:p>
          <w:p>
            <w:pPr>
              <w:pStyle w:val="10"/>
              <w:spacing w:before="59" w:line="220" w:lineRule="auto"/>
              <w:ind w:left="169"/>
              <w:rPr>
                <w:color w:val="auto"/>
                <w:sz w:val="18"/>
                <w:szCs w:val="18"/>
                <w:highlight w:val="none"/>
              </w:rPr>
            </w:pPr>
            <w:r>
              <w:rPr>
                <w:color w:val="auto"/>
                <w:spacing w:val="-2"/>
                <w:sz w:val="18"/>
                <w:szCs w:val="18"/>
                <w:highlight w:val="none"/>
              </w:rPr>
              <w:t>计量单位</w:t>
            </w:r>
          </w:p>
        </w:tc>
        <w:tc>
          <w:tcPr>
            <w:tcW w:w="6162" w:type="dxa"/>
            <w:gridSpan w:val="6"/>
            <w:tcBorders>
              <w:top w:val="single" w:color="000000" w:sz="6" w:space="0"/>
            </w:tcBorders>
            <w:vAlign w:val="top"/>
          </w:tcPr>
          <w:p>
            <w:pPr>
              <w:pStyle w:val="10"/>
              <w:spacing w:before="70" w:line="214" w:lineRule="auto"/>
              <w:ind w:left="2229"/>
              <w:rPr>
                <w:color w:val="auto"/>
                <w:sz w:val="18"/>
                <w:szCs w:val="18"/>
                <w:highlight w:val="none"/>
              </w:rPr>
            </w:pPr>
            <w:r>
              <w:rPr>
                <w:color w:val="auto"/>
                <w:spacing w:val="-1"/>
                <w:sz w:val="18"/>
                <w:szCs w:val="18"/>
                <w:highlight w:val="none"/>
              </w:rPr>
              <w:t>预算材料量（kg/m3）</w:t>
            </w:r>
          </w:p>
        </w:tc>
        <w:tc>
          <w:tcPr>
            <w:tcW w:w="1228" w:type="dxa"/>
            <w:vMerge w:val="restart"/>
            <w:tcBorders>
              <w:top w:val="single" w:color="000000" w:sz="6" w:space="0"/>
              <w:bottom w:val="nil"/>
            </w:tcBorders>
            <w:vAlign w:val="top"/>
          </w:tcPr>
          <w:p>
            <w:pPr>
              <w:pStyle w:val="10"/>
              <w:spacing w:before="197" w:line="239" w:lineRule="auto"/>
              <w:ind w:left="263"/>
              <w:rPr>
                <w:color w:val="auto"/>
                <w:sz w:val="18"/>
                <w:szCs w:val="18"/>
                <w:highlight w:val="none"/>
              </w:rPr>
            </w:pPr>
            <w:r>
              <w:rPr>
                <w:color w:val="auto"/>
                <w:spacing w:val="-3"/>
                <w:sz w:val="18"/>
                <w:szCs w:val="18"/>
                <w:highlight w:val="none"/>
              </w:rPr>
              <w:t>单价（元</w:t>
            </w:r>
          </w:p>
          <w:p>
            <w:pPr>
              <w:pStyle w:val="10"/>
              <w:spacing w:line="224" w:lineRule="auto"/>
              <w:ind w:left="395"/>
              <w:rPr>
                <w:color w:val="auto"/>
                <w:sz w:val="18"/>
                <w:szCs w:val="18"/>
                <w:highlight w:val="none"/>
              </w:rPr>
            </w:pPr>
            <w:r>
              <w:rPr>
                <w:color w:val="auto"/>
                <w:spacing w:val="-1"/>
                <w:sz w:val="18"/>
                <w:szCs w:val="18"/>
                <w:highlight w:val="none"/>
              </w:rPr>
              <w:t>/m3）</w:t>
            </w:r>
          </w:p>
        </w:tc>
        <w:tc>
          <w:tcPr>
            <w:tcW w:w="1158" w:type="dxa"/>
            <w:vMerge w:val="restart"/>
            <w:tcBorders>
              <w:top w:val="single" w:color="000000" w:sz="6" w:space="0"/>
              <w:bottom w:val="nil"/>
              <w:right w:val="single" w:color="000000" w:sz="6" w:space="0"/>
            </w:tcBorders>
            <w:vAlign w:val="top"/>
          </w:tcPr>
          <w:p>
            <w:pPr>
              <w:spacing w:line="253" w:lineRule="auto"/>
              <w:rPr>
                <w:rFonts w:ascii="Arial"/>
                <w:color w:val="auto"/>
                <w:sz w:val="21"/>
                <w:highlight w:val="none"/>
              </w:rPr>
            </w:pPr>
          </w:p>
          <w:p>
            <w:pPr>
              <w:pStyle w:val="10"/>
              <w:spacing w:before="58" w:line="221" w:lineRule="auto"/>
              <w:ind w:left="404"/>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47" w:type="dxa"/>
            <w:vMerge w:val="continue"/>
            <w:tcBorders>
              <w:top w:val="nil"/>
              <w:left w:val="single" w:color="000000" w:sz="6" w:space="0"/>
            </w:tcBorders>
            <w:vAlign w:val="top"/>
          </w:tcPr>
          <w:p>
            <w:pPr>
              <w:rPr>
                <w:rFonts w:ascii="Arial"/>
                <w:color w:val="auto"/>
                <w:sz w:val="21"/>
                <w:highlight w:val="none"/>
              </w:rPr>
            </w:pPr>
          </w:p>
        </w:tc>
        <w:tc>
          <w:tcPr>
            <w:tcW w:w="2021" w:type="dxa"/>
            <w:vMerge w:val="continue"/>
            <w:tcBorders>
              <w:top w:val="nil"/>
            </w:tcBorders>
            <w:vAlign w:val="top"/>
          </w:tcPr>
          <w:p>
            <w:pPr>
              <w:rPr>
                <w:rFonts w:ascii="Arial"/>
                <w:color w:val="auto"/>
                <w:sz w:val="21"/>
                <w:highlight w:val="none"/>
              </w:rPr>
            </w:pPr>
          </w:p>
        </w:tc>
        <w:tc>
          <w:tcPr>
            <w:tcW w:w="1312" w:type="dxa"/>
            <w:vMerge w:val="continue"/>
            <w:tcBorders>
              <w:top w:val="nil"/>
            </w:tcBorders>
            <w:vAlign w:val="top"/>
          </w:tcPr>
          <w:p>
            <w:pPr>
              <w:rPr>
                <w:rFonts w:ascii="Arial"/>
                <w:color w:val="auto"/>
                <w:sz w:val="21"/>
                <w:highlight w:val="none"/>
              </w:rPr>
            </w:pPr>
          </w:p>
        </w:tc>
        <w:tc>
          <w:tcPr>
            <w:tcW w:w="1057" w:type="dxa"/>
            <w:vMerge w:val="continue"/>
            <w:tcBorders>
              <w:top w:val="nil"/>
            </w:tcBorders>
            <w:vAlign w:val="top"/>
          </w:tcPr>
          <w:p>
            <w:pPr>
              <w:rPr>
                <w:rFonts w:ascii="Arial"/>
                <w:color w:val="auto"/>
                <w:sz w:val="21"/>
                <w:highlight w:val="none"/>
              </w:rPr>
            </w:pPr>
          </w:p>
        </w:tc>
        <w:tc>
          <w:tcPr>
            <w:tcW w:w="1021" w:type="dxa"/>
            <w:vAlign w:val="top"/>
          </w:tcPr>
          <w:p>
            <w:pPr>
              <w:pStyle w:val="10"/>
              <w:spacing w:before="37" w:line="239" w:lineRule="auto"/>
              <w:ind w:left="333"/>
              <w:rPr>
                <w:color w:val="auto"/>
                <w:sz w:val="18"/>
                <w:szCs w:val="18"/>
                <w:highlight w:val="none"/>
              </w:rPr>
            </w:pPr>
            <w:r>
              <w:rPr>
                <w:color w:val="auto"/>
                <w:spacing w:val="-3"/>
                <w:sz w:val="18"/>
                <w:szCs w:val="18"/>
                <w:highlight w:val="none"/>
              </w:rPr>
              <w:t>水泥</w:t>
            </w:r>
          </w:p>
          <w:p>
            <w:pPr>
              <w:pStyle w:val="10"/>
              <w:spacing w:line="201" w:lineRule="auto"/>
              <w:ind w:left="245"/>
              <w:rPr>
                <w:color w:val="auto"/>
                <w:sz w:val="18"/>
                <w:szCs w:val="18"/>
                <w:highlight w:val="none"/>
              </w:rPr>
            </w:pPr>
            <w:r>
              <w:rPr>
                <w:color w:val="auto"/>
                <w:spacing w:val="-3"/>
                <w:sz w:val="18"/>
                <w:szCs w:val="18"/>
                <w:highlight w:val="none"/>
              </w:rPr>
              <w:t>（kg）</w:t>
            </w:r>
          </w:p>
        </w:tc>
        <w:tc>
          <w:tcPr>
            <w:tcW w:w="936" w:type="dxa"/>
            <w:vAlign w:val="top"/>
          </w:tcPr>
          <w:p>
            <w:pPr>
              <w:pStyle w:val="10"/>
              <w:spacing w:before="37" w:line="239" w:lineRule="auto"/>
              <w:ind w:left="199"/>
              <w:rPr>
                <w:color w:val="auto"/>
                <w:sz w:val="18"/>
                <w:szCs w:val="18"/>
                <w:highlight w:val="none"/>
              </w:rPr>
            </w:pPr>
            <w:r>
              <w:rPr>
                <w:color w:val="auto"/>
                <w:spacing w:val="-2"/>
                <w:sz w:val="18"/>
                <w:szCs w:val="18"/>
                <w:highlight w:val="none"/>
              </w:rPr>
              <w:t>掺合料</w:t>
            </w:r>
          </w:p>
          <w:p>
            <w:pPr>
              <w:pStyle w:val="10"/>
              <w:spacing w:line="201" w:lineRule="auto"/>
              <w:ind w:left="203"/>
              <w:rPr>
                <w:color w:val="auto"/>
                <w:sz w:val="18"/>
                <w:szCs w:val="18"/>
                <w:highlight w:val="none"/>
              </w:rPr>
            </w:pPr>
            <w:r>
              <w:rPr>
                <w:color w:val="auto"/>
                <w:spacing w:val="-3"/>
                <w:sz w:val="18"/>
                <w:szCs w:val="18"/>
                <w:highlight w:val="none"/>
              </w:rPr>
              <w:t>（kg）</w:t>
            </w:r>
          </w:p>
        </w:tc>
        <w:tc>
          <w:tcPr>
            <w:tcW w:w="1002" w:type="dxa"/>
            <w:vAlign w:val="top"/>
          </w:tcPr>
          <w:p>
            <w:pPr>
              <w:pStyle w:val="10"/>
              <w:spacing w:before="37" w:line="239" w:lineRule="auto"/>
              <w:ind w:left="414"/>
              <w:rPr>
                <w:color w:val="auto"/>
                <w:sz w:val="18"/>
                <w:szCs w:val="18"/>
                <w:highlight w:val="none"/>
              </w:rPr>
            </w:pPr>
            <w:r>
              <w:rPr>
                <w:color w:val="auto"/>
                <w:sz w:val="18"/>
                <w:szCs w:val="18"/>
                <w:highlight w:val="none"/>
              </w:rPr>
              <w:t>砂</w:t>
            </w:r>
          </w:p>
          <w:p>
            <w:pPr>
              <w:pStyle w:val="10"/>
              <w:spacing w:line="201" w:lineRule="auto"/>
              <w:ind w:left="240"/>
              <w:rPr>
                <w:color w:val="auto"/>
                <w:sz w:val="18"/>
                <w:szCs w:val="18"/>
                <w:highlight w:val="none"/>
              </w:rPr>
            </w:pPr>
            <w:r>
              <w:rPr>
                <w:color w:val="auto"/>
                <w:spacing w:val="-3"/>
                <w:sz w:val="18"/>
                <w:szCs w:val="18"/>
                <w:highlight w:val="none"/>
              </w:rPr>
              <w:t>（m3）</w:t>
            </w:r>
          </w:p>
        </w:tc>
        <w:tc>
          <w:tcPr>
            <w:tcW w:w="1057" w:type="dxa"/>
            <w:vAlign w:val="top"/>
          </w:tcPr>
          <w:p>
            <w:pPr>
              <w:pStyle w:val="10"/>
              <w:spacing w:before="37" w:line="239" w:lineRule="auto"/>
              <w:ind w:left="354"/>
              <w:rPr>
                <w:color w:val="auto"/>
                <w:sz w:val="18"/>
                <w:szCs w:val="18"/>
                <w:highlight w:val="none"/>
              </w:rPr>
            </w:pPr>
            <w:r>
              <w:rPr>
                <w:color w:val="auto"/>
                <w:spacing w:val="-2"/>
                <w:sz w:val="18"/>
                <w:szCs w:val="18"/>
                <w:highlight w:val="none"/>
              </w:rPr>
              <w:t>石子</w:t>
            </w:r>
          </w:p>
          <w:p>
            <w:pPr>
              <w:pStyle w:val="10"/>
              <w:spacing w:line="201" w:lineRule="auto"/>
              <w:ind w:left="267"/>
              <w:rPr>
                <w:color w:val="auto"/>
                <w:sz w:val="18"/>
                <w:szCs w:val="18"/>
                <w:highlight w:val="none"/>
              </w:rPr>
            </w:pPr>
            <w:r>
              <w:rPr>
                <w:color w:val="auto"/>
                <w:spacing w:val="-3"/>
                <w:sz w:val="18"/>
                <w:szCs w:val="18"/>
                <w:highlight w:val="none"/>
              </w:rPr>
              <w:t>（m3）</w:t>
            </w:r>
          </w:p>
        </w:tc>
        <w:tc>
          <w:tcPr>
            <w:tcW w:w="1072" w:type="dxa"/>
            <w:vAlign w:val="top"/>
          </w:tcPr>
          <w:p>
            <w:pPr>
              <w:pStyle w:val="10"/>
              <w:spacing w:before="37" w:line="239" w:lineRule="auto"/>
              <w:ind w:left="275"/>
              <w:rPr>
                <w:color w:val="auto"/>
                <w:sz w:val="18"/>
                <w:szCs w:val="18"/>
                <w:highlight w:val="none"/>
              </w:rPr>
            </w:pPr>
            <w:r>
              <w:rPr>
                <w:color w:val="auto"/>
                <w:spacing w:val="-3"/>
                <w:sz w:val="18"/>
                <w:szCs w:val="18"/>
                <w:highlight w:val="none"/>
              </w:rPr>
              <w:t>外加剂</w:t>
            </w:r>
          </w:p>
          <w:p>
            <w:pPr>
              <w:pStyle w:val="10"/>
              <w:spacing w:line="201" w:lineRule="auto"/>
              <w:ind w:left="276"/>
              <w:rPr>
                <w:color w:val="auto"/>
                <w:sz w:val="18"/>
                <w:szCs w:val="18"/>
                <w:highlight w:val="none"/>
              </w:rPr>
            </w:pPr>
            <w:r>
              <w:rPr>
                <w:color w:val="auto"/>
                <w:spacing w:val="-3"/>
                <w:sz w:val="18"/>
                <w:szCs w:val="18"/>
                <w:highlight w:val="none"/>
              </w:rPr>
              <w:t>（kg）</w:t>
            </w:r>
          </w:p>
        </w:tc>
        <w:tc>
          <w:tcPr>
            <w:tcW w:w="1074" w:type="dxa"/>
            <w:vAlign w:val="top"/>
          </w:tcPr>
          <w:p>
            <w:pPr>
              <w:pStyle w:val="10"/>
              <w:spacing w:before="37" w:line="239" w:lineRule="auto"/>
              <w:ind w:left="457"/>
              <w:rPr>
                <w:color w:val="auto"/>
                <w:sz w:val="18"/>
                <w:szCs w:val="18"/>
                <w:highlight w:val="none"/>
              </w:rPr>
            </w:pPr>
            <w:r>
              <w:rPr>
                <w:color w:val="auto"/>
                <w:sz w:val="18"/>
                <w:szCs w:val="18"/>
                <w:highlight w:val="none"/>
              </w:rPr>
              <w:t>水</w:t>
            </w:r>
          </w:p>
          <w:p>
            <w:pPr>
              <w:pStyle w:val="10"/>
              <w:spacing w:line="201" w:lineRule="auto"/>
              <w:ind w:left="280"/>
              <w:rPr>
                <w:color w:val="auto"/>
                <w:sz w:val="18"/>
                <w:szCs w:val="18"/>
                <w:highlight w:val="none"/>
              </w:rPr>
            </w:pPr>
            <w:r>
              <w:rPr>
                <w:color w:val="auto"/>
                <w:spacing w:val="-3"/>
                <w:sz w:val="18"/>
                <w:szCs w:val="18"/>
                <w:highlight w:val="none"/>
              </w:rPr>
              <w:t>（m3）</w:t>
            </w:r>
          </w:p>
        </w:tc>
        <w:tc>
          <w:tcPr>
            <w:tcW w:w="1228" w:type="dxa"/>
            <w:vMerge w:val="continue"/>
            <w:tcBorders>
              <w:top w:val="nil"/>
            </w:tcBorders>
            <w:vAlign w:val="top"/>
          </w:tcPr>
          <w:p>
            <w:pPr>
              <w:rPr>
                <w:rFonts w:ascii="Arial"/>
                <w:color w:val="auto"/>
                <w:sz w:val="21"/>
                <w:highlight w:val="none"/>
              </w:rPr>
            </w:pPr>
          </w:p>
        </w:tc>
        <w:tc>
          <w:tcPr>
            <w:tcW w:w="1158" w:type="dxa"/>
            <w:vMerge w:val="continue"/>
            <w:tcBorders>
              <w:top w:val="nil"/>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vAlign w:val="top"/>
          </w:tcPr>
          <w:p>
            <w:pPr>
              <w:rPr>
                <w:rFonts w:ascii="Arial"/>
                <w:color w:val="auto"/>
                <w:sz w:val="21"/>
                <w:highlight w:val="none"/>
              </w:rPr>
            </w:pPr>
          </w:p>
        </w:tc>
        <w:tc>
          <w:tcPr>
            <w:tcW w:w="2021" w:type="dxa"/>
            <w:vAlign w:val="top"/>
          </w:tcPr>
          <w:p>
            <w:pPr>
              <w:rPr>
                <w:rFonts w:ascii="Arial"/>
                <w:color w:val="auto"/>
                <w:sz w:val="21"/>
                <w:highlight w:val="none"/>
              </w:rPr>
            </w:pPr>
          </w:p>
        </w:tc>
        <w:tc>
          <w:tcPr>
            <w:tcW w:w="131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21" w:type="dxa"/>
            <w:vAlign w:val="top"/>
          </w:tcPr>
          <w:p>
            <w:pPr>
              <w:rPr>
                <w:rFonts w:ascii="Arial"/>
                <w:color w:val="auto"/>
                <w:sz w:val="21"/>
                <w:highlight w:val="none"/>
              </w:rPr>
            </w:pPr>
          </w:p>
        </w:tc>
        <w:tc>
          <w:tcPr>
            <w:tcW w:w="936" w:type="dxa"/>
            <w:vAlign w:val="top"/>
          </w:tcPr>
          <w:p>
            <w:pPr>
              <w:rPr>
                <w:rFonts w:ascii="Arial"/>
                <w:color w:val="auto"/>
                <w:sz w:val="21"/>
                <w:highlight w:val="none"/>
              </w:rPr>
            </w:pPr>
          </w:p>
        </w:tc>
        <w:tc>
          <w:tcPr>
            <w:tcW w:w="1002" w:type="dxa"/>
            <w:vAlign w:val="top"/>
          </w:tcPr>
          <w:p>
            <w:pPr>
              <w:rPr>
                <w:rFonts w:ascii="Arial"/>
                <w:color w:val="auto"/>
                <w:sz w:val="21"/>
                <w:highlight w:val="none"/>
              </w:rPr>
            </w:pPr>
          </w:p>
        </w:tc>
        <w:tc>
          <w:tcPr>
            <w:tcW w:w="1057" w:type="dxa"/>
            <w:vAlign w:val="top"/>
          </w:tcPr>
          <w:p>
            <w:pPr>
              <w:rPr>
                <w:rFonts w:ascii="Arial"/>
                <w:color w:val="auto"/>
                <w:sz w:val="21"/>
                <w:highlight w:val="none"/>
              </w:rPr>
            </w:pPr>
          </w:p>
        </w:tc>
        <w:tc>
          <w:tcPr>
            <w:tcW w:w="1072" w:type="dxa"/>
            <w:vAlign w:val="top"/>
          </w:tcPr>
          <w:p>
            <w:pPr>
              <w:rPr>
                <w:rFonts w:ascii="Arial"/>
                <w:color w:val="auto"/>
                <w:sz w:val="21"/>
                <w:highlight w:val="none"/>
              </w:rPr>
            </w:pPr>
          </w:p>
        </w:tc>
        <w:tc>
          <w:tcPr>
            <w:tcW w:w="1074" w:type="dxa"/>
            <w:vAlign w:val="top"/>
          </w:tcPr>
          <w:p>
            <w:pPr>
              <w:rPr>
                <w:rFonts w:ascii="Arial"/>
                <w:color w:val="auto"/>
                <w:sz w:val="21"/>
                <w:highlight w:val="none"/>
              </w:rPr>
            </w:pPr>
          </w:p>
        </w:tc>
        <w:tc>
          <w:tcPr>
            <w:tcW w:w="1228" w:type="dxa"/>
            <w:vAlign w:val="top"/>
          </w:tcPr>
          <w:p>
            <w:pPr>
              <w:rPr>
                <w:rFonts w:ascii="Arial"/>
                <w:color w:val="auto"/>
                <w:sz w:val="21"/>
                <w:highlight w:val="none"/>
              </w:rPr>
            </w:pPr>
          </w:p>
        </w:tc>
        <w:tc>
          <w:tcPr>
            <w:tcW w:w="1158"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47" w:type="dxa"/>
            <w:tcBorders>
              <w:left w:val="single" w:color="000000" w:sz="6" w:space="0"/>
              <w:bottom w:val="single" w:color="000000" w:sz="6" w:space="0"/>
            </w:tcBorders>
            <w:vAlign w:val="top"/>
          </w:tcPr>
          <w:p>
            <w:pPr>
              <w:rPr>
                <w:rFonts w:ascii="Arial"/>
                <w:color w:val="auto"/>
                <w:sz w:val="21"/>
                <w:highlight w:val="none"/>
              </w:rPr>
            </w:pPr>
          </w:p>
        </w:tc>
        <w:tc>
          <w:tcPr>
            <w:tcW w:w="2021" w:type="dxa"/>
            <w:tcBorders>
              <w:bottom w:val="single" w:color="000000" w:sz="6" w:space="0"/>
            </w:tcBorders>
            <w:vAlign w:val="top"/>
          </w:tcPr>
          <w:p>
            <w:pPr>
              <w:rPr>
                <w:rFonts w:ascii="Arial"/>
                <w:color w:val="auto"/>
                <w:sz w:val="21"/>
                <w:highlight w:val="none"/>
              </w:rPr>
            </w:pPr>
          </w:p>
        </w:tc>
        <w:tc>
          <w:tcPr>
            <w:tcW w:w="1312" w:type="dxa"/>
            <w:tcBorders>
              <w:bottom w:val="single" w:color="000000" w:sz="6" w:space="0"/>
            </w:tcBorders>
            <w:vAlign w:val="top"/>
          </w:tcPr>
          <w:p>
            <w:pPr>
              <w:rPr>
                <w:rFonts w:ascii="Arial"/>
                <w:color w:val="auto"/>
                <w:sz w:val="21"/>
                <w:highlight w:val="none"/>
              </w:rPr>
            </w:pPr>
          </w:p>
        </w:tc>
        <w:tc>
          <w:tcPr>
            <w:tcW w:w="1057" w:type="dxa"/>
            <w:tcBorders>
              <w:bottom w:val="single" w:color="000000" w:sz="6" w:space="0"/>
            </w:tcBorders>
            <w:vAlign w:val="top"/>
          </w:tcPr>
          <w:p>
            <w:pPr>
              <w:rPr>
                <w:rFonts w:ascii="Arial"/>
                <w:color w:val="auto"/>
                <w:sz w:val="21"/>
                <w:highlight w:val="none"/>
              </w:rPr>
            </w:pPr>
          </w:p>
        </w:tc>
        <w:tc>
          <w:tcPr>
            <w:tcW w:w="1021" w:type="dxa"/>
            <w:tcBorders>
              <w:bottom w:val="single" w:color="000000" w:sz="6" w:space="0"/>
            </w:tcBorders>
            <w:vAlign w:val="top"/>
          </w:tcPr>
          <w:p>
            <w:pPr>
              <w:rPr>
                <w:rFonts w:ascii="Arial"/>
                <w:color w:val="auto"/>
                <w:sz w:val="21"/>
                <w:highlight w:val="none"/>
              </w:rPr>
            </w:pPr>
          </w:p>
        </w:tc>
        <w:tc>
          <w:tcPr>
            <w:tcW w:w="936" w:type="dxa"/>
            <w:tcBorders>
              <w:bottom w:val="single" w:color="000000" w:sz="6" w:space="0"/>
            </w:tcBorders>
            <w:vAlign w:val="top"/>
          </w:tcPr>
          <w:p>
            <w:pPr>
              <w:rPr>
                <w:rFonts w:ascii="Arial"/>
                <w:color w:val="auto"/>
                <w:sz w:val="21"/>
                <w:highlight w:val="none"/>
              </w:rPr>
            </w:pPr>
          </w:p>
        </w:tc>
        <w:tc>
          <w:tcPr>
            <w:tcW w:w="1002" w:type="dxa"/>
            <w:tcBorders>
              <w:bottom w:val="single" w:color="000000" w:sz="6" w:space="0"/>
            </w:tcBorders>
            <w:vAlign w:val="top"/>
          </w:tcPr>
          <w:p>
            <w:pPr>
              <w:rPr>
                <w:rFonts w:ascii="Arial"/>
                <w:color w:val="auto"/>
                <w:sz w:val="21"/>
                <w:highlight w:val="none"/>
              </w:rPr>
            </w:pPr>
          </w:p>
        </w:tc>
        <w:tc>
          <w:tcPr>
            <w:tcW w:w="1057" w:type="dxa"/>
            <w:tcBorders>
              <w:bottom w:val="single" w:color="000000" w:sz="6" w:space="0"/>
            </w:tcBorders>
            <w:vAlign w:val="top"/>
          </w:tcPr>
          <w:p>
            <w:pPr>
              <w:rPr>
                <w:rFonts w:ascii="Arial"/>
                <w:color w:val="auto"/>
                <w:sz w:val="21"/>
                <w:highlight w:val="none"/>
              </w:rPr>
            </w:pPr>
          </w:p>
        </w:tc>
        <w:tc>
          <w:tcPr>
            <w:tcW w:w="1072" w:type="dxa"/>
            <w:tcBorders>
              <w:bottom w:val="single" w:color="000000" w:sz="6" w:space="0"/>
            </w:tcBorders>
            <w:vAlign w:val="top"/>
          </w:tcPr>
          <w:p>
            <w:pPr>
              <w:rPr>
                <w:rFonts w:ascii="Arial"/>
                <w:color w:val="auto"/>
                <w:sz w:val="21"/>
                <w:highlight w:val="none"/>
              </w:rPr>
            </w:pPr>
          </w:p>
        </w:tc>
        <w:tc>
          <w:tcPr>
            <w:tcW w:w="1074" w:type="dxa"/>
            <w:tcBorders>
              <w:bottom w:val="single" w:color="000000" w:sz="6" w:space="0"/>
            </w:tcBorders>
            <w:vAlign w:val="top"/>
          </w:tcPr>
          <w:p>
            <w:pPr>
              <w:rPr>
                <w:rFonts w:ascii="Arial"/>
                <w:color w:val="auto"/>
                <w:sz w:val="21"/>
                <w:highlight w:val="none"/>
              </w:rPr>
            </w:pPr>
          </w:p>
        </w:tc>
        <w:tc>
          <w:tcPr>
            <w:tcW w:w="1228" w:type="dxa"/>
            <w:tcBorders>
              <w:bottom w:val="single" w:color="000000" w:sz="6" w:space="0"/>
            </w:tcBorders>
            <w:vAlign w:val="top"/>
          </w:tcPr>
          <w:p>
            <w:pPr>
              <w:rPr>
                <w:rFonts w:ascii="Arial"/>
                <w:color w:val="auto"/>
                <w:sz w:val="21"/>
                <w:highlight w:val="none"/>
              </w:rPr>
            </w:pPr>
          </w:p>
        </w:tc>
        <w:tc>
          <w:tcPr>
            <w:tcW w:w="1158" w:type="dxa"/>
            <w:tcBorders>
              <w:bottom w:val="single" w:color="000000" w:sz="6" w:space="0"/>
              <w:right w:val="single" w:color="000000" w:sz="6" w:space="0"/>
            </w:tcBorders>
            <w:vAlign w:val="top"/>
          </w:tcPr>
          <w:p>
            <w:pPr>
              <w:rPr>
                <w:rFonts w:ascii="Arial"/>
                <w:color w:val="auto"/>
                <w:sz w:val="21"/>
                <w:highlight w:val="none"/>
              </w:rPr>
            </w:pPr>
          </w:p>
        </w:tc>
      </w:tr>
    </w:tbl>
    <w:p>
      <w:pPr>
        <w:spacing w:before="87" w:line="220" w:lineRule="auto"/>
        <w:ind w:left="10732"/>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79" w:line="229" w:lineRule="auto"/>
        <w:ind w:left="10550" w:right="365" w:firstLine="4"/>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（或委托代理人</w:t>
      </w:r>
      <w:r>
        <w:rPr>
          <w:rFonts w:ascii="宋体" w:hAnsi="宋体" w:eastAsia="宋体" w:cs="宋体"/>
          <w:color w:val="auto"/>
          <w:spacing w:val="1"/>
          <w:sz w:val="18"/>
          <w:szCs w:val="18"/>
          <w:highlight w:val="none"/>
        </w:rPr>
        <w:t>）：</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42"/>
          <w:sz w:val="18"/>
          <w:szCs w:val="18"/>
          <w:highlight w:val="none"/>
        </w:rPr>
        <w:t xml:space="preserve"> </w:t>
      </w:r>
      <w:r>
        <w:rPr>
          <w:rFonts w:ascii="宋体" w:hAnsi="宋体" w:eastAsia="宋体" w:cs="宋体"/>
          <w:color w:val="auto"/>
          <w:spacing w:val="1"/>
          <w:sz w:val="18"/>
          <w:szCs w:val="18"/>
          <w:highlight w:val="none"/>
        </w:rPr>
        <w:t>（</w:t>
      </w:r>
      <w:r>
        <w:rPr>
          <w:rFonts w:ascii="宋体" w:hAnsi="宋体" w:eastAsia="宋体" w:cs="宋体"/>
          <w:color w:val="auto"/>
          <w:spacing w:val="-9"/>
          <w:sz w:val="18"/>
          <w:szCs w:val="18"/>
          <w:highlight w:val="none"/>
        </w:rPr>
        <w:t>签</w:t>
      </w:r>
      <w:r>
        <w:rPr>
          <w:rFonts w:ascii="宋体" w:hAnsi="宋体" w:eastAsia="宋体" w:cs="宋体"/>
          <w:color w:val="auto"/>
          <w:sz w:val="18"/>
          <w:szCs w:val="18"/>
          <w:highlight w:val="none"/>
        </w:rPr>
        <w:t xml:space="preserve"> </w:t>
      </w:r>
      <w:r>
        <w:rPr>
          <w:rFonts w:ascii="宋体" w:hAnsi="宋体" w:eastAsia="宋体" w:cs="宋体"/>
          <w:color w:val="auto"/>
          <w:spacing w:val="-5"/>
          <w:sz w:val="18"/>
          <w:szCs w:val="18"/>
          <w:highlight w:val="none"/>
        </w:rPr>
        <w:t>字）</w:t>
      </w:r>
    </w:p>
    <w:p>
      <w:pPr>
        <w:spacing w:line="229" w:lineRule="auto"/>
        <w:rPr>
          <w:rFonts w:ascii="宋体" w:hAnsi="宋体" w:eastAsia="宋体" w:cs="宋体"/>
          <w:color w:val="auto"/>
          <w:sz w:val="18"/>
          <w:szCs w:val="18"/>
          <w:highlight w:val="none"/>
        </w:rPr>
        <w:sectPr>
          <w:footerReference r:id="rId93" w:type="default"/>
          <w:pgSz w:w="16841" w:h="11907"/>
          <w:pgMar w:top="400" w:right="1660" w:bottom="1002" w:left="1579" w:header="0" w:footer="828" w:gutter="0"/>
          <w:pgNumType w:fmt="numberInDash"/>
          <w:cols w:space="720" w:num="1"/>
        </w:sectPr>
      </w:pPr>
    </w:p>
    <w:p>
      <w:pPr>
        <w:pStyle w:val="2"/>
        <w:spacing w:line="276" w:lineRule="auto"/>
        <w:rPr>
          <w:color w:val="auto"/>
          <w:highlight w:val="none"/>
        </w:rPr>
      </w:pPr>
    </w:p>
    <w:p>
      <w:pPr>
        <w:pStyle w:val="2"/>
        <w:spacing w:line="276" w:lineRule="auto"/>
        <w:rPr>
          <w:color w:val="auto"/>
          <w:highlight w:val="none"/>
        </w:rPr>
      </w:pPr>
    </w:p>
    <w:p>
      <w:pPr>
        <w:pStyle w:val="2"/>
        <w:spacing w:line="276" w:lineRule="auto"/>
        <w:rPr>
          <w:color w:val="auto"/>
          <w:highlight w:val="none"/>
        </w:rPr>
      </w:pPr>
    </w:p>
    <w:p>
      <w:pPr>
        <w:pStyle w:val="2"/>
        <w:spacing w:line="276" w:lineRule="auto"/>
        <w:rPr>
          <w:color w:val="auto"/>
          <w:highlight w:val="none"/>
        </w:rPr>
      </w:pPr>
    </w:p>
    <w:p>
      <w:pPr>
        <w:spacing w:before="7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3.17 </w:t>
      </w:r>
      <w:r>
        <w:rPr>
          <w:rFonts w:ascii="黑体" w:hAnsi="黑体" w:eastAsia="黑体" w:cs="黑体"/>
          <w:color w:val="auto"/>
          <w:spacing w:val="-1"/>
          <w:sz w:val="24"/>
          <w:szCs w:val="24"/>
          <w:highlight w:val="none"/>
        </w:rPr>
        <w:t>招标人供应材料价格汇总表</w:t>
      </w:r>
    </w:p>
    <w:p>
      <w:pPr>
        <w:spacing w:before="188" w:line="218" w:lineRule="auto"/>
        <w:ind w:left="4580"/>
        <w:rPr>
          <w:rFonts w:ascii="宋体" w:hAnsi="宋体" w:eastAsia="宋体" w:cs="宋体"/>
          <w:color w:val="auto"/>
          <w:sz w:val="40"/>
          <w:szCs w:val="40"/>
          <w:highlight w:val="none"/>
        </w:rPr>
      </w:pPr>
      <w:bookmarkStart w:id="365" w:name="bookmark405"/>
      <w:bookmarkEnd w:id="365"/>
      <w:r>
        <w:rPr>
          <w:rFonts w:ascii="宋体" w:hAnsi="宋体" w:eastAsia="宋体" w:cs="宋体"/>
          <w:color w:val="auto"/>
          <w:sz w:val="40"/>
          <w:szCs w:val="40"/>
          <w:highlight w:val="none"/>
          <w14:textOutline w14:w="7271" w14:cap="flat" w14:cmpd="sng">
            <w14:solidFill>
              <w14:srgbClr w14:val="000000"/>
            </w14:solidFill>
            <w14:prstDash w14:val="solid"/>
            <w14:miter w14:val="0"/>
          </w14:textOutline>
        </w:rPr>
        <w:t>招标人供应材料价格汇总表</w:t>
      </w:r>
    </w:p>
    <w:p>
      <w:pPr>
        <w:spacing w:before="180" w:line="228" w:lineRule="auto"/>
        <w:ind w:left="12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合同编号：</w:t>
      </w:r>
    </w:p>
    <w:p>
      <w:pPr>
        <w:spacing w:before="192" w:line="228" w:lineRule="auto"/>
        <w:ind w:left="127"/>
        <w:rPr>
          <w:rFonts w:ascii="宋体" w:hAnsi="宋体" w:eastAsia="宋体" w:cs="宋体"/>
          <w:color w:val="auto"/>
          <w:sz w:val="19"/>
          <w:szCs w:val="19"/>
          <w:highlight w:val="none"/>
        </w:rPr>
      </w:pPr>
      <w:r>
        <w:rPr>
          <w:rFonts w:ascii="宋体" w:hAnsi="宋体" w:eastAsia="宋体" w:cs="宋体"/>
          <w:color w:val="auto"/>
          <w:spacing w:val="1"/>
          <w:sz w:val="19"/>
          <w:szCs w:val="19"/>
          <w:highlight w:val="none"/>
        </w:rPr>
        <w:t>工程名称：                                                                                                                    第</w:t>
      </w:r>
      <w:r>
        <w:rPr>
          <w:rFonts w:ascii="宋体" w:hAnsi="宋体" w:eastAsia="宋体" w:cs="宋体"/>
          <w:color w:val="auto"/>
          <w:spacing w:val="38"/>
          <w:sz w:val="19"/>
          <w:szCs w:val="19"/>
          <w:highlight w:val="none"/>
        </w:rPr>
        <w:t xml:space="preserve"> </w:t>
      </w:r>
      <w:r>
        <w:rPr>
          <w:rFonts w:ascii="宋体" w:hAnsi="宋体" w:eastAsia="宋体" w:cs="宋体"/>
          <w:color w:val="auto"/>
          <w:spacing w:val="1"/>
          <w:sz w:val="19"/>
          <w:szCs w:val="19"/>
          <w:highlight w:val="none"/>
        </w:rPr>
        <w:t>1 页、共</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0"/>
          <w:sz w:val="19"/>
          <w:szCs w:val="19"/>
          <w:highlight w:val="none"/>
        </w:rPr>
        <w:t xml:space="preserve"> </w:t>
      </w:r>
      <w:r>
        <w:rPr>
          <w:rFonts w:ascii="宋体" w:hAnsi="宋体" w:eastAsia="宋体" w:cs="宋体"/>
          <w:color w:val="auto"/>
          <w:spacing w:val="1"/>
          <w:sz w:val="19"/>
          <w:szCs w:val="19"/>
          <w:highlight w:val="none"/>
        </w:rPr>
        <w:t>页</w:t>
      </w:r>
    </w:p>
    <w:p>
      <w:pPr>
        <w:spacing w:line="125" w:lineRule="exact"/>
        <w:rPr>
          <w:color w:val="auto"/>
          <w:highlight w:val="none"/>
        </w:rPr>
      </w:pPr>
    </w:p>
    <w:tbl>
      <w:tblPr>
        <w:tblStyle w:val="9"/>
        <w:tblW w:w="139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8"/>
        <w:gridCol w:w="969"/>
        <w:gridCol w:w="2403"/>
        <w:gridCol w:w="1594"/>
        <w:gridCol w:w="1146"/>
        <w:gridCol w:w="1364"/>
        <w:gridCol w:w="1362"/>
        <w:gridCol w:w="1362"/>
        <w:gridCol w:w="1365"/>
        <w:gridCol w:w="1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78" w:type="dxa"/>
            <w:tcBorders>
              <w:top w:val="single" w:color="000000" w:sz="6" w:space="0"/>
              <w:left w:val="single" w:color="000000" w:sz="6" w:space="0"/>
            </w:tcBorders>
            <w:vAlign w:val="top"/>
          </w:tcPr>
          <w:p>
            <w:pPr>
              <w:pStyle w:val="10"/>
              <w:spacing w:before="164" w:line="230" w:lineRule="auto"/>
              <w:ind w:left="284"/>
              <w:rPr>
                <w:color w:val="auto"/>
                <w:sz w:val="19"/>
                <w:szCs w:val="19"/>
                <w:highlight w:val="none"/>
              </w:rPr>
            </w:pPr>
            <w:r>
              <w:rPr>
                <w:color w:val="auto"/>
                <w:spacing w:val="5"/>
                <w:sz w:val="19"/>
                <w:szCs w:val="19"/>
                <w:highlight w:val="none"/>
              </w:rPr>
              <w:t>序号</w:t>
            </w:r>
          </w:p>
        </w:tc>
        <w:tc>
          <w:tcPr>
            <w:tcW w:w="969" w:type="dxa"/>
            <w:tcBorders>
              <w:top w:val="single" w:color="000000" w:sz="6" w:space="0"/>
            </w:tcBorders>
            <w:vAlign w:val="top"/>
          </w:tcPr>
          <w:p>
            <w:pPr>
              <w:pStyle w:val="10"/>
              <w:spacing w:before="165" w:line="228" w:lineRule="auto"/>
              <w:ind w:left="281"/>
              <w:rPr>
                <w:color w:val="auto"/>
                <w:sz w:val="19"/>
                <w:szCs w:val="19"/>
                <w:highlight w:val="none"/>
              </w:rPr>
            </w:pPr>
            <w:r>
              <w:rPr>
                <w:color w:val="auto"/>
                <w:spacing w:val="4"/>
                <w:sz w:val="19"/>
                <w:szCs w:val="19"/>
                <w:highlight w:val="none"/>
              </w:rPr>
              <w:t>编码</w:t>
            </w:r>
          </w:p>
        </w:tc>
        <w:tc>
          <w:tcPr>
            <w:tcW w:w="2403" w:type="dxa"/>
            <w:tcBorders>
              <w:top w:val="single" w:color="000000" w:sz="6" w:space="0"/>
            </w:tcBorders>
            <w:vAlign w:val="top"/>
          </w:tcPr>
          <w:p>
            <w:pPr>
              <w:pStyle w:val="10"/>
              <w:spacing w:before="164" w:line="228" w:lineRule="auto"/>
              <w:ind w:left="798"/>
              <w:rPr>
                <w:color w:val="auto"/>
                <w:sz w:val="19"/>
                <w:szCs w:val="19"/>
                <w:highlight w:val="none"/>
              </w:rPr>
            </w:pPr>
            <w:r>
              <w:rPr>
                <w:color w:val="auto"/>
                <w:spacing w:val="7"/>
                <w:sz w:val="19"/>
                <w:szCs w:val="19"/>
                <w:highlight w:val="none"/>
              </w:rPr>
              <w:t>材料名称</w:t>
            </w:r>
          </w:p>
        </w:tc>
        <w:tc>
          <w:tcPr>
            <w:tcW w:w="1594" w:type="dxa"/>
            <w:tcBorders>
              <w:top w:val="single" w:color="000000" w:sz="6" w:space="0"/>
            </w:tcBorders>
            <w:vAlign w:val="top"/>
          </w:tcPr>
          <w:p>
            <w:pPr>
              <w:pStyle w:val="10"/>
              <w:spacing w:before="165" w:line="228" w:lineRule="auto"/>
              <w:ind w:left="404"/>
              <w:rPr>
                <w:color w:val="auto"/>
                <w:sz w:val="19"/>
                <w:szCs w:val="19"/>
                <w:highlight w:val="none"/>
              </w:rPr>
            </w:pPr>
            <w:r>
              <w:rPr>
                <w:color w:val="auto"/>
                <w:spacing w:val="5"/>
                <w:sz w:val="19"/>
                <w:szCs w:val="19"/>
                <w:highlight w:val="none"/>
              </w:rPr>
              <w:t>型号规格</w:t>
            </w:r>
          </w:p>
        </w:tc>
        <w:tc>
          <w:tcPr>
            <w:tcW w:w="1146" w:type="dxa"/>
            <w:tcBorders>
              <w:top w:val="single" w:color="000000" w:sz="6" w:space="0"/>
            </w:tcBorders>
            <w:vAlign w:val="top"/>
          </w:tcPr>
          <w:p>
            <w:pPr>
              <w:pStyle w:val="10"/>
              <w:spacing w:before="165" w:line="229" w:lineRule="auto"/>
              <w:ind w:left="177"/>
              <w:rPr>
                <w:color w:val="auto"/>
                <w:sz w:val="19"/>
                <w:szCs w:val="19"/>
                <w:highlight w:val="none"/>
              </w:rPr>
            </w:pPr>
            <w:r>
              <w:rPr>
                <w:color w:val="auto"/>
                <w:spacing w:val="7"/>
                <w:sz w:val="19"/>
                <w:szCs w:val="19"/>
                <w:highlight w:val="none"/>
              </w:rPr>
              <w:t>计量单位</w:t>
            </w:r>
          </w:p>
        </w:tc>
        <w:tc>
          <w:tcPr>
            <w:tcW w:w="1364" w:type="dxa"/>
            <w:tcBorders>
              <w:top w:val="single" w:color="000000" w:sz="6" w:space="0"/>
            </w:tcBorders>
            <w:vAlign w:val="top"/>
          </w:tcPr>
          <w:p>
            <w:pPr>
              <w:pStyle w:val="10"/>
              <w:spacing w:before="34" w:line="260" w:lineRule="exact"/>
              <w:ind w:left="387"/>
              <w:rPr>
                <w:color w:val="auto"/>
                <w:sz w:val="19"/>
                <w:szCs w:val="19"/>
                <w:highlight w:val="none"/>
              </w:rPr>
            </w:pPr>
            <w:r>
              <w:rPr>
                <w:color w:val="auto"/>
                <w:spacing w:val="6"/>
                <w:position w:val="4"/>
                <w:sz w:val="19"/>
                <w:szCs w:val="19"/>
                <w:highlight w:val="none"/>
              </w:rPr>
              <w:t>供应价</w:t>
            </w:r>
          </w:p>
          <w:p>
            <w:pPr>
              <w:pStyle w:val="10"/>
              <w:spacing w:line="215" w:lineRule="auto"/>
              <w:ind w:left="397"/>
              <w:rPr>
                <w:color w:val="auto"/>
                <w:sz w:val="19"/>
                <w:szCs w:val="19"/>
                <w:highlight w:val="none"/>
              </w:rPr>
            </w:pPr>
            <w:r>
              <w:rPr>
                <w:color w:val="auto"/>
                <w:spacing w:val="-2"/>
                <w:sz w:val="19"/>
                <w:szCs w:val="19"/>
                <w:highlight w:val="none"/>
              </w:rPr>
              <w:t>（元）</w:t>
            </w:r>
          </w:p>
        </w:tc>
        <w:tc>
          <w:tcPr>
            <w:tcW w:w="1362" w:type="dxa"/>
            <w:tcBorders>
              <w:top w:val="single" w:color="000000" w:sz="6" w:space="0"/>
            </w:tcBorders>
            <w:vAlign w:val="top"/>
          </w:tcPr>
          <w:p>
            <w:pPr>
              <w:pStyle w:val="10"/>
              <w:spacing w:before="34" w:line="260" w:lineRule="exact"/>
              <w:ind w:left="387"/>
              <w:rPr>
                <w:color w:val="auto"/>
                <w:sz w:val="19"/>
                <w:szCs w:val="19"/>
                <w:highlight w:val="none"/>
              </w:rPr>
            </w:pPr>
            <w:r>
              <w:rPr>
                <w:color w:val="auto"/>
                <w:spacing w:val="6"/>
                <w:position w:val="4"/>
                <w:sz w:val="19"/>
                <w:szCs w:val="19"/>
                <w:highlight w:val="none"/>
              </w:rPr>
              <w:t>预算价</w:t>
            </w:r>
          </w:p>
          <w:p>
            <w:pPr>
              <w:pStyle w:val="10"/>
              <w:spacing w:line="215" w:lineRule="auto"/>
              <w:ind w:left="396"/>
              <w:rPr>
                <w:color w:val="auto"/>
                <w:sz w:val="19"/>
                <w:szCs w:val="19"/>
                <w:highlight w:val="none"/>
              </w:rPr>
            </w:pPr>
            <w:r>
              <w:rPr>
                <w:color w:val="auto"/>
                <w:spacing w:val="-2"/>
                <w:sz w:val="19"/>
                <w:szCs w:val="19"/>
                <w:highlight w:val="none"/>
              </w:rPr>
              <w:t>（元）</w:t>
            </w:r>
          </w:p>
        </w:tc>
        <w:tc>
          <w:tcPr>
            <w:tcW w:w="1362" w:type="dxa"/>
            <w:tcBorders>
              <w:top w:val="single" w:color="000000" w:sz="6" w:space="0"/>
            </w:tcBorders>
            <w:vAlign w:val="top"/>
          </w:tcPr>
          <w:p>
            <w:pPr>
              <w:pStyle w:val="10"/>
              <w:spacing w:before="164" w:line="228" w:lineRule="auto"/>
              <w:ind w:left="293"/>
              <w:rPr>
                <w:color w:val="auto"/>
                <w:sz w:val="19"/>
                <w:szCs w:val="19"/>
                <w:highlight w:val="none"/>
              </w:rPr>
            </w:pPr>
            <w:r>
              <w:rPr>
                <w:color w:val="auto"/>
                <w:spacing w:val="6"/>
                <w:sz w:val="19"/>
                <w:szCs w:val="19"/>
                <w:highlight w:val="none"/>
              </w:rPr>
              <w:t>交货方式</w:t>
            </w:r>
          </w:p>
        </w:tc>
        <w:tc>
          <w:tcPr>
            <w:tcW w:w="1365" w:type="dxa"/>
            <w:tcBorders>
              <w:top w:val="single" w:color="000000" w:sz="6" w:space="0"/>
            </w:tcBorders>
            <w:vAlign w:val="top"/>
          </w:tcPr>
          <w:p>
            <w:pPr>
              <w:pStyle w:val="10"/>
              <w:spacing w:before="164" w:line="233" w:lineRule="auto"/>
              <w:ind w:left="289"/>
              <w:rPr>
                <w:color w:val="auto"/>
                <w:sz w:val="19"/>
                <w:szCs w:val="19"/>
                <w:highlight w:val="none"/>
              </w:rPr>
            </w:pPr>
            <w:r>
              <w:rPr>
                <w:color w:val="auto"/>
                <w:spacing w:val="7"/>
                <w:sz w:val="19"/>
                <w:szCs w:val="19"/>
                <w:highlight w:val="none"/>
              </w:rPr>
              <w:t>送达地点</w:t>
            </w:r>
          </w:p>
        </w:tc>
        <w:tc>
          <w:tcPr>
            <w:tcW w:w="1390" w:type="dxa"/>
            <w:tcBorders>
              <w:top w:val="single" w:color="000000" w:sz="6" w:space="0"/>
              <w:right w:val="single" w:color="000000" w:sz="6" w:space="0"/>
            </w:tcBorders>
            <w:vAlign w:val="top"/>
          </w:tcPr>
          <w:p>
            <w:pPr>
              <w:pStyle w:val="10"/>
              <w:spacing w:before="164" w:line="230" w:lineRule="auto"/>
              <w:ind w:left="503"/>
              <w:rPr>
                <w:color w:val="auto"/>
                <w:sz w:val="19"/>
                <w:szCs w:val="19"/>
                <w:highlight w:val="none"/>
              </w:rPr>
            </w:pPr>
            <w:r>
              <w:rPr>
                <w:color w:val="auto"/>
                <w:spacing w:val="4"/>
                <w:sz w:val="19"/>
                <w:szCs w:val="19"/>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vAlign w:val="top"/>
          </w:tcPr>
          <w:p>
            <w:pPr>
              <w:rPr>
                <w:rFonts w:ascii="Arial"/>
                <w:color w:val="auto"/>
                <w:sz w:val="21"/>
                <w:highlight w:val="none"/>
              </w:rPr>
            </w:pPr>
          </w:p>
        </w:tc>
        <w:tc>
          <w:tcPr>
            <w:tcW w:w="969" w:type="dxa"/>
            <w:vAlign w:val="top"/>
          </w:tcPr>
          <w:p>
            <w:pPr>
              <w:rPr>
                <w:rFonts w:ascii="Arial"/>
                <w:color w:val="auto"/>
                <w:sz w:val="21"/>
                <w:highlight w:val="none"/>
              </w:rPr>
            </w:pPr>
          </w:p>
        </w:tc>
        <w:tc>
          <w:tcPr>
            <w:tcW w:w="2403" w:type="dxa"/>
            <w:vAlign w:val="top"/>
          </w:tcPr>
          <w:p>
            <w:pPr>
              <w:rPr>
                <w:rFonts w:ascii="Arial"/>
                <w:color w:val="auto"/>
                <w:sz w:val="21"/>
                <w:highlight w:val="none"/>
              </w:rPr>
            </w:pPr>
          </w:p>
        </w:tc>
        <w:tc>
          <w:tcPr>
            <w:tcW w:w="1594" w:type="dxa"/>
            <w:vAlign w:val="top"/>
          </w:tcPr>
          <w:p>
            <w:pPr>
              <w:rPr>
                <w:rFonts w:ascii="Arial"/>
                <w:color w:val="auto"/>
                <w:sz w:val="21"/>
                <w:highlight w:val="none"/>
              </w:rPr>
            </w:pPr>
          </w:p>
        </w:tc>
        <w:tc>
          <w:tcPr>
            <w:tcW w:w="1146" w:type="dxa"/>
            <w:vAlign w:val="top"/>
          </w:tcPr>
          <w:p>
            <w:pPr>
              <w:rPr>
                <w:rFonts w:ascii="Arial"/>
                <w:color w:val="auto"/>
                <w:sz w:val="21"/>
                <w:highlight w:val="none"/>
              </w:rPr>
            </w:pPr>
          </w:p>
        </w:tc>
        <w:tc>
          <w:tcPr>
            <w:tcW w:w="1364"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65" w:type="dxa"/>
            <w:vAlign w:val="top"/>
          </w:tcPr>
          <w:p>
            <w:pPr>
              <w:rPr>
                <w:rFonts w:ascii="Arial"/>
                <w:color w:val="auto"/>
                <w:sz w:val="21"/>
                <w:highlight w:val="none"/>
              </w:rPr>
            </w:pPr>
          </w:p>
        </w:tc>
        <w:tc>
          <w:tcPr>
            <w:tcW w:w="1390"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8" w:type="dxa"/>
            <w:tcBorders>
              <w:left w:val="single" w:color="000000" w:sz="6" w:space="0"/>
              <w:bottom w:val="single" w:color="000000" w:sz="6" w:space="0"/>
            </w:tcBorders>
            <w:vAlign w:val="top"/>
          </w:tcPr>
          <w:p>
            <w:pPr>
              <w:rPr>
                <w:rFonts w:ascii="Arial"/>
                <w:color w:val="auto"/>
                <w:sz w:val="21"/>
                <w:highlight w:val="none"/>
              </w:rPr>
            </w:pPr>
          </w:p>
        </w:tc>
        <w:tc>
          <w:tcPr>
            <w:tcW w:w="969" w:type="dxa"/>
            <w:tcBorders>
              <w:bottom w:val="single" w:color="000000" w:sz="6" w:space="0"/>
            </w:tcBorders>
            <w:vAlign w:val="top"/>
          </w:tcPr>
          <w:p>
            <w:pPr>
              <w:rPr>
                <w:rFonts w:ascii="Arial"/>
                <w:color w:val="auto"/>
                <w:sz w:val="21"/>
                <w:highlight w:val="none"/>
              </w:rPr>
            </w:pPr>
          </w:p>
        </w:tc>
        <w:tc>
          <w:tcPr>
            <w:tcW w:w="2403" w:type="dxa"/>
            <w:tcBorders>
              <w:bottom w:val="single" w:color="000000" w:sz="6" w:space="0"/>
            </w:tcBorders>
            <w:vAlign w:val="top"/>
          </w:tcPr>
          <w:p>
            <w:pPr>
              <w:rPr>
                <w:rFonts w:ascii="Arial"/>
                <w:color w:val="auto"/>
                <w:sz w:val="21"/>
                <w:highlight w:val="none"/>
              </w:rPr>
            </w:pPr>
          </w:p>
        </w:tc>
        <w:tc>
          <w:tcPr>
            <w:tcW w:w="1594" w:type="dxa"/>
            <w:tcBorders>
              <w:bottom w:val="single" w:color="000000" w:sz="6" w:space="0"/>
            </w:tcBorders>
            <w:vAlign w:val="top"/>
          </w:tcPr>
          <w:p>
            <w:pPr>
              <w:rPr>
                <w:rFonts w:ascii="Arial"/>
                <w:color w:val="auto"/>
                <w:sz w:val="21"/>
                <w:highlight w:val="none"/>
              </w:rPr>
            </w:pPr>
          </w:p>
        </w:tc>
        <w:tc>
          <w:tcPr>
            <w:tcW w:w="1146" w:type="dxa"/>
            <w:tcBorders>
              <w:bottom w:val="single" w:color="000000" w:sz="6" w:space="0"/>
            </w:tcBorders>
            <w:vAlign w:val="top"/>
          </w:tcPr>
          <w:p>
            <w:pPr>
              <w:rPr>
                <w:rFonts w:ascii="Arial"/>
                <w:color w:val="auto"/>
                <w:sz w:val="21"/>
                <w:highlight w:val="none"/>
              </w:rPr>
            </w:pPr>
          </w:p>
        </w:tc>
        <w:tc>
          <w:tcPr>
            <w:tcW w:w="1364" w:type="dxa"/>
            <w:tcBorders>
              <w:bottom w:val="single" w:color="000000" w:sz="6" w:space="0"/>
            </w:tcBorders>
            <w:vAlign w:val="top"/>
          </w:tcPr>
          <w:p>
            <w:pPr>
              <w:rPr>
                <w:rFonts w:ascii="Arial"/>
                <w:color w:val="auto"/>
                <w:sz w:val="21"/>
                <w:highlight w:val="none"/>
              </w:rPr>
            </w:pPr>
          </w:p>
        </w:tc>
        <w:tc>
          <w:tcPr>
            <w:tcW w:w="1362" w:type="dxa"/>
            <w:tcBorders>
              <w:bottom w:val="single" w:color="000000" w:sz="6" w:space="0"/>
            </w:tcBorders>
            <w:vAlign w:val="top"/>
          </w:tcPr>
          <w:p>
            <w:pPr>
              <w:rPr>
                <w:rFonts w:ascii="Arial"/>
                <w:color w:val="auto"/>
                <w:sz w:val="21"/>
                <w:highlight w:val="none"/>
              </w:rPr>
            </w:pPr>
          </w:p>
        </w:tc>
        <w:tc>
          <w:tcPr>
            <w:tcW w:w="1362" w:type="dxa"/>
            <w:tcBorders>
              <w:bottom w:val="single" w:color="000000" w:sz="6" w:space="0"/>
            </w:tcBorders>
            <w:vAlign w:val="top"/>
          </w:tcPr>
          <w:p>
            <w:pPr>
              <w:rPr>
                <w:rFonts w:ascii="Arial"/>
                <w:color w:val="auto"/>
                <w:sz w:val="21"/>
                <w:highlight w:val="none"/>
              </w:rPr>
            </w:pPr>
          </w:p>
        </w:tc>
        <w:tc>
          <w:tcPr>
            <w:tcW w:w="1365" w:type="dxa"/>
            <w:tcBorders>
              <w:bottom w:val="single" w:color="000000" w:sz="6" w:space="0"/>
            </w:tcBorders>
            <w:vAlign w:val="top"/>
          </w:tcPr>
          <w:p>
            <w:pPr>
              <w:rPr>
                <w:rFonts w:ascii="Arial"/>
                <w:color w:val="auto"/>
                <w:sz w:val="21"/>
                <w:highlight w:val="none"/>
              </w:rPr>
            </w:pPr>
          </w:p>
        </w:tc>
        <w:tc>
          <w:tcPr>
            <w:tcW w:w="1390" w:type="dxa"/>
            <w:tcBorders>
              <w:bottom w:val="single" w:color="000000" w:sz="6" w:space="0"/>
              <w:right w:val="single" w:color="000000" w:sz="6" w:space="0"/>
            </w:tcBorders>
            <w:vAlign w:val="top"/>
          </w:tcPr>
          <w:p>
            <w:pPr>
              <w:rPr>
                <w:rFonts w:ascii="Arial"/>
                <w:color w:val="auto"/>
                <w:sz w:val="21"/>
                <w:highlight w:val="none"/>
              </w:rPr>
            </w:pPr>
          </w:p>
        </w:tc>
      </w:tr>
    </w:tbl>
    <w:p>
      <w:pPr>
        <w:spacing w:before="73" w:line="220" w:lineRule="auto"/>
        <w:ind w:left="7271"/>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69" w:line="220" w:lineRule="auto"/>
        <w:ind w:left="7001"/>
        <w:rPr>
          <w:rFonts w:ascii="宋体" w:hAnsi="宋体" w:eastAsia="宋体" w:cs="宋体"/>
          <w:color w:val="auto"/>
          <w:sz w:val="18"/>
          <w:szCs w:val="18"/>
          <w:highlight w:val="none"/>
        </w:rPr>
      </w:pPr>
      <w:r>
        <w:rPr>
          <w:rFonts w:ascii="宋体" w:hAnsi="宋体" w:eastAsia="宋体" w:cs="宋体"/>
          <w:color w:val="auto"/>
          <w:spacing w:val="-17"/>
          <w:sz w:val="18"/>
          <w:szCs w:val="18"/>
          <w:highlight w:val="none"/>
        </w:rPr>
        <w:t>（或委托代理人</w:t>
      </w:r>
      <w:r>
        <w:rPr>
          <w:rFonts w:ascii="宋体" w:hAnsi="宋体" w:eastAsia="宋体" w:cs="宋体"/>
          <w:color w:val="auto"/>
          <w:spacing w:val="-11"/>
          <w:sz w:val="18"/>
          <w:szCs w:val="18"/>
          <w:highlight w:val="none"/>
        </w:rPr>
        <w:t>）：</w:t>
      </w:r>
      <w:r>
        <w:rPr>
          <w:rFonts w:ascii="宋体" w:hAnsi="宋体" w:eastAsia="宋体" w:cs="宋体"/>
          <w:color w:val="auto"/>
          <w:spacing w:val="43"/>
          <w:sz w:val="18"/>
          <w:szCs w:val="18"/>
          <w:highlight w:val="none"/>
        </w:rPr>
        <w:t xml:space="preserve"> </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15"/>
          <w:sz w:val="18"/>
          <w:szCs w:val="18"/>
          <w:highlight w:val="none"/>
        </w:rPr>
        <w:t xml:space="preserve"> </w:t>
      </w:r>
      <w:r>
        <w:rPr>
          <w:rFonts w:ascii="宋体" w:hAnsi="宋体" w:eastAsia="宋体" w:cs="宋体"/>
          <w:color w:val="auto"/>
          <w:spacing w:val="-11"/>
          <w:sz w:val="18"/>
          <w:szCs w:val="18"/>
          <w:highlight w:val="none"/>
        </w:rPr>
        <w:t>（</w:t>
      </w:r>
      <w:r>
        <w:rPr>
          <w:rFonts w:ascii="宋体" w:hAnsi="宋体" w:eastAsia="宋体" w:cs="宋体"/>
          <w:color w:val="auto"/>
          <w:spacing w:val="-17"/>
          <w:sz w:val="18"/>
          <w:szCs w:val="18"/>
          <w:highlight w:val="none"/>
        </w:rPr>
        <w:t>签字）</w:t>
      </w:r>
    </w:p>
    <w:p>
      <w:pPr>
        <w:spacing w:line="220" w:lineRule="auto"/>
        <w:rPr>
          <w:rFonts w:ascii="宋体" w:hAnsi="宋体" w:eastAsia="宋体" w:cs="宋体"/>
          <w:color w:val="auto"/>
          <w:sz w:val="18"/>
          <w:szCs w:val="18"/>
          <w:highlight w:val="none"/>
        </w:rPr>
        <w:sectPr>
          <w:footerReference r:id="rId94" w:type="default"/>
          <w:pgSz w:w="16841" w:h="11907"/>
          <w:pgMar w:top="400" w:right="1312" w:bottom="1002" w:left="1579" w:header="0" w:footer="828" w:gutter="0"/>
          <w:pgNumType w:fmt="numberInDash"/>
          <w:cols w:space="720" w:num="1"/>
        </w:sectPr>
      </w:pPr>
    </w:p>
    <w:p>
      <w:pPr>
        <w:spacing w:before="7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3.18 </w:t>
      </w:r>
      <w:r>
        <w:rPr>
          <w:rFonts w:ascii="黑体" w:hAnsi="黑体" w:eastAsia="黑体" w:cs="黑体"/>
          <w:color w:val="auto"/>
          <w:spacing w:val="-1"/>
          <w:sz w:val="24"/>
          <w:szCs w:val="24"/>
          <w:highlight w:val="none"/>
        </w:rPr>
        <w:t>投标人自行采购主要材料预算价格汇总表</w:t>
      </w:r>
    </w:p>
    <w:p>
      <w:pPr>
        <w:pStyle w:val="2"/>
        <w:spacing w:line="446" w:lineRule="auto"/>
        <w:rPr>
          <w:color w:val="auto"/>
          <w:highlight w:val="none"/>
        </w:rPr>
      </w:pPr>
    </w:p>
    <w:p>
      <w:pPr>
        <w:spacing w:before="130" w:line="218" w:lineRule="auto"/>
        <w:ind w:left="850"/>
        <w:rPr>
          <w:rFonts w:ascii="宋体" w:hAnsi="宋体" w:eastAsia="宋体" w:cs="宋体"/>
          <w:color w:val="auto"/>
          <w:sz w:val="40"/>
          <w:szCs w:val="40"/>
          <w:highlight w:val="none"/>
        </w:rPr>
      </w:pPr>
      <w:bookmarkStart w:id="366" w:name="bookmark406"/>
      <w:bookmarkEnd w:id="366"/>
      <w:bookmarkStart w:id="367" w:name="bookmark408"/>
      <w:bookmarkEnd w:id="367"/>
      <w:bookmarkStart w:id="368" w:name="bookmark407"/>
      <w:bookmarkEnd w:id="368"/>
      <w:r>
        <w:rPr>
          <w:rFonts w:ascii="宋体" w:hAnsi="宋体" w:eastAsia="宋体" w:cs="宋体"/>
          <w:color w:val="auto"/>
          <w:sz w:val="40"/>
          <w:szCs w:val="40"/>
          <w:highlight w:val="none"/>
          <w14:textOutline w14:w="7271" w14:cap="flat" w14:cmpd="sng">
            <w14:solidFill>
              <w14:srgbClr w14:val="000000"/>
            </w14:solidFill>
            <w14:prstDash w14:val="solid"/>
            <w14:miter w14:val="0"/>
          </w14:textOutline>
        </w:rPr>
        <w:t>投标人自行采购主要材料预算价格汇总表</w:t>
      </w:r>
    </w:p>
    <w:p>
      <w:pPr>
        <w:spacing w:before="33" w:line="228" w:lineRule="auto"/>
        <w:ind w:left="126"/>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合同编号：</w:t>
      </w:r>
    </w:p>
    <w:p>
      <w:pPr>
        <w:spacing w:before="146" w:line="228" w:lineRule="auto"/>
        <w:ind w:left="127"/>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 xml:space="preserve">工程名称：                </w:t>
      </w:r>
      <w:r>
        <w:rPr>
          <w:rFonts w:ascii="宋体" w:hAnsi="宋体" w:eastAsia="宋体" w:cs="宋体"/>
          <w:color w:val="auto"/>
          <w:spacing w:val="1"/>
          <w:sz w:val="19"/>
          <w:szCs w:val="19"/>
          <w:highlight w:val="none"/>
        </w:rPr>
        <w:t xml:space="preserve">                                               第</w:t>
      </w:r>
      <w:r>
        <w:rPr>
          <w:rFonts w:ascii="宋体" w:hAnsi="宋体" w:eastAsia="宋体" w:cs="宋体"/>
          <w:color w:val="auto"/>
          <w:spacing w:val="29"/>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0"/>
          <w:sz w:val="19"/>
          <w:szCs w:val="19"/>
          <w:highlight w:val="none"/>
        </w:rPr>
        <w:t xml:space="preserve"> </w:t>
      </w:r>
      <w:r>
        <w:rPr>
          <w:rFonts w:ascii="宋体" w:hAnsi="宋体" w:eastAsia="宋体" w:cs="宋体"/>
          <w:color w:val="auto"/>
          <w:spacing w:val="1"/>
          <w:sz w:val="19"/>
          <w:szCs w:val="19"/>
          <w:highlight w:val="none"/>
        </w:rPr>
        <w:t>页、共</w:t>
      </w:r>
      <w:r>
        <w:rPr>
          <w:rFonts w:ascii="宋体" w:hAnsi="宋体" w:eastAsia="宋体" w:cs="宋体"/>
          <w:color w:val="auto"/>
          <w:spacing w:val="28"/>
          <w:sz w:val="19"/>
          <w:szCs w:val="19"/>
          <w:highlight w:val="none"/>
        </w:rPr>
        <w:t xml:space="preserve"> </w:t>
      </w:r>
      <w:r>
        <w:rPr>
          <w:rFonts w:ascii="宋体" w:hAnsi="宋体" w:eastAsia="宋体" w:cs="宋体"/>
          <w:color w:val="auto"/>
          <w:spacing w:val="1"/>
          <w:sz w:val="19"/>
          <w:szCs w:val="19"/>
          <w:highlight w:val="none"/>
        </w:rPr>
        <w:t>1</w:t>
      </w:r>
      <w:r>
        <w:rPr>
          <w:rFonts w:ascii="宋体" w:hAnsi="宋体" w:eastAsia="宋体" w:cs="宋体"/>
          <w:color w:val="auto"/>
          <w:spacing w:val="20"/>
          <w:sz w:val="19"/>
          <w:szCs w:val="19"/>
          <w:highlight w:val="none"/>
        </w:rPr>
        <w:t xml:space="preserve"> </w:t>
      </w:r>
      <w:r>
        <w:rPr>
          <w:rFonts w:ascii="宋体" w:hAnsi="宋体" w:eastAsia="宋体" w:cs="宋体"/>
          <w:color w:val="auto"/>
          <w:spacing w:val="1"/>
          <w:sz w:val="19"/>
          <w:szCs w:val="19"/>
          <w:highlight w:val="none"/>
        </w:rPr>
        <w:t>页</w:t>
      </w:r>
    </w:p>
    <w:p>
      <w:pPr>
        <w:spacing w:line="99" w:lineRule="exact"/>
        <w:rPr>
          <w:color w:val="auto"/>
          <w:highlight w:val="none"/>
        </w:rPr>
      </w:pPr>
    </w:p>
    <w:tbl>
      <w:tblPr>
        <w:tblStyle w:val="9"/>
        <w:tblW w:w="88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7"/>
        <w:gridCol w:w="2401"/>
        <w:gridCol w:w="1596"/>
        <w:gridCol w:w="1148"/>
        <w:gridCol w:w="1362"/>
        <w:gridCol w:w="13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77" w:type="dxa"/>
            <w:tcBorders>
              <w:top w:val="single" w:color="000000" w:sz="6" w:space="0"/>
              <w:left w:val="single" w:color="000000" w:sz="6" w:space="0"/>
            </w:tcBorders>
            <w:vAlign w:val="top"/>
          </w:tcPr>
          <w:p>
            <w:pPr>
              <w:pStyle w:val="10"/>
              <w:spacing w:before="164" w:line="230" w:lineRule="auto"/>
              <w:ind w:left="284"/>
              <w:rPr>
                <w:color w:val="auto"/>
                <w:sz w:val="19"/>
                <w:szCs w:val="19"/>
                <w:highlight w:val="none"/>
              </w:rPr>
            </w:pPr>
            <w:r>
              <w:rPr>
                <w:color w:val="auto"/>
                <w:spacing w:val="5"/>
                <w:sz w:val="19"/>
                <w:szCs w:val="19"/>
                <w:highlight w:val="none"/>
              </w:rPr>
              <w:t>序号</w:t>
            </w:r>
          </w:p>
        </w:tc>
        <w:tc>
          <w:tcPr>
            <w:tcW w:w="2401" w:type="dxa"/>
            <w:tcBorders>
              <w:top w:val="single" w:color="000000" w:sz="6" w:space="0"/>
            </w:tcBorders>
            <w:vAlign w:val="top"/>
          </w:tcPr>
          <w:p>
            <w:pPr>
              <w:pStyle w:val="10"/>
              <w:spacing w:before="164" w:line="228" w:lineRule="auto"/>
              <w:ind w:left="803"/>
              <w:rPr>
                <w:color w:val="auto"/>
                <w:sz w:val="19"/>
                <w:szCs w:val="19"/>
                <w:highlight w:val="none"/>
              </w:rPr>
            </w:pPr>
            <w:r>
              <w:rPr>
                <w:color w:val="auto"/>
                <w:spacing w:val="7"/>
                <w:sz w:val="19"/>
                <w:szCs w:val="19"/>
                <w:highlight w:val="none"/>
              </w:rPr>
              <w:t>材料名称</w:t>
            </w:r>
          </w:p>
        </w:tc>
        <w:tc>
          <w:tcPr>
            <w:tcW w:w="1596" w:type="dxa"/>
            <w:tcBorders>
              <w:top w:val="single" w:color="000000" w:sz="6" w:space="0"/>
            </w:tcBorders>
            <w:vAlign w:val="top"/>
          </w:tcPr>
          <w:p>
            <w:pPr>
              <w:pStyle w:val="10"/>
              <w:spacing w:before="165" w:line="228" w:lineRule="auto"/>
              <w:ind w:left="408"/>
              <w:rPr>
                <w:color w:val="auto"/>
                <w:sz w:val="19"/>
                <w:szCs w:val="19"/>
                <w:highlight w:val="none"/>
              </w:rPr>
            </w:pPr>
            <w:r>
              <w:rPr>
                <w:color w:val="auto"/>
                <w:spacing w:val="5"/>
                <w:sz w:val="19"/>
                <w:szCs w:val="19"/>
                <w:highlight w:val="none"/>
              </w:rPr>
              <w:t>型号规格</w:t>
            </w:r>
          </w:p>
        </w:tc>
        <w:tc>
          <w:tcPr>
            <w:tcW w:w="1148" w:type="dxa"/>
            <w:tcBorders>
              <w:top w:val="single" w:color="000000" w:sz="6" w:space="0"/>
            </w:tcBorders>
            <w:vAlign w:val="top"/>
          </w:tcPr>
          <w:p>
            <w:pPr>
              <w:pStyle w:val="10"/>
              <w:spacing w:before="165" w:line="229" w:lineRule="auto"/>
              <w:ind w:left="182"/>
              <w:rPr>
                <w:color w:val="auto"/>
                <w:sz w:val="19"/>
                <w:szCs w:val="19"/>
                <w:highlight w:val="none"/>
              </w:rPr>
            </w:pPr>
            <w:r>
              <w:rPr>
                <w:color w:val="auto"/>
                <w:spacing w:val="7"/>
                <w:sz w:val="19"/>
                <w:szCs w:val="19"/>
                <w:highlight w:val="none"/>
              </w:rPr>
              <w:t>计量单位</w:t>
            </w:r>
          </w:p>
        </w:tc>
        <w:tc>
          <w:tcPr>
            <w:tcW w:w="1362" w:type="dxa"/>
            <w:tcBorders>
              <w:top w:val="single" w:color="000000" w:sz="6" w:space="0"/>
            </w:tcBorders>
            <w:vAlign w:val="top"/>
          </w:tcPr>
          <w:p>
            <w:pPr>
              <w:pStyle w:val="10"/>
              <w:spacing w:before="35" w:line="259" w:lineRule="exact"/>
              <w:ind w:left="391"/>
              <w:rPr>
                <w:color w:val="auto"/>
                <w:sz w:val="19"/>
                <w:szCs w:val="19"/>
                <w:highlight w:val="none"/>
              </w:rPr>
            </w:pPr>
            <w:r>
              <w:rPr>
                <w:color w:val="auto"/>
                <w:spacing w:val="6"/>
                <w:position w:val="4"/>
                <w:sz w:val="19"/>
                <w:szCs w:val="19"/>
                <w:highlight w:val="none"/>
              </w:rPr>
              <w:t>预算价</w:t>
            </w:r>
          </w:p>
          <w:p>
            <w:pPr>
              <w:pStyle w:val="10"/>
              <w:spacing w:line="216" w:lineRule="auto"/>
              <w:ind w:left="400"/>
              <w:rPr>
                <w:color w:val="auto"/>
                <w:sz w:val="19"/>
                <w:szCs w:val="19"/>
                <w:highlight w:val="none"/>
              </w:rPr>
            </w:pPr>
            <w:r>
              <w:rPr>
                <w:color w:val="auto"/>
                <w:spacing w:val="-2"/>
                <w:sz w:val="19"/>
                <w:szCs w:val="19"/>
                <w:highlight w:val="none"/>
              </w:rPr>
              <w:t>（元）</w:t>
            </w:r>
          </w:p>
        </w:tc>
        <w:tc>
          <w:tcPr>
            <w:tcW w:w="1392" w:type="dxa"/>
            <w:tcBorders>
              <w:top w:val="single" w:color="000000" w:sz="6" w:space="0"/>
              <w:right w:val="single" w:color="000000" w:sz="6" w:space="0"/>
            </w:tcBorders>
            <w:vAlign w:val="top"/>
          </w:tcPr>
          <w:p>
            <w:pPr>
              <w:pStyle w:val="10"/>
              <w:spacing w:before="164" w:line="230" w:lineRule="auto"/>
              <w:ind w:left="504"/>
              <w:rPr>
                <w:color w:val="auto"/>
                <w:sz w:val="19"/>
                <w:szCs w:val="19"/>
                <w:highlight w:val="none"/>
              </w:rPr>
            </w:pPr>
            <w:r>
              <w:rPr>
                <w:color w:val="auto"/>
                <w:spacing w:val="4"/>
                <w:sz w:val="19"/>
                <w:szCs w:val="19"/>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pStyle w:val="10"/>
              <w:spacing w:before="87" w:line="188" w:lineRule="auto"/>
              <w:ind w:left="451"/>
              <w:rPr>
                <w:color w:val="auto"/>
                <w:sz w:val="19"/>
                <w:szCs w:val="19"/>
                <w:highlight w:val="none"/>
              </w:rPr>
            </w:pPr>
            <w:r>
              <w:rPr>
                <w:color w:val="auto"/>
                <w:sz w:val="19"/>
                <w:szCs w:val="19"/>
                <w:highlight w:val="none"/>
              </w:rPr>
              <w:t>1</w:t>
            </w: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vAlign w:val="top"/>
          </w:tcPr>
          <w:p>
            <w:pPr>
              <w:rPr>
                <w:rFonts w:ascii="Arial"/>
                <w:color w:val="auto"/>
                <w:sz w:val="21"/>
                <w:highlight w:val="none"/>
              </w:rPr>
            </w:pPr>
          </w:p>
        </w:tc>
        <w:tc>
          <w:tcPr>
            <w:tcW w:w="2401" w:type="dxa"/>
            <w:vAlign w:val="top"/>
          </w:tcPr>
          <w:p>
            <w:pPr>
              <w:rPr>
                <w:rFonts w:ascii="Arial"/>
                <w:color w:val="auto"/>
                <w:sz w:val="21"/>
                <w:highlight w:val="none"/>
              </w:rPr>
            </w:pPr>
          </w:p>
        </w:tc>
        <w:tc>
          <w:tcPr>
            <w:tcW w:w="1596" w:type="dxa"/>
            <w:vAlign w:val="top"/>
          </w:tcPr>
          <w:p>
            <w:pPr>
              <w:rPr>
                <w:rFonts w:ascii="Arial"/>
                <w:color w:val="auto"/>
                <w:sz w:val="21"/>
                <w:highlight w:val="none"/>
              </w:rPr>
            </w:pPr>
          </w:p>
        </w:tc>
        <w:tc>
          <w:tcPr>
            <w:tcW w:w="1148" w:type="dxa"/>
            <w:vAlign w:val="top"/>
          </w:tcPr>
          <w:p>
            <w:pPr>
              <w:rPr>
                <w:rFonts w:ascii="Arial"/>
                <w:color w:val="auto"/>
                <w:sz w:val="21"/>
                <w:highlight w:val="none"/>
              </w:rPr>
            </w:pPr>
          </w:p>
        </w:tc>
        <w:tc>
          <w:tcPr>
            <w:tcW w:w="1362" w:type="dxa"/>
            <w:vAlign w:val="top"/>
          </w:tcPr>
          <w:p>
            <w:pPr>
              <w:rPr>
                <w:rFonts w:ascii="Arial"/>
                <w:color w:val="auto"/>
                <w:sz w:val="21"/>
                <w:highlight w:val="none"/>
              </w:rPr>
            </w:pPr>
          </w:p>
        </w:tc>
        <w:tc>
          <w:tcPr>
            <w:tcW w:w="1392"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77" w:type="dxa"/>
            <w:tcBorders>
              <w:left w:val="single" w:color="000000" w:sz="6" w:space="0"/>
              <w:bottom w:val="single" w:color="000000" w:sz="6" w:space="0"/>
            </w:tcBorders>
            <w:vAlign w:val="top"/>
          </w:tcPr>
          <w:p>
            <w:pPr>
              <w:rPr>
                <w:rFonts w:ascii="Arial"/>
                <w:color w:val="auto"/>
                <w:sz w:val="21"/>
                <w:highlight w:val="none"/>
              </w:rPr>
            </w:pPr>
          </w:p>
        </w:tc>
        <w:tc>
          <w:tcPr>
            <w:tcW w:w="2401" w:type="dxa"/>
            <w:tcBorders>
              <w:bottom w:val="single" w:color="000000" w:sz="6" w:space="0"/>
            </w:tcBorders>
            <w:vAlign w:val="top"/>
          </w:tcPr>
          <w:p>
            <w:pPr>
              <w:rPr>
                <w:rFonts w:ascii="Arial"/>
                <w:color w:val="auto"/>
                <w:sz w:val="21"/>
                <w:highlight w:val="none"/>
              </w:rPr>
            </w:pPr>
          </w:p>
        </w:tc>
        <w:tc>
          <w:tcPr>
            <w:tcW w:w="1596" w:type="dxa"/>
            <w:tcBorders>
              <w:bottom w:val="single" w:color="000000" w:sz="6" w:space="0"/>
            </w:tcBorders>
            <w:vAlign w:val="top"/>
          </w:tcPr>
          <w:p>
            <w:pPr>
              <w:rPr>
                <w:rFonts w:ascii="Arial"/>
                <w:color w:val="auto"/>
                <w:sz w:val="21"/>
                <w:highlight w:val="none"/>
              </w:rPr>
            </w:pPr>
          </w:p>
        </w:tc>
        <w:tc>
          <w:tcPr>
            <w:tcW w:w="1148" w:type="dxa"/>
            <w:tcBorders>
              <w:bottom w:val="single" w:color="000000" w:sz="6" w:space="0"/>
            </w:tcBorders>
            <w:vAlign w:val="top"/>
          </w:tcPr>
          <w:p>
            <w:pPr>
              <w:rPr>
                <w:rFonts w:ascii="Arial"/>
                <w:color w:val="auto"/>
                <w:sz w:val="21"/>
                <w:highlight w:val="none"/>
              </w:rPr>
            </w:pPr>
          </w:p>
        </w:tc>
        <w:tc>
          <w:tcPr>
            <w:tcW w:w="1362" w:type="dxa"/>
            <w:tcBorders>
              <w:bottom w:val="single" w:color="000000" w:sz="6" w:space="0"/>
            </w:tcBorders>
            <w:vAlign w:val="top"/>
          </w:tcPr>
          <w:p>
            <w:pPr>
              <w:rPr>
                <w:rFonts w:ascii="Arial"/>
                <w:color w:val="auto"/>
                <w:sz w:val="21"/>
                <w:highlight w:val="none"/>
              </w:rPr>
            </w:pPr>
          </w:p>
        </w:tc>
        <w:tc>
          <w:tcPr>
            <w:tcW w:w="1392" w:type="dxa"/>
            <w:tcBorders>
              <w:bottom w:val="single" w:color="000000" w:sz="6" w:space="0"/>
              <w:right w:val="single" w:color="000000" w:sz="6" w:space="0"/>
            </w:tcBorders>
            <w:vAlign w:val="top"/>
          </w:tcPr>
          <w:p>
            <w:pPr>
              <w:rPr>
                <w:rFonts w:ascii="Arial"/>
                <w:color w:val="auto"/>
                <w:sz w:val="21"/>
                <w:highlight w:val="none"/>
              </w:rPr>
            </w:pPr>
          </w:p>
        </w:tc>
      </w:tr>
    </w:tbl>
    <w:p>
      <w:pPr>
        <w:spacing w:before="59" w:line="220" w:lineRule="auto"/>
        <w:ind w:left="6306"/>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81" w:line="220" w:lineRule="auto"/>
        <w:ind w:left="6036"/>
        <w:rPr>
          <w:rFonts w:ascii="宋体" w:hAnsi="宋体" w:eastAsia="宋体" w:cs="宋体"/>
          <w:color w:val="auto"/>
          <w:sz w:val="18"/>
          <w:szCs w:val="18"/>
          <w:highlight w:val="none"/>
        </w:rPr>
      </w:pPr>
      <w:r>
        <w:rPr>
          <w:rFonts w:ascii="宋体" w:hAnsi="宋体" w:eastAsia="宋体" w:cs="宋体"/>
          <w:color w:val="auto"/>
          <w:spacing w:val="-17"/>
          <w:sz w:val="18"/>
          <w:szCs w:val="18"/>
          <w:highlight w:val="none"/>
        </w:rPr>
        <w:t>（或委托代理人</w:t>
      </w:r>
      <w:r>
        <w:rPr>
          <w:rFonts w:ascii="宋体" w:hAnsi="宋体" w:eastAsia="宋体" w:cs="宋体"/>
          <w:color w:val="auto"/>
          <w:spacing w:val="-11"/>
          <w:sz w:val="18"/>
          <w:szCs w:val="18"/>
          <w:highlight w:val="none"/>
        </w:rPr>
        <w:t>）：</w:t>
      </w:r>
      <w:r>
        <w:rPr>
          <w:rFonts w:ascii="宋体" w:hAnsi="宋体" w:eastAsia="宋体" w:cs="宋体"/>
          <w:color w:val="auto"/>
          <w:spacing w:val="42"/>
          <w:sz w:val="18"/>
          <w:szCs w:val="18"/>
          <w:highlight w:val="none"/>
        </w:rPr>
        <w:t xml:space="preserve"> </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40"/>
          <w:sz w:val="18"/>
          <w:szCs w:val="18"/>
          <w:highlight w:val="none"/>
        </w:rPr>
        <w:t xml:space="preserve"> </w:t>
      </w:r>
      <w:r>
        <w:rPr>
          <w:rFonts w:ascii="宋体" w:hAnsi="宋体" w:eastAsia="宋体" w:cs="宋体"/>
          <w:color w:val="auto"/>
          <w:spacing w:val="-11"/>
          <w:sz w:val="18"/>
          <w:szCs w:val="18"/>
          <w:highlight w:val="none"/>
        </w:rPr>
        <w:t>（</w:t>
      </w:r>
      <w:r>
        <w:rPr>
          <w:rFonts w:ascii="宋体" w:hAnsi="宋体" w:eastAsia="宋体" w:cs="宋体"/>
          <w:color w:val="auto"/>
          <w:spacing w:val="-17"/>
          <w:sz w:val="18"/>
          <w:szCs w:val="18"/>
          <w:highlight w:val="none"/>
        </w:rPr>
        <w:t>签字）</w:t>
      </w:r>
    </w:p>
    <w:p>
      <w:pPr>
        <w:spacing w:line="220" w:lineRule="auto"/>
        <w:rPr>
          <w:rFonts w:ascii="宋体" w:hAnsi="宋体" w:eastAsia="宋体" w:cs="宋体"/>
          <w:color w:val="auto"/>
          <w:sz w:val="18"/>
          <w:szCs w:val="18"/>
          <w:highlight w:val="none"/>
        </w:rPr>
        <w:sectPr>
          <w:footerReference r:id="rId95" w:type="default"/>
          <w:pgSz w:w="11907" w:h="16841"/>
          <w:pgMar w:top="1763" w:right="1550" w:bottom="1004" w:left="1464" w:header="0" w:footer="829" w:gutter="0"/>
          <w:pgNumType w:fmt="numberInDash"/>
          <w:cols w:space="720" w:num="1"/>
        </w:sectPr>
      </w:pPr>
    </w:p>
    <w:p>
      <w:pPr>
        <w:spacing w:before="1"/>
        <w:rPr>
          <w:color w:val="auto"/>
          <w:highlight w:val="none"/>
        </w:rPr>
      </w:pPr>
    </w:p>
    <w:p>
      <w:pPr>
        <w:spacing w:before="1"/>
        <w:rPr>
          <w:color w:val="auto"/>
          <w:highlight w:val="none"/>
        </w:rPr>
      </w:pPr>
    </w:p>
    <w:p>
      <w:pPr>
        <w:spacing w:before="1"/>
        <w:rPr>
          <w:color w:val="auto"/>
          <w:highlight w:val="none"/>
        </w:rPr>
      </w:pPr>
    </w:p>
    <w:p>
      <w:pPr>
        <w:spacing w:before="1"/>
        <w:rPr>
          <w:color w:val="auto"/>
          <w:highlight w:val="none"/>
        </w:rPr>
      </w:pPr>
    </w:p>
    <w:p>
      <w:pPr>
        <w:rPr>
          <w:color w:val="auto"/>
          <w:highlight w:val="none"/>
        </w:rPr>
      </w:pPr>
    </w:p>
    <w:p>
      <w:pPr>
        <w:rPr>
          <w:color w:val="auto"/>
          <w:highlight w:val="none"/>
        </w:rPr>
      </w:pPr>
    </w:p>
    <w:p>
      <w:pPr>
        <w:rPr>
          <w:color w:val="auto"/>
          <w:highlight w:val="none"/>
        </w:rPr>
        <w:sectPr>
          <w:footerReference r:id="rId96" w:type="default"/>
          <w:pgSz w:w="16841" w:h="11907"/>
          <w:pgMar w:top="400" w:right="1773" w:bottom="1002" w:left="1579" w:header="0" w:footer="828" w:gutter="0"/>
          <w:pgNumType w:fmt="numberInDash"/>
          <w:cols w:equalWidth="0" w:num="1">
            <w:col w:w="13488"/>
          </w:cols>
        </w:sectPr>
      </w:pPr>
    </w:p>
    <w:p>
      <w:pPr>
        <w:spacing w:before="47"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3.19 </w:t>
      </w:r>
      <w:r>
        <w:rPr>
          <w:rFonts w:ascii="黑体" w:hAnsi="黑体" w:eastAsia="黑体" w:cs="黑体"/>
          <w:color w:val="auto"/>
          <w:spacing w:val="-1"/>
          <w:sz w:val="24"/>
          <w:szCs w:val="24"/>
          <w:highlight w:val="none"/>
        </w:rPr>
        <w:t>招标人供应材料价格汇总表</w:t>
      </w:r>
    </w:p>
    <w:p>
      <w:pPr>
        <w:pStyle w:val="2"/>
        <w:spacing w:line="290" w:lineRule="auto"/>
        <w:rPr>
          <w:color w:val="auto"/>
          <w:highlight w:val="none"/>
        </w:rPr>
      </w:pPr>
    </w:p>
    <w:p>
      <w:pPr>
        <w:spacing w:before="130" w:line="219" w:lineRule="auto"/>
        <w:ind w:left="3144"/>
        <w:rPr>
          <w:rFonts w:ascii="宋体" w:hAnsi="宋体" w:eastAsia="宋体" w:cs="宋体"/>
          <w:color w:val="auto"/>
          <w:sz w:val="40"/>
          <w:szCs w:val="40"/>
          <w:highlight w:val="none"/>
        </w:rPr>
      </w:pPr>
      <w:bookmarkStart w:id="369" w:name="bookmark409"/>
      <w:bookmarkEnd w:id="369"/>
      <w:r>
        <w:rPr>
          <w:rFonts w:ascii="宋体" w:hAnsi="宋体" w:eastAsia="宋体" w:cs="宋体"/>
          <w:color w:val="auto"/>
          <w:sz w:val="40"/>
          <w:szCs w:val="40"/>
          <w:highlight w:val="none"/>
          <w14:textOutline w14:w="7271" w14:cap="flat" w14:cmpd="sng">
            <w14:solidFill>
              <w14:srgbClr w14:val="000000"/>
            </w14:solidFill>
            <w14:prstDash w14:val="solid"/>
            <w14:miter w14:val="0"/>
          </w14:textOutline>
        </w:rPr>
        <w:t>招标人提供施工机械台时（班）费汇总表</w:t>
      </w:r>
    </w:p>
    <w:p>
      <w:pPr>
        <w:pStyle w:val="2"/>
        <w:spacing w:line="249" w:lineRule="auto"/>
        <w:rPr>
          <w:color w:val="auto"/>
          <w:highlight w:val="none"/>
        </w:rPr>
      </w:pPr>
    </w:p>
    <w:p>
      <w:pPr>
        <w:pStyle w:val="2"/>
        <w:spacing w:line="249" w:lineRule="auto"/>
        <w:rPr>
          <w:color w:val="auto"/>
          <w:highlight w:val="none"/>
        </w:rPr>
      </w:pPr>
    </w:p>
    <w:p>
      <w:pPr>
        <w:spacing w:before="59" w:line="405" w:lineRule="exact"/>
        <w:ind w:left="125"/>
        <w:rPr>
          <w:rFonts w:ascii="宋体" w:hAnsi="宋体" w:eastAsia="宋体" w:cs="宋体"/>
          <w:color w:val="auto"/>
          <w:sz w:val="18"/>
          <w:szCs w:val="18"/>
          <w:highlight w:val="none"/>
        </w:rPr>
      </w:pPr>
      <w:r>
        <w:rPr>
          <w:rFonts w:ascii="宋体" w:hAnsi="宋体" w:eastAsia="宋体" w:cs="宋体"/>
          <w:color w:val="auto"/>
          <w:spacing w:val="-8"/>
          <w:position w:val="17"/>
          <w:sz w:val="18"/>
          <w:szCs w:val="18"/>
          <w:highlight w:val="none"/>
        </w:rPr>
        <w:t>合同编号：</w:t>
      </w:r>
    </w:p>
    <w:p>
      <w:pPr>
        <w:spacing w:before="1" w:line="220" w:lineRule="auto"/>
        <w:ind w:left="126"/>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工程名称：</w:t>
      </w:r>
    </w:p>
    <w:p>
      <w:pPr>
        <w:pStyle w:val="2"/>
        <w:spacing w:line="14" w:lineRule="auto"/>
        <w:rPr>
          <w:color w:val="auto"/>
          <w:sz w:val="2"/>
          <w:highlight w:val="none"/>
        </w:rPr>
      </w:pPr>
      <w:r>
        <w:rPr>
          <w:color w:val="auto"/>
          <w:sz w:val="2"/>
          <w:szCs w:val="2"/>
          <w:highlight w:val="none"/>
        </w:rPr>
        <w:br w:type="column"/>
      </w: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5" w:lineRule="auto"/>
        <w:rPr>
          <w:color w:val="auto"/>
          <w:highlight w:val="none"/>
        </w:rPr>
      </w:pPr>
    </w:p>
    <w:p>
      <w:pPr>
        <w:pStyle w:val="2"/>
        <w:spacing w:line="266" w:lineRule="auto"/>
        <w:rPr>
          <w:color w:val="auto"/>
          <w:highlight w:val="none"/>
        </w:rPr>
      </w:pPr>
    </w:p>
    <w:p>
      <w:pPr>
        <w:spacing w:before="59" w:line="220" w:lineRule="auto"/>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7"/>
          <w:sz w:val="18"/>
          <w:szCs w:val="18"/>
          <w:highlight w:val="none"/>
        </w:rPr>
        <w:t xml:space="preserve">  </w:t>
      </w:r>
      <w:r>
        <w:rPr>
          <w:rFonts w:ascii="宋体" w:hAnsi="宋体" w:eastAsia="宋体" w:cs="宋体"/>
          <w:color w:val="auto"/>
          <w:spacing w:val="-9"/>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9"/>
          <w:sz w:val="18"/>
          <w:szCs w:val="18"/>
          <w:highlight w:val="none"/>
        </w:rPr>
        <w:t>页</w:t>
      </w:r>
    </w:p>
    <w:p>
      <w:pPr>
        <w:spacing w:before="191" w:line="185" w:lineRule="auto"/>
        <w:ind w:left="90"/>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单位：元/台时（班）</w:t>
      </w:r>
    </w:p>
    <w:p>
      <w:pPr>
        <w:spacing w:line="185" w:lineRule="auto"/>
        <w:rPr>
          <w:rFonts w:ascii="宋体" w:hAnsi="宋体" w:eastAsia="宋体" w:cs="宋体"/>
          <w:color w:val="auto"/>
          <w:sz w:val="18"/>
          <w:szCs w:val="18"/>
          <w:highlight w:val="none"/>
        </w:rPr>
        <w:sectPr>
          <w:type w:val="continuous"/>
          <w:pgSz w:w="16841" w:h="11907"/>
          <w:pgMar w:top="400" w:right="1773" w:bottom="1002" w:left="1579" w:header="0" w:footer="828" w:gutter="0"/>
          <w:pgNumType w:fmt="numberInDash"/>
          <w:cols w:equalWidth="0" w:num="2">
            <w:col w:w="11477" w:space="100"/>
            <w:col w:w="1911"/>
          </w:cols>
        </w:sectPr>
      </w:pPr>
    </w:p>
    <w:p>
      <w:pPr>
        <w:spacing w:line="56" w:lineRule="exact"/>
        <w:rPr>
          <w:color w:val="auto"/>
          <w:highlight w:val="none"/>
        </w:rPr>
      </w:pPr>
    </w:p>
    <w:tbl>
      <w:tblPr>
        <w:tblStyle w:val="9"/>
        <w:tblW w:w="1347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746"/>
        <w:gridCol w:w="748"/>
        <w:gridCol w:w="1494"/>
        <w:gridCol w:w="748"/>
        <w:gridCol w:w="748"/>
        <w:gridCol w:w="746"/>
        <w:gridCol w:w="748"/>
        <w:gridCol w:w="748"/>
        <w:gridCol w:w="746"/>
        <w:gridCol w:w="748"/>
        <w:gridCol w:w="1496"/>
        <w:gridCol w:w="746"/>
        <w:gridCol w:w="748"/>
        <w:gridCol w:w="748"/>
        <w:gridCol w:w="7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57" w:type="dxa"/>
            <w:vMerge w:val="restart"/>
            <w:tcBorders>
              <w:top w:val="single" w:color="000000" w:sz="6" w:space="0"/>
              <w:left w:val="single" w:color="000000" w:sz="6" w:space="0"/>
              <w:bottom w:val="nil"/>
            </w:tcBorders>
            <w:vAlign w:val="top"/>
          </w:tcPr>
          <w:p>
            <w:pPr>
              <w:spacing w:line="243" w:lineRule="auto"/>
              <w:rPr>
                <w:rFonts w:ascii="Arial"/>
                <w:color w:val="auto"/>
                <w:sz w:val="21"/>
                <w:highlight w:val="none"/>
              </w:rPr>
            </w:pPr>
          </w:p>
          <w:p>
            <w:pPr>
              <w:pStyle w:val="10"/>
              <w:spacing w:before="58" w:line="221" w:lineRule="auto"/>
              <w:ind w:left="195"/>
              <w:rPr>
                <w:color w:val="auto"/>
                <w:sz w:val="18"/>
                <w:szCs w:val="18"/>
                <w:highlight w:val="none"/>
              </w:rPr>
            </w:pPr>
            <w:r>
              <w:rPr>
                <w:color w:val="auto"/>
                <w:spacing w:val="-2"/>
                <w:sz w:val="18"/>
                <w:szCs w:val="18"/>
                <w:highlight w:val="none"/>
              </w:rPr>
              <w:t>序号</w:t>
            </w:r>
          </w:p>
        </w:tc>
        <w:tc>
          <w:tcPr>
            <w:tcW w:w="746" w:type="dxa"/>
            <w:vMerge w:val="restart"/>
            <w:tcBorders>
              <w:top w:val="single" w:color="000000" w:sz="6" w:space="0"/>
              <w:bottom w:val="nil"/>
            </w:tcBorders>
            <w:vAlign w:val="top"/>
          </w:tcPr>
          <w:p>
            <w:pPr>
              <w:pStyle w:val="10"/>
              <w:spacing w:before="185" w:line="239" w:lineRule="auto"/>
              <w:ind w:left="189"/>
              <w:rPr>
                <w:color w:val="auto"/>
                <w:sz w:val="18"/>
                <w:szCs w:val="18"/>
                <w:highlight w:val="none"/>
              </w:rPr>
            </w:pPr>
            <w:r>
              <w:rPr>
                <w:color w:val="auto"/>
                <w:spacing w:val="-2"/>
                <w:sz w:val="18"/>
                <w:szCs w:val="18"/>
                <w:highlight w:val="none"/>
              </w:rPr>
              <w:t>机械</w:t>
            </w:r>
          </w:p>
          <w:p>
            <w:pPr>
              <w:pStyle w:val="10"/>
              <w:spacing w:line="221" w:lineRule="auto"/>
              <w:ind w:left="192"/>
              <w:rPr>
                <w:color w:val="auto"/>
                <w:sz w:val="18"/>
                <w:szCs w:val="18"/>
                <w:highlight w:val="none"/>
              </w:rPr>
            </w:pPr>
            <w:r>
              <w:rPr>
                <w:color w:val="auto"/>
                <w:spacing w:val="-3"/>
                <w:sz w:val="18"/>
                <w:szCs w:val="18"/>
                <w:highlight w:val="none"/>
              </w:rPr>
              <w:t>名称</w:t>
            </w:r>
          </w:p>
        </w:tc>
        <w:tc>
          <w:tcPr>
            <w:tcW w:w="748" w:type="dxa"/>
            <w:vMerge w:val="restart"/>
            <w:tcBorders>
              <w:top w:val="single" w:color="000000" w:sz="6" w:space="0"/>
              <w:bottom w:val="nil"/>
            </w:tcBorders>
            <w:vAlign w:val="top"/>
          </w:tcPr>
          <w:p>
            <w:pPr>
              <w:pStyle w:val="10"/>
              <w:spacing w:before="185" w:line="239" w:lineRule="auto"/>
              <w:ind w:left="198"/>
              <w:rPr>
                <w:color w:val="auto"/>
                <w:sz w:val="18"/>
                <w:szCs w:val="18"/>
                <w:highlight w:val="none"/>
              </w:rPr>
            </w:pPr>
            <w:r>
              <w:rPr>
                <w:color w:val="auto"/>
                <w:spacing w:val="-4"/>
                <w:sz w:val="18"/>
                <w:szCs w:val="18"/>
                <w:highlight w:val="none"/>
              </w:rPr>
              <w:t>型号</w:t>
            </w:r>
          </w:p>
          <w:p>
            <w:pPr>
              <w:pStyle w:val="10"/>
              <w:spacing w:line="219" w:lineRule="auto"/>
              <w:ind w:left="193"/>
              <w:rPr>
                <w:color w:val="auto"/>
                <w:sz w:val="18"/>
                <w:szCs w:val="18"/>
                <w:highlight w:val="none"/>
              </w:rPr>
            </w:pPr>
            <w:r>
              <w:rPr>
                <w:color w:val="auto"/>
                <w:spacing w:val="-2"/>
                <w:sz w:val="18"/>
                <w:szCs w:val="18"/>
                <w:highlight w:val="none"/>
              </w:rPr>
              <w:t>规格</w:t>
            </w:r>
          </w:p>
        </w:tc>
        <w:tc>
          <w:tcPr>
            <w:tcW w:w="3736" w:type="dxa"/>
            <w:gridSpan w:val="4"/>
            <w:tcBorders>
              <w:top w:val="single" w:color="000000" w:sz="6" w:space="0"/>
            </w:tcBorders>
            <w:vAlign w:val="top"/>
          </w:tcPr>
          <w:p>
            <w:pPr>
              <w:pStyle w:val="10"/>
              <w:spacing w:before="57" w:line="220" w:lineRule="auto"/>
              <w:ind w:left="1512"/>
              <w:rPr>
                <w:color w:val="auto"/>
                <w:sz w:val="18"/>
                <w:szCs w:val="18"/>
                <w:highlight w:val="none"/>
              </w:rPr>
            </w:pPr>
            <w:r>
              <w:rPr>
                <w:color w:val="auto"/>
                <w:spacing w:val="-3"/>
                <w:sz w:val="18"/>
                <w:szCs w:val="18"/>
                <w:highlight w:val="none"/>
              </w:rPr>
              <w:t>一类费用</w:t>
            </w:r>
          </w:p>
        </w:tc>
        <w:tc>
          <w:tcPr>
            <w:tcW w:w="6728" w:type="dxa"/>
            <w:gridSpan w:val="8"/>
            <w:tcBorders>
              <w:top w:val="single" w:color="000000" w:sz="6" w:space="0"/>
            </w:tcBorders>
            <w:vAlign w:val="top"/>
          </w:tcPr>
          <w:p>
            <w:pPr>
              <w:pStyle w:val="10"/>
              <w:spacing w:before="57" w:line="220" w:lineRule="auto"/>
              <w:ind w:left="3011"/>
              <w:rPr>
                <w:color w:val="auto"/>
                <w:sz w:val="18"/>
                <w:szCs w:val="18"/>
                <w:highlight w:val="none"/>
              </w:rPr>
            </w:pPr>
            <w:r>
              <w:rPr>
                <w:color w:val="auto"/>
                <w:spacing w:val="-2"/>
                <w:sz w:val="18"/>
                <w:szCs w:val="18"/>
                <w:highlight w:val="none"/>
              </w:rPr>
              <w:t>二类费用</w:t>
            </w:r>
          </w:p>
        </w:tc>
        <w:tc>
          <w:tcPr>
            <w:tcW w:w="757" w:type="dxa"/>
            <w:vMerge w:val="restart"/>
            <w:tcBorders>
              <w:top w:val="single" w:color="000000" w:sz="6" w:space="0"/>
              <w:bottom w:val="nil"/>
              <w:right w:val="single" w:color="000000" w:sz="6" w:space="0"/>
            </w:tcBorders>
            <w:vAlign w:val="top"/>
          </w:tcPr>
          <w:p>
            <w:pPr>
              <w:spacing w:line="243" w:lineRule="auto"/>
              <w:rPr>
                <w:rFonts w:ascii="Arial"/>
                <w:color w:val="auto"/>
                <w:sz w:val="21"/>
                <w:highlight w:val="none"/>
              </w:rPr>
            </w:pPr>
          </w:p>
          <w:p>
            <w:pPr>
              <w:pStyle w:val="10"/>
              <w:spacing w:before="58" w:line="221" w:lineRule="auto"/>
              <w:ind w:left="203"/>
              <w:rPr>
                <w:color w:val="auto"/>
                <w:sz w:val="18"/>
                <w:szCs w:val="18"/>
                <w:highlight w:val="none"/>
              </w:rPr>
            </w:pPr>
            <w:r>
              <w:rPr>
                <w:color w:val="auto"/>
                <w:spacing w:val="-2"/>
                <w:sz w:val="18"/>
                <w:szCs w:val="18"/>
                <w:highlight w:val="none"/>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57" w:type="dxa"/>
            <w:vMerge w:val="continue"/>
            <w:tcBorders>
              <w:top w:val="nil"/>
              <w:left w:val="single" w:color="000000" w:sz="6" w:space="0"/>
            </w:tcBorders>
            <w:vAlign w:val="top"/>
          </w:tcPr>
          <w:p>
            <w:pPr>
              <w:rPr>
                <w:rFonts w:ascii="Arial"/>
                <w:color w:val="auto"/>
                <w:sz w:val="21"/>
                <w:highlight w:val="none"/>
              </w:rPr>
            </w:pPr>
          </w:p>
        </w:tc>
        <w:tc>
          <w:tcPr>
            <w:tcW w:w="746" w:type="dxa"/>
            <w:vMerge w:val="continue"/>
            <w:tcBorders>
              <w:top w:val="nil"/>
            </w:tcBorders>
            <w:vAlign w:val="top"/>
          </w:tcPr>
          <w:p>
            <w:pPr>
              <w:rPr>
                <w:rFonts w:ascii="Arial"/>
                <w:color w:val="auto"/>
                <w:sz w:val="21"/>
                <w:highlight w:val="none"/>
              </w:rPr>
            </w:pPr>
          </w:p>
        </w:tc>
        <w:tc>
          <w:tcPr>
            <w:tcW w:w="748" w:type="dxa"/>
            <w:vMerge w:val="continue"/>
            <w:tcBorders>
              <w:top w:val="nil"/>
            </w:tcBorders>
            <w:vAlign w:val="top"/>
          </w:tcPr>
          <w:p>
            <w:pPr>
              <w:rPr>
                <w:rFonts w:ascii="Arial"/>
                <w:color w:val="auto"/>
                <w:sz w:val="21"/>
                <w:highlight w:val="none"/>
              </w:rPr>
            </w:pPr>
          </w:p>
        </w:tc>
        <w:tc>
          <w:tcPr>
            <w:tcW w:w="1494" w:type="dxa"/>
            <w:vAlign w:val="top"/>
          </w:tcPr>
          <w:p>
            <w:pPr>
              <w:pStyle w:val="10"/>
              <w:spacing w:before="153" w:line="220" w:lineRule="auto"/>
              <w:ind w:left="478"/>
              <w:rPr>
                <w:color w:val="auto"/>
                <w:sz w:val="18"/>
                <w:szCs w:val="18"/>
                <w:highlight w:val="none"/>
              </w:rPr>
            </w:pPr>
            <w:r>
              <w:rPr>
                <w:color w:val="auto"/>
                <w:spacing w:val="-2"/>
                <w:sz w:val="18"/>
                <w:szCs w:val="18"/>
                <w:highlight w:val="none"/>
              </w:rPr>
              <w:t>折旧费</w:t>
            </w:r>
          </w:p>
        </w:tc>
        <w:tc>
          <w:tcPr>
            <w:tcW w:w="748" w:type="dxa"/>
            <w:vAlign w:val="top"/>
          </w:tcPr>
          <w:p>
            <w:pPr>
              <w:pStyle w:val="10"/>
              <w:spacing w:before="37" w:line="220" w:lineRule="auto"/>
              <w:ind w:left="198"/>
              <w:rPr>
                <w:color w:val="auto"/>
                <w:sz w:val="18"/>
                <w:szCs w:val="18"/>
                <w:highlight w:val="none"/>
              </w:rPr>
            </w:pPr>
            <w:r>
              <w:rPr>
                <w:color w:val="auto"/>
                <w:spacing w:val="-3"/>
                <w:sz w:val="18"/>
                <w:szCs w:val="18"/>
                <w:highlight w:val="none"/>
              </w:rPr>
              <w:t>维修</w:t>
            </w:r>
          </w:p>
          <w:p>
            <w:pPr>
              <w:pStyle w:val="10"/>
              <w:spacing w:before="18" w:line="200" w:lineRule="auto"/>
              <w:ind w:left="294"/>
              <w:rPr>
                <w:color w:val="auto"/>
                <w:sz w:val="18"/>
                <w:szCs w:val="18"/>
                <w:highlight w:val="none"/>
              </w:rPr>
            </w:pPr>
            <w:r>
              <w:rPr>
                <w:color w:val="auto"/>
                <w:sz w:val="18"/>
                <w:szCs w:val="18"/>
                <w:highlight w:val="none"/>
              </w:rPr>
              <w:t>费</w:t>
            </w:r>
          </w:p>
        </w:tc>
        <w:tc>
          <w:tcPr>
            <w:tcW w:w="748" w:type="dxa"/>
            <w:vAlign w:val="top"/>
          </w:tcPr>
          <w:p>
            <w:pPr>
              <w:pStyle w:val="10"/>
              <w:spacing w:before="37" w:line="220" w:lineRule="auto"/>
              <w:ind w:left="200"/>
              <w:rPr>
                <w:color w:val="auto"/>
                <w:sz w:val="18"/>
                <w:szCs w:val="18"/>
                <w:highlight w:val="none"/>
              </w:rPr>
            </w:pPr>
            <w:r>
              <w:rPr>
                <w:color w:val="auto"/>
                <w:spacing w:val="-3"/>
                <w:sz w:val="18"/>
                <w:szCs w:val="18"/>
                <w:highlight w:val="none"/>
              </w:rPr>
              <w:t>安拆</w:t>
            </w:r>
          </w:p>
          <w:p>
            <w:pPr>
              <w:pStyle w:val="10"/>
              <w:spacing w:before="17" w:line="200" w:lineRule="auto"/>
              <w:ind w:left="295"/>
              <w:rPr>
                <w:color w:val="auto"/>
                <w:sz w:val="18"/>
                <w:szCs w:val="18"/>
                <w:highlight w:val="none"/>
              </w:rPr>
            </w:pPr>
            <w:r>
              <w:rPr>
                <w:color w:val="auto"/>
                <w:sz w:val="18"/>
                <w:szCs w:val="18"/>
                <w:highlight w:val="none"/>
              </w:rPr>
              <w:t>费</w:t>
            </w:r>
          </w:p>
        </w:tc>
        <w:tc>
          <w:tcPr>
            <w:tcW w:w="746" w:type="dxa"/>
            <w:vAlign w:val="top"/>
          </w:tcPr>
          <w:p>
            <w:pPr>
              <w:pStyle w:val="10"/>
              <w:spacing w:before="152" w:line="221" w:lineRule="auto"/>
              <w:ind w:left="199"/>
              <w:rPr>
                <w:color w:val="auto"/>
                <w:sz w:val="18"/>
                <w:szCs w:val="18"/>
                <w:highlight w:val="none"/>
              </w:rPr>
            </w:pPr>
            <w:r>
              <w:rPr>
                <w:color w:val="auto"/>
                <w:spacing w:val="-3"/>
                <w:sz w:val="18"/>
                <w:szCs w:val="18"/>
                <w:highlight w:val="none"/>
              </w:rPr>
              <w:t>小计</w:t>
            </w:r>
          </w:p>
        </w:tc>
        <w:tc>
          <w:tcPr>
            <w:tcW w:w="748" w:type="dxa"/>
            <w:vAlign w:val="top"/>
          </w:tcPr>
          <w:p>
            <w:pPr>
              <w:pStyle w:val="10"/>
              <w:spacing w:before="153" w:line="222" w:lineRule="auto"/>
              <w:ind w:left="199"/>
              <w:rPr>
                <w:color w:val="auto"/>
                <w:sz w:val="18"/>
                <w:szCs w:val="18"/>
                <w:highlight w:val="none"/>
              </w:rPr>
            </w:pPr>
            <w:r>
              <w:rPr>
                <w:color w:val="auto"/>
                <w:spacing w:val="-3"/>
                <w:sz w:val="18"/>
                <w:szCs w:val="18"/>
                <w:highlight w:val="none"/>
              </w:rPr>
              <w:t>人工</w:t>
            </w:r>
          </w:p>
        </w:tc>
        <w:tc>
          <w:tcPr>
            <w:tcW w:w="748" w:type="dxa"/>
            <w:vAlign w:val="top"/>
          </w:tcPr>
          <w:p>
            <w:pPr>
              <w:pStyle w:val="10"/>
              <w:spacing w:before="152" w:line="223" w:lineRule="auto"/>
              <w:ind w:left="198"/>
              <w:rPr>
                <w:color w:val="auto"/>
                <w:sz w:val="18"/>
                <w:szCs w:val="18"/>
                <w:highlight w:val="none"/>
              </w:rPr>
            </w:pPr>
            <w:r>
              <w:rPr>
                <w:color w:val="auto"/>
                <w:spacing w:val="-2"/>
                <w:sz w:val="18"/>
                <w:szCs w:val="18"/>
                <w:highlight w:val="none"/>
              </w:rPr>
              <w:t>汽油</w:t>
            </w:r>
          </w:p>
        </w:tc>
        <w:tc>
          <w:tcPr>
            <w:tcW w:w="746" w:type="dxa"/>
            <w:vAlign w:val="top"/>
          </w:tcPr>
          <w:p>
            <w:pPr>
              <w:pStyle w:val="10"/>
              <w:spacing w:before="153" w:line="220" w:lineRule="auto"/>
              <w:ind w:left="197"/>
              <w:rPr>
                <w:color w:val="auto"/>
                <w:sz w:val="18"/>
                <w:szCs w:val="18"/>
                <w:highlight w:val="none"/>
              </w:rPr>
            </w:pPr>
            <w:r>
              <w:rPr>
                <w:color w:val="auto"/>
                <w:spacing w:val="-2"/>
                <w:sz w:val="18"/>
                <w:szCs w:val="18"/>
                <w:highlight w:val="none"/>
              </w:rPr>
              <w:t>柴油</w:t>
            </w:r>
          </w:p>
        </w:tc>
        <w:tc>
          <w:tcPr>
            <w:tcW w:w="748" w:type="dxa"/>
            <w:vAlign w:val="top"/>
          </w:tcPr>
          <w:p>
            <w:pPr>
              <w:pStyle w:val="10"/>
              <w:spacing w:before="153" w:line="225" w:lineRule="auto"/>
              <w:ind w:left="310"/>
              <w:rPr>
                <w:color w:val="auto"/>
                <w:sz w:val="18"/>
                <w:szCs w:val="18"/>
                <w:highlight w:val="none"/>
              </w:rPr>
            </w:pPr>
            <w:r>
              <w:rPr>
                <w:color w:val="auto"/>
                <w:sz w:val="18"/>
                <w:szCs w:val="18"/>
                <w:highlight w:val="none"/>
              </w:rPr>
              <w:t>电</w:t>
            </w:r>
          </w:p>
        </w:tc>
        <w:tc>
          <w:tcPr>
            <w:tcW w:w="1496" w:type="dxa"/>
            <w:vAlign w:val="top"/>
          </w:tcPr>
          <w:p>
            <w:pPr>
              <w:pStyle w:val="10"/>
              <w:spacing w:before="153" w:line="220" w:lineRule="auto"/>
              <w:ind w:left="665"/>
              <w:rPr>
                <w:color w:val="auto"/>
                <w:sz w:val="18"/>
                <w:szCs w:val="18"/>
                <w:highlight w:val="none"/>
              </w:rPr>
            </w:pPr>
            <w:r>
              <w:rPr>
                <w:color w:val="auto"/>
                <w:sz w:val="18"/>
                <w:szCs w:val="18"/>
                <w:highlight w:val="none"/>
              </w:rPr>
              <w:t>风</w:t>
            </w:r>
          </w:p>
        </w:tc>
        <w:tc>
          <w:tcPr>
            <w:tcW w:w="746" w:type="dxa"/>
            <w:vAlign w:val="top"/>
          </w:tcPr>
          <w:p>
            <w:pPr>
              <w:pStyle w:val="10"/>
              <w:spacing w:before="152" w:line="220" w:lineRule="auto"/>
              <w:ind w:left="291"/>
              <w:rPr>
                <w:color w:val="auto"/>
                <w:sz w:val="18"/>
                <w:szCs w:val="18"/>
                <w:highlight w:val="none"/>
              </w:rPr>
            </w:pPr>
            <w:r>
              <w:rPr>
                <w:color w:val="auto"/>
                <w:sz w:val="18"/>
                <w:szCs w:val="18"/>
                <w:highlight w:val="none"/>
              </w:rPr>
              <w:t>水</w:t>
            </w:r>
          </w:p>
        </w:tc>
        <w:tc>
          <w:tcPr>
            <w:tcW w:w="748" w:type="dxa"/>
            <w:vAlign w:val="top"/>
          </w:tcPr>
          <w:p>
            <w:pPr>
              <w:pStyle w:val="10"/>
              <w:spacing w:before="153" w:line="220" w:lineRule="auto"/>
              <w:ind w:left="293"/>
              <w:rPr>
                <w:color w:val="auto"/>
                <w:sz w:val="18"/>
                <w:szCs w:val="18"/>
                <w:highlight w:val="none"/>
              </w:rPr>
            </w:pPr>
            <w:r>
              <w:rPr>
                <w:color w:val="auto"/>
                <w:sz w:val="18"/>
                <w:szCs w:val="18"/>
                <w:highlight w:val="none"/>
              </w:rPr>
              <w:t>煤</w:t>
            </w:r>
          </w:p>
        </w:tc>
        <w:tc>
          <w:tcPr>
            <w:tcW w:w="748" w:type="dxa"/>
            <w:vAlign w:val="top"/>
          </w:tcPr>
          <w:p>
            <w:pPr>
              <w:pStyle w:val="10"/>
              <w:spacing w:before="152" w:line="221" w:lineRule="auto"/>
              <w:ind w:left="209"/>
              <w:rPr>
                <w:color w:val="auto"/>
                <w:sz w:val="18"/>
                <w:szCs w:val="18"/>
                <w:highlight w:val="none"/>
              </w:rPr>
            </w:pPr>
            <w:r>
              <w:rPr>
                <w:color w:val="auto"/>
                <w:spacing w:val="-3"/>
                <w:sz w:val="18"/>
                <w:szCs w:val="18"/>
                <w:highlight w:val="none"/>
              </w:rPr>
              <w:t>小计</w:t>
            </w:r>
          </w:p>
        </w:tc>
        <w:tc>
          <w:tcPr>
            <w:tcW w:w="757" w:type="dxa"/>
            <w:vMerge w:val="continue"/>
            <w:tcBorders>
              <w:top w:val="nil"/>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57" w:type="dxa"/>
            <w:tcBorders>
              <w:left w:val="single" w:color="000000" w:sz="6" w:space="0"/>
            </w:tcBorders>
            <w:vAlign w:val="top"/>
          </w:tcPr>
          <w:p>
            <w:pPr>
              <w:pStyle w:val="10"/>
              <w:spacing w:before="90" w:line="182" w:lineRule="auto"/>
              <w:ind w:left="564"/>
              <w:rPr>
                <w:color w:val="auto"/>
                <w:sz w:val="18"/>
                <w:szCs w:val="18"/>
                <w:highlight w:val="none"/>
              </w:rPr>
            </w:pPr>
            <w:r>
              <w:rPr>
                <w:color w:val="auto"/>
                <w:sz w:val="18"/>
                <w:szCs w:val="18"/>
                <w:highlight w:val="none"/>
              </w:rPr>
              <w:t>1</w:t>
            </w: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57" w:type="dxa"/>
            <w:tcBorders>
              <w:left w:val="single" w:color="000000" w:sz="6" w:space="0"/>
            </w:tcBorders>
            <w:vAlign w:val="top"/>
          </w:tcPr>
          <w:p>
            <w:pPr>
              <w:pStyle w:val="10"/>
              <w:spacing w:before="92" w:line="181" w:lineRule="auto"/>
              <w:ind w:left="553"/>
              <w:rPr>
                <w:color w:val="auto"/>
                <w:sz w:val="18"/>
                <w:szCs w:val="18"/>
                <w:highlight w:val="none"/>
              </w:rPr>
            </w:pPr>
            <w:r>
              <w:rPr>
                <w:color w:val="auto"/>
                <w:sz w:val="18"/>
                <w:szCs w:val="18"/>
                <w:highlight w:val="none"/>
              </w:rPr>
              <w:t>2</w:t>
            </w: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57" w:type="dxa"/>
            <w:tcBorders>
              <w:left w:val="single" w:color="000000" w:sz="6" w:space="0"/>
            </w:tcBorders>
            <w:vAlign w:val="top"/>
          </w:tcPr>
          <w:p>
            <w:pPr>
              <w:pStyle w:val="10"/>
              <w:spacing w:before="209" w:line="181" w:lineRule="auto"/>
              <w:ind w:left="554"/>
              <w:rPr>
                <w:color w:val="auto"/>
                <w:sz w:val="18"/>
                <w:szCs w:val="18"/>
                <w:highlight w:val="none"/>
              </w:rPr>
            </w:pPr>
            <w:r>
              <w:rPr>
                <w:color w:val="auto"/>
                <w:sz w:val="18"/>
                <w:szCs w:val="18"/>
                <w:highlight w:val="none"/>
              </w:rPr>
              <w:t>3</w:t>
            </w: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4"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1496" w:type="dxa"/>
            <w:vAlign w:val="top"/>
          </w:tcPr>
          <w:p>
            <w:pPr>
              <w:rPr>
                <w:rFonts w:ascii="Arial"/>
                <w:color w:val="auto"/>
                <w:sz w:val="21"/>
                <w:highlight w:val="none"/>
              </w:rPr>
            </w:pPr>
          </w:p>
        </w:tc>
        <w:tc>
          <w:tcPr>
            <w:tcW w:w="746"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48" w:type="dxa"/>
            <w:vAlign w:val="top"/>
          </w:tcPr>
          <w:p>
            <w:pPr>
              <w:rPr>
                <w:rFonts w:ascii="Arial"/>
                <w:color w:val="auto"/>
                <w:sz w:val="21"/>
                <w:highlight w:val="none"/>
              </w:rPr>
            </w:pPr>
          </w:p>
        </w:tc>
        <w:tc>
          <w:tcPr>
            <w:tcW w:w="75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57" w:type="dxa"/>
            <w:tcBorders>
              <w:left w:val="single" w:color="000000" w:sz="6" w:space="0"/>
              <w:bottom w:val="single" w:color="000000" w:sz="6" w:space="0"/>
            </w:tcBorders>
            <w:vAlign w:val="top"/>
          </w:tcPr>
          <w:p>
            <w:pPr>
              <w:rPr>
                <w:rFonts w:ascii="Arial"/>
                <w:color w:val="auto"/>
                <w:sz w:val="21"/>
                <w:highlight w:val="none"/>
              </w:rPr>
            </w:pPr>
          </w:p>
        </w:tc>
        <w:tc>
          <w:tcPr>
            <w:tcW w:w="746"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1494"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746"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746"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1496" w:type="dxa"/>
            <w:tcBorders>
              <w:bottom w:val="single" w:color="000000" w:sz="6" w:space="0"/>
            </w:tcBorders>
            <w:vAlign w:val="top"/>
          </w:tcPr>
          <w:p>
            <w:pPr>
              <w:rPr>
                <w:rFonts w:ascii="Arial"/>
                <w:color w:val="auto"/>
                <w:sz w:val="21"/>
                <w:highlight w:val="none"/>
              </w:rPr>
            </w:pPr>
          </w:p>
        </w:tc>
        <w:tc>
          <w:tcPr>
            <w:tcW w:w="746"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748" w:type="dxa"/>
            <w:tcBorders>
              <w:bottom w:val="single" w:color="000000" w:sz="6" w:space="0"/>
            </w:tcBorders>
            <w:vAlign w:val="top"/>
          </w:tcPr>
          <w:p>
            <w:pPr>
              <w:rPr>
                <w:rFonts w:ascii="Arial"/>
                <w:color w:val="auto"/>
                <w:sz w:val="21"/>
                <w:highlight w:val="none"/>
              </w:rPr>
            </w:pPr>
          </w:p>
        </w:tc>
        <w:tc>
          <w:tcPr>
            <w:tcW w:w="757" w:type="dxa"/>
            <w:tcBorders>
              <w:bottom w:val="single" w:color="000000" w:sz="6" w:space="0"/>
              <w:right w:val="single" w:color="000000" w:sz="6" w:space="0"/>
            </w:tcBorders>
            <w:vAlign w:val="top"/>
          </w:tcPr>
          <w:p>
            <w:pPr>
              <w:rPr>
                <w:rFonts w:ascii="Arial"/>
                <w:color w:val="auto"/>
                <w:sz w:val="21"/>
                <w:highlight w:val="none"/>
              </w:rPr>
            </w:pPr>
          </w:p>
        </w:tc>
      </w:tr>
    </w:tbl>
    <w:p>
      <w:pPr>
        <w:spacing w:before="56" w:line="220" w:lineRule="auto"/>
        <w:ind w:left="10125"/>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75" w:line="185" w:lineRule="auto"/>
        <w:ind w:left="9855"/>
        <w:rPr>
          <w:rFonts w:ascii="宋体" w:hAnsi="宋体" w:eastAsia="宋体" w:cs="宋体"/>
          <w:color w:val="auto"/>
          <w:sz w:val="18"/>
          <w:szCs w:val="18"/>
          <w:highlight w:val="none"/>
        </w:rPr>
      </w:pPr>
      <w:r>
        <w:rPr>
          <w:rFonts w:ascii="宋体" w:hAnsi="宋体" w:eastAsia="宋体" w:cs="宋体"/>
          <w:color w:val="auto"/>
          <w:spacing w:val="-17"/>
          <w:sz w:val="18"/>
          <w:szCs w:val="18"/>
          <w:highlight w:val="none"/>
        </w:rPr>
        <w:t>（或委托代理人</w:t>
      </w:r>
      <w:r>
        <w:rPr>
          <w:rFonts w:ascii="宋体" w:hAnsi="宋体" w:eastAsia="宋体" w:cs="宋体"/>
          <w:color w:val="auto"/>
          <w:spacing w:val="-11"/>
          <w:sz w:val="18"/>
          <w:szCs w:val="18"/>
          <w:highlight w:val="none"/>
        </w:rPr>
        <w:t>）：</w:t>
      </w:r>
      <w:r>
        <w:rPr>
          <w:rFonts w:ascii="宋体" w:hAnsi="宋体" w:eastAsia="宋体" w:cs="宋体"/>
          <w:color w:val="auto"/>
          <w:spacing w:val="43"/>
          <w:sz w:val="18"/>
          <w:szCs w:val="18"/>
          <w:highlight w:val="none"/>
        </w:rPr>
        <w:t xml:space="preserve"> </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13"/>
          <w:sz w:val="18"/>
          <w:szCs w:val="18"/>
          <w:highlight w:val="none"/>
        </w:rPr>
        <w:t xml:space="preserve"> </w:t>
      </w:r>
      <w:r>
        <w:rPr>
          <w:rFonts w:ascii="宋体" w:hAnsi="宋体" w:eastAsia="宋体" w:cs="宋体"/>
          <w:color w:val="auto"/>
          <w:spacing w:val="-11"/>
          <w:sz w:val="18"/>
          <w:szCs w:val="18"/>
          <w:highlight w:val="none"/>
        </w:rPr>
        <w:t>（</w:t>
      </w:r>
      <w:r>
        <w:rPr>
          <w:rFonts w:ascii="宋体" w:hAnsi="宋体" w:eastAsia="宋体" w:cs="宋体"/>
          <w:color w:val="auto"/>
          <w:spacing w:val="-17"/>
          <w:sz w:val="18"/>
          <w:szCs w:val="18"/>
          <w:highlight w:val="none"/>
        </w:rPr>
        <w:t>签字）</w:t>
      </w:r>
    </w:p>
    <w:p>
      <w:pPr>
        <w:spacing w:line="185" w:lineRule="auto"/>
        <w:rPr>
          <w:rFonts w:ascii="宋体" w:hAnsi="宋体" w:eastAsia="宋体" w:cs="宋体"/>
          <w:color w:val="auto"/>
          <w:sz w:val="18"/>
          <w:szCs w:val="18"/>
          <w:highlight w:val="none"/>
        </w:rPr>
        <w:sectPr>
          <w:type w:val="continuous"/>
          <w:pgSz w:w="16841" w:h="11907"/>
          <w:pgMar w:top="400" w:right="1773" w:bottom="1002" w:left="1579" w:header="0" w:footer="828" w:gutter="0"/>
          <w:pgNumType w:fmt="numberInDash"/>
          <w:cols w:equalWidth="0" w:num="1">
            <w:col w:w="13488"/>
          </w:cols>
        </w:sectPr>
      </w:pPr>
    </w:p>
    <w:p>
      <w:pPr>
        <w:pStyle w:val="2"/>
        <w:spacing w:line="276" w:lineRule="auto"/>
        <w:rPr>
          <w:color w:val="auto"/>
          <w:highlight w:val="none"/>
        </w:rPr>
      </w:pPr>
    </w:p>
    <w:p>
      <w:pPr>
        <w:pStyle w:val="2"/>
        <w:spacing w:line="276" w:lineRule="auto"/>
        <w:rPr>
          <w:color w:val="auto"/>
          <w:highlight w:val="none"/>
        </w:rPr>
      </w:pPr>
    </w:p>
    <w:p>
      <w:pPr>
        <w:pStyle w:val="2"/>
        <w:spacing w:line="276" w:lineRule="auto"/>
        <w:rPr>
          <w:color w:val="auto"/>
          <w:highlight w:val="none"/>
        </w:rPr>
      </w:pPr>
    </w:p>
    <w:p>
      <w:pPr>
        <w:pStyle w:val="2"/>
        <w:spacing w:line="276" w:lineRule="auto"/>
        <w:rPr>
          <w:color w:val="auto"/>
          <w:highlight w:val="none"/>
        </w:rPr>
      </w:pPr>
    </w:p>
    <w:p>
      <w:pPr>
        <w:spacing w:before="78"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3.20 </w:t>
      </w:r>
      <w:r>
        <w:rPr>
          <w:rFonts w:ascii="黑体" w:hAnsi="黑体" w:eastAsia="黑体" w:cs="黑体"/>
          <w:color w:val="auto"/>
          <w:spacing w:val="-1"/>
          <w:sz w:val="24"/>
          <w:szCs w:val="24"/>
          <w:highlight w:val="none"/>
        </w:rPr>
        <w:t>投标人自备施工机械台时（班）费汇总表</w:t>
      </w:r>
    </w:p>
    <w:p>
      <w:pPr>
        <w:spacing w:before="74" w:line="224" w:lineRule="auto"/>
        <w:ind w:left="3998"/>
        <w:rPr>
          <w:rFonts w:ascii="宋体" w:hAnsi="宋体" w:eastAsia="宋体" w:cs="宋体"/>
          <w:color w:val="auto"/>
          <w:sz w:val="31"/>
          <w:szCs w:val="31"/>
          <w:highlight w:val="none"/>
        </w:rPr>
      </w:pPr>
      <w:r>
        <w:rPr>
          <w:rFonts w:ascii="宋体" w:hAnsi="宋体" w:eastAsia="宋体" w:cs="宋体"/>
          <w:color w:val="auto"/>
          <w:spacing w:val="10"/>
          <w:sz w:val="31"/>
          <w:szCs w:val="31"/>
          <w:highlight w:val="none"/>
          <w14:textOutline w14:w="5791" w14:cap="flat" w14:cmpd="sng">
            <w14:solidFill>
              <w14:srgbClr w14:val="000000"/>
            </w14:solidFill>
            <w14:prstDash w14:val="solid"/>
            <w14:miter w14:val="0"/>
          </w14:textOutline>
        </w:rPr>
        <w:t>投标人自备施工机械台时（班）费汇总表</w:t>
      </w:r>
    </w:p>
    <w:p>
      <w:pPr>
        <w:spacing w:before="68" w:line="220"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before="186" w:line="220" w:lineRule="auto"/>
        <w:ind w:left="126"/>
        <w:rPr>
          <w:rFonts w:ascii="宋体" w:hAnsi="宋体" w:eastAsia="宋体" w:cs="宋体"/>
          <w:color w:val="auto"/>
          <w:sz w:val="18"/>
          <w:szCs w:val="18"/>
          <w:highlight w:val="none"/>
        </w:rPr>
      </w:pPr>
      <w:r>
        <w:rPr>
          <w:rFonts w:ascii="宋体" w:hAnsi="宋体" w:eastAsia="宋体" w:cs="宋体"/>
          <w:color w:val="auto"/>
          <w:spacing w:val="-15"/>
          <w:sz w:val="18"/>
          <w:szCs w:val="18"/>
          <w:highlight w:val="none"/>
        </w:rPr>
        <w:t>工程名称：</w:t>
      </w:r>
      <w:r>
        <w:rPr>
          <w:rFonts w:ascii="宋体" w:hAnsi="宋体" w:eastAsia="宋体" w:cs="宋体"/>
          <w:color w:val="auto"/>
          <w:spacing w:val="1"/>
          <w:sz w:val="18"/>
          <w:szCs w:val="18"/>
          <w:highlight w:val="none"/>
        </w:rPr>
        <w:t xml:space="preserve">                                   </w:t>
      </w:r>
      <w:r>
        <w:rPr>
          <w:rFonts w:ascii="宋体" w:hAnsi="宋体" w:eastAsia="宋体" w:cs="宋体"/>
          <w:color w:val="auto"/>
          <w:sz w:val="18"/>
          <w:szCs w:val="18"/>
          <w:highlight w:val="none"/>
        </w:rPr>
        <w:t xml:space="preserve">                                                                                      </w:t>
      </w:r>
      <w:r>
        <w:rPr>
          <w:rFonts w:ascii="宋体" w:hAnsi="宋体" w:eastAsia="宋体" w:cs="宋体"/>
          <w:color w:val="auto"/>
          <w:spacing w:val="-15"/>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15"/>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15"/>
          <w:sz w:val="18"/>
          <w:szCs w:val="18"/>
          <w:highlight w:val="none"/>
        </w:rPr>
        <w:t>页</w:t>
      </w:r>
    </w:p>
    <w:p>
      <w:pPr>
        <w:spacing w:before="187" w:line="220" w:lineRule="auto"/>
        <w:ind w:left="11923"/>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单位：元/台时（班）</w:t>
      </w:r>
    </w:p>
    <w:p>
      <w:pPr>
        <w:spacing w:line="21" w:lineRule="exact"/>
        <w:rPr>
          <w:color w:val="auto"/>
          <w:highlight w:val="none"/>
        </w:rPr>
      </w:pPr>
    </w:p>
    <w:tbl>
      <w:tblPr>
        <w:tblStyle w:val="9"/>
        <w:tblW w:w="137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2283"/>
        <w:gridCol w:w="1285"/>
        <w:gridCol w:w="851"/>
        <w:gridCol w:w="650"/>
        <w:gridCol w:w="870"/>
        <w:gridCol w:w="832"/>
        <w:gridCol w:w="724"/>
        <w:gridCol w:w="580"/>
        <w:gridCol w:w="633"/>
        <w:gridCol w:w="707"/>
        <w:gridCol w:w="705"/>
        <w:gridCol w:w="724"/>
        <w:gridCol w:w="688"/>
        <w:gridCol w:w="633"/>
        <w:gridCol w:w="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53" w:type="dxa"/>
            <w:vMerge w:val="restart"/>
            <w:tcBorders>
              <w:top w:val="single" w:color="000000" w:sz="6" w:space="0"/>
              <w:left w:val="single" w:color="000000" w:sz="6" w:space="0"/>
              <w:bottom w:val="nil"/>
            </w:tcBorders>
            <w:vAlign w:val="top"/>
          </w:tcPr>
          <w:p>
            <w:pPr>
              <w:spacing w:line="241" w:lineRule="auto"/>
              <w:rPr>
                <w:rFonts w:ascii="Arial"/>
                <w:color w:val="auto"/>
                <w:sz w:val="21"/>
                <w:highlight w:val="none"/>
              </w:rPr>
            </w:pPr>
          </w:p>
          <w:p>
            <w:pPr>
              <w:pStyle w:val="10"/>
              <w:spacing w:before="58" w:line="221" w:lineRule="auto"/>
              <w:ind w:left="192"/>
              <w:rPr>
                <w:color w:val="auto"/>
                <w:sz w:val="18"/>
                <w:szCs w:val="18"/>
                <w:highlight w:val="none"/>
              </w:rPr>
            </w:pPr>
            <w:r>
              <w:rPr>
                <w:color w:val="auto"/>
                <w:spacing w:val="-2"/>
                <w:sz w:val="18"/>
                <w:szCs w:val="18"/>
                <w:highlight w:val="none"/>
              </w:rPr>
              <w:t>序号</w:t>
            </w:r>
          </w:p>
        </w:tc>
        <w:tc>
          <w:tcPr>
            <w:tcW w:w="2283" w:type="dxa"/>
            <w:vMerge w:val="restart"/>
            <w:tcBorders>
              <w:top w:val="single" w:color="000000" w:sz="6" w:space="0"/>
              <w:bottom w:val="nil"/>
            </w:tcBorders>
            <w:vAlign w:val="top"/>
          </w:tcPr>
          <w:p>
            <w:pPr>
              <w:spacing w:line="241" w:lineRule="auto"/>
              <w:rPr>
                <w:rFonts w:ascii="Arial"/>
                <w:color w:val="auto"/>
                <w:sz w:val="21"/>
                <w:highlight w:val="none"/>
              </w:rPr>
            </w:pPr>
          </w:p>
          <w:p>
            <w:pPr>
              <w:pStyle w:val="10"/>
              <w:spacing w:before="58" w:line="219" w:lineRule="auto"/>
              <w:ind w:left="779"/>
              <w:rPr>
                <w:color w:val="auto"/>
                <w:sz w:val="18"/>
                <w:szCs w:val="18"/>
                <w:highlight w:val="none"/>
              </w:rPr>
            </w:pPr>
            <w:r>
              <w:rPr>
                <w:color w:val="auto"/>
                <w:spacing w:val="-2"/>
                <w:sz w:val="18"/>
                <w:szCs w:val="18"/>
                <w:highlight w:val="none"/>
              </w:rPr>
              <w:t>机械名称</w:t>
            </w:r>
          </w:p>
        </w:tc>
        <w:tc>
          <w:tcPr>
            <w:tcW w:w="1285" w:type="dxa"/>
            <w:vMerge w:val="restart"/>
            <w:tcBorders>
              <w:top w:val="single" w:color="000000" w:sz="6" w:space="0"/>
              <w:bottom w:val="nil"/>
            </w:tcBorders>
            <w:vAlign w:val="top"/>
          </w:tcPr>
          <w:p>
            <w:pPr>
              <w:rPr>
                <w:rFonts w:ascii="Arial"/>
                <w:color w:val="auto"/>
                <w:sz w:val="21"/>
                <w:highlight w:val="none"/>
              </w:rPr>
            </w:pPr>
          </w:p>
          <w:p>
            <w:pPr>
              <w:pStyle w:val="10"/>
              <w:spacing w:before="59" w:line="220" w:lineRule="auto"/>
              <w:ind w:left="286"/>
              <w:rPr>
                <w:color w:val="auto"/>
                <w:sz w:val="18"/>
                <w:szCs w:val="18"/>
                <w:highlight w:val="none"/>
              </w:rPr>
            </w:pPr>
            <w:r>
              <w:rPr>
                <w:color w:val="auto"/>
                <w:spacing w:val="-3"/>
                <w:sz w:val="18"/>
                <w:szCs w:val="18"/>
                <w:highlight w:val="none"/>
              </w:rPr>
              <w:t>型号规格</w:t>
            </w:r>
          </w:p>
        </w:tc>
        <w:tc>
          <w:tcPr>
            <w:tcW w:w="3203" w:type="dxa"/>
            <w:gridSpan w:val="4"/>
            <w:tcBorders>
              <w:top w:val="single" w:color="000000" w:sz="6" w:space="0"/>
            </w:tcBorders>
            <w:vAlign w:val="top"/>
          </w:tcPr>
          <w:p>
            <w:pPr>
              <w:pStyle w:val="10"/>
              <w:spacing w:before="55" w:line="220" w:lineRule="auto"/>
              <w:ind w:left="1247"/>
              <w:rPr>
                <w:color w:val="auto"/>
                <w:sz w:val="18"/>
                <w:szCs w:val="18"/>
                <w:highlight w:val="none"/>
              </w:rPr>
            </w:pPr>
            <w:r>
              <w:rPr>
                <w:color w:val="auto"/>
                <w:spacing w:val="-3"/>
                <w:sz w:val="18"/>
                <w:szCs w:val="18"/>
                <w:highlight w:val="none"/>
              </w:rPr>
              <w:t>一类费用</w:t>
            </w:r>
          </w:p>
        </w:tc>
        <w:tc>
          <w:tcPr>
            <w:tcW w:w="5394" w:type="dxa"/>
            <w:gridSpan w:val="8"/>
            <w:tcBorders>
              <w:top w:val="single" w:color="000000" w:sz="6" w:space="0"/>
            </w:tcBorders>
            <w:vAlign w:val="top"/>
          </w:tcPr>
          <w:p>
            <w:pPr>
              <w:pStyle w:val="10"/>
              <w:spacing w:before="55" w:line="220" w:lineRule="auto"/>
              <w:ind w:left="2348"/>
              <w:rPr>
                <w:color w:val="auto"/>
                <w:sz w:val="18"/>
                <w:szCs w:val="18"/>
                <w:highlight w:val="none"/>
              </w:rPr>
            </w:pPr>
            <w:r>
              <w:rPr>
                <w:color w:val="auto"/>
                <w:spacing w:val="-2"/>
                <w:sz w:val="18"/>
                <w:szCs w:val="18"/>
                <w:highlight w:val="none"/>
              </w:rPr>
              <w:t>二类费用</w:t>
            </w:r>
          </w:p>
        </w:tc>
        <w:tc>
          <w:tcPr>
            <w:tcW w:w="813" w:type="dxa"/>
            <w:vMerge w:val="restart"/>
            <w:tcBorders>
              <w:top w:val="single" w:color="000000" w:sz="6" w:space="0"/>
              <w:bottom w:val="nil"/>
              <w:right w:val="single" w:color="000000" w:sz="6" w:space="0"/>
            </w:tcBorders>
            <w:vAlign w:val="top"/>
          </w:tcPr>
          <w:p>
            <w:pPr>
              <w:spacing w:line="241" w:lineRule="auto"/>
              <w:rPr>
                <w:rFonts w:ascii="Arial"/>
                <w:color w:val="auto"/>
                <w:sz w:val="21"/>
                <w:highlight w:val="none"/>
              </w:rPr>
            </w:pPr>
          </w:p>
          <w:p>
            <w:pPr>
              <w:pStyle w:val="10"/>
              <w:spacing w:before="58" w:line="221" w:lineRule="auto"/>
              <w:ind w:left="233"/>
              <w:rPr>
                <w:color w:val="auto"/>
                <w:sz w:val="18"/>
                <w:szCs w:val="18"/>
                <w:highlight w:val="none"/>
              </w:rPr>
            </w:pPr>
            <w:r>
              <w:rPr>
                <w:color w:val="auto"/>
                <w:spacing w:val="-2"/>
                <w:sz w:val="18"/>
                <w:szCs w:val="18"/>
                <w:highlight w:val="none"/>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53" w:type="dxa"/>
            <w:vMerge w:val="continue"/>
            <w:tcBorders>
              <w:top w:val="nil"/>
              <w:left w:val="single" w:color="000000" w:sz="6" w:space="0"/>
            </w:tcBorders>
            <w:vAlign w:val="top"/>
          </w:tcPr>
          <w:p>
            <w:pPr>
              <w:rPr>
                <w:rFonts w:ascii="Arial"/>
                <w:color w:val="auto"/>
                <w:sz w:val="21"/>
                <w:highlight w:val="none"/>
              </w:rPr>
            </w:pPr>
          </w:p>
        </w:tc>
        <w:tc>
          <w:tcPr>
            <w:tcW w:w="2283" w:type="dxa"/>
            <w:vMerge w:val="continue"/>
            <w:tcBorders>
              <w:top w:val="nil"/>
            </w:tcBorders>
            <w:vAlign w:val="top"/>
          </w:tcPr>
          <w:p>
            <w:pPr>
              <w:rPr>
                <w:rFonts w:ascii="Arial"/>
                <w:color w:val="auto"/>
                <w:sz w:val="21"/>
                <w:highlight w:val="none"/>
              </w:rPr>
            </w:pPr>
          </w:p>
        </w:tc>
        <w:tc>
          <w:tcPr>
            <w:tcW w:w="1285" w:type="dxa"/>
            <w:vMerge w:val="continue"/>
            <w:tcBorders>
              <w:top w:val="nil"/>
            </w:tcBorders>
            <w:vAlign w:val="top"/>
          </w:tcPr>
          <w:p>
            <w:pPr>
              <w:rPr>
                <w:rFonts w:ascii="Arial"/>
                <w:color w:val="auto"/>
                <w:sz w:val="21"/>
                <w:highlight w:val="none"/>
              </w:rPr>
            </w:pPr>
          </w:p>
        </w:tc>
        <w:tc>
          <w:tcPr>
            <w:tcW w:w="851" w:type="dxa"/>
            <w:vAlign w:val="top"/>
          </w:tcPr>
          <w:p>
            <w:pPr>
              <w:pStyle w:val="10"/>
              <w:spacing w:before="150" w:line="220" w:lineRule="auto"/>
              <w:ind w:left="158"/>
              <w:rPr>
                <w:color w:val="auto"/>
                <w:sz w:val="18"/>
                <w:szCs w:val="18"/>
                <w:highlight w:val="none"/>
              </w:rPr>
            </w:pPr>
            <w:r>
              <w:rPr>
                <w:color w:val="auto"/>
                <w:spacing w:val="-2"/>
                <w:sz w:val="18"/>
                <w:szCs w:val="18"/>
                <w:highlight w:val="none"/>
              </w:rPr>
              <w:t>折旧费</w:t>
            </w:r>
          </w:p>
        </w:tc>
        <w:tc>
          <w:tcPr>
            <w:tcW w:w="650" w:type="dxa"/>
            <w:vAlign w:val="top"/>
          </w:tcPr>
          <w:p>
            <w:pPr>
              <w:pStyle w:val="10"/>
              <w:spacing w:before="34" w:line="220" w:lineRule="auto"/>
              <w:ind w:left="149"/>
              <w:rPr>
                <w:color w:val="auto"/>
                <w:sz w:val="18"/>
                <w:szCs w:val="18"/>
                <w:highlight w:val="none"/>
              </w:rPr>
            </w:pPr>
            <w:r>
              <w:rPr>
                <w:color w:val="auto"/>
                <w:spacing w:val="-3"/>
                <w:sz w:val="18"/>
                <w:szCs w:val="18"/>
                <w:highlight w:val="none"/>
              </w:rPr>
              <w:t>维修</w:t>
            </w:r>
          </w:p>
          <w:p>
            <w:pPr>
              <w:pStyle w:val="10"/>
              <w:spacing w:before="18" w:line="199" w:lineRule="auto"/>
              <w:ind w:left="245"/>
              <w:rPr>
                <w:color w:val="auto"/>
                <w:sz w:val="18"/>
                <w:szCs w:val="18"/>
                <w:highlight w:val="none"/>
              </w:rPr>
            </w:pPr>
            <w:r>
              <w:rPr>
                <w:color w:val="auto"/>
                <w:sz w:val="18"/>
                <w:szCs w:val="18"/>
                <w:highlight w:val="none"/>
              </w:rPr>
              <w:t>费</w:t>
            </w:r>
          </w:p>
        </w:tc>
        <w:tc>
          <w:tcPr>
            <w:tcW w:w="870" w:type="dxa"/>
            <w:vAlign w:val="top"/>
          </w:tcPr>
          <w:p>
            <w:pPr>
              <w:pStyle w:val="10"/>
              <w:spacing w:before="150" w:line="220" w:lineRule="auto"/>
              <w:ind w:left="169"/>
              <w:rPr>
                <w:color w:val="auto"/>
                <w:sz w:val="18"/>
                <w:szCs w:val="18"/>
                <w:highlight w:val="none"/>
              </w:rPr>
            </w:pPr>
            <w:r>
              <w:rPr>
                <w:color w:val="auto"/>
                <w:spacing w:val="-3"/>
                <w:sz w:val="18"/>
                <w:szCs w:val="18"/>
                <w:highlight w:val="none"/>
              </w:rPr>
              <w:t>安拆费</w:t>
            </w:r>
          </w:p>
        </w:tc>
        <w:tc>
          <w:tcPr>
            <w:tcW w:w="832" w:type="dxa"/>
            <w:vAlign w:val="top"/>
          </w:tcPr>
          <w:p>
            <w:pPr>
              <w:pStyle w:val="10"/>
              <w:spacing w:before="150" w:line="221" w:lineRule="auto"/>
              <w:ind w:left="242"/>
              <w:rPr>
                <w:color w:val="auto"/>
                <w:sz w:val="18"/>
                <w:szCs w:val="18"/>
                <w:highlight w:val="none"/>
              </w:rPr>
            </w:pPr>
            <w:r>
              <w:rPr>
                <w:color w:val="auto"/>
                <w:spacing w:val="-3"/>
                <w:sz w:val="18"/>
                <w:szCs w:val="18"/>
                <w:highlight w:val="none"/>
              </w:rPr>
              <w:t>小计</w:t>
            </w:r>
          </w:p>
        </w:tc>
        <w:tc>
          <w:tcPr>
            <w:tcW w:w="724" w:type="dxa"/>
            <w:vAlign w:val="top"/>
          </w:tcPr>
          <w:p>
            <w:pPr>
              <w:pStyle w:val="10"/>
              <w:spacing w:before="150" w:line="222" w:lineRule="auto"/>
              <w:ind w:left="188"/>
              <w:rPr>
                <w:color w:val="auto"/>
                <w:sz w:val="18"/>
                <w:szCs w:val="18"/>
                <w:highlight w:val="none"/>
              </w:rPr>
            </w:pPr>
            <w:r>
              <w:rPr>
                <w:color w:val="auto"/>
                <w:spacing w:val="-3"/>
                <w:sz w:val="18"/>
                <w:szCs w:val="18"/>
                <w:highlight w:val="none"/>
              </w:rPr>
              <w:t>人工</w:t>
            </w:r>
          </w:p>
        </w:tc>
        <w:tc>
          <w:tcPr>
            <w:tcW w:w="580" w:type="dxa"/>
            <w:vAlign w:val="top"/>
          </w:tcPr>
          <w:p>
            <w:pPr>
              <w:pStyle w:val="10"/>
              <w:spacing w:before="150" w:line="223" w:lineRule="auto"/>
              <w:ind w:left="116"/>
              <w:rPr>
                <w:color w:val="auto"/>
                <w:sz w:val="18"/>
                <w:szCs w:val="18"/>
                <w:highlight w:val="none"/>
              </w:rPr>
            </w:pPr>
            <w:r>
              <w:rPr>
                <w:color w:val="auto"/>
                <w:spacing w:val="-2"/>
                <w:sz w:val="18"/>
                <w:szCs w:val="18"/>
                <w:highlight w:val="none"/>
              </w:rPr>
              <w:t>汽油</w:t>
            </w:r>
          </w:p>
        </w:tc>
        <w:tc>
          <w:tcPr>
            <w:tcW w:w="633" w:type="dxa"/>
            <w:vAlign w:val="top"/>
          </w:tcPr>
          <w:p>
            <w:pPr>
              <w:pStyle w:val="10"/>
              <w:spacing w:before="150" w:line="220" w:lineRule="auto"/>
              <w:ind w:left="143"/>
              <w:rPr>
                <w:color w:val="auto"/>
                <w:sz w:val="18"/>
                <w:szCs w:val="18"/>
                <w:highlight w:val="none"/>
              </w:rPr>
            </w:pPr>
            <w:r>
              <w:rPr>
                <w:color w:val="auto"/>
                <w:spacing w:val="-2"/>
                <w:sz w:val="18"/>
                <w:szCs w:val="18"/>
                <w:highlight w:val="none"/>
              </w:rPr>
              <w:t>柴油</w:t>
            </w:r>
          </w:p>
        </w:tc>
        <w:tc>
          <w:tcPr>
            <w:tcW w:w="707" w:type="dxa"/>
            <w:vAlign w:val="top"/>
          </w:tcPr>
          <w:p>
            <w:pPr>
              <w:pStyle w:val="10"/>
              <w:spacing w:before="150" w:line="225" w:lineRule="auto"/>
              <w:ind w:left="292"/>
              <w:rPr>
                <w:color w:val="auto"/>
                <w:sz w:val="18"/>
                <w:szCs w:val="18"/>
                <w:highlight w:val="none"/>
              </w:rPr>
            </w:pPr>
            <w:r>
              <w:rPr>
                <w:color w:val="auto"/>
                <w:sz w:val="18"/>
                <w:szCs w:val="18"/>
                <w:highlight w:val="none"/>
              </w:rPr>
              <w:t>电</w:t>
            </w:r>
          </w:p>
        </w:tc>
        <w:tc>
          <w:tcPr>
            <w:tcW w:w="705" w:type="dxa"/>
            <w:vAlign w:val="top"/>
          </w:tcPr>
          <w:p>
            <w:pPr>
              <w:pStyle w:val="10"/>
              <w:spacing w:before="150" w:line="220" w:lineRule="auto"/>
              <w:ind w:left="268"/>
              <w:rPr>
                <w:color w:val="auto"/>
                <w:sz w:val="18"/>
                <w:szCs w:val="18"/>
                <w:highlight w:val="none"/>
              </w:rPr>
            </w:pPr>
            <w:r>
              <w:rPr>
                <w:color w:val="auto"/>
                <w:sz w:val="18"/>
                <w:szCs w:val="18"/>
                <w:highlight w:val="none"/>
              </w:rPr>
              <w:t>风</w:t>
            </w:r>
          </w:p>
        </w:tc>
        <w:tc>
          <w:tcPr>
            <w:tcW w:w="724" w:type="dxa"/>
            <w:vAlign w:val="top"/>
          </w:tcPr>
          <w:p>
            <w:pPr>
              <w:pStyle w:val="10"/>
              <w:spacing w:before="150" w:line="220" w:lineRule="auto"/>
              <w:ind w:left="280"/>
              <w:rPr>
                <w:color w:val="auto"/>
                <w:sz w:val="18"/>
                <w:szCs w:val="18"/>
                <w:highlight w:val="none"/>
              </w:rPr>
            </w:pPr>
            <w:r>
              <w:rPr>
                <w:color w:val="auto"/>
                <w:sz w:val="18"/>
                <w:szCs w:val="18"/>
                <w:highlight w:val="none"/>
              </w:rPr>
              <w:t>水</w:t>
            </w:r>
          </w:p>
        </w:tc>
        <w:tc>
          <w:tcPr>
            <w:tcW w:w="688" w:type="dxa"/>
            <w:vAlign w:val="top"/>
          </w:tcPr>
          <w:p>
            <w:pPr>
              <w:pStyle w:val="10"/>
              <w:spacing w:before="150" w:line="220" w:lineRule="auto"/>
              <w:ind w:left="265"/>
              <w:rPr>
                <w:color w:val="auto"/>
                <w:sz w:val="18"/>
                <w:szCs w:val="18"/>
                <w:highlight w:val="none"/>
              </w:rPr>
            </w:pPr>
            <w:r>
              <w:rPr>
                <w:color w:val="auto"/>
                <w:sz w:val="18"/>
                <w:szCs w:val="18"/>
                <w:highlight w:val="none"/>
              </w:rPr>
              <w:t>煤</w:t>
            </w:r>
          </w:p>
        </w:tc>
        <w:tc>
          <w:tcPr>
            <w:tcW w:w="633" w:type="dxa"/>
            <w:vAlign w:val="top"/>
          </w:tcPr>
          <w:p>
            <w:pPr>
              <w:pStyle w:val="10"/>
              <w:spacing w:before="150" w:line="221" w:lineRule="auto"/>
              <w:ind w:left="150"/>
              <w:rPr>
                <w:color w:val="auto"/>
                <w:sz w:val="18"/>
                <w:szCs w:val="18"/>
                <w:highlight w:val="none"/>
              </w:rPr>
            </w:pPr>
            <w:r>
              <w:rPr>
                <w:color w:val="auto"/>
                <w:spacing w:val="-3"/>
                <w:sz w:val="18"/>
                <w:szCs w:val="18"/>
                <w:highlight w:val="none"/>
              </w:rPr>
              <w:t>小计</w:t>
            </w:r>
          </w:p>
        </w:tc>
        <w:tc>
          <w:tcPr>
            <w:tcW w:w="813" w:type="dxa"/>
            <w:vMerge w:val="continue"/>
            <w:tcBorders>
              <w:top w:val="nil"/>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53" w:type="dxa"/>
            <w:tcBorders>
              <w:left w:val="single" w:color="000000" w:sz="6" w:space="0"/>
            </w:tcBorders>
            <w:vAlign w:val="top"/>
          </w:tcPr>
          <w:p>
            <w:pPr>
              <w:pStyle w:val="10"/>
              <w:spacing w:before="91" w:line="182" w:lineRule="auto"/>
              <w:ind w:left="559"/>
              <w:rPr>
                <w:color w:val="auto"/>
                <w:sz w:val="18"/>
                <w:szCs w:val="18"/>
                <w:highlight w:val="none"/>
              </w:rPr>
            </w:pPr>
            <w:r>
              <w:rPr>
                <w:color w:val="auto"/>
                <w:sz w:val="18"/>
                <w:szCs w:val="18"/>
                <w:highlight w:val="none"/>
              </w:rPr>
              <w:t>1</w:t>
            </w: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53" w:type="dxa"/>
            <w:tcBorders>
              <w:left w:val="single" w:color="000000" w:sz="6" w:space="0"/>
            </w:tcBorders>
            <w:vAlign w:val="top"/>
          </w:tcPr>
          <w:p>
            <w:pPr>
              <w:pStyle w:val="10"/>
              <w:spacing w:before="90" w:line="181" w:lineRule="auto"/>
              <w:ind w:left="548"/>
              <w:rPr>
                <w:color w:val="auto"/>
                <w:sz w:val="18"/>
                <w:szCs w:val="18"/>
                <w:highlight w:val="none"/>
              </w:rPr>
            </w:pPr>
            <w:r>
              <w:rPr>
                <w:color w:val="auto"/>
                <w:sz w:val="18"/>
                <w:szCs w:val="18"/>
                <w:highlight w:val="none"/>
              </w:rPr>
              <w:t>2</w:t>
            </w: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753" w:type="dxa"/>
            <w:tcBorders>
              <w:left w:val="single" w:color="000000" w:sz="6" w:space="0"/>
            </w:tcBorders>
            <w:vAlign w:val="top"/>
          </w:tcPr>
          <w:p>
            <w:pPr>
              <w:pStyle w:val="10"/>
              <w:spacing w:before="204" w:line="181" w:lineRule="auto"/>
              <w:ind w:left="549"/>
              <w:rPr>
                <w:color w:val="auto"/>
                <w:sz w:val="18"/>
                <w:szCs w:val="18"/>
                <w:highlight w:val="none"/>
              </w:rPr>
            </w:pPr>
            <w:r>
              <w:rPr>
                <w:color w:val="auto"/>
                <w:sz w:val="18"/>
                <w:szCs w:val="18"/>
                <w:highlight w:val="none"/>
              </w:rPr>
              <w:t>3</w:t>
            </w: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vAlign w:val="top"/>
          </w:tcPr>
          <w:p>
            <w:pPr>
              <w:rPr>
                <w:rFonts w:ascii="Arial"/>
                <w:color w:val="auto"/>
                <w:sz w:val="21"/>
                <w:highlight w:val="none"/>
              </w:rPr>
            </w:pPr>
          </w:p>
        </w:tc>
        <w:tc>
          <w:tcPr>
            <w:tcW w:w="2283" w:type="dxa"/>
            <w:vAlign w:val="top"/>
          </w:tcPr>
          <w:p>
            <w:pPr>
              <w:rPr>
                <w:rFonts w:ascii="Arial"/>
                <w:color w:val="auto"/>
                <w:sz w:val="21"/>
                <w:highlight w:val="none"/>
              </w:rPr>
            </w:pPr>
          </w:p>
        </w:tc>
        <w:tc>
          <w:tcPr>
            <w:tcW w:w="1285" w:type="dxa"/>
            <w:vAlign w:val="top"/>
          </w:tcPr>
          <w:p>
            <w:pPr>
              <w:rPr>
                <w:rFonts w:ascii="Arial"/>
                <w:color w:val="auto"/>
                <w:sz w:val="21"/>
                <w:highlight w:val="none"/>
              </w:rPr>
            </w:pPr>
          </w:p>
        </w:tc>
        <w:tc>
          <w:tcPr>
            <w:tcW w:w="851" w:type="dxa"/>
            <w:vAlign w:val="top"/>
          </w:tcPr>
          <w:p>
            <w:pPr>
              <w:rPr>
                <w:rFonts w:ascii="Arial"/>
                <w:color w:val="auto"/>
                <w:sz w:val="21"/>
                <w:highlight w:val="none"/>
              </w:rPr>
            </w:pPr>
          </w:p>
        </w:tc>
        <w:tc>
          <w:tcPr>
            <w:tcW w:w="650" w:type="dxa"/>
            <w:vAlign w:val="top"/>
          </w:tcPr>
          <w:p>
            <w:pPr>
              <w:rPr>
                <w:rFonts w:ascii="Arial"/>
                <w:color w:val="auto"/>
                <w:sz w:val="21"/>
                <w:highlight w:val="none"/>
              </w:rPr>
            </w:pPr>
          </w:p>
        </w:tc>
        <w:tc>
          <w:tcPr>
            <w:tcW w:w="870" w:type="dxa"/>
            <w:vAlign w:val="top"/>
          </w:tcPr>
          <w:p>
            <w:pPr>
              <w:rPr>
                <w:rFonts w:ascii="Arial"/>
                <w:color w:val="auto"/>
                <w:sz w:val="21"/>
                <w:highlight w:val="none"/>
              </w:rPr>
            </w:pPr>
          </w:p>
        </w:tc>
        <w:tc>
          <w:tcPr>
            <w:tcW w:w="832"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580"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707" w:type="dxa"/>
            <w:vAlign w:val="top"/>
          </w:tcPr>
          <w:p>
            <w:pPr>
              <w:rPr>
                <w:rFonts w:ascii="Arial"/>
                <w:color w:val="auto"/>
                <w:sz w:val="21"/>
                <w:highlight w:val="none"/>
              </w:rPr>
            </w:pPr>
          </w:p>
        </w:tc>
        <w:tc>
          <w:tcPr>
            <w:tcW w:w="705" w:type="dxa"/>
            <w:vAlign w:val="top"/>
          </w:tcPr>
          <w:p>
            <w:pPr>
              <w:rPr>
                <w:rFonts w:ascii="Arial"/>
                <w:color w:val="auto"/>
                <w:sz w:val="21"/>
                <w:highlight w:val="none"/>
              </w:rPr>
            </w:pPr>
          </w:p>
        </w:tc>
        <w:tc>
          <w:tcPr>
            <w:tcW w:w="724" w:type="dxa"/>
            <w:vAlign w:val="top"/>
          </w:tcPr>
          <w:p>
            <w:pPr>
              <w:rPr>
                <w:rFonts w:ascii="Arial"/>
                <w:color w:val="auto"/>
                <w:sz w:val="21"/>
                <w:highlight w:val="none"/>
              </w:rPr>
            </w:pPr>
          </w:p>
        </w:tc>
        <w:tc>
          <w:tcPr>
            <w:tcW w:w="688" w:type="dxa"/>
            <w:vAlign w:val="top"/>
          </w:tcPr>
          <w:p>
            <w:pPr>
              <w:rPr>
                <w:rFonts w:ascii="Arial"/>
                <w:color w:val="auto"/>
                <w:sz w:val="21"/>
                <w:highlight w:val="none"/>
              </w:rPr>
            </w:pPr>
          </w:p>
        </w:tc>
        <w:tc>
          <w:tcPr>
            <w:tcW w:w="633" w:type="dxa"/>
            <w:vAlign w:val="top"/>
          </w:tcPr>
          <w:p>
            <w:pPr>
              <w:rPr>
                <w:rFonts w:ascii="Arial"/>
                <w:color w:val="auto"/>
                <w:sz w:val="21"/>
                <w:highlight w:val="none"/>
              </w:rPr>
            </w:pPr>
          </w:p>
        </w:tc>
        <w:tc>
          <w:tcPr>
            <w:tcW w:w="813"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53" w:type="dxa"/>
            <w:tcBorders>
              <w:left w:val="single" w:color="000000" w:sz="6" w:space="0"/>
              <w:bottom w:val="single" w:color="000000" w:sz="6" w:space="0"/>
            </w:tcBorders>
            <w:vAlign w:val="top"/>
          </w:tcPr>
          <w:p>
            <w:pPr>
              <w:rPr>
                <w:rFonts w:ascii="Arial"/>
                <w:color w:val="auto"/>
                <w:sz w:val="21"/>
                <w:highlight w:val="none"/>
              </w:rPr>
            </w:pPr>
          </w:p>
        </w:tc>
        <w:tc>
          <w:tcPr>
            <w:tcW w:w="2283" w:type="dxa"/>
            <w:tcBorders>
              <w:bottom w:val="single" w:color="000000" w:sz="6" w:space="0"/>
            </w:tcBorders>
            <w:vAlign w:val="top"/>
          </w:tcPr>
          <w:p>
            <w:pPr>
              <w:rPr>
                <w:rFonts w:ascii="Arial"/>
                <w:color w:val="auto"/>
                <w:sz w:val="21"/>
                <w:highlight w:val="none"/>
              </w:rPr>
            </w:pPr>
          </w:p>
        </w:tc>
        <w:tc>
          <w:tcPr>
            <w:tcW w:w="1285" w:type="dxa"/>
            <w:tcBorders>
              <w:bottom w:val="single" w:color="000000" w:sz="6" w:space="0"/>
            </w:tcBorders>
            <w:vAlign w:val="top"/>
          </w:tcPr>
          <w:p>
            <w:pPr>
              <w:rPr>
                <w:rFonts w:ascii="Arial"/>
                <w:color w:val="auto"/>
                <w:sz w:val="21"/>
                <w:highlight w:val="none"/>
              </w:rPr>
            </w:pPr>
          </w:p>
        </w:tc>
        <w:tc>
          <w:tcPr>
            <w:tcW w:w="851" w:type="dxa"/>
            <w:tcBorders>
              <w:bottom w:val="single" w:color="000000" w:sz="6" w:space="0"/>
            </w:tcBorders>
            <w:vAlign w:val="top"/>
          </w:tcPr>
          <w:p>
            <w:pPr>
              <w:rPr>
                <w:rFonts w:ascii="Arial"/>
                <w:color w:val="auto"/>
                <w:sz w:val="21"/>
                <w:highlight w:val="none"/>
              </w:rPr>
            </w:pPr>
          </w:p>
        </w:tc>
        <w:tc>
          <w:tcPr>
            <w:tcW w:w="650" w:type="dxa"/>
            <w:tcBorders>
              <w:bottom w:val="single" w:color="000000" w:sz="6" w:space="0"/>
            </w:tcBorders>
            <w:vAlign w:val="top"/>
          </w:tcPr>
          <w:p>
            <w:pPr>
              <w:rPr>
                <w:rFonts w:ascii="Arial"/>
                <w:color w:val="auto"/>
                <w:sz w:val="21"/>
                <w:highlight w:val="none"/>
              </w:rPr>
            </w:pPr>
          </w:p>
        </w:tc>
        <w:tc>
          <w:tcPr>
            <w:tcW w:w="870" w:type="dxa"/>
            <w:tcBorders>
              <w:bottom w:val="single" w:color="000000" w:sz="6" w:space="0"/>
            </w:tcBorders>
            <w:vAlign w:val="top"/>
          </w:tcPr>
          <w:p>
            <w:pPr>
              <w:rPr>
                <w:rFonts w:ascii="Arial"/>
                <w:color w:val="auto"/>
                <w:sz w:val="21"/>
                <w:highlight w:val="none"/>
              </w:rPr>
            </w:pPr>
          </w:p>
        </w:tc>
        <w:tc>
          <w:tcPr>
            <w:tcW w:w="832" w:type="dxa"/>
            <w:tcBorders>
              <w:bottom w:val="single" w:color="000000" w:sz="6" w:space="0"/>
            </w:tcBorders>
            <w:vAlign w:val="top"/>
          </w:tcPr>
          <w:p>
            <w:pPr>
              <w:rPr>
                <w:rFonts w:ascii="Arial"/>
                <w:color w:val="auto"/>
                <w:sz w:val="21"/>
                <w:highlight w:val="none"/>
              </w:rPr>
            </w:pPr>
          </w:p>
        </w:tc>
        <w:tc>
          <w:tcPr>
            <w:tcW w:w="724" w:type="dxa"/>
            <w:tcBorders>
              <w:bottom w:val="single" w:color="000000" w:sz="6" w:space="0"/>
            </w:tcBorders>
            <w:vAlign w:val="top"/>
          </w:tcPr>
          <w:p>
            <w:pPr>
              <w:rPr>
                <w:rFonts w:ascii="Arial"/>
                <w:color w:val="auto"/>
                <w:sz w:val="21"/>
                <w:highlight w:val="none"/>
              </w:rPr>
            </w:pPr>
          </w:p>
        </w:tc>
        <w:tc>
          <w:tcPr>
            <w:tcW w:w="580" w:type="dxa"/>
            <w:tcBorders>
              <w:bottom w:val="single" w:color="000000" w:sz="6" w:space="0"/>
            </w:tcBorders>
            <w:vAlign w:val="top"/>
          </w:tcPr>
          <w:p>
            <w:pPr>
              <w:rPr>
                <w:rFonts w:ascii="Arial"/>
                <w:color w:val="auto"/>
                <w:sz w:val="21"/>
                <w:highlight w:val="none"/>
              </w:rPr>
            </w:pPr>
          </w:p>
        </w:tc>
        <w:tc>
          <w:tcPr>
            <w:tcW w:w="633" w:type="dxa"/>
            <w:tcBorders>
              <w:bottom w:val="single" w:color="000000" w:sz="6" w:space="0"/>
            </w:tcBorders>
            <w:vAlign w:val="top"/>
          </w:tcPr>
          <w:p>
            <w:pPr>
              <w:rPr>
                <w:rFonts w:ascii="Arial"/>
                <w:color w:val="auto"/>
                <w:sz w:val="21"/>
                <w:highlight w:val="none"/>
              </w:rPr>
            </w:pPr>
          </w:p>
        </w:tc>
        <w:tc>
          <w:tcPr>
            <w:tcW w:w="707" w:type="dxa"/>
            <w:tcBorders>
              <w:bottom w:val="single" w:color="000000" w:sz="6" w:space="0"/>
            </w:tcBorders>
            <w:vAlign w:val="top"/>
          </w:tcPr>
          <w:p>
            <w:pPr>
              <w:rPr>
                <w:rFonts w:ascii="Arial"/>
                <w:color w:val="auto"/>
                <w:sz w:val="21"/>
                <w:highlight w:val="none"/>
              </w:rPr>
            </w:pPr>
          </w:p>
        </w:tc>
        <w:tc>
          <w:tcPr>
            <w:tcW w:w="705" w:type="dxa"/>
            <w:tcBorders>
              <w:bottom w:val="single" w:color="000000" w:sz="6" w:space="0"/>
            </w:tcBorders>
            <w:vAlign w:val="top"/>
          </w:tcPr>
          <w:p>
            <w:pPr>
              <w:rPr>
                <w:rFonts w:ascii="Arial"/>
                <w:color w:val="auto"/>
                <w:sz w:val="21"/>
                <w:highlight w:val="none"/>
              </w:rPr>
            </w:pPr>
          </w:p>
        </w:tc>
        <w:tc>
          <w:tcPr>
            <w:tcW w:w="724" w:type="dxa"/>
            <w:tcBorders>
              <w:bottom w:val="single" w:color="000000" w:sz="6" w:space="0"/>
            </w:tcBorders>
            <w:vAlign w:val="top"/>
          </w:tcPr>
          <w:p>
            <w:pPr>
              <w:rPr>
                <w:rFonts w:ascii="Arial"/>
                <w:color w:val="auto"/>
                <w:sz w:val="21"/>
                <w:highlight w:val="none"/>
              </w:rPr>
            </w:pPr>
          </w:p>
        </w:tc>
        <w:tc>
          <w:tcPr>
            <w:tcW w:w="688" w:type="dxa"/>
            <w:tcBorders>
              <w:bottom w:val="single" w:color="000000" w:sz="6" w:space="0"/>
            </w:tcBorders>
            <w:vAlign w:val="top"/>
          </w:tcPr>
          <w:p>
            <w:pPr>
              <w:rPr>
                <w:rFonts w:ascii="Arial"/>
                <w:color w:val="auto"/>
                <w:sz w:val="21"/>
                <w:highlight w:val="none"/>
              </w:rPr>
            </w:pPr>
          </w:p>
        </w:tc>
        <w:tc>
          <w:tcPr>
            <w:tcW w:w="633" w:type="dxa"/>
            <w:tcBorders>
              <w:bottom w:val="single" w:color="000000" w:sz="6" w:space="0"/>
            </w:tcBorders>
            <w:vAlign w:val="top"/>
          </w:tcPr>
          <w:p>
            <w:pPr>
              <w:rPr>
                <w:rFonts w:ascii="Arial"/>
                <w:color w:val="auto"/>
                <w:sz w:val="21"/>
                <w:highlight w:val="none"/>
              </w:rPr>
            </w:pPr>
          </w:p>
        </w:tc>
        <w:tc>
          <w:tcPr>
            <w:tcW w:w="813" w:type="dxa"/>
            <w:tcBorders>
              <w:bottom w:val="single" w:color="000000" w:sz="6" w:space="0"/>
              <w:right w:val="single" w:color="000000" w:sz="6" w:space="0"/>
            </w:tcBorders>
            <w:vAlign w:val="top"/>
          </w:tcPr>
          <w:p>
            <w:pPr>
              <w:rPr>
                <w:rFonts w:ascii="Arial"/>
                <w:color w:val="auto"/>
                <w:sz w:val="21"/>
                <w:highlight w:val="none"/>
              </w:rPr>
            </w:pPr>
          </w:p>
        </w:tc>
      </w:tr>
    </w:tbl>
    <w:p>
      <w:pPr>
        <w:spacing w:before="54" w:line="220" w:lineRule="auto"/>
        <w:ind w:left="10838"/>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277" w:line="220" w:lineRule="auto"/>
        <w:ind w:left="10568"/>
        <w:rPr>
          <w:rFonts w:ascii="宋体" w:hAnsi="宋体" w:eastAsia="宋体" w:cs="宋体"/>
          <w:color w:val="auto"/>
          <w:sz w:val="18"/>
          <w:szCs w:val="18"/>
          <w:highlight w:val="none"/>
        </w:rPr>
      </w:pPr>
      <w:r>
        <w:rPr>
          <w:rFonts w:ascii="宋体" w:hAnsi="宋体" w:eastAsia="宋体" w:cs="宋体"/>
          <w:color w:val="auto"/>
          <w:spacing w:val="-10"/>
          <w:sz w:val="18"/>
          <w:szCs w:val="18"/>
          <w:highlight w:val="none"/>
        </w:rPr>
        <w:t>（或委托代理人</w:t>
      </w:r>
      <w:r>
        <w:rPr>
          <w:rFonts w:ascii="宋体" w:hAnsi="宋体" w:eastAsia="宋体" w:cs="宋体"/>
          <w:color w:val="auto"/>
          <w:spacing w:val="-19"/>
          <w:sz w:val="18"/>
          <w:szCs w:val="18"/>
          <w:highlight w:val="none"/>
        </w:rPr>
        <w:t>）：</w:t>
      </w:r>
      <w:r>
        <w:rPr>
          <w:rFonts w:ascii="宋体" w:hAnsi="宋体" w:eastAsia="宋体" w:cs="宋体"/>
          <w:color w:val="auto"/>
          <w:spacing w:val="42"/>
          <w:sz w:val="18"/>
          <w:szCs w:val="18"/>
          <w:highlight w:val="none"/>
        </w:rPr>
        <w:t xml:space="preserve"> </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19"/>
          <w:sz w:val="18"/>
          <w:szCs w:val="18"/>
          <w:highlight w:val="none"/>
        </w:rPr>
        <w:t>（</w:t>
      </w:r>
      <w:r>
        <w:rPr>
          <w:rFonts w:ascii="宋体" w:hAnsi="宋体" w:eastAsia="宋体" w:cs="宋体"/>
          <w:color w:val="auto"/>
          <w:spacing w:val="-10"/>
          <w:sz w:val="18"/>
          <w:szCs w:val="18"/>
          <w:highlight w:val="none"/>
        </w:rPr>
        <w:t>签字）</w:t>
      </w:r>
    </w:p>
    <w:p>
      <w:pPr>
        <w:spacing w:line="220" w:lineRule="auto"/>
        <w:rPr>
          <w:rFonts w:ascii="宋体" w:hAnsi="宋体" w:eastAsia="宋体" w:cs="宋体"/>
          <w:color w:val="auto"/>
          <w:sz w:val="18"/>
          <w:szCs w:val="18"/>
          <w:highlight w:val="none"/>
        </w:rPr>
        <w:sectPr>
          <w:footerReference r:id="rId97" w:type="default"/>
          <w:pgSz w:w="16841" w:h="11907"/>
          <w:pgMar w:top="400" w:right="1514" w:bottom="1002" w:left="1579" w:header="0" w:footer="828" w:gutter="0"/>
          <w:pgNumType w:fmt="numberInDash"/>
          <w:cols w:space="720" w:num="1"/>
        </w:sectPr>
      </w:pPr>
    </w:p>
    <w:p>
      <w:pPr>
        <w:pStyle w:val="2"/>
        <w:spacing w:line="265" w:lineRule="auto"/>
        <w:rPr>
          <w:color w:val="auto"/>
          <w:highlight w:val="none"/>
        </w:rPr>
      </w:pPr>
    </w:p>
    <w:p>
      <w:pPr>
        <w:pStyle w:val="2"/>
        <w:spacing w:line="265"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7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3.21 </w:t>
      </w:r>
      <w:r>
        <w:rPr>
          <w:rFonts w:ascii="黑体" w:hAnsi="黑体" w:eastAsia="黑体" w:cs="黑体"/>
          <w:color w:val="auto"/>
          <w:spacing w:val="-1"/>
          <w:sz w:val="24"/>
          <w:szCs w:val="24"/>
          <w:highlight w:val="none"/>
        </w:rPr>
        <w:t>招标人提供施工设备表</w:t>
      </w:r>
    </w:p>
    <w:p>
      <w:pPr>
        <w:spacing w:before="302" w:line="219" w:lineRule="auto"/>
        <w:ind w:left="2516"/>
        <w:rPr>
          <w:rFonts w:ascii="宋体" w:hAnsi="宋体" w:eastAsia="宋体" w:cs="宋体"/>
          <w:color w:val="auto"/>
          <w:sz w:val="40"/>
          <w:szCs w:val="40"/>
          <w:highlight w:val="none"/>
        </w:rPr>
      </w:pPr>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招标人提供施工设备表</w:t>
      </w:r>
    </w:p>
    <w:p>
      <w:pPr>
        <w:spacing w:before="15" w:line="259" w:lineRule="exact"/>
        <w:ind w:left="126"/>
        <w:rPr>
          <w:rFonts w:ascii="宋体" w:hAnsi="宋体" w:eastAsia="宋体" w:cs="宋体"/>
          <w:color w:val="auto"/>
          <w:sz w:val="19"/>
          <w:szCs w:val="19"/>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4568825</wp:posOffset>
                </wp:positionH>
                <wp:positionV relativeFrom="paragraph">
                  <wp:posOffset>161290</wp:posOffset>
                </wp:positionV>
                <wp:extent cx="1037590" cy="1752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037590" cy="175260"/>
                        </a:xfrm>
                        <a:prstGeom prst="rect">
                          <a:avLst/>
                        </a:prstGeom>
                        <a:noFill/>
                        <a:ln>
                          <a:noFill/>
                        </a:ln>
                      </wps:spPr>
                      <wps:txbx>
                        <w:txbxContent>
                          <w:p>
                            <w:pPr>
                              <w:spacing w:before="20" w:line="228" w:lineRule="auto"/>
                              <w:ind w:left="20"/>
                              <w:rPr>
                                <w:rFonts w:ascii="宋体" w:hAnsi="宋体" w:eastAsia="宋体" w:cs="宋体"/>
                                <w:sz w:val="19"/>
                                <w:szCs w:val="19"/>
                              </w:rPr>
                            </w:pPr>
                            <w:r>
                              <w:rPr>
                                <w:rFonts w:ascii="宋体" w:hAnsi="宋体" w:eastAsia="宋体" w:cs="宋体"/>
                                <w:spacing w:val="-3"/>
                                <w:sz w:val="19"/>
                                <w:szCs w:val="19"/>
                              </w:rPr>
                              <w:t>第</w:t>
                            </w:r>
                            <w:r>
                              <w:rPr>
                                <w:rFonts w:ascii="宋体" w:hAnsi="宋体" w:eastAsia="宋体" w:cs="宋体"/>
                                <w:spacing w:val="29"/>
                                <w:sz w:val="19"/>
                                <w:szCs w:val="19"/>
                              </w:rPr>
                              <w:t xml:space="preserve"> </w:t>
                            </w:r>
                            <w:r>
                              <w:rPr>
                                <w:rFonts w:ascii="宋体" w:hAnsi="宋体" w:eastAsia="宋体" w:cs="宋体"/>
                                <w:spacing w:val="-3"/>
                                <w:sz w:val="19"/>
                                <w:szCs w:val="19"/>
                              </w:rPr>
                              <w:t>1</w:t>
                            </w:r>
                            <w:r>
                              <w:rPr>
                                <w:rFonts w:ascii="宋体" w:hAnsi="宋体" w:eastAsia="宋体" w:cs="宋体"/>
                                <w:spacing w:val="20"/>
                                <w:sz w:val="19"/>
                                <w:szCs w:val="19"/>
                              </w:rPr>
                              <w:t xml:space="preserve"> </w:t>
                            </w:r>
                            <w:r>
                              <w:rPr>
                                <w:rFonts w:ascii="宋体" w:hAnsi="宋体" w:eastAsia="宋体" w:cs="宋体"/>
                                <w:spacing w:val="-3"/>
                                <w:sz w:val="19"/>
                                <w:szCs w:val="19"/>
                              </w:rPr>
                              <w:t>页、共</w:t>
                            </w:r>
                            <w:r>
                              <w:rPr>
                                <w:rFonts w:ascii="宋体" w:hAnsi="宋体" w:eastAsia="宋体" w:cs="宋体"/>
                                <w:spacing w:val="28"/>
                                <w:sz w:val="19"/>
                                <w:szCs w:val="19"/>
                              </w:rPr>
                              <w:t xml:space="preserve"> </w:t>
                            </w:r>
                            <w:r>
                              <w:rPr>
                                <w:rFonts w:ascii="宋体" w:hAnsi="宋体" w:eastAsia="宋体" w:cs="宋体"/>
                                <w:spacing w:val="-3"/>
                                <w:sz w:val="19"/>
                                <w:szCs w:val="19"/>
                              </w:rPr>
                              <w:t>1</w:t>
                            </w:r>
                            <w:r>
                              <w:rPr>
                                <w:rFonts w:ascii="宋体" w:hAnsi="宋体" w:eastAsia="宋体" w:cs="宋体"/>
                                <w:spacing w:val="19"/>
                                <w:sz w:val="19"/>
                                <w:szCs w:val="19"/>
                              </w:rPr>
                              <w:t xml:space="preserve"> </w:t>
                            </w:r>
                            <w:r>
                              <w:rPr>
                                <w:rFonts w:ascii="宋体" w:hAnsi="宋体" w:eastAsia="宋体" w:cs="宋体"/>
                                <w:spacing w:val="-3"/>
                                <w:sz w:val="19"/>
                                <w:szCs w:val="19"/>
                              </w:rPr>
                              <w:t>页</w:t>
                            </w:r>
                          </w:p>
                        </w:txbxContent>
                      </wps:txbx>
                      <wps:bodyPr lIns="0" tIns="0" rIns="0" bIns="0" upright="1"/>
                    </wps:wsp>
                  </a:graphicData>
                </a:graphic>
              </wp:anchor>
            </w:drawing>
          </mc:Choice>
          <mc:Fallback>
            <w:pict>
              <v:shape id="_x0000_s1026" o:spid="_x0000_s1026" o:spt="202" type="#_x0000_t202" style="position:absolute;left:0pt;margin-left:359.75pt;margin-top:12.7pt;height:13.8pt;width:81.7pt;z-index:251668480;mso-width-relative:page;mso-height-relative:page;" filled="f" stroked="f" coordsize="21600,21600" o:gfxdata="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J5jtrZAAAACQEAAA8AAAAAAAAAAQAgAAAAIgAAAGRycy9kb3ducmV2LnhtbFBL&#10;AQIUABQAAAAIAIdO4kD98lnvvAEAAHQDAAAOAAAAAAAAAAEAIAAAACgBAABkcnMvZTJvRG9jLnht&#10;bFBLBQYAAAAABgAGAFkBAABWBQAAAAA=&#10;">
                <v:fill on="f" focussize="0,0"/>
                <v:stroke on="f"/>
                <v:imagedata o:title=""/>
                <o:lock v:ext="edit" aspectratio="f"/>
                <v:textbox inset="0mm,0mm,0mm,0mm">
                  <w:txbxContent>
                    <w:p>
                      <w:pPr>
                        <w:spacing w:before="20" w:line="228" w:lineRule="auto"/>
                        <w:ind w:left="20"/>
                        <w:rPr>
                          <w:rFonts w:ascii="宋体" w:hAnsi="宋体" w:eastAsia="宋体" w:cs="宋体"/>
                          <w:sz w:val="19"/>
                          <w:szCs w:val="19"/>
                        </w:rPr>
                      </w:pPr>
                      <w:r>
                        <w:rPr>
                          <w:rFonts w:ascii="宋体" w:hAnsi="宋体" w:eastAsia="宋体" w:cs="宋体"/>
                          <w:spacing w:val="-3"/>
                          <w:sz w:val="19"/>
                          <w:szCs w:val="19"/>
                        </w:rPr>
                        <w:t>第</w:t>
                      </w:r>
                      <w:r>
                        <w:rPr>
                          <w:rFonts w:ascii="宋体" w:hAnsi="宋体" w:eastAsia="宋体" w:cs="宋体"/>
                          <w:spacing w:val="29"/>
                          <w:sz w:val="19"/>
                          <w:szCs w:val="19"/>
                        </w:rPr>
                        <w:t xml:space="preserve"> </w:t>
                      </w:r>
                      <w:r>
                        <w:rPr>
                          <w:rFonts w:ascii="宋体" w:hAnsi="宋体" w:eastAsia="宋体" w:cs="宋体"/>
                          <w:spacing w:val="-3"/>
                          <w:sz w:val="19"/>
                          <w:szCs w:val="19"/>
                        </w:rPr>
                        <w:t>1</w:t>
                      </w:r>
                      <w:r>
                        <w:rPr>
                          <w:rFonts w:ascii="宋体" w:hAnsi="宋体" w:eastAsia="宋体" w:cs="宋体"/>
                          <w:spacing w:val="20"/>
                          <w:sz w:val="19"/>
                          <w:szCs w:val="19"/>
                        </w:rPr>
                        <w:t xml:space="preserve"> </w:t>
                      </w:r>
                      <w:r>
                        <w:rPr>
                          <w:rFonts w:ascii="宋体" w:hAnsi="宋体" w:eastAsia="宋体" w:cs="宋体"/>
                          <w:spacing w:val="-3"/>
                          <w:sz w:val="19"/>
                          <w:szCs w:val="19"/>
                        </w:rPr>
                        <w:t>页、共</w:t>
                      </w:r>
                      <w:r>
                        <w:rPr>
                          <w:rFonts w:ascii="宋体" w:hAnsi="宋体" w:eastAsia="宋体" w:cs="宋体"/>
                          <w:spacing w:val="28"/>
                          <w:sz w:val="19"/>
                          <w:szCs w:val="19"/>
                        </w:rPr>
                        <w:t xml:space="preserve"> </w:t>
                      </w:r>
                      <w:r>
                        <w:rPr>
                          <w:rFonts w:ascii="宋体" w:hAnsi="宋体" w:eastAsia="宋体" w:cs="宋体"/>
                          <w:spacing w:val="-3"/>
                          <w:sz w:val="19"/>
                          <w:szCs w:val="19"/>
                        </w:rPr>
                        <w:t>1</w:t>
                      </w:r>
                      <w:r>
                        <w:rPr>
                          <w:rFonts w:ascii="宋体" w:hAnsi="宋体" w:eastAsia="宋体" w:cs="宋体"/>
                          <w:spacing w:val="19"/>
                          <w:sz w:val="19"/>
                          <w:szCs w:val="19"/>
                        </w:rPr>
                        <w:t xml:space="preserve"> </w:t>
                      </w:r>
                      <w:r>
                        <w:rPr>
                          <w:rFonts w:ascii="宋体" w:hAnsi="宋体" w:eastAsia="宋体" w:cs="宋体"/>
                          <w:spacing w:val="-3"/>
                          <w:sz w:val="19"/>
                          <w:szCs w:val="19"/>
                        </w:rPr>
                        <w:t>页</w:t>
                      </w:r>
                    </w:p>
                  </w:txbxContent>
                </v:textbox>
              </v:shape>
            </w:pict>
          </mc:Fallback>
        </mc:AlternateContent>
      </w:r>
      <w:r>
        <w:rPr>
          <w:rFonts w:ascii="宋体" w:hAnsi="宋体" w:eastAsia="宋体" w:cs="宋体"/>
          <w:color w:val="auto"/>
          <w:spacing w:val="5"/>
          <w:position w:val="4"/>
          <w:sz w:val="19"/>
          <w:szCs w:val="19"/>
          <w:highlight w:val="none"/>
        </w:rPr>
        <w:t>合同编号：</w:t>
      </w:r>
    </w:p>
    <w:p>
      <w:pPr>
        <w:spacing w:line="222" w:lineRule="auto"/>
        <w:ind w:left="127"/>
        <w:rPr>
          <w:rFonts w:ascii="宋体" w:hAnsi="宋体" w:eastAsia="宋体" w:cs="宋体"/>
          <w:color w:val="auto"/>
          <w:sz w:val="19"/>
          <w:szCs w:val="19"/>
          <w:highlight w:val="none"/>
        </w:rPr>
      </w:pPr>
      <w:r>
        <w:rPr>
          <w:rFonts w:ascii="宋体" w:hAnsi="宋体" w:eastAsia="宋体" w:cs="宋体"/>
          <w:color w:val="auto"/>
          <w:spacing w:val="5"/>
          <w:sz w:val="19"/>
          <w:szCs w:val="19"/>
          <w:highlight w:val="none"/>
        </w:rPr>
        <w:t>工程名称：</w:t>
      </w:r>
    </w:p>
    <w:tbl>
      <w:tblPr>
        <w:tblStyle w:val="9"/>
        <w:tblW w:w="900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0"/>
        <w:gridCol w:w="961"/>
        <w:gridCol w:w="1618"/>
        <w:gridCol w:w="623"/>
        <w:gridCol w:w="1018"/>
        <w:gridCol w:w="810"/>
        <w:gridCol w:w="994"/>
        <w:gridCol w:w="952"/>
        <w:gridCol w:w="10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70" w:type="dxa"/>
            <w:tcBorders>
              <w:top w:val="single" w:color="000000" w:sz="6" w:space="0"/>
              <w:left w:val="single" w:color="000000" w:sz="6" w:space="0"/>
            </w:tcBorders>
            <w:vAlign w:val="top"/>
          </w:tcPr>
          <w:p>
            <w:pPr>
              <w:pStyle w:val="10"/>
              <w:spacing w:before="166" w:line="230" w:lineRule="auto"/>
              <w:ind w:left="282"/>
              <w:rPr>
                <w:color w:val="auto"/>
                <w:sz w:val="19"/>
                <w:szCs w:val="19"/>
                <w:highlight w:val="none"/>
              </w:rPr>
            </w:pPr>
            <w:r>
              <w:rPr>
                <w:color w:val="auto"/>
                <w:spacing w:val="5"/>
                <w:sz w:val="19"/>
                <w:szCs w:val="19"/>
                <w:highlight w:val="none"/>
              </w:rPr>
              <w:t>序号</w:t>
            </w:r>
          </w:p>
        </w:tc>
        <w:tc>
          <w:tcPr>
            <w:tcW w:w="961" w:type="dxa"/>
            <w:tcBorders>
              <w:top w:val="single" w:color="000000" w:sz="6" w:space="0"/>
            </w:tcBorders>
            <w:vAlign w:val="top"/>
          </w:tcPr>
          <w:p>
            <w:pPr>
              <w:pStyle w:val="10"/>
              <w:spacing w:before="167" w:line="228" w:lineRule="auto"/>
              <w:ind w:left="282"/>
              <w:rPr>
                <w:color w:val="auto"/>
                <w:sz w:val="19"/>
                <w:szCs w:val="19"/>
                <w:highlight w:val="none"/>
              </w:rPr>
            </w:pPr>
            <w:r>
              <w:rPr>
                <w:color w:val="auto"/>
                <w:spacing w:val="4"/>
                <w:sz w:val="19"/>
                <w:szCs w:val="19"/>
                <w:highlight w:val="none"/>
              </w:rPr>
              <w:t>编码</w:t>
            </w:r>
          </w:p>
        </w:tc>
        <w:tc>
          <w:tcPr>
            <w:tcW w:w="1618" w:type="dxa"/>
            <w:tcBorders>
              <w:top w:val="single" w:color="000000" w:sz="6" w:space="0"/>
            </w:tcBorders>
            <w:vAlign w:val="top"/>
          </w:tcPr>
          <w:p>
            <w:pPr>
              <w:pStyle w:val="10"/>
              <w:spacing w:before="166" w:line="230" w:lineRule="auto"/>
              <w:ind w:left="415"/>
              <w:rPr>
                <w:color w:val="auto"/>
                <w:sz w:val="19"/>
                <w:szCs w:val="19"/>
                <w:highlight w:val="none"/>
              </w:rPr>
            </w:pPr>
            <w:r>
              <w:rPr>
                <w:color w:val="auto"/>
                <w:spacing w:val="6"/>
                <w:sz w:val="19"/>
                <w:szCs w:val="19"/>
                <w:highlight w:val="none"/>
              </w:rPr>
              <w:t>设备名称</w:t>
            </w:r>
          </w:p>
        </w:tc>
        <w:tc>
          <w:tcPr>
            <w:tcW w:w="623" w:type="dxa"/>
            <w:tcBorders>
              <w:top w:val="single" w:color="000000" w:sz="6" w:space="0"/>
            </w:tcBorders>
            <w:vAlign w:val="top"/>
          </w:tcPr>
          <w:p>
            <w:pPr>
              <w:pStyle w:val="10"/>
              <w:spacing w:before="37" w:line="234" w:lineRule="auto"/>
              <w:ind w:left="114" w:right="113" w:firstLine="5"/>
              <w:rPr>
                <w:color w:val="auto"/>
                <w:sz w:val="19"/>
                <w:szCs w:val="19"/>
                <w:highlight w:val="none"/>
              </w:rPr>
            </w:pPr>
            <w:r>
              <w:rPr>
                <w:color w:val="auto"/>
                <w:spacing w:val="2"/>
                <w:sz w:val="19"/>
                <w:szCs w:val="19"/>
                <w:highlight w:val="none"/>
              </w:rPr>
              <w:t>型号</w:t>
            </w:r>
            <w:r>
              <w:rPr>
                <w:color w:val="auto"/>
                <w:sz w:val="19"/>
                <w:szCs w:val="19"/>
                <w:highlight w:val="none"/>
              </w:rPr>
              <w:t xml:space="preserve"> </w:t>
            </w:r>
            <w:r>
              <w:rPr>
                <w:color w:val="auto"/>
                <w:spacing w:val="4"/>
                <w:sz w:val="19"/>
                <w:szCs w:val="19"/>
                <w:highlight w:val="none"/>
              </w:rPr>
              <w:t>规格</w:t>
            </w:r>
          </w:p>
        </w:tc>
        <w:tc>
          <w:tcPr>
            <w:tcW w:w="1018" w:type="dxa"/>
            <w:tcBorders>
              <w:top w:val="single" w:color="000000" w:sz="6" w:space="0"/>
            </w:tcBorders>
            <w:vAlign w:val="top"/>
          </w:tcPr>
          <w:p>
            <w:pPr>
              <w:pStyle w:val="10"/>
              <w:spacing w:before="166" w:line="229" w:lineRule="auto"/>
              <w:ind w:left="115"/>
              <w:rPr>
                <w:color w:val="auto"/>
                <w:sz w:val="19"/>
                <w:szCs w:val="19"/>
                <w:highlight w:val="none"/>
              </w:rPr>
            </w:pPr>
            <w:r>
              <w:rPr>
                <w:color w:val="auto"/>
                <w:spacing w:val="7"/>
                <w:sz w:val="19"/>
                <w:szCs w:val="19"/>
                <w:highlight w:val="none"/>
              </w:rPr>
              <w:t>计量单位</w:t>
            </w:r>
          </w:p>
        </w:tc>
        <w:tc>
          <w:tcPr>
            <w:tcW w:w="810" w:type="dxa"/>
            <w:tcBorders>
              <w:top w:val="single" w:color="000000" w:sz="6" w:space="0"/>
            </w:tcBorders>
            <w:vAlign w:val="top"/>
          </w:tcPr>
          <w:p>
            <w:pPr>
              <w:pStyle w:val="10"/>
              <w:spacing w:before="167" w:line="228" w:lineRule="auto"/>
              <w:ind w:left="212"/>
              <w:rPr>
                <w:color w:val="auto"/>
                <w:sz w:val="19"/>
                <w:szCs w:val="19"/>
                <w:highlight w:val="none"/>
              </w:rPr>
            </w:pPr>
            <w:r>
              <w:rPr>
                <w:color w:val="auto"/>
                <w:spacing w:val="4"/>
                <w:sz w:val="19"/>
                <w:szCs w:val="19"/>
                <w:highlight w:val="none"/>
              </w:rPr>
              <w:t>数量</w:t>
            </w:r>
          </w:p>
        </w:tc>
        <w:tc>
          <w:tcPr>
            <w:tcW w:w="994" w:type="dxa"/>
            <w:tcBorders>
              <w:top w:val="single" w:color="000000" w:sz="6" w:space="0"/>
            </w:tcBorders>
            <w:vAlign w:val="top"/>
          </w:tcPr>
          <w:p>
            <w:pPr>
              <w:pStyle w:val="10"/>
              <w:spacing w:before="37" w:line="234" w:lineRule="auto"/>
              <w:ind w:left="410" w:right="191" w:hanging="199"/>
              <w:rPr>
                <w:color w:val="auto"/>
                <w:sz w:val="19"/>
                <w:szCs w:val="19"/>
                <w:highlight w:val="none"/>
              </w:rPr>
            </w:pPr>
            <w:r>
              <w:rPr>
                <w:color w:val="auto"/>
                <w:spacing w:val="5"/>
                <w:sz w:val="19"/>
                <w:szCs w:val="19"/>
                <w:highlight w:val="none"/>
              </w:rPr>
              <w:t>交货方</w:t>
            </w:r>
            <w:r>
              <w:rPr>
                <w:color w:val="auto"/>
                <w:sz w:val="19"/>
                <w:szCs w:val="19"/>
                <w:highlight w:val="none"/>
              </w:rPr>
              <w:t xml:space="preserve"> 式</w:t>
            </w:r>
          </w:p>
        </w:tc>
        <w:tc>
          <w:tcPr>
            <w:tcW w:w="952" w:type="dxa"/>
            <w:tcBorders>
              <w:top w:val="single" w:color="000000" w:sz="6" w:space="0"/>
            </w:tcBorders>
            <w:vAlign w:val="top"/>
          </w:tcPr>
          <w:p>
            <w:pPr>
              <w:pStyle w:val="10"/>
              <w:spacing w:before="37" w:line="234" w:lineRule="auto"/>
              <w:ind w:left="397" w:right="169" w:hanging="211"/>
              <w:rPr>
                <w:color w:val="auto"/>
                <w:sz w:val="19"/>
                <w:szCs w:val="19"/>
                <w:highlight w:val="none"/>
              </w:rPr>
            </w:pPr>
            <w:r>
              <w:rPr>
                <w:color w:val="auto"/>
                <w:spacing w:val="7"/>
                <w:sz w:val="19"/>
                <w:szCs w:val="19"/>
                <w:highlight w:val="none"/>
              </w:rPr>
              <w:t>送达地</w:t>
            </w:r>
            <w:r>
              <w:rPr>
                <w:color w:val="auto"/>
                <w:sz w:val="19"/>
                <w:szCs w:val="19"/>
                <w:highlight w:val="none"/>
              </w:rPr>
              <w:t xml:space="preserve"> 点</w:t>
            </w:r>
          </w:p>
        </w:tc>
        <w:tc>
          <w:tcPr>
            <w:tcW w:w="1054" w:type="dxa"/>
            <w:tcBorders>
              <w:top w:val="single" w:color="000000" w:sz="6" w:space="0"/>
              <w:right w:val="single" w:color="000000" w:sz="6" w:space="0"/>
            </w:tcBorders>
            <w:vAlign w:val="top"/>
          </w:tcPr>
          <w:p>
            <w:pPr>
              <w:pStyle w:val="10"/>
              <w:spacing w:before="166" w:line="230" w:lineRule="auto"/>
              <w:ind w:left="335"/>
              <w:rPr>
                <w:color w:val="auto"/>
                <w:sz w:val="19"/>
                <w:szCs w:val="19"/>
                <w:highlight w:val="none"/>
              </w:rPr>
            </w:pPr>
            <w:r>
              <w:rPr>
                <w:color w:val="auto"/>
                <w:spacing w:val="4"/>
                <w:sz w:val="19"/>
                <w:szCs w:val="19"/>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vAlign w:val="top"/>
          </w:tcPr>
          <w:p>
            <w:pPr>
              <w:rPr>
                <w:rFonts w:ascii="Arial"/>
                <w:color w:val="auto"/>
                <w:sz w:val="21"/>
                <w:highlight w:val="none"/>
              </w:rPr>
            </w:pPr>
          </w:p>
        </w:tc>
        <w:tc>
          <w:tcPr>
            <w:tcW w:w="961" w:type="dxa"/>
            <w:vAlign w:val="top"/>
          </w:tcPr>
          <w:p>
            <w:pPr>
              <w:rPr>
                <w:rFonts w:ascii="Arial"/>
                <w:color w:val="auto"/>
                <w:sz w:val="21"/>
                <w:highlight w:val="none"/>
              </w:rPr>
            </w:pPr>
          </w:p>
        </w:tc>
        <w:tc>
          <w:tcPr>
            <w:tcW w:w="1618" w:type="dxa"/>
            <w:vAlign w:val="top"/>
          </w:tcPr>
          <w:p>
            <w:pPr>
              <w:rPr>
                <w:rFonts w:ascii="Arial"/>
                <w:color w:val="auto"/>
                <w:sz w:val="21"/>
                <w:highlight w:val="none"/>
              </w:rPr>
            </w:pPr>
          </w:p>
        </w:tc>
        <w:tc>
          <w:tcPr>
            <w:tcW w:w="623" w:type="dxa"/>
            <w:vAlign w:val="top"/>
          </w:tcPr>
          <w:p>
            <w:pPr>
              <w:rPr>
                <w:rFonts w:ascii="Arial"/>
                <w:color w:val="auto"/>
                <w:sz w:val="21"/>
                <w:highlight w:val="none"/>
              </w:rPr>
            </w:pPr>
          </w:p>
        </w:tc>
        <w:tc>
          <w:tcPr>
            <w:tcW w:w="1018" w:type="dxa"/>
            <w:vAlign w:val="top"/>
          </w:tcPr>
          <w:p>
            <w:pPr>
              <w:rPr>
                <w:rFonts w:ascii="Arial"/>
                <w:color w:val="auto"/>
                <w:sz w:val="21"/>
                <w:highlight w:val="none"/>
              </w:rPr>
            </w:pPr>
          </w:p>
        </w:tc>
        <w:tc>
          <w:tcPr>
            <w:tcW w:w="810" w:type="dxa"/>
            <w:vAlign w:val="top"/>
          </w:tcPr>
          <w:p>
            <w:pPr>
              <w:rPr>
                <w:rFonts w:ascii="Arial"/>
                <w:color w:val="auto"/>
                <w:sz w:val="21"/>
                <w:highlight w:val="none"/>
              </w:rPr>
            </w:pPr>
          </w:p>
        </w:tc>
        <w:tc>
          <w:tcPr>
            <w:tcW w:w="994" w:type="dxa"/>
            <w:vAlign w:val="top"/>
          </w:tcPr>
          <w:p>
            <w:pPr>
              <w:rPr>
                <w:rFonts w:ascii="Arial"/>
                <w:color w:val="auto"/>
                <w:sz w:val="21"/>
                <w:highlight w:val="none"/>
              </w:rPr>
            </w:pPr>
          </w:p>
        </w:tc>
        <w:tc>
          <w:tcPr>
            <w:tcW w:w="952" w:type="dxa"/>
            <w:vAlign w:val="top"/>
          </w:tcPr>
          <w:p>
            <w:pPr>
              <w:rPr>
                <w:rFonts w:ascii="Arial"/>
                <w:color w:val="auto"/>
                <w:sz w:val="21"/>
                <w:highlight w:val="none"/>
              </w:rPr>
            </w:pPr>
          </w:p>
        </w:tc>
        <w:tc>
          <w:tcPr>
            <w:tcW w:w="1054"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70" w:type="dxa"/>
            <w:tcBorders>
              <w:left w:val="single" w:color="000000" w:sz="6" w:space="0"/>
              <w:bottom w:val="single" w:color="000000" w:sz="6" w:space="0"/>
            </w:tcBorders>
            <w:vAlign w:val="top"/>
          </w:tcPr>
          <w:p>
            <w:pPr>
              <w:rPr>
                <w:rFonts w:ascii="Arial"/>
                <w:color w:val="auto"/>
                <w:sz w:val="21"/>
                <w:highlight w:val="none"/>
              </w:rPr>
            </w:pPr>
          </w:p>
        </w:tc>
        <w:tc>
          <w:tcPr>
            <w:tcW w:w="961" w:type="dxa"/>
            <w:tcBorders>
              <w:bottom w:val="single" w:color="000000" w:sz="6" w:space="0"/>
            </w:tcBorders>
            <w:vAlign w:val="top"/>
          </w:tcPr>
          <w:p>
            <w:pPr>
              <w:rPr>
                <w:rFonts w:ascii="Arial"/>
                <w:color w:val="auto"/>
                <w:sz w:val="21"/>
                <w:highlight w:val="none"/>
              </w:rPr>
            </w:pPr>
          </w:p>
        </w:tc>
        <w:tc>
          <w:tcPr>
            <w:tcW w:w="1618" w:type="dxa"/>
            <w:tcBorders>
              <w:bottom w:val="single" w:color="000000" w:sz="6" w:space="0"/>
            </w:tcBorders>
            <w:vAlign w:val="top"/>
          </w:tcPr>
          <w:p>
            <w:pPr>
              <w:rPr>
                <w:rFonts w:ascii="Arial"/>
                <w:color w:val="auto"/>
                <w:sz w:val="21"/>
                <w:highlight w:val="none"/>
              </w:rPr>
            </w:pPr>
          </w:p>
        </w:tc>
        <w:tc>
          <w:tcPr>
            <w:tcW w:w="623" w:type="dxa"/>
            <w:tcBorders>
              <w:bottom w:val="single" w:color="000000" w:sz="6" w:space="0"/>
            </w:tcBorders>
            <w:vAlign w:val="top"/>
          </w:tcPr>
          <w:p>
            <w:pPr>
              <w:rPr>
                <w:rFonts w:ascii="Arial"/>
                <w:color w:val="auto"/>
                <w:sz w:val="21"/>
                <w:highlight w:val="none"/>
              </w:rPr>
            </w:pPr>
          </w:p>
        </w:tc>
        <w:tc>
          <w:tcPr>
            <w:tcW w:w="1018" w:type="dxa"/>
            <w:tcBorders>
              <w:bottom w:val="single" w:color="000000" w:sz="6" w:space="0"/>
            </w:tcBorders>
            <w:vAlign w:val="top"/>
          </w:tcPr>
          <w:p>
            <w:pPr>
              <w:rPr>
                <w:rFonts w:ascii="Arial"/>
                <w:color w:val="auto"/>
                <w:sz w:val="21"/>
                <w:highlight w:val="none"/>
              </w:rPr>
            </w:pPr>
          </w:p>
        </w:tc>
        <w:tc>
          <w:tcPr>
            <w:tcW w:w="810" w:type="dxa"/>
            <w:tcBorders>
              <w:bottom w:val="single" w:color="000000" w:sz="6" w:space="0"/>
            </w:tcBorders>
            <w:vAlign w:val="top"/>
          </w:tcPr>
          <w:p>
            <w:pPr>
              <w:rPr>
                <w:rFonts w:ascii="Arial"/>
                <w:color w:val="auto"/>
                <w:sz w:val="21"/>
                <w:highlight w:val="none"/>
              </w:rPr>
            </w:pPr>
          </w:p>
        </w:tc>
        <w:tc>
          <w:tcPr>
            <w:tcW w:w="994" w:type="dxa"/>
            <w:tcBorders>
              <w:bottom w:val="single" w:color="000000" w:sz="6" w:space="0"/>
            </w:tcBorders>
            <w:vAlign w:val="top"/>
          </w:tcPr>
          <w:p>
            <w:pPr>
              <w:rPr>
                <w:rFonts w:ascii="Arial"/>
                <w:color w:val="auto"/>
                <w:sz w:val="21"/>
                <w:highlight w:val="none"/>
              </w:rPr>
            </w:pPr>
          </w:p>
        </w:tc>
        <w:tc>
          <w:tcPr>
            <w:tcW w:w="952" w:type="dxa"/>
            <w:tcBorders>
              <w:bottom w:val="single" w:color="000000" w:sz="6" w:space="0"/>
            </w:tcBorders>
            <w:vAlign w:val="top"/>
          </w:tcPr>
          <w:p>
            <w:pPr>
              <w:rPr>
                <w:rFonts w:ascii="Arial"/>
                <w:color w:val="auto"/>
                <w:sz w:val="21"/>
                <w:highlight w:val="none"/>
              </w:rPr>
            </w:pPr>
          </w:p>
        </w:tc>
        <w:tc>
          <w:tcPr>
            <w:tcW w:w="1054" w:type="dxa"/>
            <w:tcBorders>
              <w:bottom w:val="single" w:color="000000" w:sz="6" w:space="0"/>
              <w:right w:val="single" w:color="000000" w:sz="6" w:space="0"/>
            </w:tcBorders>
            <w:vAlign w:val="top"/>
          </w:tcPr>
          <w:p>
            <w:pPr>
              <w:rPr>
                <w:rFonts w:ascii="Arial"/>
                <w:color w:val="auto"/>
                <w:sz w:val="21"/>
                <w:highlight w:val="none"/>
              </w:rPr>
            </w:pPr>
          </w:p>
        </w:tc>
      </w:tr>
    </w:tbl>
    <w:p>
      <w:pPr>
        <w:spacing w:before="39" w:line="220" w:lineRule="auto"/>
        <w:ind w:left="6308"/>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30" w:line="220" w:lineRule="auto"/>
        <w:ind w:left="6130"/>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7"/>
          <w:sz w:val="18"/>
          <w:szCs w:val="18"/>
          <w:highlight w:val="none"/>
        </w:rPr>
        <w:t>）</w:t>
      </w:r>
      <w:r>
        <w:rPr>
          <w:rFonts w:ascii="宋体" w:hAnsi="宋体" w:eastAsia="宋体" w:cs="宋体"/>
          <w:color w:val="auto"/>
          <w:spacing w:val="25"/>
          <w:w w:val="101"/>
          <w:sz w:val="18"/>
          <w:szCs w:val="18"/>
          <w:highlight w:val="none"/>
        </w:rPr>
        <w:t xml:space="preserve"> </w:t>
      </w:r>
      <w:r>
        <w:rPr>
          <w:rFonts w:ascii="宋体" w:hAnsi="宋体" w:eastAsia="宋体" w:cs="宋体"/>
          <w:color w:val="auto"/>
          <w:spacing w:val="-7"/>
          <w:sz w:val="18"/>
          <w:szCs w:val="18"/>
          <w:highlight w:val="none"/>
        </w:rPr>
        <w:t>：</w:t>
      </w:r>
      <w:r>
        <w:rPr>
          <w:rFonts w:ascii="宋体" w:hAnsi="宋体" w:eastAsia="宋体" w:cs="宋体"/>
          <w:color w:val="auto"/>
          <w:spacing w:val="22"/>
          <w:sz w:val="18"/>
          <w:szCs w:val="18"/>
          <w:highlight w:val="none"/>
          <w:u w:val="single" w:color="auto"/>
        </w:rPr>
        <w:t xml:space="preserve">    </w:t>
      </w:r>
      <w:r>
        <w:rPr>
          <w:rFonts w:ascii="宋体" w:hAnsi="宋体" w:eastAsia="宋体" w:cs="宋体"/>
          <w:color w:val="auto"/>
          <w:spacing w:val="-41"/>
          <w:sz w:val="18"/>
          <w:szCs w:val="18"/>
          <w:highlight w:val="none"/>
        </w:rPr>
        <w:t xml:space="preserve"> </w:t>
      </w:r>
      <w:r>
        <w:rPr>
          <w:rFonts w:ascii="宋体" w:hAnsi="宋体" w:eastAsia="宋体" w:cs="宋体"/>
          <w:color w:val="auto"/>
          <w:spacing w:val="-7"/>
          <w:sz w:val="18"/>
          <w:szCs w:val="18"/>
          <w:highlight w:val="none"/>
        </w:rPr>
        <w:t>（</w:t>
      </w:r>
      <w:r>
        <w:rPr>
          <w:rFonts w:ascii="宋体" w:hAnsi="宋体" w:eastAsia="宋体" w:cs="宋体"/>
          <w:color w:val="auto"/>
          <w:spacing w:val="-2"/>
          <w:sz w:val="18"/>
          <w:szCs w:val="18"/>
          <w:highlight w:val="none"/>
        </w:rPr>
        <w:t>签</w:t>
      </w:r>
    </w:p>
    <w:p>
      <w:pPr>
        <w:spacing w:before="21" w:line="220" w:lineRule="auto"/>
        <w:ind w:left="6126"/>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字）</w:t>
      </w:r>
    </w:p>
    <w:p>
      <w:pPr>
        <w:spacing w:line="220" w:lineRule="auto"/>
        <w:rPr>
          <w:rFonts w:ascii="宋体" w:hAnsi="宋体" w:eastAsia="宋体" w:cs="宋体"/>
          <w:color w:val="auto"/>
          <w:sz w:val="18"/>
          <w:szCs w:val="18"/>
          <w:highlight w:val="none"/>
        </w:rPr>
        <w:sectPr>
          <w:footerReference r:id="rId98" w:type="default"/>
          <w:pgSz w:w="11907" w:h="16841"/>
          <w:pgMar w:top="400" w:right="1426" w:bottom="1143" w:left="1464" w:header="0" w:footer="969" w:gutter="0"/>
          <w:pgNumType w:fmt="numberInDash"/>
          <w:cols w:space="720" w:num="1"/>
        </w:sectPr>
      </w:pPr>
    </w:p>
    <w:p>
      <w:pPr>
        <w:pStyle w:val="2"/>
        <w:spacing w:line="261" w:lineRule="auto"/>
        <w:rPr>
          <w:color w:val="auto"/>
          <w:highlight w:val="none"/>
        </w:rPr>
      </w:pPr>
    </w:p>
    <w:p>
      <w:pPr>
        <w:pStyle w:val="2"/>
        <w:spacing w:line="261" w:lineRule="auto"/>
        <w:rPr>
          <w:color w:val="auto"/>
          <w:highlight w:val="none"/>
        </w:rPr>
      </w:pPr>
    </w:p>
    <w:p>
      <w:pPr>
        <w:pStyle w:val="2"/>
        <w:spacing w:line="261" w:lineRule="auto"/>
        <w:rPr>
          <w:color w:val="auto"/>
          <w:highlight w:val="none"/>
        </w:rPr>
      </w:pPr>
    </w:p>
    <w:p>
      <w:pPr>
        <w:pStyle w:val="2"/>
        <w:spacing w:line="262" w:lineRule="auto"/>
        <w:rPr>
          <w:color w:val="auto"/>
          <w:highlight w:val="none"/>
        </w:rPr>
      </w:pPr>
    </w:p>
    <w:p>
      <w:pPr>
        <w:pStyle w:val="2"/>
        <w:spacing w:line="262" w:lineRule="auto"/>
        <w:rPr>
          <w:color w:val="auto"/>
          <w:highlight w:val="none"/>
        </w:rPr>
      </w:pPr>
    </w:p>
    <w:p>
      <w:pPr>
        <w:pStyle w:val="2"/>
        <w:spacing w:line="262" w:lineRule="auto"/>
        <w:rPr>
          <w:color w:val="auto"/>
          <w:highlight w:val="none"/>
        </w:rPr>
      </w:pPr>
    </w:p>
    <w:p>
      <w:pPr>
        <w:spacing w:before="78"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3.22 </w:t>
      </w:r>
      <w:r>
        <w:rPr>
          <w:rFonts w:ascii="黑体" w:hAnsi="黑体" w:eastAsia="黑体" w:cs="黑体"/>
          <w:color w:val="auto"/>
          <w:spacing w:val="-1"/>
          <w:sz w:val="24"/>
          <w:szCs w:val="24"/>
          <w:highlight w:val="none"/>
        </w:rPr>
        <w:t>总价项目分类分项工程分解表</w:t>
      </w:r>
    </w:p>
    <w:p>
      <w:pPr>
        <w:spacing w:line="223" w:lineRule="exact"/>
        <w:rPr>
          <w:color w:val="auto"/>
          <w:highlight w:val="none"/>
        </w:rPr>
      </w:pPr>
    </w:p>
    <w:p>
      <w:pPr>
        <w:spacing w:line="223" w:lineRule="exact"/>
        <w:rPr>
          <w:color w:val="auto"/>
          <w:highlight w:val="none"/>
        </w:rPr>
        <w:sectPr>
          <w:footerReference r:id="rId99" w:type="default"/>
          <w:pgSz w:w="11907" w:h="16841"/>
          <w:pgMar w:top="400" w:right="1174" w:bottom="1143" w:left="1464" w:header="0" w:footer="969" w:gutter="0"/>
          <w:pgNumType w:fmt="numberInDash"/>
          <w:cols w:equalWidth="0" w:num="1">
            <w:col w:w="9268"/>
          </w:cols>
        </w:sectPr>
      </w:pPr>
    </w:p>
    <w:p>
      <w:pPr>
        <w:pStyle w:val="2"/>
        <w:spacing w:line="255" w:lineRule="auto"/>
        <w:rPr>
          <w:color w:val="auto"/>
          <w:highlight w:val="none"/>
        </w:rPr>
      </w:pPr>
    </w:p>
    <w:p>
      <w:pPr>
        <w:pStyle w:val="2"/>
        <w:spacing w:line="255" w:lineRule="auto"/>
        <w:rPr>
          <w:color w:val="auto"/>
          <w:highlight w:val="none"/>
        </w:rPr>
      </w:pPr>
    </w:p>
    <w:p>
      <w:pPr>
        <w:spacing w:before="59" w:line="350" w:lineRule="exact"/>
        <w:ind w:left="125"/>
        <w:rPr>
          <w:rFonts w:ascii="宋体" w:hAnsi="宋体" w:eastAsia="宋体" w:cs="宋体"/>
          <w:color w:val="auto"/>
          <w:sz w:val="18"/>
          <w:szCs w:val="18"/>
          <w:highlight w:val="none"/>
        </w:rPr>
      </w:pPr>
      <w:r>
        <w:rPr>
          <w:rFonts w:ascii="宋体" w:hAnsi="宋体" w:eastAsia="宋体" w:cs="宋体"/>
          <w:color w:val="auto"/>
          <w:spacing w:val="-8"/>
          <w:position w:val="13"/>
          <w:sz w:val="18"/>
          <w:szCs w:val="18"/>
          <w:highlight w:val="none"/>
        </w:rPr>
        <w:t>合同编号：</w:t>
      </w:r>
    </w:p>
    <w:p>
      <w:pPr>
        <w:spacing w:line="184" w:lineRule="auto"/>
        <w:ind w:left="126"/>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工程名称：</w:t>
      </w:r>
    </w:p>
    <w:p>
      <w:pPr>
        <w:pStyle w:val="2"/>
        <w:spacing w:line="14" w:lineRule="auto"/>
        <w:rPr>
          <w:color w:val="auto"/>
          <w:sz w:val="2"/>
          <w:highlight w:val="none"/>
        </w:rPr>
      </w:pPr>
      <w:r>
        <w:rPr>
          <w:color w:val="auto"/>
          <w:sz w:val="2"/>
          <w:szCs w:val="2"/>
          <w:highlight w:val="none"/>
        </w:rPr>
        <w:br w:type="column"/>
      </w:r>
    </w:p>
    <w:p>
      <w:pPr>
        <w:spacing w:before="79" w:line="218" w:lineRule="auto"/>
        <w:rPr>
          <w:rFonts w:ascii="宋体" w:hAnsi="宋体" w:eastAsia="宋体" w:cs="宋体"/>
          <w:color w:val="auto"/>
          <w:sz w:val="40"/>
          <w:szCs w:val="40"/>
          <w:highlight w:val="none"/>
        </w:rPr>
      </w:pPr>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总价项目分类分项工程分解表</w:t>
      </w:r>
    </w:p>
    <w:p>
      <w:pPr>
        <w:pStyle w:val="2"/>
        <w:spacing w:line="308" w:lineRule="auto"/>
        <w:rPr>
          <w:color w:val="auto"/>
          <w:highlight w:val="none"/>
        </w:rPr>
      </w:pPr>
    </w:p>
    <w:p>
      <w:pPr>
        <w:spacing w:before="58" w:line="185" w:lineRule="auto"/>
        <w:ind w:left="5307"/>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第</w:t>
      </w:r>
      <w:r>
        <w:rPr>
          <w:rFonts w:ascii="宋体" w:hAnsi="宋体" w:eastAsia="宋体" w:cs="宋体"/>
          <w:color w:val="auto"/>
          <w:spacing w:val="12"/>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7"/>
          <w:sz w:val="18"/>
          <w:szCs w:val="18"/>
          <w:highlight w:val="none"/>
        </w:rPr>
        <w:t xml:space="preserve">  </w:t>
      </w:r>
      <w:r>
        <w:rPr>
          <w:rFonts w:ascii="宋体" w:hAnsi="宋体" w:eastAsia="宋体" w:cs="宋体"/>
          <w:color w:val="auto"/>
          <w:spacing w:val="-9"/>
          <w:sz w:val="18"/>
          <w:szCs w:val="18"/>
          <w:highlight w:val="none"/>
        </w:rPr>
        <w:t>页、共</w:t>
      </w:r>
      <w:r>
        <w:rPr>
          <w:rFonts w:ascii="宋体" w:hAnsi="宋体" w:eastAsia="宋体" w:cs="宋体"/>
          <w:color w:val="auto"/>
          <w:spacing w:val="9"/>
          <w:sz w:val="18"/>
          <w:szCs w:val="18"/>
          <w:highlight w:val="none"/>
        </w:rPr>
        <w:t xml:space="preserve">  </w:t>
      </w:r>
      <w:r>
        <w:rPr>
          <w:rFonts w:ascii="宋体" w:hAnsi="宋体" w:eastAsia="宋体" w:cs="宋体"/>
          <w:color w:val="auto"/>
          <w:spacing w:val="-9"/>
          <w:sz w:val="18"/>
          <w:szCs w:val="18"/>
          <w:highlight w:val="none"/>
        </w:rPr>
        <w:t>1</w:t>
      </w:r>
      <w:r>
        <w:rPr>
          <w:rFonts w:ascii="宋体" w:hAnsi="宋体" w:eastAsia="宋体" w:cs="宋体"/>
          <w:color w:val="auto"/>
          <w:spacing w:val="6"/>
          <w:sz w:val="18"/>
          <w:szCs w:val="18"/>
          <w:highlight w:val="none"/>
        </w:rPr>
        <w:t xml:space="preserve">  </w:t>
      </w:r>
      <w:r>
        <w:rPr>
          <w:rFonts w:ascii="宋体" w:hAnsi="宋体" w:eastAsia="宋体" w:cs="宋体"/>
          <w:color w:val="auto"/>
          <w:spacing w:val="-9"/>
          <w:sz w:val="18"/>
          <w:szCs w:val="18"/>
          <w:highlight w:val="none"/>
        </w:rPr>
        <w:t>页</w:t>
      </w:r>
    </w:p>
    <w:p>
      <w:pPr>
        <w:spacing w:line="185" w:lineRule="auto"/>
        <w:rPr>
          <w:rFonts w:ascii="宋体" w:hAnsi="宋体" w:eastAsia="宋体" w:cs="宋体"/>
          <w:color w:val="auto"/>
          <w:sz w:val="18"/>
          <w:szCs w:val="18"/>
          <w:highlight w:val="none"/>
        </w:rPr>
        <w:sectPr>
          <w:type w:val="continuous"/>
          <w:pgSz w:w="11907" w:h="16841"/>
          <w:pgMar w:top="400" w:right="1174" w:bottom="1143" w:left="1464" w:header="0" w:footer="969" w:gutter="0"/>
          <w:pgNumType w:fmt="numberInDash"/>
          <w:cols w:equalWidth="0" w:num="2">
            <w:col w:w="1950" w:space="100"/>
            <w:col w:w="7219"/>
          </w:cols>
        </w:sectPr>
      </w:pPr>
    </w:p>
    <w:p>
      <w:pPr>
        <w:spacing w:line="135" w:lineRule="exact"/>
        <w:rPr>
          <w:color w:val="auto"/>
          <w:highlight w:val="none"/>
        </w:rPr>
      </w:pPr>
    </w:p>
    <w:tbl>
      <w:tblPr>
        <w:tblStyle w:val="9"/>
        <w:tblW w:w="92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3"/>
        <w:gridCol w:w="1298"/>
        <w:gridCol w:w="1915"/>
        <w:gridCol w:w="923"/>
        <w:gridCol w:w="937"/>
        <w:gridCol w:w="975"/>
        <w:gridCol w:w="1194"/>
        <w:gridCol w:w="1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13" w:type="dxa"/>
            <w:tcBorders>
              <w:top w:val="single" w:color="000000" w:sz="6" w:space="0"/>
              <w:left w:val="single" w:color="000000" w:sz="6" w:space="0"/>
            </w:tcBorders>
            <w:vAlign w:val="top"/>
          </w:tcPr>
          <w:p>
            <w:pPr>
              <w:pStyle w:val="10"/>
              <w:spacing w:before="147" w:line="221" w:lineRule="auto"/>
              <w:ind w:left="272"/>
              <w:rPr>
                <w:color w:val="auto"/>
                <w:sz w:val="18"/>
                <w:szCs w:val="18"/>
                <w:highlight w:val="none"/>
              </w:rPr>
            </w:pPr>
            <w:r>
              <w:rPr>
                <w:color w:val="auto"/>
                <w:spacing w:val="-2"/>
                <w:sz w:val="18"/>
                <w:szCs w:val="18"/>
                <w:highlight w:val="none"/>
              </w:rPr>
              <w:t>序号</w:t>
            </w:r>
          </w:p>
        </w:tc>
        <w:tc>
          <w:tcPr>
            <w:tcW w:w="1298" w:type="dxa"/>
            <w:tcBorders>
              <w:top w:val="single" w:color="000000" w:sz="6" w:space="0"/>
            </w:tcBorders>
            <w:vAlign w:val="top"/>
          </w:tcPr>
          <w:p>
            <w:pPr>
              <w:pStyle w:val="10"/>
              <w:spacing w:before="146" w:line="220" w:lineRule="auto"/>
              <w:ind w:left="291"/>
              <w:rPr>
                <w:color w:val="auto"/>
                <w:sz w:val="18"/>
                <w:szCs w:val="18"/>
                <w:highlight w:val="none"/>
              </w:rPr>
            </w:pPr>
            <w:r>
              <w:rPr>
                <w:color w:val="auto"/>
                <w:spacing w:val="-2"/>
                <w:sz w:val="18"/>
                <w:szCs w:val="18"/>
                <w:highlight w:val="none"/>
              </w:rPr>
              <w:t>项目编码</w:t>
            </w:r>
          </w:p>
        </w:tc>
        <w:tc>
          <w:tcPr>
            <w:tcW w:w="1915" w:type="dxa"/>
            <w:tcBorders>
              <w:top w:val="single" w:color="000000" w:sz="6" w:space="0"/>
            </w:tcBorders>
            <w:vAlign w:val="top"/>
          </w:tcPr>
          <w:p>
            <w:pPr>
              <w:pStyle w:val="10"/>
              <w:spacing w:before="147" w:line="220" w:lineRule="auto"/>
              <w:ind w:left="602"/>
              <w:rPr>
                <w:color w:val="auto"/>
                <w:sz w:val="18"/>
                <w:szCs w:val="18"/>
                <w:highlight w:val="none"/>
              </w:rPr>
            </w:pPr>
            <w:r>
              <w:rPr>
                <w:color w:val="auto"/>
                <w:spacing w:val="-2"/>
                <w:sz w:val="18"/>
                <w:szCs w:val="18"/>
                <w:highlight w:val="none"/>
              </w:rPr>
              <w:t>项目名称</w:t>
            </w:r>
          </w:p>
        </w:tc>
        <w:tc>
          <w:tcPr>
            <w:tcW w:w="923" w:type="dxa"/>
            <w:tcBorders>
              <w:top w:val="single" w:color="000000" w:sz="6" w:space="0"/>
            </w:tcBorders>
            <w:vAlign w:val="top"/>
          </w:tcPr>
          <w:p>
            <w:pPr>
              <w:pStyle w:val="10"/>
              <w:spacing w:before="31" w:line="239" w:lineRule="auto"/>
              <w:ind w:left="193"/>
              <w:rPr>
                <w:color w:val="auto"/>
                <w:sz w:val="18"/>
                <w:szCs w:val="18"/>
                <w:highlight w:val="none"/>
              </w:rPr>
            </w:pPr>
            <w:r>
              <w:rPr>
                <w:color w:val="auto"/>
                <w:spacing w:val="-2"/>
                <w:sz w:val="18"/>
                <w:szCs w:val="18"/>
                <w:highlight w:val="none"/>
              </w:rPr>
              <w:t>计量单</w:t>
            </w:r>
          </w:p>
          <w:p>
            <w:pPr>
              <w:pStyle w:val="10"/>
              <w:spacing w:line="206" w:lineRule="auto"/>
              <w:ind w:left="373"/>
              <w:rPr>
                <w:color w:val="auto"/>
                <w:sz w:val="18"/>
                <w:szCs w:val="18"/>
                <w:highlight w:val="none"/>
              </w:rPr>
            </w:pPr>
            <w:r>
              <w:rPr>
                <w:color w:val="auto"/>
                <w:sz w:val="18"/>
                <w:szCs w:val="18"/>
                <w:highlight w:val="none"/>
              </w:rPr>
              <w:t>位</w:t>
            </w:r>
          </w:p>
        </w:tc>
        <w:tc>
          <w:tcPr>
            <w:tcW w:w="937" w:type="dxa"/>
            <w:tcBorders>
              <w:top w:val="single" w:color="000000" w:sz="6" w:space="0"/>
            </w:tcBorders>
            <w:vAlign w:val="top"/>
          </w:tcPr>
          <w:p>
            <w:pPr>
              <w:pStyle w:val="10"/>
              <w:spacing w:before="146" w:line="220" w:lineRule="auto"/>
              <w:ind w:left="118"/>
              <w:rPr>
                <w:color w:val="auto"/>
                <w:sz w:val="18"/>
                <w:szCs w:val="18"/>
                <w:highlight w:val="none"/>
              </w:rPr>
            </w:pPr>
            <w:r>
              <w:rPr>
                <w:color w:val="auto"/>
                <w:spacing w:val="-2"/>
                <w:sz w:val="18"/>
                <w:szCs w:val="18"/>
                <w:highlight w:val="none"/>
              </w:rPr>
              <w:t>工程数量</w:t>
            </w:r>
          </w:p>
        </w:tc>
        <w:tc>
          <w:tcPr>
            <w:tcW w:w="975" w:type="dxa"/>
            <w:tcBorders>
              <w:top w:val="single" w:color="000000" w:sz="6" w:space="0"/>
            </w:tcBorders>
            <w:vAlign w:val="top"/>
          </w:tcPr>
          <w:p>
            <w:pPr>
              <w:spacing w:line="4" w:lineRule="exact"/>
              <w:jc w:val="right"/>
              <w:rPr>
                <w:color w:val="auto"/>
                <w:highlight w:val="none"/>
              </w:rPr>
            </w:pPr>
            <w:r>
              <w:rPr>
                <w:color w:val="auto"/>
                <w:highlight w:val="none"/>
              </w:rPr>
              <w:drawing>
                <wp:inline distT="0" distB="0" distL="0" distR="0">
                  <wp:extent cx="60960" cy="25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73"/>
                          <a:stretch>
                            <a:fillRect/>
                          </a:stretch>
                        </pic:blipFill>
                        <pic:spPr>
                          <a:xfrm>
                            <a:off x="0" y="0"/>
                            <a:ext cx="61137" cy="2666"/>
                          </a:xfrm>
                          <a:prstGeom prst="rect">
                            <a:avLst/>
                          </a:prstGeom>
                        </pic:spPr>
                      </pic:pic>
                    </a:graphicData>
                  </a:graphic>
                </wp:inline>
              </w:drawing>
            </w:r>
          </w:p>
          <w:p>
            <w:pPr>
              <w:pStyle w:val="10"/>
              <w:spacing w:before="27" w:line="239" w:lineRule="auto"/>
              <w:ind w:left="315"/>
              <w:rPr>
                <w:color w:val="auto"/>
                <w:sz w:val="18"/>
                <w:szCs w:val="18"/>
                <w:highlight w:val="none"/>
              </w:rPr>
            </w:pPr>
            <w:r>
              <w:rPr>
                <w:color w:val="auto"/>
                <w:spacing w:val="-3"/>
                <w:sz w:val="18"/>
                <w:szCs w:val="18"/>
                <w:highlight w:val="none"/>
              </w:rPr>
              <w:t>单价</w:t>
            </w:r>
          </w:p>
          <w:p>
            <w:pPr>
              <w:pStyle w:val="10"/>
              <w:spacing w:line="206" w:lineRule="auto"/>
              <w:ind w:left="230"/>
              <w:rPr>
                <w:color w:val="auto"/>
                <w:sz w:val="18"/>
                <w:szCs w:val="18"/>
                <w:highlight w:val="none"/>
              </w:rPr>
            </w:pPr>
            <w:r>
              <w:rPr>
                <w:color w:val="auto"/>
                <w:spacing w:val="-6"/>
                <w:sz w:val="18"/>
                <w:szCs w:val="18"/>
                <w:highlight w:val="none"/>
              </w:rPr>
              <w:t>（元）</w:t>
            </w:r>
          </w:p>
        </w:tc>
        <w:tc>
          <w:tcPr>
            <w:tcW w:w="1194" w:type="dxa"/>
            <w:tcBorders>
              <w:top w:val="single" w:color="000000" w:sz="6" w:space="0"/>
            </w:tcBorders>
            <w:vAlign w:val="top"/>
          </w:tcPr>
          <w:p>
            <w:pPr>
              <w:pStyle w:val="10"/>
              <w:spacing w:before="147" w:line="218" w:lineRule="auto"/>
              <w:ind w:left="156"/>
              <w:rPr>
                <w:color w:val="auto"/>
                <w:sz w:val="18"/>
                <w:szCs w:val="18"/>
                <w:highlight w:val="none"/>
              </w:rPr>
            </w:pPr>
            <w:r>
              <w:rPr>
                <w:color w:val="auto"/>
                <w:spacing w:val="-4"/>
                <w:sz w:val="18"/>
                <w:szCs w:val="18"/>
                <w:highlight w:val="none"/>
              </w:rPr>
              <w:t>合价（元）</w:t>
            </w:r>
          </w:p>
        </w:tc>
        <w:tc>
          <w:tcPr>
            <w:tcW w:w="1097" w:type="dxa"/>
            <w:tcBorders>
              <w:top w:val="single" w:color="000000" w:sz="6" w:space="0"/>
              <w:right w:val="single" w:color="000000" w:sz="6" w:space="0"/>
            </w:tcBorders>
            <w:vAlign w:val="top"/>
          </w:tcPr>
          <w:p>
            <w:pPr>
              <w:pStyle w:val="10"/>
              <w:spacing w:before="31" w:line="223" w:lineRule="auto"/>
              <w:ind w:left="196" w:right="178"/>
              <w:rPr>
                <w:color w:val="auto"/>
                <w:sz w:val="18"/>
                <w:szCs w:val="18"/>
                <w:highlight w:val="none"/>
              </w:rPr>
            </w:pPr>
            <w:r>
              <w:rPr>
                <w:color w:val="auto"/>
                <w:spacing w:val="-3"/>
                <w:sz w:val="18"/>
                <w:szCs w:val="18"/>
                <w:highlight w:val="none"/>
              </w:rPr>
              <w:t>主要技术</w:t>
            </w:r>
            <w:r>
              <w:rPr>
                <w:color w:val="auto"/>
                <w:spacing w:val="2"/>
                <w:sz w:val="18"/>
                <w:szCs w:val="18"/>
                <w:highlight w:val="none"/>
              </w:rPr>
              <w:t xml:space="preserve"> </w:t>
            </w:r>
            <w:r>
              <w:rPr>
                <w:color w:val="auto"/>
                <w:spacing w:val="-3"/>
                <w:sz w:val="18"/>
                <w:szCs w:val="18"/>
                <w:highlight w:val="none"/>
              </w:rPr>
              <w:t>条款编码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vAlign w:val="top"/>
          </w:tcPr>
          <w:p>
            <w:pPr>
              <w:rPr>
                <w:rFonts w:ascii="Arial"/>
                <w:color w:val="auto"/>
                <w:sz w:val="21"/>
                <w:highlight w:val="none"/>
              </w:rPr>
            </w:pPr>
          </w:p>
        </w:tc>
        <w:tc>
          <w:tcPr>
            <w:tcW w:w="1298" w:type="dxa"/>
            <w:vAlign w:val="top"/>
          </w:tcPr>
          <w:p>
            <w:pPr>
              <w:rPr>
                <w:rFonts w:ascii="Arial"/>
                <w:color w:val="auto"/>
                <w:sz w:val="21"/>
                <w:highlight w:val="none"/>
              </w:rPr>
            </w:pPr>
          </w:p>
        </w:tc>
        <w:tc>
          <w:tcPr>
            <w:tcW w:w="1915" w:type="dxa"/>
            <w:vAlign w:val="top"/>
          </w:tcPr>
          <w:p>
            <w:pPr>
              <w:rPr>
                <w:rFonts w:ascii="Arial"/>
                <w:color w:val="auto"/>
                <w:sz w:val="21"/>
                <w:highlight w:val="none"/>
              </w:rPr>
            </w:pPr>
          </w:p>
        </w:tc>
        <w:tc>
          <w:tcPr>
            <w:tcW w:w="923" w:type="dxa"/>
            <w:vAlign w:val="top"/>
          </w:tcPr>
          <w:p>
            <w:pPr>
              <w:rPr>
                <w:rFonts w:ascii="Arial"/>
                <w:color w:val="auto"/>
                <w:sz w:val="21"/>
                <w:highlight w:val="none"/>
              </w:rPr>
            </w:pPr>
          </w:p>
        </w:tc>
        <w:tc>
          <w:tcPr>
            <w:tcW w:w="937" w:type="dxa"/>
            <w:vAlign w:val="top"/>
          </w:tcPr>
          <w:p>
            <w:pPr>
              <w:rPr>
                <w:rFonts w:ascii="Arial"/>
                <w:color w:val="auto"/>
                <w:sz w:val="21"/>
                <w:highlight w:val="none"/>
              </w:rPr>
            </w:pPr>
          </w:p>
        </w:tc>
        <w:tc>
          <w:tcPr>
            <w:tcW w:w="975" w:type="dxa"/>
            <w:vAlign w:val="top"/>
          </w:tcPr>
          <w:p>
            <w:pPr>
              <w:rPr>
                <w:rFonts w:ascii="Arial"/>
                <w:color w:val="auto"/>
                <w:sz w:val="21"/>
                <w:highlight w:val="none"/>
              </w:rPr>
            </w:pPr>
          </w:p>
        </w:tc>
        <w:tc>
          <w:tcPr>
            <w:tcW w:w="1194" w:type="dxa"/>
            <w:vAlign w:val="top"/>
          </w:tcPr>
          <w:p>
            <w:pPr>
              <w:rPr>
                <w:rFonts w:ascii="Arial"/>
                <w:color w:val="auto"/>
                <w:sz w:val="21"/>
                <w:highlight w:val="none"/>
              </w:rPr>
            </w:pPr>
          </w:p>
        </w:tc>
        <w:tc>
          <w:tcPr>
            <w:tcW w:w="1097"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13" w:type="dxa"/>
            <w:tcBorders>
              <w:left w:val="single" w:color="000000" w:sz="6" w:space="0"/>
              <w:bottom w:val="single" w:color="000000" w:sz="6" w:space="0"/>
            </w:tcBorders>
            <w:vAlign w:val="top"/>
          </w:tcPr>
          <w:p>
            <w:pPr>
              <w:rPr>
                <w:rFonts w:ascii="Arial"/>
                <w:color w:val="auto"/>
                <w:sz w:val="21"/>
                <w:highlight w:val="none"/>
              </w:rPr>
            </w:pPr>
          </w:p>
        </w:tc>
        <w:tc>
          <w:tcPr>
            <w:tcW w:w="1298" w:type="dxa"/>
            <w:tcBorders>
              <w:bottom w:val="single" w:color="000000" w:sz="6" w:space="0"/>
            </w:tcBorders>
            <w:vAlign w:val="top"/>
          </w:tcPr>
          <w:p>
            <w:pPr>
              <w:rPr>
                <w:rFonts w:ascii="Arial"/>
                <w:color w:val="auto"/>
                <w:sz w:val="21"/>
                <w:highlight w:val="none"/>
              </w:rPr>
            </w:pPr>
          </w:p>
        </w:tc>
        <w:tc>
          <w:tcPr>
            <w:tcW w:w="1915" w:type="dxa"/>
            <w:tcBorders>
              <w:bottom w:val="single" w:color="000000" w:sz="6" w:space="0"/>
            </w:tcBorders>
            <w:vAlign w:val="top"/>
          </w:tcPr>
          <w:p>
            <w:pPr>
              <w:pStyle w:val="10"/>
              <w:spacing w:before="82" w:line="221" w:lineRule="auto"/>
              <w:ind w:left="110"/>
              <w:rPr>
                <w:color w:val="auto"/>
                <w:sz w:val="18"/>
                <w:szCs w:val="18"/>
                <w:highlight w:val="none"/>
              </w:rPr>
            </w:pPr>
            <w:r>
              <w:rPr>
                <w:color w:val="auto"/>
                <w:spacing w:val="-4"/>
                <w:sz w:val="18"/>
                <w:szCs w:val="18"/>
                <w:highlight w:val="none"/>
              </w:rPr>
              <w:t>合</w:t>
            </w:r>
            <w:r>
              <w:rPr>
                <w:color w:val="auto"/>
                <w:spacing w:val="3"/>
                <w:sz w:val="18"/>
                <w:szCs w:val="18"/>
                <w:highlight w:val="none"/>
              </w:rPr>
              <w:t xml:space="preserve">   </w:t>
            </w:r>
            <w:r>
              <w:rPr>
                <w:color w:val="auto"/>
                <w:spacing w:val="-4"/>
                <w:sz w:val="18"/>
                <w:szCs w:val="18"/>
                <w:highlight w:val="none"/>
              </w:rPr>
              <w:t>计</w:t>
            </w:r>
          </w:p>
        </w:tc>
        <w:tc>
          <w:tcPr>
            <w:tcW w:w="923" w:type="dxa"/>
            <w:tcBorders>
              <w:bottom w:val="single" w:color="000000" w:sz="6" w:space="0"/>
            </w:tcBorders>
            <w:vAlign w:val="top"/>
          </w:tcPr>
          <w:p>
            <w:pPr>
              <w:rPr>
                <w:rFonts w:ascii="Arial"/>
                <w:color w:val="auto"/>
                <w:sz w:val="21"/>
                <w:highlight w:val="none"/>
              </w:rPr>
            </w:pPr>
          </w:p>
        </w:tc>
        <w:tc>
          <w:tcPr>
            <w:tcW w:w="937" w:type="dxa"/>
            <w:tcBorders>
              <w:bottom w:val="single" w:color="000000" w:sz="6" w:space="0"/>
            </w:tcBorders>
            <w:vAlign w:val="top"/>
          </w:tcPr>
          <w:p>
            <w:pPr>
              <w:rPr>
                <w:rFonts w:ascii="Arial"/>
                <w:color w:val="auto"/>
                <w:sz w:val="21"/>
                <w:highlight w:val="none"/>
              </w:rPr>
            </w:pPr>
          </w:p>
        </w:tc>
        <w:tc>
          <w:tcPr>
            <w:tcW w:w="975" w:type="dxa"/>
            <w:tcBorders>
              <w:bottom w:val="single" w:color="000000" w:sz="6" w:space="0"/>
            </w:tcBorders>
            <w:vAlign w:val="top"/>
          </w:tcPr>
          <w:p>
            <w:pPr>
              <w:rPr>
                <w:rFonts w:ascii="Arial"/>
                <w:color w:val="auto"/>
                <w:sz w:val="21"/>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rightMargin">
                        <wp:posOffset>-60960</wp:posOffset>
                      </wp:positionH>
                      <wp:positionV relativeFrom="topMargin">
                        <wp:posOffset>211455</wp:posOffset>
                      </wp:positionV>
                      <wp:extent cx="62865" cy="12700"/>
                      <wp:effectExtent l="0" t="0" r="0" b="0"/>
                      <wp:wrapNone/>
                      <wp:docPr id="21" name="矩形 21"/>
                      <wp:cNvGraphicFramePr/>
                      <a:graphic xmlns:a="http://schemas.openxmlformats.org/drawingml/2006/main">
                        <a:graphicData uri="http://schemas.microsoft.com/office/word/2010/wordprocessingShape">
                          <wps:wsp>
                            <wps:cNvSpPr/>
                            <wps:spPr>
                              <a:xfrm>
                                <a:off x="0" y="0"/>
                                <a:ext cx="62865" cy="127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3.85pt;margin-top:16.9pt;height:1pt;width:4.95pt;mso-position-horizontal-relative:page;mso-position-vertical-relative:page;z-index:251669504;mso-width-relative:page;mso-height-relative:page;" fillcolor="#000000" filled="t" stroked="f" coordsize="21600,21600" o:gfxdata="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Udz1QAA&#10;AAUBAAAPAAAAAAAAAAEAIAAAACIAAABkcnMvZG93bnJldi54bWxQSwECFAAUAAAACACHTuJAY3RG&#10;la8BAABeAwAADgAAAAAAAAABACAAAAAkAQAAZHJzL2Uyb0RvYy54bWxQSwUGAAAAAAYABgBZAQAA&#10;RQUAAAAA&#10;">
                      <v:fill on="t" focussize="0,0"/>
                      <v:stroke on="f"/>
                      <v:imagedata o:title=""/>
                      <o:lock v:ext="edit" aspectratio="f"/>
                    </v:rect>
                  </w:pict>
                </mc:Fallback>
              </mc:AlternateContent>
            </w:r>
          </w:p>
        </w:tc>
        <w:tc>
          <w:tcPr>
            <w:tcW w:w="1194" w:type="dxa"/>
            <w:tcBorders>
              <w:bottom w:val="single" w:color="000000" w:sz="6" w:space="0"/>
            </w:tcBorders>
            <w:vAlign w:val="top"/>
          </w:tcPr>
          <w:p>
            <w:pPr>
              <w:rPr>
                <w:rFonts w:ascii="Arial"/>
                <w:color w:val="auto"/>
                <w:sz w:val="21"/>
                <w:highlight w:val="none"/>
              </w:rPr>
            </w:pPr>
          </w:p>
        </w:tc>
        <w:tc>
          <w:tcPr>
            <w:tcW w:w="1097" w:type="dxa"/>
            <w:tcBorders>
              <w:bottom w:val="single" w:color="000000" w:sz="6" w:space="0"/>
              <w:right w:val="single" w:color="000000" w:sz="6" w:space="0"/>
            </w:tcBorders>
            <w:vAlign w:val="top"/>
          </w:tcPr>
          <w:p>
            <w:pPr>
              <w:rPr>
                <w:rFonts w:ascii="Arial"/>
                <w:color w:val="auto"/>
                <w:sz w:val="21"/>
                <w:highlight w:val="none"/>
              </w:rPr>
            </w:pPr>
          </w:p>
        </w:tc>
      </w:tr>
    </w:tbl>
    <w:p>
      <w:pPr>
        <w:spacing w:before="140" w:line="220" w:lineRule="auto"/>
        <w:ind w:left="7148"/>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134" w:line="213" w:lineRule="auto"/>
        <w:ind w:left="6970"/>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（或委托代理人</w:t>
      </w:r>
      <w:r>
        <w:rPr>
          <w:rFonts w:ascii="宋体" w:hAnsi="宋体" w:eastAsia="宋体" w:cs="宋体"/>
          <w:color w:val="auto"/>
          <w:spacing w:val="-8"/>
          <w:sz w:val="18"/>
          <w:szCs w:val="18"/>
          <w:highlight w:val="none"/>
        </w:rPr>
        <w:t>）</w:t>
      </w:r>
      <w:r>
        <w:rPr>
          <w:rFonts w:ascii="宋体" w:hAnsi="宋体" w:eastAsia="宋体" w:cs="宋体"/>
          <w:color w:val="auto"/>
          <w:spacing w:val="24"/>
          <w:w w:val="101"/>
          <w:sz w:val="18"/>
          <w:szCs w:val="18"/>
          <w:highlight w:val="none"/>
        </w:rPr>
        <w:t xml:space="preserve"> </w:t>
      </w:r>
      <w:r>
        <w:rPr>
          <w:rFonts w:ascii="宋体" w:hAnsi="宋体" w:eastAsia="宋体" w:cs="宋体"/>
          <w:color w:val="auto"/>
          <w:spacing w:val="-8"/>
          <w:sz w:val="18"/>
          <w:szCs w:val="18"/>
          <w:highlight w:val="none"/>
        </w:rPr>
        <w:t>：</w:t>
      </w:r>
      <w:r>
        <w:rPr>
          <w:rFonts w:ascii="宋体" w:hAnsi="宋体" w:eastAsia="宋体" w:cs="宋体"/>
          <w:color w:val="auto"/>
          <w:spacing w:val="-2"/>
          <w:sz w:val="18"/>
          <w:szCs w:val="18"/>
          <w:highlight w:val="none"/>
        </w:rPr>
        <w:t>_</w:t>
      </w:r>
      <w:r>
        <w:rPr>
          <w:rFonts w:ascii="宋体" w:hAnsi="宋体" w:eastAsia="宋体" w:cs="宋体"/>
          <w:color w:val="auto"/>
          <w:spacing w:val="-42"/>
          <w:sz w:val="18"/>
          <w:szCs w:val="18"/>
          <w:highlight w:val="none"/>
        </w:rPr>
        <w:t xml:space="preserve"> </w:t>
      </w:r>
      <w:r>
        <w:rPr>
          <w:rFonts w:ascii="宋体" w:hAnsi="宋体" w:eastAsia="宋体" w:cs="宋体"/>
          <w:color w:val="auto"/>
          <w:spacing w:val="-2"/>
          <w:sz w:val="18"/>
          <w:szCs w:val="18"/>
          <w:highlight w:val="none"/>
        </w:rPr>
        <w:t>（签</w:t>
      </w:r>
    </w:p>
    <w:p>
      <w:pPr>
        <w:spacing w:before="25" w:line="185" w:lineRule="auto"/>
        <w:ind w:left="6966"/>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字）</w:t>
      </w:r>
    </w:p>
    <w:p>
      <w:pPr>
        <w:spacing w:line="185" w:lineRule="auto"/>
        <w:rPr>
          <w:rFonts w:ascii="宋体" w:hAnsi="宋体" w:eastAsia="宋体" w:cs="宋体"/>
          <w:color w:val="auto"/>
          <w:sz w:val="18"/>
          <w:szCs w:val="18"/>
          <w:highlight w:val="none"/>
        </w:rPr>
        <w:sectPr>
          <w:type w:val="continuous"/>
          <w:pgSz w:w="11907" w:h="16841"/>
          <w:pgMar w:top="400" w:right="1174" w:bottom="1143" w:left="1464" w:header="0" w:footer="969" w:gutter="0"/>
          <w:pgNumType w:fmt="numberInDash"/>
          <w:cols w:equalWidth="0" w:num="1">
            <w:col w:w="9268"/>
          </w:cols>
        </w:sect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spacing w:before="78"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3.23 </w:t>
      </w:r>
      <w:r>
        <w:rPr>
          <w:rFonts w:ascii="黑体" w:hAnsi="黑体" w:eastAsia="黑体" w:cs="黑体"/>
          <w:color w:val="auto"/>
          <w:spacing w:val="-1"/>
          <w:sz w:val="24"/>
          <w:szCs w:val="24"/>
          <w:highlight w:val="none"/>
        </w:rPr>
        <w:t>工程单价计算表</w:t>
      </w:r>
    </w:p>
    <w:p>
      <w:pPr>
        <w:pStyle w:val="2"/>
        <w:spacing w:line="255" w:lineRule="auto"/>
        <w:rPr>
          <w:color w:val="auto"/>
          <w:highlight w:val="none"/>
        </w:rPr>
      </w:pPr>
    </w:p>
    <w:p>
      <w:pPr>
        <w:spacing w:before="139" w:line="222" w:lineRule="auto"/>
        <w:ind w:left="3027"/>
        <w:rPr>
          <w:rFonts w:ascii="宋体" w:hAnsi="宋体" w:eastAsia="宋体" w:cs="宋体"/>
          <w:color w:val="auto"/>
          <w:sz w:val="43"/>
          <w:szCs w:val="43"/>
          <w:highlight w:val="none"/>
        </w:rPr>
      </w:pPr>
      <w:r>
        <w:rPr>
          <w:rFonts w:ascii="宋体" w:hAnsi="宋体" w:eastAsia="宋体" w:cs="宋体"/>
          <w:color w:val="auto"/>
          <w:spacing w:val="8"/>
          <w:sz w:val="43"/>
          <w:szCs w:val="43"/>
          <w:highlight w:val="none"/>
          <w14:textOutline w14:w="7968" w14:cap="flat" w14:cmpd="sng">
            <w14:solidFill>
              <w14:srgbClr w14:val="000000"/>
            </w14:solidFill>
            <w14:prstDash w14:val="solid"/>
            <w14:miter w14:val="0"/>
          </w14:textOutline>
        </w:rPr>
        <w:t>工程单价计算表</w:t>
      </w:r>
    </w:p>
    <w:p>
      <w:pPr>
        <w:spacing w:before="114" w:line="221" w:lineRule="auto"/>
        <w:ind w:left="390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一般土方开挖</w:t>
      </w:r>
    </w:p>
    <w:p>
      <w:pPr>
        <w:spacing w:before="47" w:line="227" w:lineRule="auto"/>
        <w:ind w:left="150"/>
        <w:rPr>
          <w:rFonts w:ascii="宋体" w:hAnsi="宋体" w:eastAsia="宋体" w:cs="宋体"/>
          <w:color w:val="auto"/>
          <w:sz w:val="19"/>
          <w:szCs w:val="19"/>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5038725</wp:posOffset>
                </wp:positionH>
                <wp:positionV relativeFrom="paragraph">
                  <wp:posOffset>17145</wp:posOffset>
                </wp:positionV>
                <wp:extent cx="619760" cy="17526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619760" cy="175260"/>
                        </a:xfrm>
                        <a:prstGeom prst="rect">
                          <a:avLst/>
                        </a:prstGeom>
                        <a:noFill/>
                        <a:ln>
                          <a:noFill/>
                        </a:ln>
                      </wps:spPr>
                      <wps:txbx>
                        <w:txbxContent>
                          <w:p>
                            <w:pPr>
                              <w:spacing w:before="20" w:line="228" w:lineRule="auto"/>
                              <w:jc w:val="right"/>
                              <w:rPr>
                                <w:rFonts w:ascii="宋体" w:hAnsi="宋体" w:eastAsia="宋体" w:cs="宋体"/>
                                <w:sz w:val="19"/>
                                <w:szCs w:val="19"/>
                              </w:rPr>
                            </w:pPr>
                            <w:r>
                              <w:rPr>
                                <w:rFonts w:ascii="宋体" w:hAnsi="宋体" w:eastAsia="宋体" w:cs="宋体"/>
                                <w:spacing w:val="-3"/>
                                <w:sz w:val="19"/>
                                <w:szCs w:val="19"/>
                              </w:rPr>
                              <w:t>定额单位：</w:t>
                            </w:r>
                          </w:p>
                        </w:txbxContent>
                      </wps:txbx>
                      <wps:bodyPr lIns="0" tIns="0" rIns="0" bIns="0" upright="1"/>
                    </wps:wsp>
                  </a:graphicData>
                </a:graphic>
              </wp:anchor>
            </w:drawing>
          </mc:Choice>
          <mc:Fallback>
            <w:pict>
              <v:shape id="_x0000_s1026" o:spid="_x0000_s1026" o:spt="202" type="#_x0000_t202" style="position:absolute;left:0pt;margin-left:396.75pt;margin-top:1.35pt;height:13.8pt;width:48.8pt;z-index:251670528;mso-width-relative:page;mso-height-relative:page;" filled="f" stroked="f" coordsize="21600,21600" o:gfxdata="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1adz2AAAAAgBAAAPAAAAAAAAAAEAIAAAACIAAABkcnMvZG93bnJldi54bWxQSwEC&#10;FAAUAAAACACHTuJAyYAWQ7sBAABzAwAADgAAAAAAAAABACAAAAAnAQAAZHJzL2Uyb0RvYy54bWxQ&#10;SwUGAAAAAAYABgBZAQAAVAUAAAAA&#10;">
                <v:fill on="f" focussize="0,0"/>
                <v:stroke on="f"/>
                <v:imagedata o:title=""/>
                <o:lock v:ext="edit" aspectratio="f"/>
                <v:textbox inset="0mm,0mm,0mm,0mm">
                  <w:txbxContent>
                    <w:p>
                      <w:pPr>
                        <w:spacing w:before="20" w:line="228" w:lineRule="auto"/>
                        <w:jc w:val="right"/>
                        <w:rPr>
                          <w:rFonts w:ascii="宋体" w:hAnsi="宋体" w:eastAsia="宋体" w:cs="宋体"/>
                          <w:sz w:val="19"/>
                          <w:szCs w:val="19"/>
                        </w:rPr>
                      </w:pPr>
                      <w:r>
                        <w:rPr>
                          <w:rFonts w:ascii="宋体" w:hAnsi="宋体" w:eastAsia="宋体" w:cs="宋体"/>
                          <w:spacing w:val="-3"/>
                          <w:sz w:val="19"/>
                          <w:szCs w:val="19"/>
                        </w:rPr>
                        <w:t>定额单位：</w:t>
                      </w:r>
                    </w:p>
                  </w:txbxContent>
                </v:textbox>
              </v:shape>
            </w:pict>
          </mc:Fallback>
        </mc:AlternateContent>
      </w:r>
      <w:r>
        <w:rPr>
          <w:rFonts w:ascii="宋体" w:hAnsi="宋体" w:eastAsia="宋体" w:cs="宋体"/>
          <w:color w:val="auto"/>
          <w:spacing w:val="5"/>
          <w:sz w:val="19"/>
          <w:szCs w:val="19"/>
          <w:highlight w:val="none"/>
        </w:rPr>
        <w:t>单价编号：</w:t>
      </w:r>
    </w:p>
    <w:p>
      <w:pPr>
        <w:spacing w:line="22" w:lineRule="exact"/>
        <w:rPr>
          <w:color w:val="auto"/>
          <w:highlight w:val="none"/>
        </w:rPr>
      </w:pPr>
    </w:p>
    <w:tbl>
      <w:tblPr>
        <w:tblStyle w:val="9"/>
        <w:tblW w:w="9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3683"/>
        <w:gridCol w:w="755"/>
        <w:gridCol w:w="1125"/>
        <w:gridCol w:w="1087"/>
        <w:gridCol w:w="11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281" w:type="dxa"/>
            <w:vAlign w:val="top"/>
          </w:tcPr>
          <w:p>
            <w:pPr>
              <w:spacing w:line="283" w:lineRule="auto"/>
              <w:rPr>
                <w:rFonts w:ascii="Arial"/>
                <w:color w:val="auto"/>
                <w:sz w:val="21"/>
                <w:highlight w:val="none"/>
              </w:rPr>
            </w:pPr>
          </w:p>
          <w:p>
            <w:pPr>
              <w:pStyle w:val="10"/>
              <w:spacing w:before="62" w:line="230" w:lineRule="auto"/>
              <w:ind w:left="143"/>
              <w:rPr>
                <w:color w:val="auto"/>
                <w:sz w:val="19"/>
                <w:szCs w:val="19"/>
                <w:highlight w:val="none"/>
              </w:rPr>
            </w:pPr>
            <w:r>
              <w:rPr>
                <w:color w:val="auto"/>
                <w:spacing w:val="5"/>
                <w:sz w:val="19"/>
                <w:szCs w:val="19"/>
                <w:highlight w:val="none"/>
              </w:rPr>
              <w:t>施工方法：</w:t>
            </w:r>
          </w:p>
        </w:tc>
        <w:tc>
          <w:tcPr>
            <w:tcW w:w="7818" w:type="dxa"/>
            <w:gridSpan w:val="5"/>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81" w:type="dxa"/>
            <w:vAlign w:val="top"/>
          </w:tcPr>
          <w:p>
            <w:pPr>
              <w:pStyle w:val="10"/>
              <w:spacing w:before="161" w:line="228" w:lineRule="auto"/>
              <w:ind w:left="445"/>
              <w:rPr>
                <w:color w:val="auto"/>
                <w:sz w:val="19"/>
                <w:szCs w:val="19"/>
                <w:highlight w:val="none"/>
              </w:rPr>
            </w:pPr>
            <w:r>
              <w:rPr>
                <w:color w:val="auto"/>
                <w:spacing w:val="4"/>
                <w:sz w:val="19"/>
                <w:szCs w:val="19"/>
                <w:highlight w:val="none"/>
              </w:rPr>
              <w:t>编号</w:t>
            </w:r>
          </w:p>
        </w:tc>
        <w:tc>
          <w:tcPr>
            <w:tcW w:w="3683" w:type="dxa"/>
            <w:vAlign w:val="top"/>
          </w:tcPr>
          <w:p>
            <w:pPr>
              <w:pStyle w:val="10"/>
              <w:spacing w:before="161" w:line="228" w:lineRule="auto"/>
              <w:ind w:left="1347"/>
              <w:rPr>
                <w:color w:val="auto"/>
                <w:sz w:val="19"/>
                <w:szCs w:val="19"/>
                <w:highlight w:val="none"/>
              </w:rPr>
            </w:pPr>
            <w:r>
              <w:rPr>
                <w:color w:val="auto"/>
                <w:spacing w:val="7"/>
                <w:sz w:val="19"/>
                <w:szCs w:val="19"/>
                <w:highlight w:val="none"/>
              </w:rPr>
              <w:t>名称及规格</w:t>
            </w:r>
          </w:p>
        </w:tc>
        <w:tc>
          <w:tcPr>
            <w:tcW w:w="755" w:type="dxa"/>
            <w:vAlign w:val="top"/>
          </w:tcPr>
          <w:p>
            <w:pPr>
              <w:pStyle w:val="10"/>
              <w:spacing w:before="160" w:line="229" w:lineRule="auto"/>
              <w:ind w:left="184"/>
              <w:rPr>
                <w:color w:val="auto"/>
                <w:sz w:val="19"/>
                <w:szCs w:val="19"/>
                <w:highlight w:val="none"/>
              </w:rPr>
            </w:pPr>
            <w:r>
              <w:rPr>
                <w:color w:val="auto"/>
                <w:spacing w:val="4"/>
                <w:sz w:val="19"/>
                <w:szCs w:val="19"/>
                <w:highlight w:val="none"/>
              </w:rPr>
              <w:t>单位</w:t>
            </w:r>
          </w:p>
        </w:tc>
        <w:tc>
          <w:tcPr>
            <w:tcW w:w="1125" w:type="dxa"/>
            <w:vAlign w:val="top"/>
          </w:tcPr>
          <w:p>
            <w:pPr>
              <w:pStyle w:val="10"/>
              <w:spacing w:before="161" w:line="228" w:lineRule="auto"/>
              <w:ind w:left="370"/>
              <w:rPr>
                <w:color w:val="auto"/>
                <w:sz w:val="19"/>
                <w:szCs w:val="19"/>
                <w:highlight w:val="none"/>
              </w:rPr>
            </w:pPr>
            <w:r>
              <w:rPr>
                <w:color w:val="auto"/>
                <w:spacing w:val="4"/>
                <w:sz w:val="19"/>
                <w:szCs w:val="19"/>
                <w:highlight w:val="none"/>
              </w:rPr>
              <w:t>数量</w:t>
            </w:r>
          </w:p>
        </w:tc>
        <w:tc>
          <w:tcPr>
            <w:tcW w:w="1087" w:type="dxa"/>
            <w:vAlign w:val="top"/>
          </w:tcPr>
          <w:p>
            <w:pPr>
              <w:pStyle w:val="10"/>
              <w:spacing w:before="31" w:line="259" w:lineRule="exact"/>
              <w:ind w:left="351"/>
              <w:rPr>
                <w:color w:val="auto"/>
                <w:sz w:val="19"/>
                <w:szCs w:val="19"/>
                <w:highlight w:val="none"/>
              </w:rPr>
            </w:pPr>
            <w:r>
              <w:rPr>
                <w:color w:val="auto"/>
                <w:spacing w:val="4"/>
                <w:position w:val="4"/>
                <w:sz w:val="19"/>
                <w:szCs w:val="19"/>
                <w:highlight w:val="none"/>
              </w:rPr>
              <w:t>单价</w:t>
            </w:r>
          </w:p>
          <w:p>
            <w:pPr>
              <w:pStyle w:val="10"/>
              <w:spacing w:line="216" w:lineRule="auto"/>
              <w:ind w:left="259"/>
              <w:rPr>
                <w:color w:val="auto"/>
                <w:sz w:val="19"/>
                <w:szCs w:val="19"/>
                <w:highlight w:val="none"/>
              </w:rPr>
            </w:pPr>
            <w:r>
              <w:rPr>
                <w:color w:val="auto"/>
                <w:spacing w:val="-2"/>
                <w:sz w:val="19"/>
                <w:szCs w:val="19"/>
                <w:highlight w:val="none"/>
              </w:rPr>
              <w:t>（元）</w:t>
            </w:r>
          </w:p>
        </w:tc>
        <w:tc>
          <w:tcPr>
            <w:tcW w:w="1168" w:type="dxa"/>
            <w:vAlign w:val="top"/>
          </w:tcPr>
          <w:p>
            <w:pPr>
              <w:pStyle w:val="10"/>
              <w:spacing w:before="31" w:line="259" w:lineRule="exact"/>
              <w:ind w:left="390"/>
              <w:rPr>
                <w:color w:val="auto"/>
                <w:sz w:val="19"/>
                <w:szCs w:val="19"/>
                <w:highlight w:val="none"/>
              </w:rPr>
            </w:pPr>
            <w:r>
              <w:rPr>
                <w:color w:val="auto"/>
                <w:spacing w:val="4"/>
                <w:position w:val="4"/>
                <w:sz w:val="19"/>
                <w:szCs w:val="19"/>
                <w:highlight w:val="none"/>
              </w:rPr>
              <w:t>合计</w:t>
            </w:r>
          </w:p>
          <w:p>
            <w:pPr>
              <w:pStyle w:val="10"/>
              <w:spacing w:line="216" w:lineRule="auto"/>
              <w:ind w:left="298"/>
              <w:rPr>
                <w:color w:val="auto"/>
                <w:sz w:val="19"/>
                <w:szCs w:val="19"/>
                <w:highlight w:val="none"/>
              </w:rPr>
            </w:pPr>
            <w:r>
              <w:rPr>
                <w:color w:val="auto"/>
                <w:spacing w:val="-2"/>
                <w:sz w:val="19"/>
                <w:szCs w:val="19"/>
                <w:highlight w:val="no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132" w:line="148" w:lineRule="exact"/>
              <w:ind w:left="548"/>
              <w:rPr>
                <w:color w:val="auto"/>
                <w:sz w:val="19"/>
                <w:szCs w:val="19"/>
                <w:highlight w:val="none"/>
              </w:rPr>
            </w:pPr>
            <w:r>
              <w:rPr>
                <w:color w:val="auto"/>
                <w:position w:val="-4"/>
                <w:sz w:val="19"/>
                <w:szCs w:val="19"/>
                <w:highlight w:val="none"/>
              </w:rPr>
              <w:t>一</w:t>
            </w:r>
          </w:p>
        </w:tc>
        <w:tc>
          <w:tcPr>
            <w:tcW w:w="3683" w:type="dxa"/>
            <w:vAlign w:val="top"/>
          </w:tcPr>
          <w:p>
            <w:pPr>
              <w:pStyle w:val="10"/>
              <w:spacing w:before="57" w:line="229" w:lineRule="auto"/>
              <w:ind w:left="112"/>
              <w:rPr>
                <w:color w:val="auto"/>
                <w:sz w:val="19"/>
                <w:szCs w:val="19"/>
                <w:highlight w:val="none"/>
              </w:rPr>
            </w:pPr>
            <w:r>
              <w:rPr>
                <w:color w:val="auto"/>
                <w:spacing w:val="6"/>
                <w:sz w:val="19"/>
                <w:szCs w:val="19"/>
                <w:highlight w:val="none"/>
              </w:rPr>
              <w:t>直接费</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90" w:line="188" w:lineRule="auto"/>
              <w:ind w:left="610"/>
              <w:rPr>
                <w:color w:val="auto"/>
                <w:sz w:val="19"/>
                <w:szCs w:val="19"/>
                <w:highlight w:val="none"/>
              </w:rPr>
            </w:pPr>
            <w:r>
              <w:rPr>
                <w:color w:val="auto"/>
                <w:sz w:val="19"/>
                <w:szCs w:val="19"/>
                <w:highlight w:val="none"/>
              </w:rPr>
              <w:t>1</w:t>
            </w:r>
          </w:p>
        </w:tc>
        <w:tc>
          <w:tcPr>
            <w:tcW w:w="3683" w:type="dxa"/>
            <w:vAlign w:val="top"/>
          </w:tcPr>
          <w:p>
            <w:pPr>
              <w:pStyle w:val="10"/>
              <w:spacing w:before="57" w:line="228" w:lineRule="auto"/>
              <w:ind w:left="111"/>
              <w:rPr>
                <w:color w:val="auto"/>
                <w:sz w:val="19"/>
                <w:szCs w:val="19"/>
                <w:highlight w:val="none"/>
              </w:rPr>
            </w:pPr>
            <w:r>
              <w:rPr>
                <w:color w:val="auto"/>
                <w:spacing w:val="8"/>
                <w:sz w:val="19"/>
                <w:szCs w:val="19"/>
                <w:highlight w:val="none"/>
              </w:rPr>
              <w:t>基本直接费</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90" w:line="188" w:lineRule="auto"/>
              <w:ind w:left="509"/>
              <w:rPr>
                <w:color w:val="auto"/>
                <w:sz w:val="19"/>
                <w:szCs w:val="19"/>
                <w:highlight w:val="none"/>
              </w:rPr>
            </w:pPr>
            <w:r>
              <w:rPr>
                <w:color w:val="auto"/>
                <w:spacing w:val="-2"/>
                <w:sz w:val="19"/>
                <w:szCs w:val="19"/>
                <w:highlight w:val="none"/>
              </w:rPr>
              <w:t>1.1</w:t>
            </w:r>
          </w:p>
        </w:tc>
        <w:tc>
          <w:tcPr>
            <w:tcW w:w="3683" w:type="dxa"/>
            <w:vAlign w:val="top"/>
          </w:tcPr>
          <w:p>
            <w:pPr>
              <w:pStyle w:val="10"/>
              <w:spacing w:before="58" w:line="229" w:lineRule="auto"/>
              <w:ind w:left="112"/>
              <w:rPr>
                <w:color w:val="auto"/>
                <w:sz w:val="19"/>
                <w:szCs w:val="19"/>
                <w:highlight w:val="none"/>
              </w:rPr>
            </w:pPr>
            <w:r>
              <w:rPr>
                <w:color w:val="auto"/>
                <w:spacing w:val="6"/>
                <w:sz w:val="19"/>
                <w:szCs w:val="19"/>
                <w:highlight w:val="none"/>
              </w:rPr>
              <w:t>人工费</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90" w:line="188" w:lineRule="auto"/>
              <w:ind w:left="509"/>
              <w:rPr>
                <w:color w:val="auto"/>
                <w:sz w:val="19"/>
                <w:szCs w:val="19"/>
                <w:highlight w:val="none"/>
              </w:rPr>
            </w:pPr>
            <w:r>
              <w:rPr>
                <w:color w:val="auto"/>
                <w:spacing w:val="-2"/>
                <w:sz w:val="19"/>
                <w:szCs w:val="19"/>
                <w:highlight w:val="none"/>
              </w:rPr>
              <w:t>1.2</w:t>
            </w:r>
          </w:p>
        </w:tc>
        <w:tc>
          <w:tcPr>
            <w:tcW w:w="3683" w:type="dxa"/>
            <w:vAlign w:val="top"/>
          </w:tcPr>
          <w:p>
            <w:pPr>
              <w:pStyle w:val="10"/>
              <w:spacing w:before="57" w:line="228" w:lineRule="auto"/>
              <w:ind w:left="111"/>
              <w:rPr>
                <w:color w:val="auto"/>
                <w:sz w:val="19"/>
                <w:szCs w:val="19"/>
                <w:highlight w:val="none"/>
              </w:rPr>
            </w:pPr>
            <w:r>
              <w:rPr>
                <w:color w:val="auto"/>
                <w:spacing w:val="6"/>
                <w:sz w:val="19"/>
                <w:szCs w:val="19"/>
                <w:highlight w:val="none"/>
              </w:rPr>
              <w:t>材料费</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91" w:line="188" w:lineRule="auto"/>
              <w:ind w:left="509"/>
              <w:rPr>
                <w:color w:val="auto"/>
                <w:sz w:val="19"/>
                <w:szCs w:val="19"/>
                <w:highlight w:val="none"/>
              </w:rPr>
            </w:pPr>
            <w:r>
              <w:rPr>
                <w:color w:val="auto"/>
                <w:spacing w:val="-2"/>
                <w:sz w:val="19"/>
                <w:szCs w:val="19"/>
                <w:highlight w:val="none"/>
              </w:rPr>
              <w:t>1.3</w:t>
            </w:r>
          </w:p>
        </w:tc>
        <w:tc>
          <w:tcPr>
            <w:tcW w:w="3683" w:type="dxa"/>
            <w:vAlign w:val="top"/>
          </w:tcPr>
          <w:p>
            <w:pPr>
              <w:pStyle w:val="10"/>
              <w:spacing w:before="58" w:line="228" w:lineRule="auto"/>
              <w:ind w:left="110"/>
              <w:rPr>
                <w:color w:val="auto"/>
                <w:sz w:val="19"/>
                <w:szCs w:val="19"/>
                <w:highlight w:val="none"/>
              </w:rPr>
            </w:pPr>
            <w:r>
              <w:rPr>
                <w:color w:val="auto"/>
                <w:spacing w:val="8"/>
                <w:sz w:val="19"/>
                <w:szCs w:val="19"/>
                <w:highlight w:val="none"/>
              </w:rPr>
              <w:t>施工机械使用费</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88" w:line="188" w:lineRule="auto"/>
              <w:ind w:left="509"/>
              <w:rPr>
                <w:color w:val="auto"/>
                <w:sz w:val="19"/>
                <w:szCs w:val="19"/>
                <w:highlight w:val="none"/>
              </w:rPr>
            </w:pPr>
            <w:r>
              <w:rPr>
                <w:color w:val="auto"/>
                <w:spacing w:val="-2"/>
                <w:sz w:val="19"/>
                <w:szCs w:val="19"/>
                <w:highlight w:val="none"/>
              </w:rPr>
              <w:t>1.4</w:t>
            </w:r>
          </w:p>
        </w:tc>
        <w:tc>
          <w:tcPr>
            <w:tcW w:w="3683" w:type="dxa"/>
            <w:vAlign w:val="top"/>
          </w:tcPr>
          <w:p>
            <w:pPr>
              <w:pStyle w:val="10"/>
              <w:spacing w:before="56" w:line="229" w:lineRule="auto"/>
              <w:ind w:left="112"/>
              <w:rPr>
                <w:color w:val="auto"/>
                <w:sz w:val="19"/>
                <w:szCs w:val="19"/>
                <w:highlight w:val="none"/>
              </w:rPr>
            </w:pPr>
            <w:r>
              <w:rPr>
                <w:color w:val="auto"/>
                <w:spacing w:val="7"/>
                <w:sz w:val="19"/>
                <w:szCs w:val="19"/>
                <w:highlight w:val="none"/>
              </w:rPr>
              <w:t>其他费用</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Borders>
              <w:bottom w:val="single" w:color="000000" w:sz="4" w:space="0"/>
            </w:tcBorders>
            <w:vAlign w:val="top"/>
          </w:tcPr>
          <w:p>
            <w:pPr>
              <w:pStyle w:val="10"/>
              <w:spacing w:before="89" w:line="187" w:lineRule="auto"/>
              <w:ind w:left="597"/>
              <w:rPr>
                <w:color w:val="auto"/>
                <w:sz w:val="19"/>
                <w:szCs w:val="19"/>
                <w:highlight w:val="none"/>
              </w:rPr>
            </w:pPr>
            <w:r>
              <w:rPr>
                <w:color w:val="auto"/>
                <w:sz w:val="19"/>
                <w:szCs w:val="19"/>
                <w:highlight w:val="none"/>
              </w:rPr>
              <w:t>2</w:t>
            </w:r>
          </w:p>
        </w:tc>
        <w:tc>
          <w:tcPr>
            <w:tcW w:w="3683" w:type="dxa"/>
            <w:tcBorders>
              <w:bottom w:val="single" w:color="000000" w:sz="4" w:space="0"/>
            </w:tcBorders>
            <w:vAlign w:val="top"/>
          </w:tcPr>
          <w:p>
            <w:pPr>
              <w:pStyle w:val="10"/>
              <w:spacing w:before="56" w:line="229" w:lineRule="auto"/>
              <w:ind w:left="111"/>
              <w:rPr>
                <w:color w:val="auto"/>
                <w:sz w:val="19"/>
                <w:szCs w:val="19"/>
                <w:highlight w:val="none"/>
              </w:rPr>
            </w:pPr>
            <w:r>
              <w:rPr>
                <w:color w:val="auto"/>
                <w:spacing w:val="6"/>
                <w:sz w:val="19"/>
                <w:szCs w:val="19"/>
                <w:highlight w:val="none"/>
              </w:rPr>
              <w:t>措施费</w:t>
            </w:r>
          </w:p>
        </w:tc>
        <w:tc>
          <w:tcPr>
            <w:tcW w:w="755" w:type="dxa"/>
            <w:tcBorders>
              <w:bottom w:val="single" w:color="000000" w:sz="4" w:space="0"/>
            </w:tcBorders>
            <w:vAlign w:val="top"/>
          </w:tcPr>
          <w:p>
            <w:pPr>
              <w:rPr>
                <w:rFonts w:ascii="Arial"/>
                <w:color w:val="auto"/>
                <w:sz w:val="21"/>
                <w:highlight w:val="none"/>
              </w:rPr>
            </w:pPr>
          </w:p>
        </w:tc>
        <w:tc>
          <w:tcPr>
            <w:tcW w:w="1125" w:type="dxa"/>
            <w:tcBorders>
              <w:bottom w:val="single" w:color="000000" w:sz="4" w:space="0"/>
            </w:tcBorders>
            <w:vAlign w:val="top"/>
          </w:tcPr>
          <w:p>
            <w:pPr>
              <w:rPr>
                <w:rFonts w:ascii="Arial"/>
                <w:color w:val="auto"/>
                <w:sz w:val="21"/>
                <w:highlight w:val="none"/>
              </w:rPr>
            </w:pPr>
          </w:p>
        </w:tc>
        <w:tc>
          <w:tcPr>
            <w:tcW w:w="1087" w:type="dxa"/>
            <w:tcBorders>
              <w:bottom w:val="single" w:color="000000" w:sz="4" w:space="0"/>
            </w:tcBorders>
            <w:vAlign w:val="top"/>
          </w:tcPr>
          <w:p>
            <w:pPr>
              <w:rPr>
                <w:rFonts w:ascii="Arial"/>
                <w:color w:val="auto"/>
                <w:sz w:val="21"/>
                <w:highlight w:val="none"/>
              </w:rPr>
            </w:pPr>
          </w:p>
        </w:tc>
        <w:tc>
          <w:tcPr>
            <w:tcW w:w="1168" w:type="dxa"/>
            <w:tcBorders>
              <w:bottom w:val="single" w:color="000000" w:sz="4"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1" w:type="dxa"/>
            <w:tcBorders>
              <w:top w:val="single" w:color="000000" w:sz="4" w:space="0"/>
            </w:tcBorders>
            <w:vAlign w:val="top"/>
          </w:tcPr>
          <w:p>
            <w:pPr>
              <w:pStyle w:val="10"/>
              <w:spacing w:before="88" w:line="184" w:lineRule="auto"/>
              <w:ind w:left="548"/>
              <w:rPr>
                <w:color w:val="auto"/>
                <w:sz w:val="19"/>
                <w:szCs w:val="19"/>
                <w:highlight w:val="none"/>
              </w:rPr>
            </w:pPr>
            <w:r>
              <w:rPr>
                <w:color w:val="auto"/>
                <w:sz w:val="19"/>
                <w:szCs w:val="19"/>
                <w:highlight w:val="none"/>
              </w:rPr>
              <w:t>二</w:t>
            </w:r>
          </w:p>
        </w:tc>
        <w:tc>
          <w:tcPr>
            <w:tcW w:w="3683" w:type="dxa"/>
            <w:tcBorders>
              <w:top w:val="single" w:color="000000" w:sz="4" w:space="0"/>
            </w:tcBorders>
            <w:vAlign w:val="top"/>
          </w:tcPr>
          <w:p>
            <w:pPr>
              <w:pStyle w:val="10"/>
              <w:spacing w:before="52" w:line="229" w:lineRule="auto"/>
              <w:ind w:left="126"/>
              <w:rPr>
                <w:color w:val="auto"/>
                <w:sz w:val="19"/>
                <w:szCs w:val="19"/>
                <w:highlight w:val="none"/>
              </w:rPr>
            </w:pPr>
            <w:r>
              <w:rPr>
                <w:color w:val="auto"/>
                <w:spacing w:val="1"/>
                <w:sz w:val="19"/>
                <w:szCs w:val="19"/>
                <w:highlight w:val="none"/>
              </w:rPr>
              <w:t>间接费</w:t>
            </w:r>
          </w:p>
        </w:tc>
        <w:tc>
          <w:tcPr>
            <w:tcW w:w="755" w:type="dxa"/>
            <w:tcBorders>
              <w:top w:val="single" w:color="000000" w:sz="4" w:space="0"/>
            </w:tcBorders>
            <w:vAlign w:val="top"/>
          </w:tcPr>
          <w:p>
            <w:pPr>
              <w:rPr>
                <w:rFonts w:ascii="Arial"/>
                <w:color w:val="auto"/>
                <w:sz w:val="21"/>
                <w:highlight w:val="none"/>
              </w:rPr>
            </w:pPr>
          </w:p>
        </w:tc>
        <w:tc>
          <w:tcPr>
            <w:tcW w:w="1125" w:type="dxa"/>
            <w:tcBorders>
              <w:top w:val="single" w:color="000000" w:sz="4" w:space="0"/>
            </w:tcBorders>
            <w:vAlign w:val="top"/>
          </w:tcPr>
          <w:p>
            <w:pPr>
              <w:rPr>
                <w:rFonts w:ascii="Arial"/>
                <w:color w:val="auto"/>
                <w:sz w:val="21"/>
                <w:highlight w:val="none"/>
              </w:rPr>
            </w:pPr>
          </w:p>
        </w:tc>
        <w:tc>
          <w:tcPr>
            <w:tcW w:w="1087" w:type="dxa"/>
            <w:tcBorders>
              <w:top w:val="single" w:color="000000" w:sz="4" w:space="0"/>
            </w:tcBorders>
            <w:vAlign w:val="top"/>
          </w:tcPr>
          <w:p>
            <w:pPr>
              <w:rPr>
                <w:rFonts w:ascii="Arial"/>
                <w:color w:val="auto"/>
                <w:sz w:val="21"/>
                <w:highlight w:val="none"/>
              </w:rPr>
            </w:pPr>
          </w:p>
        </w:tc>
        <w:tc>
          <w:tcPr>
            <w:tcW w:w="1168" w:type="dxa"/>
            <w:tcBorders>
              <w:top w:val="single" w:color="000000" w:sz="4"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57"/>
              <w:ind w:left="545"/>
              <w:rPr>
                <w:color w:val="auto"/>
                <w:sz w:val="19"/>
                <w:szCs w:val="19"/>
                <w:highlight w:val="none"/>
              </w:rPr>
            </w:pPr>
            <w:r>
              <w:rPr>
                <w:color w:val="auto"/>
                <w:spacing w:val="1"/>
                <w:sz w:val="19"/>
                <w:szCs w:val="19"/>
                <w:highlight w:val="none"/>
              </w:rPr>
              <w:t>三</w:t>
            </w:r>
          </w:p>
        </w:tc>
        <w:tc>
          <w:tcPr>
            <w:tcW w:w="3683" w:type="dxa"/>
            <w:vAlign w:val="top"/>
          </w:tcPr>
          <w:p>
            <w:pPr>
              <w:pStyle w:val="10"/>
              <w:spacing w:before="57" w:line="229" w:lineRule="auto"/>
              <w:ind w:left="112"/>
              <w:rPr>
                <w:color w:val="auto"/>
                <w:sz w:val="19"/>
                <w:szCs w:val="19"/>
                <w:highlight w:val="none"/>
              </w:rPr>
            </w:pPr>
            <w:r>
              <w:rPr>
                <w:color w:val="auto"/>
                <w:spacing w:val="4"/>
                <w:sz w:val="19"/>
                <w:szCs w:val="19"/>
                <w:highlight w:val="none"/>
              </w:rPr>
              <w:t>利润</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57" w:line="231" w:lineRule="auto"/>
              <w:ind w:left="563"/>
              <w:rPr>
                <w:color w:val="auto"/>
                <w:sz w:val="19"/>
                <w:szCs w:val="19"/>
                <w:highlight w:val="none"/>
              </w:rPr>
            </w:pPr>
            <w:r>
              <w:rPr>
                <w:color w:val="auto"/>
                <w:sz w:val="19"/>
                <w:szCs w:val="19"/>
                <w:highlight w:val="none"/>
              </w:rPr>
              <w:t>四</w:t>
            </w:r>
          </w:p>
        </w:tc>
        <w:tc>
          <w:tcPr>
            <w:tcW w:w="3683" w:type="dxa"/>
            <w:vAlign w:val="top"/>
          </w:tcPr>
          <w:p>
            <w:pPr>
              <w:pStyle w:val="10"/>
              <w:spacing w:before="57" w:line="227" w:lineRule="auto"/>
              <w:ind w:left="114"/>
              <w:rPr>
                <w:color w:val="auto"/>
                <w:sz w:val="19"/>
                <w:szCs w:val="19"/>
                <w:highlight w:val="none"/>
              </w:rPr>
            </w:pPr>
            <w:r>
              <w:rPr>
                <w:color w:val="auto"/>
                <w:spacing w:val="8"/>
                <w:sz w:val="19"/>
                <w:szCs w:val="19"/>
                <w:highlight w:val="none"/>
              </w:rPr>
              <w:t>未计价装置性材料费</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81" w:type="dxa"/>
            <w:vAlign w:val="top"/>
          </w:tcPr>
          <w:p>
            <w:pPr>
              <w:pStyle w:val="10"/>
              <w:spacing w:before="57" w:line="237" w:lineRule="auto"/>
              <w:ind w:left="548"/>
              <w:rPr>
                <w:color w:val="auto"/>
                <w:sz w:val="19"/>
                <w:szCs w:val="19"/>
                <w:highlight w:val="none"/>
              </w:rPr>
            </w:pPr>
            <w:r>
              <w:rPr>
                <w:color w:val="auto"/>
                <w:sz w:val="19"/>
                <w:szCs w:val="19"/>
                <w:highlight w:val="none"/>
              </w:rPr>
              <w:t>五</w:t>
            </w:r>
          </w:p>
        </w:tc>
        <w:tc>
          <w:tcPr>
            <w:tcW w:w="3683" w:type="dxa"/>
            <w:vAlign w:val="top"/>
          </w:tcPr>
          <w:p>
            <w:pPr>
              <w:pStyle w:val="10"/>
              <w:spacing w:before="57" w:line="227" w:lineRule="auto"/>
              <w:ind w:left="112"/>
              <w:rPr>
                <w:color w:val="auto"/>
                <w:sz w:val="19"/>
                <w:szCs w:val="19"/>
                <w:highlight w:val="none"/>
              </w:rPr>
            </w:pPr>
            <w:r>
              <w:rPr>
                <w:color w:val="auto"/>
                <w:spacing w:val="4"/>
                <w:sz w:val="19"/>
                <w:szCs w:val="19"/>
                <w:highlight w:val="none"/>
              </w:rPr>
              <w:t>价差</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60" w:line="233" w:lineRule="auto"/>
              <w:ind w:left="546"/>
              <w:rPr>
                <w:color w:val="auto"/>
                <w:sz w:val="19"/>
                <w:szCs w:val="19"/>
                <w:highlight w:val="none"/>
              </w:rPr>
            </w:pPr>
            <w:r>
              <w:rPr>
                <w:color w:val="auto"/>
                <w:sz w:val="19"/>
                <w:szCs w:val="19"/>
                <w:highlight w:val="none"/>
              </w:rPr>
              <w:t>六</w:t>
            </w:r>
          </w:p>
        </w:tc>
        <w:tc>
          <w:tcPr>
            <w:tcW w:w="3683" w:type="dxa"/>
            <w:vAlign w:val="top"/>
          </w:tcPr>
          <w:p>
            <w:pPr>
              <w:pStyle w:val="10"/>
              <w:spacing w:before="60" w:line="229" w:lineRule="auto"/>
              <w:ind w:left="110"/>
              <w:rPr>
                <w:color w:val="auto"/>
                <w:sz w:val="19"/>
                <w:szCs w:val="19"/>
                <w:highlight w:val="none"/>
              </w:rPr>
            </w:pPr>
            <w:r>
              <w:rPr>
                <w:color w:val="auto"/>
                <w:spacing w:val="5"/>
                <w:sz w:val="19"/>
                <w:szCs w:val="19"/>
                <w:highlight w:val="none"/>
              </w:rPr>
              <w:t>税金</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pStyle w:val="10"/>
              <w:spacing w:before="61" w:line="236" w:lineRule="auto"/>
              <w:ind w:left="544"/>
              <w:rPr>
                <w:color w:val="auto"/>
                <w:sz w:val="19"/>
                <w:szCs w:val="19"/>
                <w:highlight w:val="none"/>
              </w:rPr>
            </w:pPr>
            <w:r>
              <w:rPr>
                <w:color w:val="auto"/>
                <w:spacing w:val="2"/>
                <w:sz w:val="19"/>
                <w:szCs w:val="19"/>
                <w:highlight w:val="none"/>
              </w:rPr>
              <w:t>七</w:t>
            </w:r>
          </w:p>
        </w:tc>
        <w:tc>
          <w:tcPr>
            <w:tcW w:w="3683" w:type="dxa"/>
            <w:vAlign w:val="top"/>
          </w:tcPr>
          <w:p>
            <w:pPr>
              <w:pStyle w:val="10"/>
              <w:spacing w:before="60" w:line="227" w:lineRule="auto"/>
              <w:ind w:left="112"/>
              <w:rPr>
                <w:color w:val="auto"/>
                <w:sz w:val="19"/>
                <w:szCs w:val="19"/>
                <w:highlight w:val="none"/>
              </w:rPr>
            </w:pPr>
            <w:r>
              <w:rPr>
                <w:color w:val="auto"/>
                <w:spacing w:val="4"/>
                <w:sz w:val="19"/>
                <w:szCs w:val="19"/>
                <w:highlight w:val="none"/>
              </w:rPr>
              <w:t>单价</w:t>
            </w: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rPr>
                <w:rFonts w:ascii="Arial"/>
                <w:color w:val="auto"/>
                <w:sz w:val="21"/>
                <w:highlight w:val="none"/>
              </w:rPr>
            </w:pPr>
          </w:p>
        </w:tc>
        <w:tc>
          <w:tcPr>
            <w:tcW w:w="3683" w:type="dxa"/>
            <w:vAlign w:val="top"/>
          </w:tcPr>
          <w:p>
            <w:pPr>
              <w:rPr>
                <w:rFonts w:ascii="Arial"/>
                <w:color w:val="auto"/>
                <w:sz w:val="21"/>
                <w:highlight w:val="none"/>
              </w:rPr>
            </w:pP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rPr>
                <w:rFonts w:ascii="Arial"/>
                <w:color w:val="auto"/>
                <w:sz w:val="21"/>
                <w:highlight w:val="none"/>
              </w:rPr>
            </w:pPr>
          </w:p>
        </w:tc>
        <w:tc>
          <w:tcPr>
            <w:tcW w:w="3683" w:type="dxa"/>
            <w:vAlign w:val="top"/>
          </w:tcPr>
          <w:p>
            <w:pPr>
              <w:rPr>
                <w:rFonts w:ascii="Arial"/>
                <w:color w:val="auto"/>
                <w:sz w:val="21"/>
                <w:highlight w:val="none"/>
              </w:rPr>
            </w:pP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rPr>
                <w:rFonts w:ascii="Arial"/>
                <w:color w:val="auto"/>
                <w:sz w:val="21"/>
                <w:highlight w:val="none"/>
              </w:rPr>
            </w:pPr>
          </w:p>
        </w:tc>
        <w:tc>
          <w:tcPr>
            <w:tcW w:w="3683" w:type="dxa"/>
            <w:vAlign w:val="top"/>
          </w:tcPr>
          <w:p>
            <w:pPr>
              <w:rPr>
                <w:rFonts w:ascii="Arial"/>
                <w:color w:val="auto"/>
                <w:sz w:val="21"/>
                <w:highlight w:val="none"/>
              </w:rPr>
            </w:pP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vAlign w:val="top"/>
          </w:tcPr>
          <w:p>
            <w:pPr>
              <w:rPr>
                <w:rFonts w:ascii="Arial"/>
                <w:color w:val="auto"/>
                <w:sz w:val="21"/>
                <w:highlight w:val="none"/>
              </w:rPr>
            </w:pPr>
          </w:p>
        </w:tc>
        <w:tc>
          <w:tcPr>
            <w:tcW w:w="3683" w:type="dxa"/>
            <w:vAlign w:val="top"/>
          </w:tcPr>
          <w:p>
            <w:pPr>
              <w:rPr>
                <w:rFonts w:ascii="Arial"/>
                <w:color w:val="auto"/>
                <w:sz w:val="21"/>
                <w:highlight w:val="none"/>
              </w:rPr>
            </w:pP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1" w:type="dxa"/>
            <w:vAlign w:val="top"/>
          </w:tcPr>
          <w:p>
            <w:pPr>
              <w:rPr>
                <w:rFonts w:ascii="Arial"/>
                <w:color w:val="auto"/>
                <w:sz w:val="21"/>
                <w:highlight w:val="none"/>
              </w:rPr>
            </w:pPr>
          </w:p>
        </w:tc>
        <w:tc>
          <w:tcPr>
            <w:tcW w:w="3683" w:type="dxa"/>
            <w:vAlign w:val="top"/>
          </w:tcPr>
          <w:p>
            <w:pPr>
              <w:rPr>
                <w:rFonts w:ascii="Arial"/>
                <w:color w:val="auto"/>
                <w:sz w:val="21"/>
                <w:highlight w:val="none"/>
              </w:rPr>
            </w:pPr>
          </w:p>
        </w:tc>
        <w:tc>
          <w:tcPr>
            <w:tcW w:w="755" w:type="dxa"/>
            <w:vAlign w:val="top"/>
          </w:tcPr>
          <w:p>
            <w:pPr>
              <w:rPr>
                <w:rFonts w:ascii="Arial"/>
                <w:color w:val="auto"/>
                <w:sz w:val="21"/>
                <w:highlight w:val="none"/>
              </w:rPr>
            </w:pPr>
          </w:p>
        </w:tc>
        <w:tc>
          <w:tcPr>
            <w:tcW w:w="1125" w:type="dxa"/>
            <w:vAlign w:val="top"/>
          </w:tcPr>
          <w:p>
            <w:pPr>
              <w:rPr>
                <w:rFonts w:ascii="Arial"/>
                <w:color w:val="auto"/>
                <w:sz w:val="21"/>
                <w:highlight w:val="none"/>
              </w:rPr>
            </w:pPr>
          </w:p>
        </w:tc>
        <w:tc>
          <w:tcPr>
            <w:tcW w:w="1087" w:type="dxa"/>
            <w:vAlign w:val="top"/>
          </w:tcPr>
          <w:p>
            <w:pPr>
              <w:rPr>
                <w:rFonts w:ascii="Arial"/>
                <w:color w:val="auto"/>
                <w:sz w:val="21"/>
                <w:highlight w:val="none"/>
              </w:rPr>
            </w:pPr>
          </w:p>
        </w:tc>
        <w:tc>
          <w:tcPr>
            <w:tcW w:w="1168" w:type="dxa"/>
            <w:vAlign w:val="top"/>
          </w:tcPr>
          <w:p>
            <w:pPr>
              <w:rPr>
                <w:rFonts w:ascii="Arial"/>
                <w:color w:val="auto"/>
                <w:sz w:val="21"/>
                <w:highlight w:val="none"/>
              </w:rPr>
            </w:pPr>
          </w:p>
        </w:tc>
      </w:tr>
    </w:tbl>
    <w:p>
      <w:pPr>
        <w:spacing w:before="63" w:line="220" w:lineRule="auto"/>
        <w:ind w:left="6462"/>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95" w:line="220" w:lineRule="auto"/>
        <w:ind w:left="6192"/>
        <w:rPr>
          <w:rFonts w:ascii="宋体" w:hAnsi="宋体" w:eastAsia="宋体" w:cs="宋体"/>
          <w:color w:val="auto"/>
          <w:sz w:val="18"/>
          <w:szCs w:val="18"/>
          <w:highlight w:val="none"/>
        </w:rPr>
      </w:pPr>
      <w:r>
        <w:rPr>
          <w:rFonts w:ascii="宋体" w:hAnsi="宋体" w:eastAsia="宋体" w:cs="宋体"/>
          <w:color w:val="auto"/>
          <w:spacing w:val="-17"/>
          <w:sz w:val="18"/>
          <w:szCs w:val="18"/>
          <w:highlight w:val="none"/>
        </w:rPr>
        <w:t>（或委托代理人</w:t>
      </w:r>
      <w:r>
        <w:rPr>
          <w:rFonts w:ascii="宋体" w:hAnsi="宋体" w:eastAsia="宋体" w:cs="宋体"/>
          <w:color w:val="auto"/>
          <w:spacing w:val="-11"/>
          <w:sz w:val="18"/>
          <w:szCs w:val="18"/>
          <w:highlight w:val="none"/>
        </w:rPr>
        <w:t>）：</w:t>
      </w:r>
      <w:r>
        <w:rPr>
          <w:rFonts w:ascii="宋体" w:hAnsi="宋体" w:eastAsia="宋体" w:cs="宋体"/>
          <w:color w:val="auto"/>
          <w:spacing w:val="42"/>
          <w:sz w:val="18"/>
          <w:szCs w:val="18"/>
          <w:highlight w:val="none"/>
        </w:rPr>
        <w:t xml:space="preserve"> </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39"/>
          <w:sz w:val="18"/>
          <w:szCs w:val="18"/>
          <w:highlight w:val="none"/>
        </w:rPr>
        <w:t xml:space="preserve"> </w:t>
      </w:r>
      <w:r>
        <w:rPr>
          <w:rFonts w:ascii="宋体" w:hAnsi="宋体" w:eastAsia="宋体" w:cs="宋体"/>
          <w:color w:val="auto"/>
          <w:spacing w:val="-11"/>
          <w:sz w:val="18"/>
          <w:szCs w:val="18"/>
          <w:highlight w:val="none"/>
        </w:rPr>
        <w:t>（</w:t>
      </w:r>
      <w:r>
        <w:rPr>
          <w:rFonts w:ascii="宋体" w:hAnsi="宋体" w:eastAsia="宋体" w:cs="宋体"/>
          <w:color w:val="auto"/>
          <w:spacing w:val="-17"/>
          <w:sz w:val="18"/>
          <w:szCs w:val="18"/>
          <w:highlight w:val="none"/>
        </w:rPr>
        <w:t>签字）</w:t>
      </w:r>
    </w:p>
    <w:p>
      <w:pPr>
        <w:spacing w:line="220" w:lineRule="auto"/>
        <w:rPr>
          <w:rFonts w:ascii="宋体" w:hAnsi="宋体" w:eastAsia="宋体" w:cs="宋体"/>
          <w:color w:val="auto"/>
          <w:sz w:val="18"/>
          <w:szCs w:val="18"/>
          <w:highlight w:val="none"/>
        </w:rPr>
        <w:sectPr>
          <w:footerReference r:id="rId100" w:type="default"/>
          <w:pgSz w:w="11907" w:h="16841"/>
          <w:pgMar w:top="400" w:right="1332" w:bottom="1143" w:left="1469" w:header="0" w:footer="969" w:gutter="0"/>
          <w:pgNumType w:fmt="numberInDash"/>
          <w:cols w:space="720" w:num="1"/>
        </w:sectPr>
      </w:pPr>
    </w:p>
    <w:p>
      <w:pPr>
        <w:pStyle w:val="2"/>
        <w:spacing w:line="265" w:lineRule="auto"/>
        <w:rPr>
          <w:color w:val="auto"/>
          <w:highlight w:val="none"/>
        </w:rPr>
      </w:pPr>
    </w:p>
    <w:p>
      <w:pPr>
        <w:pStyle w:val="2"/>
        <w:spacing w:line="265"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7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3.24 </w:t>
      </w:r>
      <w:r>
        <w:rPr>
          <w:rFonts w:ascii="黑体" w:hAnsi="黑体" w:eastAsia="黑体" w:cs="黑体"/>
          <w:color w:val="auto"/>
          <w:spacing w:val="-1"/>
          <w:sz w:val="24"/>
          <w:szCs w:val="24"/>
          <w:highlight w:val="none"/>
        </w:rPr>
        <w:t>人工费单价汇总表</w:t>
      </w:r>
    </w:p>
    <w:p>
      <w:pPr>
        <w:spacing w:before="370" w:line="218" w:lineRule="auto"/>
        <w:ind w:left="3043"/>
        <w:rPr>
          <w:rFonts w:ascii="宋体" w:hAnsi="宋体" w:eastAsia="宋体" w:cs="宋体"/>
          <w:color w:val="auto"/>
          <w:sz w:val="40"/>
          <w:szCs w:val="40"/>
          <w:highlight w:val="none"/>
        </w:rPr>
      </w:pPr>
      <w:r>
        <w:rPr>
          <w:rFonts w:ascii="宋体" w:hAnsi="宋体" w:eastAsia="宋体" w:cs="宋体"/>
          <w:color w:val="auto"/>
          <w:spacing w:val="-1"/>
          <w:sz w:val="40"/>
          <w:szCs w:val="40"/>
          <w:highlight w:val="none"/>
          <w14:textOutline w14:w="7271" w14:cap="flat" w14:cmpd="sng">
            <w14:solidFill>
              <w14:srgbClr w14:val="000000"/>
            </w14:solidFill>
            <w14:prstDash w14:val="solid"/>
            <w14:miter w14:val="0"/>
          </w14:textOutline>
        </w:rPr>
        <w:t>人工费单价汇总表</w:t>
      </w:r>
    </w:p>
    <w:p>
      <w:pPr>
        <w:spacing w:before="78" w:line="239" w:lineRule="auto"/>
        <w:ind w:left="125"/>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合同编号：</w:t>
      </w:r>
    </w:p>
    <w:p>
      <w:pPr>
        <w:spacing w:line="212" w:lineRule="auto"/>
        <w:ind w:left="126"/>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工程名称：</w:t>
      </w:r>
    </w:p>
    <w:tbl>
      <w:tblPr>
        <w:tblStyle w:val="9"/>
        <w:tblW w:w="92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6"/>
        <w:gridCol w:w="2988"/>
        <w:gridCol w:w="1500"/>
        <w:gridCol w:w="1647"/>
        <w:gridCol w:w="17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6" w:type="dxa"/>
            <w:tcBorders>
              <w:top w:val="single" w:color="000000" w:sz="6" w:space="0"/>
              <w:left w:val="single" w:color="000000" w:sz="6" w:space="0"/>
            </w:tcBorders>
            <w:vAlign w:val="top"/>
          </w:tcPr>
          <w:p>
            <w:pPr>
              <w:pStyle w:val="10"/>
              <w:spacing w:before="60" w:line="221" w:lineRule="auto"/>
              <w:ind w:left="500"/>
              <w:rPr>
                <w:color w:val="auto"/>
                <w:sz w:val="18"/>
                <w:szCs w:val="18"/>
                <w:highlight w:val="none"/>
              </w:rPr>
            </w:pPr>
            <w:r>
              <w:rPr>
                <w:color w:val="auto"/>
                <w:spacing w:val="-2"/>
                <w:sz w:val="18"/>
                <w:szCs w:val="18"/>
                <w:highlight w:val="none"/>
              </w:rPr>
              <w:t>序号</w:t>
            </w:r>
          </w:p>
        </w:tc>
        <w:tc>
          <w:tcPr>
            <w:tcW w:w="2988" w:type="dxa"/>
            <w:tcBorders>
              <w:top w:val="single" w:color="000000" w:sz="6" w:space="0"/>
            </w:tcBorders>
            <w:vAlign w:val="top"/>
          </w:tcPr>
          <w:p>
            <w:pPr>
              <w:spacing w:line="4" w:lineRule="exact"/>
              <w:ind w:left="2877"/>
              <w:rPr>
                <w:color w:val="auto"/>
                <w:highlight w:val="none"/>
              </w:rPr>
            </w:pPr>
            <w:r>
              <w:rPr>
                <w:color w:val="auto"/>
                <w:highlight w:val="none"/>
              </w:rPr>
              <w:drawing>
                <wp:inline distT="0" distB="0" distL="0" distR="0">
                  <wp:extent cx="65405" cy="25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73"/>
                          <a:stretch>
                            <a:fillRect/>
                          </a:stretch>
                        </pic:blipFill>
                        <pic:spPr>
                          <a:xfrm>
                            <a:off x="0" y="0"/>
                            <a:ext cx="65532" cy="2667"/>
                          </a:xfrm>
                          <a:prstGeom prst="rect">
                            <a:avLst/>
                          </a:prstGeom>
                        </pic:spPr>
                      </pic:pic>
                    </a:graphicData>
                  </a:graphic>
                </wp:inline>
              </w:drawing>
            </w:r>
          </w:p>
          <w:p>
            <w:pPr>
              <w:pStyle w:val="10"/>
              <w:spacing w:before="56" w:line="220" w:lineRule="auto"/>
              <w:ind w:left="1316"/>
              <w:rPr>
                <w:color w:val="auto"/>
                <w:sz w:val="18"/>
                <w:szCs w:val="18"/>
                <w:highlight w:val="none"/>
              </w:rPr>
            </w:pPr>
            <w:r>
              <w:rPr>
                <w:color w:val="auto"/>
                <w:spacing w:val="-3"/>
                <w:sz w:val="18"/>
                <w:szCs w:val="18"/>
                <w:highlight w:val="none"/>
              </w:rPr>
              <w:t>工种</w:t>
            </w:r>
          </w:p>
        </w:tc>
        <w:tc>
          <w:tcPr>
            <w:tcW w:w="1500" w:type="dxa"/>
            <w:tcBorders>
              <w:top w:val="single" w:color="000000" w:sz="6" w:space="0"/>
            </w:tcBorders>
            <w:vAlign w:val="top"/>
          </w:tcPr>
          <w:p>
            <w:pPr>
              <w:pStyle w:val="10"/>
              <w:spacing w:before="61" w:line="220" w:lineRule="auto"/>
              <w:ind w:left="577"/>
              <w:rPr>
                <w:color w:val="auto"/>
                <w:sz w:val="18"/>
                <w:szCs w:val="18"/>
                <w:highlight w:val="none"/>
              </w:rPr>
            </w:pPr>
            <w:r>
              <w:rPr>
                <w:color w:val="auto"/>
                <w:spacing w:val="-3"/>
                <w:sz w:val="18"/>
                <w:szCs w:val="18"/>
                <w:highlight w:val="none"/>
              </w:rPr>
              <w:t>单位</w:t>
            </w:r>
          </w:p>
        </w:tc>
        <w:tc>
          <w:tcPr>
            <w:tcW w:w="1647" w:type="dxa"/>
            <w:tcBorders>
              <w:top w:val="single" w:color="000000" w:sz="6" w:space="0"/>
            </w:tcBorders>
            <w:vAlign w:val="top"/>
          </w:tcPr>
          <w:p>
            <w:pPr>
              <w:pStyle w:val="10"/>
              <w:spacing w:before="60" w:line="218" w:lineRule="auto"/>
              <w:ind w:left="382"/>
              <w:rPr>
                <w:color w:val="auto"/>
                <w:sz w:val="18"/>
                <w:szCs w:val="18"/>
                <w:highlight w:val="none"/>
              </w:rPr>
            </w:pPr>
            <w:r>
              <w:rPr>
                <w:color w:val="auto"/>
                <w:spacing w:val="-4"/>
                <w:sz w:val="18"/>
                <w:szCs w:val="18"/>
                <w:highlight w:val="none"/>
              </w:rPr>
              <w:t>单价（元）</w:t>
            </w:r>
          </w:p>
        </w:tc>
        <w:tc>
          <w:tcPr>
            <w:tcW w:w="1749" w:type="dxa"/>
            <w:tcBorders>
              <w:top w:val="single" w:color="000000" w:sz="6" w:space="0"/>
              <w:right w:val="single" w:color="000000" w:sz="6" w:space="0"/>
            </w:tcBorders>
            <w:vAlign w:val="top"/>
          </w:tcPr>
          <w:p>
            <w:pPr>
              <w:pStyle w:val="10"/>
              <w:spacing w:before="60" w:line="221" w:lineRule="auto"/>
              <w:ind w:left="702"/>
              <w:rPr>
                <w:color w:val="auto"/>
                <w:sz w:val="18"/>
                <w:szCs w:val="18"/>
                <w:highlight w:val="none"/>
              </w:rPr>
            </w:pPr>
            <w:r>
              <w:rPr>
                <w:color w:val="auto"/>
                <w:spacing w:val="-3"/>
                <w:sz w:val="18"/>
                <w:szCs w:val="18"/>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366" w:type="dxa"/>
            <w:tcBorders>
              <w:left w:val="single" w:color="000000" w:sz="6" w:space="0"/>
            </w:tcBorders>
            <w:vAlign w:val="top"/>
          </w:tcPr>
          <w:p>
            <w:pPr>
              <w:pStyle w:val="10"/>
              <w:spacing w:before="85" w:line="182" w:lineRule="auto"/>
              <w:ind w:left="648"/>
              <w:rPr>
                <w:color w:val="auto"/>
                <w:sz w:val="18"/>
                <w:szCs w:val="18"/>
                <w:highlight w:val="none"/>
              </w:rPr>
            </w:pPr>
            <w:r>
              <w:rPr>
                <w:color w:val="auto"/>
                <w:sz w:val="18"/>
                <w:szCs w:val="18"/>
                <w:highlight w:val="none"/>
              </w:rPr>
              <w:t>1</w:t>
            </w: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1366" w:type="dxa"/>
            <w:tcBorders>
              <w:left w:val="single" w:color="000000" w:sz="6" w:space="0"/>
            </w:tcBorders>
            <w:vAlign w:val="top"/>
          </w:tcPr>
          <w:p>
            <w:pPr>
              <w:pStyle w:val="10"/>
              <w:spacing w:before="87" w:line="181" w:lineRule="auto"/>
              <w:ind w:left="637"/>
              <w:rPr>
                <w:color w:val="auto"/>
                <w:sz w:val="18"/>
                <w:szCs w:val="18"/>
                <w:highlight w:val="none"/>
              </w:rPr>
            </w:pPr>
            <w:r>
              <w:rPr>
                <w:color w:val="auto"/>
                <w:sz w:val="18"/>
                <w:szCs w:val="18"/>
                <w:highlight w:val="none"/>
              </w:rPr>
              <w:t>2</w:t>
            </w: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pStyle w:val="10"/>
              <w:spacing w:before="87" w:line="181" w:lineRule="auto"/>
              <w:ind w:left="638"/>
              <w:rPr>
                <w:color w:val="auto"/>
                <w:sz w:val="18"/>
                <w:szCs w:val="18"/>
                <w:highlight w:val="none"/>
              </w:rPr>
            </w:pPr>
            <w:r>
              <w:rPr>
                <w:color w:val="auto"/>
                <w:sz w:val="18"/>
                <w:szCs w:val="18"/>
                <w:highlight w:val="none"/>
              </w:rPr>
              <w:t>3</w:t>
            </w: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vAlign w:val="top"/>
          </w:tcPr>
          <w:p>
            <w:pPr>
              <w:rPr>
                <w:rFonts w:ascii="Arial"/>
                <w:color w:val="auto"/>
                <w:sz w:val="21"/>
                <w:highlight w:val="none"/>
              </w:rPr>
            </w:pPr>
          </w:p>
        </w:tc>
        <w:tc>
          <w:tcPr>
            <w:tcW w:w="2988" w:type="dxa"/>
            <w:vAlign w:val="top"/>
          </w:tcPr>
          <w:p>
            <w:pPr>
              <w:rPr>
                <w:rFonts w:ascii="Arial"/>
                <w:color w:val="auto"/>
                <w:sz w:val="21"/>
                <w:highlight w:val="none"/>
              </w:rPr>
            </w:pPr>
          </w:p>
        </w:tc>
        <w:tc>
          <w:tcPr>
            <w:tcW w:w="1500" w:type="dxa"/>
            <w:vAlign w:val="top"/>
          </w:tcPr>
          <w:p>
            <w:pPr>
              <w:rPr>
                <w:rFonts w:ascii="Arial"/>
                <w:color w:val="auto"/>
                <w:sz w:val="21"/>
                <w:highlight w:val="none"/>
              </w:rPr>
            </w:pPr>
          </w:p>
        </w:tc>
        <w:tc>
          <w:tcPr>
            <w:tcW w:w="1647" w:type="dxa"/>
            <w:vAlign w:val="top"/>
          </w:tcPr>
          <w:p>
            <w:pPr>
              <w:rPr>
                <w:rFonts w:ascii="Arial"/>
                <w:color w:val="auto"/>
                <w:sz w:val="21"/>
                <w:highlight w:val="none"/>
              </w:rPr>
            </w:pPr>
          </w:p>
        </w:tc>
        <w:tc>
          <w:tcPr>
            <w:tcW w:w="1749" w:type="dxa"/>
            <w:tcBorders>
              <w:right w:val="single" w:color="000000" w:sz="6"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66" w:type="dxa"/>
            <w:tcBorders>
              <w:left w:val="single" w:color="000000" w:sz="6" w:space="0"/>
              <w:bottom w:val="single" w:color="000000" w:sz="6" w:space="0"/>
            </w:tcBorders>
            <w:vAlign w:val="top"/>
          </w:tcPr>
          <w:p>
            <w:pPr>
              <w:rPr>
                <w:rFonts w:ascii="Arial"/>
                <w:color w:val="auto"/>
                <w:sz w:val="21"/>
                <w:highlight w:val="none"/>
              </w:rPr>
            </w:pPr>
          </w:p>
        </w:tc>
        <w:tc>
          <w:tcPr>
            <w:tcW w:w="2988" w:type="dxa"/>
            <w:tcBorders>
              <w:bottom w:val="single" w:color="000000" w:sz="6" w:space="0"/>
            </w:tcBorders>
            <w:vAlign w:val="top"/>
          </w:tcPr>
          <w:p>
            <w:pPr>
              <w:rPr>
                <w:rFonts w:ascii="Arial"/>
                <w:color w:val="auto"/>
                <w:sz w:val="21"/>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rightMargin">
                        <wp:posOffset>-66675</wp:posOffset>
                      </wp:positionH>
                      <wp:positionV relativeFrom="topMargin">
                        <wp:posOffset>196850</wp:posOffset>
                      </wp:positionV>
                      <wp:extent cx="66040" cy="12700"/>
                      <wp:effectExtent l="0" t="0" r="0" b="0"/>
                      <wp:wrapNone/>
                      <wp:docPr id="22" name="矩形 22"/>
                      <wp:cNvGraphicFramePr/>
                      <a:graphic xmlns:a="http://schemas.openxmlformats.org/drawingml/2006/main">
                        <a:graphicData uri="http://schemas.microsoft.com/office/word/2010/wordprocessingShape">
                          <wps:wsp>
                            <wps:cNvSpPr/>
                            <wps:spPr>
                              <a:xfrm>
                                <a:off x="0" y="0"/>
                                <a:ext cx="66040" cy="127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44.05pt;margin-top:15.75pt;height:1pt;width:5.2pt;mso-position-horizontal-relative:page;mso-position-vertical-relative:page;z-index:251671552;mso-width-relative:page;mso-height-relative:page;" fillcolor="#000000" filled="t" stroked="f" coordsize="21600,21600" o:gfxdata="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CLM9YA&#10;AAAHAQAADwAAAAAAAAABACAAAAAiAAAAZHJzL2Rvd25yZXYueG1sUEsBAhQAFAAAAAgAh07iQA1Q&#10;Q/qvAQAAXgMAAA4AAAAAAAAAAQAgAAAAJQEAAGRycy9lMm9Eb2MueG1sUEsFBgAAAAAGAAYAWQEA&#10;AEYFAAAAAA==&#10;">
                      <v:fill on="t" focussize="0,0"/>
                      <v:stroke on="f"/>
                      <v:imagedata o:title=""/>
                      <o:lock v:ext="edit" aspectratio="f"/>
                    </v:rect>
                  </w:pict>
                </mc:Fallback>
              </mc:AlternateContent>
            </w:r>
          </w:p>
        </w:tc>
        <w:tc>
          <w:tcPr>
            <w:tcW w:w="1500" w:type="dxa"/>
            <w:tcBorders>
              <w:bottom w:val="single" w:color="000000" w:sz="6" w:space="0"/>
            </w:tcBorders>
            <w:vAlign w:val="top"/>
          </w:tcPr>
          <w:p>
            <w:pPr>
              <w:rPr>
                <w:rFonts w:ascii="Arial"/>
                <w:color w:val="auto"/>
                <w:sz w:val="21"/>
                <w:highlight w:val="none"/>
              </w:rPr>
            </w:pPr>
          </w:p>
        </w:tc>
        <w:tc>
          <w:tcPr>
            <w:tcW w:w="1647" w:type="dxa"/>
            <w:tcBorders>
              <w:bottom w:val="single" w:color="000000" w:sz="6" w:space="0"/>
            </w:tcBorders>
            <w:vAlign w:val="top"/>
          </w:tcPr>
          <w:p>
            <w:pPr>
              <w:rPr>
                <w:rFonts w:ascii="Arial"/>
                <w:color w:val="auto"/>
                <w:sz w:val="21"/>
                <w:highlight w:val="none"/>
              </w:rPr>
            </w:pPr>
          </w:p>
        </w:tc>
        <w:tc>
          <w:tcPr>
            <w:tcW w:w="1749" w:type="dxa"/>
            <w:tcBorders>
              <w:bottom w:val="single" w:color="000000" w:sz="6" w:space="0"/>
              <w:right w:val="single" w:color="000000" w:sz="6" w:space="0"/>
            </w:tcBorders>
            <w:vAlign w:val="top"/>
          </w:tcPr>
          <w:p>
            <w:pPr>
              <w:rPr>
                <w:rFonts w:ascii="Arial"/>
                <w:color w:val="auto"/>
                <w:sz w:val="21"/>
                <w:highlight w:val="none"/>
              </w:rPr>
            </w:pPr>
          </w:p>
        </w:tc>
      </w:tr>
    </w:tbl>
    <w:p>
      <w:pPr>
        <w:spacing w:before="75" w:line="220" w:lineRule="auto"/>
        <w:ind w:left="6671"/>
        <w:rPr>
          <w:rFonts w:ascii="宋体" w:hAnsi="宋体" w:eastAsia="宋体" w:cs="宋体"/>
          <w:color w:val="auto"/>
          <w:sz w:val="18"/>
          <w:szCs w:val="18"/>
          <w:highlight w:val="none"/>
        </w:rPr>
      </w:pPr>
      <w:r>
        <w:rPr>
          <w:rFonts w:ascii="宋体" w:hAnsi="宋体" w:eastAsia="宋体" w:cs="宋体"/>
          <w:color w:val="auto"/>
          <w:spacing w:val="-2"/>
          <w:sz w:val="18"/>
          <w:szCs w:val="18"/>
          <w:highlight w:val="none"/>
        </w:rPr>
        <w:t>法定代表人</w:t>
      </w:r>
    </w:p>
    <w:p>
      <w:pPr>
        <w:spacing w:before="70" w:line="229" w:lineRule="auto"/>
        <w:ind w:left="6397" w:right="449" w:firstLine="4"/>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（或委托代理人</w:t>
      </w:r>
      <w:r>
        <w:rPr>
          <w:rFonts w:ascii="宋体" w:hAnsi="宋体" w:eastAsia="宋体" w:cs="宋体"/>
          <w:color w:val="auto"/>
          <w:spacing w:val="1"/>
          <w:sz w:val="18"/>
          <w:szCs w:val="18"/>
          <w:highlight w:val="none"/>
        </w:rPr>
        <w:t>）：</w:t>
      </w:r>
      <w:r>
        <w:rPr>
          <w:rFonts w:ascii="宋体" w:hAnsi="宋体" w:eastAsia="宋体" w:cs="宋体"/>
          <w:color w:val="auto"/>
          <w:sz w:val="18"/>
          <w:szCs w:val="18"/>
          <w:highlight w:val="none"/>
          <w:u w:val="single" w:color="auto"/>
        </w:rPr>
        <w:t xml:space="preserve">     </w:t>
      </w:r>
      <w:r>
        <w:rPr>
          <w:rFonts w:ascii="宋体" w:hAnsi="宋体" w:eastAsia="宋体" w:cs="宋体"/>
          <w:color w:val="auto"/>
          <w:spacing w:val="-38"/>
          <w:sz w:val="18"/>
          <w:szCs w:val="18"/>
          <w:highlight w:val="none"/>
        </w:rPr>
        <w:t xml:space="preserve"> </w:t>
      </w:r>
      <w:r>
        <w:rPr>
          <w:rFonts w:ascii="宋体" w:hAnsi="宋体" w:eastAsia="宋体" w:cs="宋体"/>
          <w:color w:val="auto"/>
          <w:spacing w:val="1"/>
          <w:sz w:val="18"/>
          <w:szCs w:val="18"/>
          <w:highlight w:val="none"/>
        </w:rPr>
        <w:t>（</w:t>
      </w:r>
      <w:r>
        <w:rPr>
          <w:rFonts w:ascii="宋体" w:hAnsi="宋体" w:eastAsia="宋体" w:cs="宋体"/>
          <w:color w:val="auto"/>
          <w:spacing w:val="-9"/>
          <w:sz w:val="18"/>
          <w:szCs w:val="18"/>
          <w:highlight w:val="none"/>
        </w:rPr>
        <w:t>签</w:t>
      </w:r>
      <w:r>
        <w:rPr>
          <w:rFonts w:ascii="宋体" w:hAnsi="宋体" w:eastAsia="宋体" w:cs="宋体"/>
          <w:color w:val="auto"/>
          <w:sz w:val="18"/>
          <w:szCs w:val="18"/>
          <w:highlight w:val="none"/>
        </w:rPr>
        <w:t xml:space="preserve"> </w:t>
      </w:r>
      <w:r>
        <w:rPr>
          <w:rFonts w:ascii="宋体" w:hAnsi="宋体" w:eastAsia="宋体" w:cs="宋体"/>
          <w:color w:val="auto"/>
          <w:spacing w:val="-5"/>
          <w:sz w:val="18"/>
          <w:szCs w:val="18"/>
          <w:highlight w:val="none"/>
        </w:rPr>
        <w:t>字）</w:t>
      </w:r>
    </w:p>
    <w:p>
      <w:pPr>
        <w:spacing w:line="229" w:lineRule="auto"/>
        <w:rPr>
          <w:rFonts w:ascii="宋体" w:hAnsi="宋体" w:eastAsia="宋体" w:cs="宋体"/>
          <w:color w:val="auto"/>
          <w:sz w:val="18"/>
          <w:szCs w:val="18"/>
          <w:highlight w:val="none"/>
        </w:rPr>
        <w:sectPr>
          <w:footerReference r:id="rId101" w:type="default"/>
          <w:pgSz w:w="11907" w:h="16841"/>
          <w:pgMar w:top="400" w:right="1176" w:bottom="1143" w:left="1464" w:header="0" w:footer="969" w:gutter="0"/>
          <w:pgNumType w:fmt="numberInDash"/>
          <w:cols w:space="720" w:num="1"/>
        </w:sectPr>
      </w:pPr>
    </w:p>
    <w:p>
      <w:pPr>
        <w:pStyle w:val="2"/>
        <w:spacing w:line="250" w:lineRule="auto"/>
        <w:rPr>
          <w:color w:val="auto"/>
          <w:highlight w:val="none"/>
        </w:rPr>
      </w:pPr>
    </w:p>
    <w:p>
      <w:pPr>
        <w:pStyle w:val="2"/>
        <w:spacing w:line="250" w:lineRule="auto"/>
        <w:rPr>
          <w:color w:val="auto"/>
          <w:highlight w:val="none"/>
        </w:rPr>
      </w:pPr>
    </w:p>
    <w:p>
      <w:pPr>
        <w:pStyle w:val="2"/>
        <w:spacing w:line="251" w:lineRule="auto"/>
        <w:rPr>
          <w:color w:val="auto"/>
          <w:highlight w:val="none"/>
        </w:rPr>
      </w:pPr>
    </w:p>
    <w:p>
      <w:pPr>
        <w:pStyle w:val="2"/>
        <w:spacing w:line="250"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pStyle w:val="2"/>
        <w:spacing w:line="251" w:lineRule="auto"/>
        <w:rPr>
          <w:color w:val="auto"/>
          <w:highlight w:val="none"/>
        </w:rPr>
      </w:pPr>
    </w:p>
    <w:p>
      <w:pPr>
        <w:spacing w:before="156" w:line="219" w:lineRule="auto"/>
        <w:ind w:left="3436"/>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第二卷</w:t>
      </w:r>
    </w:p>
    <w:p>
      <w:pPr>
        <w:spacing w:line="219" w:lineRule="auto"/>
        <w:rPr>
          <w:rFonts w:ascii="黑体" w:hAnsi="黑体" w:eastAsia="黑体" w:cs="黑体"/>
          <w:color w:val="auto"/>
          <w:sz w:val="48"/>
          <w:szCs w:val="48"/>
          <w:highlight w:val="none"/>
        </w:rPr>
        <w:sectPr>
          <w:footerReference r:id="rId102" w:type="default"/>
          <w:pgSz w:w="11905" w:h="16843"/>
          <w:pgMar w:top="1769" w:right="1548" w:bottom="1003" w:left="1542" w:header="0" w:footer="828" w:gutter="0"/>
          <w:pgNumType w:fmt="numberInDash"/>
          <w:cols w:space="0" w:num="1"/>
          <w:rtlGutter w:val="0"/>
          <w:docGrid w:linePitch="0" w:charSpace="0"/>
        </w:sect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spacing w:before="100" w:line="224" w:lineRule="auto"/>
        <w:ind w:left="3032"/>
        <w:rPr>
          <w:rFonts w:ascii="黑体" w:hAnsi="黑体" w:eastAsia="黑体" w:cs="黑体"/>
          <w:color w:val="auto"/>
          <w:sz w:val="31"/>
          <w:szCs w:val="31"/>
          <w:highlight w:val="none"/>
        </w:rPr>
      </w:pPr>
      <w:r>
        <w:rPr>
          <w:rFonts w:ascii="黑体" w:hAnsi="黑体" w:eastAsia="黑体" w:cs="黑体"/>
          <w:color w:val="auto"/>
          <w:spacing w:val="-2"/>
          <w:sz w:val="31"/>
          <w:szCs w:val="31"/>
          <w:highlight w:val="none"/>
        </w:rPr>
        <w:t>第六章</w:t>
      </w:r>
      <w:r>
        <w:rPr>
          <w:rFonts w:ascii="黑体" w:hAnsi="黑体" w:eastAsia="黑体" w:cs="黑体"/>
          <w:color w:val="auto"/>
          <w:spacing w:val="22"/>
          <w:sz w:val="31"/>
          <w:szCs w:val="31"/>
          <w:highlight w:val="none"/>
        </w:rPr>
        <w:t xml:space="preserve">  </w:t>
      </w:r>
      <w:r>
        <w:rPr>
          <w:rFonts w:ascii="黑体" w:hAnsi="黑体" w:eastAsia="黑体" w:cs="黑体"/>
          <w:color w:val="auto"/>
          <w:spacing w:val="-2"/>
          <w:sz w:val="31"/>
          <w:szCs w:val="31"/>
          <w:highlight w:val="none"/>
        </w:rPr>
        <w:t>图</w:t>
      </w:r>
      <w:r>
        <w:rPr>
          <w:rFonts w:ascii="黑体" w:hAnsi="黑体" w:eastAsia="黑体" w:cs="黑体"/>
          <w:color w:val="auto"/>
          <w:spacing w:val="15"/>
          <w:sz w:val="31"/>
          <w:szCs w:val="31"/>
          <w:highlight w:val="none"/>
        </w:rPr>
        <w:t xml:space="preserve">  </w:t>
      </w:r>
      <w:r>
        <w:rPr>
          <w:rFonts w:ascii="黑体" w:hAnsi="黑体" w:eastAsia="黑体" w:cs="黑体"/>
          <w:color w:val="auto"/>
          <w:spacing w:val="-2"/>
          <w:sz w:val="31"/>
          <w:szCs w:val="31"/>
          <w:highlight w:val="none"/>
        </w:rPr>
        <w:t>纸</w:t>
      </w:r>
    </w:p>
    <w:p>
      <w:pPr>
        <w:spacing w:line="224" w:lineRule="auto"/>
        <w:rPr>
          <w:rFonts w:ascii="黑体" w:hAnsi="黑体" w:eastAsia="黑体" w:cs="黑体"/>
          <w:color w:val="auto"/>
          <w:sz w:val="31"/>
          <w:szCs w:val="31"/>
          <w:highlight w:val="none"/>
        </w:rPr>
        <w:sectPr>
          <w:footerReference r:id="rId103" w:type="default"/>
          <w:pgSz w:w="11905" w:h="16843"/>
          <w:pgMar w:top="1769" w:right="1548" w:bottom="1003" w:left="1542" w:header="0" w:footer="828" w:gutter="0"/>
          <w:pgNumType w:fmt="numberInDash"/>
          <w:cols w:space="0" w:num="1"/>
          <w:rtlGutter w:val="0"/>
          <w:docGrid w:linePitch="0" w:charSpace="0"/>
        </w:sectPr>
      </w:pPr>
    </w:p>
    <w:p>
      <w:pPr>
        <w:pStyle w:val="2"/>
        <w:spacing w:line="265" w:lineRule="auto"/>
        <w:rPr>
          <w:color w:val="auto"/>
          <w:highlight w:val="none"/>
        </w:rPr>
      </w:pPr>
    </w:p>
    <w:p>
      <w:pPr>
        <w:spacing w:before="78" w:line="219" w:lineRule="auto"/>
        <w:ind w:left="28"/>
        <w:rPr>
          <w:rFonts w:ascii="黑体" w:hAnsi="黑体" w:eastAsia="黑体" w:cs="黑体"/>
          <w:color w:val="auto"/>
          <w:sz w:val="24"/>
          <w:szCs w:val="24"/>
          <w:highlight w:val="none"/>
        </w:rPr>
      </w:pPr>
      <w:bookmarkStart w:id="370" w:name="bookmark410"/>
      <w:bookmarkEnd w:id="370"/>
      <w:bookmarkStart w:id="371" w:name="bookmark411"/>
      <w:bookmarkEnd w:id="371"/>
      <w:r>
        <w:rPr>
          <w:rFonts w:ascii="Times New Roman" w:hAnsi="Times New Roman" w:eastAsia="Times New Roman" w:cs="Times New Roman"/>
          <w:color w:val="auto"/>
          <w:spacing w:val="-10"/>
          <w:sz w:val="24"/>
          <w:szCs w:val="24"/>
          <w:highlight w:val="none"/>
        </w:rPr>
        <w:t>1</w:t>
      </w:r>
      <w:r>
        <w:rPr>
          <w:rFonts w:ascii="Times New Roman" w:hAnsi="Times New Roman" w:eastAsia="Times New Roman" w:cs="Times New Roman"/>
          <w:color w:val="auto"/>
          <w:spacing w:val="-24"/>
          <w:sz w:val="24"/>
          <w:szCs w:val="24"/>
          <w:highlight w:val="none"/>
        </w:rPr>
        <w:t xml:space="preserve"> </w:t>
      </w:r>
      <w:r>
        <w:rPr>
          <w:rFonts w:ascii="黑体" w:hAnsi="黑体" w:eastAsia="黑体" w:cs="黑体"/>
          <w:color w:val="auto"/>
          <w:spacing w:val="-10"/>
          <w:sz w:val="24"/>
          <w:szCs w:val="24"/>
          <w:highlight w:val="none"/>
        </w:rPr>
        <w:t>．图纸目录</w:t>
      </w:r>
    </w:p>
    <w:tbl>
      <w:tblPr>
        <w:tblStyle w:val="9"/>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8"/>
        <w:gridCol w:w="1452"/>
        <w:gridCol w:w="1451"/>
        <w:gridCol w:w="1454"/>
        <w:gridCol w:w="1454"/>
        <w:gridCol w:w="14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458" w:type="dxa"/>
            <w:vAlign w:val="top"/>
          </w:tcPr>
          <w:p>
            <w:pPr>
              <w:pStyle w:val="10"/>
              <w:spacing w:before="125" w:line="222" w:lineRule="auto"/>
              <w:ind w:left="523"/>
              <w:rPr>
                <w:color w:val="auto"/>
                <w:highlight w:val="none"/>
              </w:rPr>
            </w:pPr>
            <w:r>
              <w:rPr>
                <w:color w:val="auto"/>
                <w:spacing w:val="-2"/>
                <w:highlight w:val="none"/>
              </w:rPr>
              <w:t>序号</w:t>
            </w:r>
          </w:p>
        </w:tc>
        <w:tc>
          <w:tcPr>
            <w:tcW w:w="1452" w:type="dxa"/>
            <w:vAlign w:val="top"/>
          </w:tcPr>
          <w:p>
            <w:pPr>
              <w:pStyle w:val="10"/>
              <w:spacing w:before="125" w:line="222" w:lineRule="auto"/>
              <w:ind w:left="541"/>
              <w:rPr>
                <w:color w:val="auto"/>
                <w:highlight w:val="none"/>
              </w:rPr>
            </w:pPr>
            <w:r>
              <w:rPr>
                <w:color w:val="auto"/>
                <w:spacing w:val="-7"/>
                <w:highlight w:val="none"/>
              </w:rPr>
              <w:t>图名</w:t>
            </w:r>
          </w:p>
        </w:tc>
        <w:tc>
          <w:tcPr>
            <w:tcW w:w="1451" w:type="dxa"/>
            <w:vAlign w:val="top"/>
          </w:tcPr>
          <w:p>
            <w:pPr>
              <w:pStyle w:val="10"/>
              <w:spacing w:before="125" w:line="222" w:lineRule="auto"/>
              <w:ind w:left="541"/>
              <w:rPr>
                <w:color w:val="auto"/>
                <w:highlight w:val="none"/>
              </w:rPr>
            </w:pPr>
            <w:r>
              <w:rPr>
                <w:color w:val="auto"/>
                <w:spacing w:val="-7"/>
                <w:highlight w:val="none"/>
              </w:rPr>
              <w:t>图号</w:t>
            </w:r>
          </w:p>
        </w:tc>
        <w:tc>
          <w:tcPr>
            <w:tcW w:w="1454" w:type="dxa"/>
            <w:vAlign w:val="top"/>
          </w:tcPr>
          <w:p>
            <w:pPr>
              <w:pStyle w:val="10"/>
              <w:spacing w:before="125" w:line="220" w:lineRule="auto"/>
              <w:ind w:left="523"/>
              <w:rPr>
                <w:color w:val="auto"/>
                <w:highlight w:val="none"/>
              </w:rPr>
            </w:pPr>
            <w:r>
              <w:rPr>
                <w:color w:val="auto"/>
                <w:spacing w:val="-2"/>
                <w:highlight w:val="none"/>
              </w:rPr>
              <w:t>版本</w:t>
            </w:r>
          </w:p>
        </w:tc>
        <w:tc>
          <w:tcPr>
            <w:tcW w:w="1454" w:type="dxa"/>
            <w:vAlign w:val="top"/>
          </w:tcPr>
          <w:p>
            <w:pPr>
              <w:pStyle w:val="10"/>
              <w:spacing w:before="125" w:line="221" w:lineRule="auto"/>
              <w:ind w:left="332"/>
              <w:rPr>
                <w:color w:val="auto"/>
                <w:highlight w:val="none"/>
              </w:rPr>
            </w:pPr>
            <w:r>
              <w:rPr>
                <w:color w:val="auto"/>
                <w:spacing w:val="-6"/>
                <w:highlight w:val="none"/>
              </w:rPr>
              <w:t>出图日期</w:t>
            </w:r>
          </w:p>
        </w:tc>
        <w:tc>
          <w:tcPr>
            <w:tcW w:w="1456" w:type="dxa"/>
            <w:vAlign w:val="top"/>
          </w:tcPr>
          <w:p>
            <w:pPr>
              <w:pStyle w:val="10"/>
              <w:spacing w:before="125" w:line="222" w:lineRule="auto"/>
              <w:ind w:left="526"/>
              <w:rPr>
                <w:color w:val="auto"/>
                <w:highlight w:val="none"/>
              </w:rPr>
            </w:pPr>
            <w:r>
              <w:rPr>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458" w:type="dxa"/>
            <w:vAlign w:val="top"/>
          </w:tcPr>
          <w:p>
            <w:pPr>
              <w:rPr>
                <w:rFonts w:ascii="Arial"/>
                <w:color w:val="auto"/>
                <w:sz w:val="21"/>
                <w:highlight w:val="none"/>
              </w:rPr>
            </w:pPr>
          </w:p>
        </w:tc>
        <w:tc>
          <w:tcPr>
            <w:tcW w:w="1452" w:type="dxa"/>
            <w:vAlign w:val="top"/>
          </w:tcPr>
          <w:p>
            <w:pPr>
              <w:rPr>
                <w:rFonts w:ascii="Arial"/>
                <w:color w:val="auto"/>
                <w:sz w:val="21"/>
                <w:highlight w:val="none"/>
              </w:rPr>
            </w:pPr>
          </w:p>
        </w:tc>
        <w:tc>
          <w:tcPr>
            <w:tcW w:w="1451"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4" w:type="dxa"/>
            <w:vAlign w:val="top"/>
          </w:tcPr>
          <w:p>
            <w:pPr>
              <w:rPr>
                <w:rFonts w:ascii="Arial"/>
                <w:color w:val="auto"/>
                <w:sz w:val="21"/>
                <w:highlight w:val="none"/>
              </w:rPr>
            </w:pPr>
          </w:p>
        </w:tc>
        <w:tc>
          <w:tcPr>
            <w:tcW w:w="1456" w:type="dxa"/>
            <w:vAlign w:val="top"/>
          </w:tcPr>
          <w:p>
            <w:pPr>
              <w:rPr>
                <w:rFonts w:ascii="Arial"/>
                <w:color w:val="auto"/>
                <w:sz w:val="21"/>
                <w:highlight w:val="none"/>
              </w:rPr>
            </w:pPr>
          </w:p>
        </w:tc>
      </w:tr>
    </w:tbl>
    <w:p>
      <w:pPr>
        <w:pStyle w:val="2"/>
        <w:rPr>
          <w:color w:val="auto"/>
          <w:highlight w:val="none"/>
        </w:rPr>
      </w:pPr>
    </w:p>
    <w:p>
      <w:pPr>
        <w:rPr>
          <w:color w:val="auto"/>
          <w:highlight w:val="none"/>
        </w:rPr>
        <w:sectPr>
          <w:footerReference r:id="rId104" w:type="default"/>
          <w:pgSz w:w="11905" w:h="16843"/>
          <w:pgMar w:top="1769" w:right="1548" w:bottom="1003" w:left="1542" w:header="0" w:footer="828" w:gutter="0"/>
          <w:pgNumType w:fmt="numberInDash"/>
          <w:cols w:space="0" w:num="1"/>
          <w:rtlGutter w:val="0"/>
          <w:docGrid w:linePitch="0" w:charSpace="0"/>
        </w:sectPr>
      </w:pPr>
    </w:p>
    <w:p>
      <w:pPr>
        <w:pStyle w:val="2"/>
        <w:spacing w:line="265" w:lineRule="auto"/>
        <w:rPr>
          <w:color w:val="auto"/>
          <w:highlight w:val="none"/>
        </w:rPr>
      </w:pPr>
    </w:p>
    <w:p>
      <w:pPr>
        <w:pStyle w:val="2"/>
        <w:spacing w:line="265"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78" w:line="220" w:lineRule="auto"/>
        <w:rPr>
          <w:rFonts w:hint="eastAsia" w:ascii="黑体" w:hAnsi="黑体" w:eastAsia="黑体" w:cs="黑体"/>
          <w:color w:val="auto"/>
          <w:sz w:val="24"/>
          <w:szCs w:val="24"/>
          <w:highlight w:val="none"/>
          <w:lang w:eastAsia="zh-CN"/>
        </w:rPr>
        <w:sectPr>
          <w:footerReference r:id="rId105" w:type="default"/>
          <w:pgSz w:w="11905" w:h="16843"/>
          <w:pgMar w:top="1769" w:right="1548" w:bottom="1003" w:left="1542" w:header="0" w:footer="828" w:gutter="0"/>
          <w:pgNumType w:fmt="numberInDash"/>
          <w:cols w:space="0" w:num="1"/>
          <w:rtlGutter w:val="0"/>
          <w:docGrid w:linePitch="0" w:charSpace="0"/>
        </w:sectPr>
      </w:pPr>
      <w:bookmarkStart w:id="372" w:name="bookmark412"/>
      <w:bookmarkEnd w:id="372"/>
      <w:r>
        <w:rPr>
          <w:rFonts w:ascii="Times New Roman" w:hAnsi="Times New Roman" w:eastAsia="Times New Roman" w:cs="Times New Roman"/>
          <w:color w:val="auto"/>
          <w:spacing w:val="-16"/>
          <w:sz w:val="24"/>
          <w:szCs w:val="24"/>
          <w:highlight w:val="none"/>
        </w:rPr>
        <w:t>2</w:t>
      </w:r>
      <w:r>
        <w:rPr>
          <w:rFonts w:ascii="Times New Roman" w:hAnsi="Times New Roman" w:eastAsia="Times New Roman" w:cs="Times New Roman"/>
          <w:color w:val="auto"/>
          <w:spacing w:val="-26"/>
          <w:sz w:val="24"/>
          <w:szCs w:val="24"/>
          <w:highlight w:val="none"/>
        </w:rPr>
        <w:t xml:space="preserve"> </w:t>
      </w:r>
      <w:r>
        <w:rPr>
          <w:rFonts w:ascii="黑体" w:hAnsi="黑体" w:eastAsia="黑体" w:cs="黑体"/>
          <w:color w:val="auto"/>
          <w:spacing w:val="-16"/>
          <w:sz w:val="24"/>
          <w:szCs w:val="24"/>
          <w:highlight w:val="none"/>
        </w:rPr>
        <w:t>．</w:t>
      </w:r>
      <w:r>
        <w:rPr>
          <w:rFonts w:ascii="黑体" w:hAnsi="黑体" w:eastAsia="黑体" w:cs="黑体"/>
          <w:color w:val="auto"/>
          <w:spacing w:val="-97"/>
          <w:sz w:val="24"/>
          <w:szCs w:val="24"/>
          <w:highlight w:val="none"/>
        </w:rPr>
        <w:t xml:space="preserve"> </w:t>
      </w:r>
      <w:r>
        <w:rPr>
          <w:rFonts w:ascii="黑体" w:hAnsi="黑体" w:eastAsia="黑体" w:cs="黑体"/>
          <w:color w:val="auto"/>
          <w:spacing w:val="-16"/>
          <w:sz w:val="24"/>
          <w:szCs w:val="24"/>
          <w:highlight w:val="none"/>
        </w:rPr>
        <w:t>图</w:t>
      </w:r>
      <w:r>
        <w:rPr>
          <w:rFonts w:ascii="黑体" w:hAnsi="黑体" w:eastAsia="黑体" w:cs="黑体"/>
          <w:color w:val="auto"/>
          <w:spacing w:val="7"/>
          <w:sz w:val="24"/>
          <w:szCs w:val="24"/>
          <w:highlight w:val="none"/>
        </w:rPr>
        <w:t xml:space="preserve">  </w:t>
      </w:r>
      <w:r>
        <w:rPr>
          <w:rFonts w:ascii="黑体" w:hAnsi="黑体" w:eastAsia="黑体" w:cs="黑体"/>
          <w:color w:val="auto"/>
          <w:spacing w:val="-16"/>
          <w:sz w:val="24"/>
          <w:szCs w:val="24"/>
          <w:highlight w:val="none"/>
        </w:rPr>
        <w:t>纸</w:t>
      </w:r>
      <w:r>
        <w:rPr>
          <w:rFonts w:hint="eastAsia" w:ascii="黑体" w:hAnsi="黑体" w:eastAsia="黑体" w:cs="黑体"/>
          <w:color w:val="auto"/>
          <w:sz w:val="24"/>
          <w:szCs w:val="24"/>
          <w:highlight w:val="none"/>
          <w:lang w:eastAsia="zh-CN"/>
        </w:rPr>
        <w:t>：另附</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pStyle w:val="2"/>
        <w:spacing w:line="241" w:lineRule="auto"/>
        <w:rPr>
          <w:color w:val="auto"/>
          <w:highlight w:val="none"/>
        </w:rPr>
      </w:pPr>
    </w:p>
    <w:p>
      <w:pPr>
        <w:spacing w:before="156" w:line="219" w:lineRule="auto"/>
        <w:ind w:left="3436"/>
        <w:rPr>
          <w:rFonts w:ascii="黑体" w:hAnsi="黑体" w:eastAsia="黑体" w:cs="黑体"/>
          <w:color w:val="auto"/>
          <w:sz w:val="48"/>
          <w:szCs w:val="48"/>
          <w:highlight w:val="none"/>
        </w:rPr>
      </w:pPr>
      <w:bookmarkStart w:id="373" w:name="bookmark413"/>
      <w:bookmarkEnd w:id="373"/>
      <w:bookmarkStart w:id="374" w:name="bookmark414"/>
      <w:bookmarkEnd w:id="374"/>
      <w:r>
        <w:rPr>
          <w:rFonts w:ascii="黑体" w:hAnsi="黑体" w:eastAsia="黑体" w:cs="黑体"/>
          <w:color w:val="auto"/>
          <w:spacing w:val="-5"/>
          <w:sz w:val="48"/>
          <w:szCs w:val="48"/>
          <w:highlight w:val="none"/>
        </w:rPr>
        <w:t>第三卷</w:t>
      </w:r>
    </w:p>
    <w:p>
      <w:pPr>
        <w:spacing w:line="219" w:lineRule="auto"/>
        <w:rPr>
          <w:rFonts w:ascii="黑体" w:hAnsi="黑体" w:eastAsia="黑体" w:cs="黑体"/>
          <w:color w:val="auto"/>
          <w:sz w:val="48"/>
          <w:szCs w:val="48"/>
          <w:highlight w:val="none"/>
        </w:rPr>
        <w:sectPr>
          <w:footerReference r:id="rId106" w:type="default"/>
          <w:pgSz w:w="11905" w:h="16843"/>
          <w:pgMar w:top="1769" w:right="1548" w:bottom="1003" w:left="1542" w:header="0" w:footer="828" w:gutter="0"/>
          <w:pgNumType w:fmt="numberInDash"/>
          <w:cols w:space="0" w:num="1"/>
          <w:rtlGutter w:val="0"/>
          <w:docGrid w:linePitch="0" w:charSpace="0"/>
        </w:sect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7"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pStyle w:val="2"/>
        <w:spacing w:line="248" w:lineRule="auto"/>
        <w:rPr>
          <w:color w:val="auto"/>
          <w:highlight w:val="none"/>
        </w:rPr>
      </w:pPr>
    </w:p>
    <w:p>
      <w:pPr>
        <w:spacing w:before="101" w:line="224" w:lineRule="auto"/>
        <w:ind w:left="2391"/>
        <w:rPr>
          <w:rFonts w:ascii="黑体" w:hAnsi="黑体" w:eastAsia="黑体" w:cs="黑体"/>
          <w:color w:val="auto"/>
          <w:sz w:val="31"/>
          <w:szCs w:val="31"/>
          <w:highlight w:val="none"/>
        </w:rPr>
      </w:pPr>
      <w:bookmarkStart w:id="375" w:name="bookmark415"/>
      <w:bookmarkEnd w:id="375"/>
      <w:r>
        <w:rPr>
          <w:rFonts w:ascii="黑体" w:hAnsi="黑体" w:eastAsia="黑体" w:cs="黑体"/>
          <w:color w:val="auto"/>
          <w:spacing w:val="7"/>
          <w:sz w:val="31"/>
          <w:szCs w:val="31"/>
          <w:highlight w:val="none"/>
        </w:rPr>
        <w:t>第七章  技术标准和要求</w:t>
      </w:r>
    </w:p>
    <w:p>
      <w:pPr>
        <w:spacing w:line="224" w:lineRule="auto"/>
        <w:rPr>
          <w:rFonts w:ascii="黑体" w:hAnsi="黑体" w:eastAsia="黑体" w:cs="黑体"/>
          <w:color w:val="auto"/>
          <w:sz w:val="31"/>
          <w:szCs w:val="31"/>
          <w:highlight w:val="none"/>
        </w:rPr>
        <w:sectPr>
          <w:footerReference r:id="rId107" w:type="default"/>
          <w:pgSz w:w="11905" w:h="16843"/>
          <w:pgMar w:top="1769" w:right="1548" w:bottom="1003" w:left="1542" w:header="0" w:footer="828" w:gutter="0"/>
          <w:pgNumType w:fmt="numberInDash"/>
          <w:cols w:space="0" w:num="1"/>
          <w:rtlGutter w:val="0"/>
          <w:docGrid w:linePitch="0" w:charSpace="0"/>
        </w:sect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pStyle w:val="2"/>
        <w:spacing w:line="249" w:lineRule="auto"/>
        <w:rPr>
          <w:color w:val="auto"/>
          <w:highlight w:val="none"/>
        </w:rPr>
      </w:pPr>
    </w:p>
    <w:p>
      <w:pPr>
        <w:spacing w:before="91" w:line="219" w:lineRule="auto"/>
        <w:ind w:left="2913"/>
        <w:rPr>
          <w:rFonts w:ascii="黑体" w:hAnsi="黑体" w:eastAsia="黑体" w:cs="黑体"/>
          <w:color w:val="auto"/>
          <w:sz w:val="28"/>
          <w:szCs w:val="28"/>
          <w:highlight w:val="none"/>
        </w:rPr>
      </w:pPr>
      <w:bookmarkStart w:id="376" w:name="bookmark416"/>
      <w:bookmarkEnd w:id="376"/>
      <w:r>
        <w:rPr>
          <w:rFonts w:ascii="黑体" w:hAnsi="黑体" w:eastAsia="黑体" w:cs="黑体"/>
          <w:color w:val="auto"/>
          <w:spacing w:val="-1"/>
          <w:sz w:val="28"/>
          <w:szCs w:val="28"/>
          <w:highlight w:val="none"/>
        </w:rPr>
        <w:t>第七章  技术标准和要求</w:t>
      </w:r>
    </w:p>
    <w:p>
      <w:pPr>
        <w:spacing w:before="307" w:line="219" w:lineRule="auto"/>
        <w:ind w:left="3403"/>
        <w:rPr>
          <w:rFonts w:ascii="黑体" w:hAnsi="黑体" w:eastAsia="黑体" w:cs="黑体"/>
          <w:color w:val="auto"/>
          <w:sz w:val="28"/>
          <w:szCs w:val="28"/>
          <w:highlight w:val="none"/>
        </w:rPr>
      </w:pPr>
      <w:r>
        <w:rPr>
          <w:rFonts w:ascii="黑体" w:hAnsi="黑体" w:eastAsia="黑体" w:cs="黑体"/>
          <w:color w:val="auto"/>
          <w:spacing w:val="-2"/>
          <w:sz w:val="28"/>
          <w:szCs w:val="28"/>
          <w:highlight w:val="none"/>
        </w:rPr>
        <w:t>第一节 一般要求</w:t>
      </w:r>
    </w:p>
    <w:p>
      <w:pPr>
        <w:spacing w:before="66" w:line="523" w:lineRule="exact"/>
        <w:ind w:left="23"/>
        <w:rPr>
          <w:rFonts w:ascii="黑体" w:hAnsi="黑体" w:eastAsia="黑体" w:cs="黑体"/>
          <w:color w:val="auto"/>
          <w:sz w:val="28"/>
          <w:szCs w:val="28"/>
          <w:highlight w:val="none"/>
        </w:rPr>
      </w:pPr>
      <w:r>
        <w:rPr>
          <w:rFonts w:ascii="Times New Roman" w:hAnsi="Times New Roman" w:eastAsia="Times New Roman" w:cs="Times New Roman"/>
          <w:color w:val="auto"/>
          <w:spacing w:val="-5"/>
          <w:position w:val="18"/>
          <w:sz w:val="28"/>
          <w:szCs w:val="28"/>
          <w:highlight w:val="none"/>
        </w:rPr>
        <w:t>1.</w:t>
      </w:r>
      <w:r>
        <w:rPr>
          <w:rFonts w:ascii="黑体" w:hAnsi="黑体" w:eastAsia="黑体" w:cs="黑体"/>
          <w:color w:val="auto"/>
          <w:spacing w:val="-5"/>
          <w:position w:val="18"/>
          <w:sz w:val="28"/>
          <w:szCs w:val="28"/>
          <w:highlight w:val="none"/>
        </w:rPr>
        <w:t>工程说明</w:t>
      </w:r>
    </w:p>
    <w:p>
      <w:pPr>
        <w:spacing w:line="219" w:lineRule="auto"/>
        <w:ind w:left="9"/>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1.1</w:t>
      </w:r>
      <w:r>
        <w:rPr>
          <w:rFonts w:ascii="黑体" w:hAnsi="黑体" w:eastAsia="黑体" w:cs="黑体"/>
          <w:color w:val="auto"/>
          <w:spacing w:val="-42"/>
          <w:sz w:val="21"/>
          <w:szCs w:val="21"/>
          <w:highlight w:val="none"/>
        </w:rPr>
        <w:t xml:space="preserve"> </w:t>
      </w:r>
      <w:r>
        <w:rPr>
          <w:rFonts w:ascii="黑体" w:hAnsi="黑体" w:eastAsia="黑体" w:cs="黑体"/>
          <w:color w:val="auto"/>
          <w:spacing w:val="-4"/>
          <w:sz w:val="21"/>
          <w:szCs w:val="21"/>
          <w:highlight w:val="none"/>
        </w:rPr>
        <w:t>工程概况</w:t>
      </w:r>
    </w:p>
    <w:p>
      <w:pPr>
        <w:spacing w:before="189" w:line="360" w:lineRule="auto"/>
        <w:ind w:left="14" w:leftChars="0" w:firstLine="418" w:firstLineChars="205"/>
        <w:rPr>
          <w:rFonts w:hint="eastAsia" w:ascii="宋体" w:hAnsi="宋体" w:eastAsia="宋体" w:cs="宋体"/>
          <w:color w:val="auto"/>
          <w:spacing w:val="1"/>
          <w:sz w:val="21"/>
          <w:szCs w:val="21"/>
          <w:highlight w:val="none"/>
          <w:lang w:eastAsia="zh-CN"/>
        </w:rPr>
      </w:pPr>
      <w:r>
        <w:rPr>
          <w:rFonts w:ascii="宋体" w:hAnsi="宋体" w:eastAsia="宋体" w:cs="宋体"/>
          <w:color w:val="auto"/>
          <w:spacing w:val="-3"/>
          <w:sz w:val="21"/>
          <w:szCs w:val="21"/>
          <w:highlight w:val="none"/>
        </w:rPr>
        <w:t xml:space="preserve">l.1.1  </w:t>
      </w:r>
      <w:r>
        <w:rPr>
          <w:rFonts w:ascii="宋体" w:hAnsi="宋体" w:eastAsia="宋体" w:cs="宋体"/>
          <w:color w:val="auto"/>
          <w:spacing w:val="1"/>
          <w:sz w:val="21"/>
          <w:szCs w:val="21"/>
          <w:highlight w:val="none"/>
        </w:rPr>
        <w:t>本工程基本情况如下：</w:t>
      </w:r>
      <w:r>
        <w:rPr>
          <w:rFonts w:hint="eastAsia" w:ascii="宋体" w:hAnsi="宋体" w:eastAsia="宋体" w:cs="宋体"/>
          <w:color w:val="auto"/>
          <w:spacing w:val="1"/>
          <w:sz w:val="21"/>
          <w:szCs w:val="21"/>
          <w:highlight w:val="none"/>
          <w:lang w:eastAsia="zh-CN"/>
        </w:rPr>
        <w:t>营口市高标准农田建设结余资金项目（大石桥市2020年高标准农田建设结余资金项目）</w:t>
      </w:r>
    </w:p>
    <w:p>
      <w:pPr>
        <w:tabs>
          <w:tab w:val="left" w:pos="7865"/>
        </w:tabs>
        <w:spacing w:before="26" w:line="360" w:lineRule="auto"/>
        <w:ind w:firstLine="424" w:firstLineChars="200"/>
        <w:rPr>
          <w:rFonts w:ascii="宋体" w:hAnsi="宋体" w:eastAsia="宋体" w:cs="宋体"/>
          <w:color w:val="auto"/>
          <w:sz w:val="8"/>
          <w:szCs w:val="8"/>
          <w:highlight w:val="none"/>
        </w:rPr>
      </w:pPr>
      <w:r>
        <w:rPr>
          <w:rFonts w:hint="eastAsia" w:ascii="宋体" w:hAnsi="宋体" w:eastAsia="宋体" w:cs="宋体"/>
          <w:color w:val="auto"/>
          <w:spacing w:val="1"/>
          <w:sz w:val="21"/>
          <w:szCs w:val="21"/>
          <w:highlight w:val="none"/>
        </w:rPr>
        <w:t>建设规模：（1）灌溉和排水工程：支、斗、农渠钢筋混凝土板及矩形槽衬砌8条，6.505km，渠系配套建筑物61座。（2）田间道路工程：整修田间道路12.68km，田间道路（支路）1.54km。</w:t>
      </w:r>
      <w:r>
        <w:rPr>
          <w:rFonts w:ascii="宋体" w:hAnsi="宋体" w:eastAsia="宋体" w:cs="宋体"/>
          <w:color w:val="auto"/>
          <w:spacing w:val="6"/>
          <w:sz w:val="8"/>
          <w:szCs w:val="8"/>
          <w:highlight w:val="none"/>
        </w:rPr>
        <w:t>。</w:t>
      </w:r>
    </w:p>
    <w:p>
      <w:pPr>
        <w:bidi w:val="0"/>
        <w:spacing w:line="360" w:lineRule="auto"/>
        <w:ind w:left="0" w:leftChars="0" w:firstLine="364" w:firstLineChars="175"/>
        <w:jc w:val="left"/>
        <w:rPr>
          <w:rFonts w:ascii="宋体" w:hAnsi="宋体" w:eastAsia="宋体" w:cs="宋体"/>
          <w:color w:val="auto"/>
          <w:sz w:val="8"/>
          <w:szCs w:val="8"/>
          <w:highlight w:val="none"/>
        </w:rPr>
      </w:pPr>
      <w:r>
        <w:rPr>
          <w:rFonts w:ascii="宋体" w:hAnsi="宋体" w:eastAsia="宋体" w:cs="宋体"/>
          <w:color w:val="auto"/>
          <w:spacing w:val="-1"/>
          <w:sz w:val="21"/>
          <w:szCs w:val="21"/>
          <w:highlight w:val="none"/>
        </w:rPr>
        <w:t>1.1.2  本工程施工场地（现场）具体地理位置如下：</w:t>
      </w:r>
      <w:r>
        <w:rPr>
          <w:rFonts w:hint="eastAsia" w:ascii="宋体" w:hAnsi="宋体" w:eastAsia="宋体" w:cs="宋体"/>
          <w:color w:val="auto"/>
          <w:spacing w:val="-1"/>
          <w:sz w:val="21"/>
          <w:szCs w:val="21"/>
          <w:highlight w:val="none"/>
        </w:rPr>
        <w:t>大石桥市水源镇大村村、前沟村、群力村、马家村、赵家村、腰屯村、鲤鱼村</w:t>
      </w:r>
      <w:r>
        <w:rPr>
          <w:rFonts w:hint="eastAsia" w:ascii="宋体" w:hAnsi="宋体" w:eastAsia="宋体" w:cs="宋体"/>
          <w:color w:val="auto"/>
          <w:sz w:val="24"/>
          <w:szCs w:val="24"/>
          <w:highlight w:val="none"/>
        </w:rPr>
        <w:t>。</w:t>
      </w:r>
    </w:p>
    <w:p>
      <w:pPr>
        <w:spacing w:before="275" w:line="220" w:lineRule="auto"/>
        <w:ind w:left="9"/>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1.2</w:t>
      </w:r>
      <w:r>
        <w:rPr>
          <w:rFonts w:ascii="黑体" w:hAnsi="黑体" w:eastAsia="黑体" w:cs="黑体"/>
          <w:color w:val="auto"/>
          <w:spacing w:val="-44"/>
          <w:sz w:val="21"/>
          <w:szCs w:val="21"/>
          <w:highlight w:val="none"/>
        </w:rPr>
        <w:t xml:space="preserve"> </w:t>
      </w:r>
      <w:r>
        <w:rPr>
          <w:rFonts w:ascii="黑体" w:hAnsi="黑体" w:eastAsia="黑体" w:cs="黑体"/>
          <w:color w:val="auto"/>
          <w:spacing w:val="-2"/>
          <w:sz w:val="21"/>
          <w:szCs w:val="21"/>
          <w:highlight w:val="none"/>
        </w:rPr>
        <w:t>现场条件和周围环境</w:t>
      </w:r>
    </w:p>
    <w:p>
      <w:pPr>
        <w:spacing w:before="189" w:line="220" w:lineRule="auto"/>
        <w:ind w:left="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1.2.1 本工程施工场地（现场）已经具备施工条件。施工场地（现场）临时水源接口位</w:t>
      </w:r>
      <w:r>
        <w:rPr>
          <w:rFonts w:ascii="宋体" w:hAnsi="宋体" w:eastAsia="宋体" w:cs="宋体"/>
          <w:color w:val="auto"/>
          <w:sz w:val="21"/>
          <w:szCs w:val="21"/>
          <w:highlight w:val="none"/>
        </w:rPr>
        <w:t>置、</w:t>
      </w:r>
    </w:p>
    <w:p>
      <w:pPr>
        <w:spacing w:before="180" w:line="42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临时电源接口位置、临时排污口位置、建筑红线位置、道路交通和出入口、以及施工场地（现场）</w:t>
      </w:r>
    </w:p>
    <w:p>
      <w:pPr>
        <w:spacing w:before="1" w:line="219"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和周围环境等情况见本章附件</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A：施工场地（现场）现状平面图。</w:t>
      </w:r>
    </w:p>
    <w:p>
      <w:pPr>
        <w:spacing w:before="219" w:line="372" w:lineRule="auto"/>
        <w:ind w:left="899" w:right="467" w:hanging="4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1.2.2</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施工场地（现场）临时供水管径</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施工场地（现场）临时排污管径</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z w:val="21"/>
          <w:szCs w:val="21"/>
          <w:highlight w:val="none"/>
        </w:rPr>
        <w:t xml:space="preserve"> 施工场地（现场）临时雨水管径</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7"/>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施工现场临时供电容量（变压器输出功率）</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88" w:line="221" w:lineRule="auto"/>
        <w:ind w:left="4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1.2.3</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现场条件和周围环境的其他资料和信</w:t>
      </w:r>
      <w:r>
        <w:rPr>
          <w:rFonts w:ascii="宋体" w:hAnsi="宋体" w:eastAsia="宋体" w:cs="宋体"/>
          <w:color w:val="auto"/>
          <w:spacing w:val="-3"/>
          <w:sz w:val="21"/>
          <w:szCs w:val="21"/>
          <w:highlight w:val="none"/>
        </w:rPr>
        <w:t>息数据如下：</w:t>
      </w:r>
    </w:p>
    <w:p>
      <w:pPr>
        <w:pStyle w:val="2"/>
        <w:spacing w:line="254" w:lineRule="auto"/>
        <w:rPr>
          <w:color w:val="auto"/>
          <w:highlight w:val="none"/>
        </w:rPr>
      </w:pPr>
    </w:p>
    <w:p>
      <w:pPr>
        <w:spacing w:before="69" w:line="46" w:lineRule="exact"/>
        <w:ind w:left="7895"/>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448945</wp:posOffset>
                </wp:positionH>
                <wp:positionV relativeFrom="paragraph">
                  <wp:posOffset>-42545</wp:posOffset>
                </wp:positionV>
                <wp:extent cx="4558665" cy="17907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558665" cy="179070"/>
                        </a:xfrm>
                        <a:prstGeom prst="rect">
                          <a:avLst/>
                        </a:prstGeom>
                        <a:noFill/>
                        <a:ln>
                          <a:noFill/>
                        </a:ln>
                      </wps:spPr>
                      <wps:txbx>
                        <w:txbxContent>
                          <w:p>
                            <w:pPr>
                              <w:pStyle w:val="2"/>
                              <w:tabs>
                                <w:tab w:val="left" w:pos="7157"/>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35.35pt;margin-top:-3.35pt;height:14.1pt;width:358.95pt;z-index:251673600;mso-width-relative:page;mso-height-relative:page;" filled="f" stroked="f" coordsize="21600,21600" o:gfxdata="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Ft45XYAAAACAEAAA8AAAAAAAAAAQAgAAAAIgAAAGRycy9kb3ducmV2LnhtbFBL&#10;AQIUABQAAAAIAIdO4kAxCOe1vQEAAHQDAAAOAAAAAAAAAAEAIAAAACcBAABkcnMvZTJvRG9jLnht&#10;bFBLBQYAAAAABgAGAFkBAABWBQAAAAA=&#10;">
                <v:fill on="f" focussize="0,0"/>
                <v:stroke on="f"/>
                <v:imagedata o:title=""/>
                <o:lock v:ext="edit" aspectratio="f"/>
                <v:textbox inset="0mm,0mm,0mm,0mm">
                  <w:txbxContent>
                    <w:p>
                      <w:pPr>
                        <w:pStyle w:val="2"/>
                        <w:tabs>
                          <w:tab w:val="left" w:pos="7157"/>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before="257" w:line="300" w:lineRule="auto"/>
        <w:ind w:left="419" w:right="957" w:firstLine="1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1.2.4</w:t>
      </w:r>
      <w:r>
        <w:rPr>
          <w:rFonts w:ascii="宋体" w:hAnsi="宋体" w:eastAsia="宋体" w:cs="宋体"/>
          <w:color w:val="auto"/>
          <w:spacing w:val="-32"/>
          <w:sz w:val="21"/>
          <w:szCs w:val="21"/>
          <w:highlight w:val="none"/>
        </w:rPr>
        <w:t xml:space="preserve"> </w:t>
      </w:r>
      <w:r>
        <w:rPr>
          <w:rFonts w:ascii="宋体" w:hAnsi="宋体" w:eastAsia="宋体" w:cs="宋体"/>
          <w:color w:val="auto"/>
          <w:spacing w:val="-1"/>
          <w:sz w:val="21"/>
          <w:szCs w:val="21"/>
          <w:highlight w:val="none"/>
        </w:rPr>
        <w:t>承包人被认为已在本工程投标阶段踏勘现场时充分了解本工程现场条件和周围</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环境， 并已在其投标时就此给予了充分的考虑。</w:t>
      </w:r>
    </w:p>
    <w:p>
      <w:pPr>
        <w:spacing w:before="220" w:line="220" w:lineRule="auto"/>
        <w:ind w:left="9"/>
        <w:rPr>
          <w:rFonts w:ascii="黑体" w:hAnsi="黑体" w:eastAsia="黑体" w:cs="黑体"/>
          <w:color w:val="auto"/>
          <w:sz w:val="21"/>
          <w:szCs w:val="21"/>
          <w:highlight w:val="none"/>
        </w:rPr>
      </w:pPr>
      <w:r>
        <w:rPr>
          <w:rFonts w:ascii="黑体" w:hAnsi="黑体" w:eastAsia="黑体" w:cs="黑体"/>
          <w:color w:val="auto"/>
          <w:spacing w:val="-3"/>
          <w:sz w:val="21"/>
          <w:szCs w:val="21"/>
          <w:highlight w:val="none"/>
        </w:rPr>
        <w:t>1.3</w:t>
      </w:r>
      <w:r>
        <w:rPr>
          <w:rFonts w:ascii="黑体" w:hAnsi="黑体" w:eastAsia="黑体" w:cs="黑体"/>
          <w:color w:val="auto"/>
          <w:spacing w:val="-39"/>
          <w:sz w:val="21"/>
          <w:szCs w:val="21"/>
          <w:highlight w:val="none"/>
        </w:rPr>
        <w:t xml:space="preserve"> </w:t>
      </w:r>
      <w:r>
        <w:rPr>
          <w:rFonts w:ascii="黑体" w:hAnsi="黑体" w:eastAsia="黑体" w:cs="黑体"/>
          <w:color w:val="auto"/>
          <w:spacing w:val="-3"/>
          <w:sz w:val="21"/>
          <w:szCs w:val="21"/>
          <w:highlight w:val="none"/>
        </w:rPr>
        <w:t>地质及水文资料</w:t>
      </w:r>
    </w:p>
    <w:p>
      <w:pPr>
        <w:spacing w:before="189" w:line="221" w:lineRule="auto"/>
        <w:ind w:left="43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1.3.1</w:t>
      </w:r>
      <w:r>
        <w:rPr>
          <w:rFonts w:ascii="宋体" w:hAnsi="宋体" w:eastAsia="宋体" w:cs="宋体"/>
          <w:color w:val="auto"/>
          <w:spacing w:val="-32"/>
          <w:sz w:val="21"/>
          <w:szCs w:val="21"/>
          <w:highlight w:val="none"/>
        </w:rPr>
        <w:t xml:space="preserve"> </w:t>
      </w:r>
      <w:r>
        <w:rPr>
          <w:rFonts w:ascii="宋体" w:hAnsi="宋体" w:eastAsia="宋体" w:cs="宋体"/>
          <w:color w:val="auto"/>
          <w:spacing w:val="-3"/>
          <w:sz w:val="21"/>
          <w:szCs w:val="21"/>
          <w:highlight w:val="none"/>
        </w:rPr>
        <w:t>现场地质及水文资料和信息数据如下：</w:t>
      </w:r>
    </w:p>
    <w:p>
      <w:pPr>
        <w:pStyle w:val="2"/>
        <w:spacing w:line="254" w:lineRule="auto"/>
        <w:rPr>
          <w:color w:val="auto"/>
          <w:highlight w:val="none"/>
        </w:rPr>
      </w:pPr>
    </w:p>
    <w:p>
      <w:pPr>
        <w:spacing w:before="69" w:line="46" w:lineRule="exact"/>
        <w:ind w:left="7895"/>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448945</wp:posOffset>
                </wp:positionH>
                <wp:positionV relativeFrom="paragraph">
                  <wp:posOffset>-42545</wp:posOffset>
                </wp:positionV>
                <wp:extent cx="4558665" cy="17907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558665" cy="179070"/>
                        </a:xfrm>
                        <a:prstGeom prst="rect">
                          <a:avLst/>
                        </a:prstGeom>
                        <a:noFill/>
                        <a:ln>
                          <a:noFill/>
                        </a:ln>
                      </wps:spPr>
                      <wps:txbx>
                        <w:txbxContent>
                          <w:p>
                            <w:pPr>
                              <w:pStyle w:val="2"/>
                              <w:tabs>
                                <w:tab w:val="left" w:pos="7157"/>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35.35pt;margin-top:-3.35pt;height:14.1pt;width:358.95pt;z-index:251672576;mso-width-relative:page;mso-height-relative:page;" filled="f" stroked="f" coordsize="21600,21600" o:gfxdata="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beOV2AAAAAgBAAAPAAAAAAAAAAEAIAAAACIAAABkcnMvZG93bnJldi54bWxQ&#10;SwECFAAUAAAACACHTuJAi4umjr4BAAB0AwAADgAAAAAAAAABACAAAAAnAQAAZHJzL2Uyb0RvYy54&#10;bWxQSwUGAAAAAAYABgBZAQAAVwUAAAAA&#10;">
                <v:fill on="f" focussize="0,0"/>
                <v:stroke on="f"/>
                <v:imagedata o:title=""/>
                <o:lock v:ext="edit" aspectratio="f"/>
                <v:textbox inset="0mm,0mm,0mm,0mm">
                  <w:txbxContent>
                    <w:p>
                      <w:pPr>
                        <w:pStyle w:val="2"/>
                        <w:tabs>
                          <w:tab w:val="left" w:pos="7157"/>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before="211" w:line="219" w:lineRule="auto"/>
        <w:ind w:left="1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1.4</w:t>
      </w:r>
      <w:r>
        <w:rPr>
          <w:rFonts w:ascii="黑体" w:hAnsi="黑体" w:eastAsia="黑体" w:cs="黑体"/>
          <w:color w:val="auto"/>
          <w:spacing w:val="-37"/>
          <w:sz w:val="24"/>
          <w:szCs w:val="24"/>
          <w:highlight w:val="none"/>
        </w:rPr>
        <w:t xml:space="preserve"> </w:t>
      </w:r>
      <w:r>
        <w:rPr>
          <w:rFonts w:ascii="黑体" w:hAnsi="黑体" w:eastAsia="黑体" w:cs="黑体"/>
          <w:color w:val="auto"/>
          <w:spacing w:val="-4"/>
          <w:sz w:val="24"/>
          <w:szCs w:val="24"/>
          <w:highlight w:val="none"/>
        </w:rPr>
        <w:t>资料和信息的使用</w:t>
      </w:r>
    </w:p>
    <w:p>
      <w:pPr>
        <w:spacing w:before="162" w:line="378" w:lineRule="auto"/>
        <w:ind w:right="200" w:firstLine="433"/>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1.4.1 合同文件中载明的涉及本工程现场条件、周围环境、地质及水文等情况的资料和信息</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数据，是发包人现有的和客观的， 发包人保证有关资料和信息数据的真实、准确。但承包人据此</w:t>
      </w:r>
    </w:p>
    <w:p>
      <w:pPr>
        <w:spacing w:before="1" w:line="22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作出的推论、判断和决策，由承包人自行负责。</w:t>
      </w:r>
    </w:p>
    <w:p>
      <w:pPr>
        <w:spacing w:line="220" w:lineRule="auto"/>
        <w:rPr>
          <w:rFonts w:ascii="宋体" w:hAnsi="宋体" w:eastAsia="宋体" w:cs="宋体"/>
          <w:color w:val="auto"/>
          <w:sz w:val="21"/>
          <w:szCs w:val="21"/>
          <w:highlight w:val="none"/>
        </w:rPr>
        <w:sectPr>
          <w:footerReference r:id="rId108" w:type="default"/>
          <w:pgSz w:w="11907" w:h="16841"/>
          <w:pgMar w:top="400" w:right="1330" w:bottom="1143" w:left="1483" w:header="0" w:footer="969" w:gutter="0"/>
          <w:pgNumType w:fmt="numberInDash"/>
          <w:cols w:space="720" w:num="1"/>
        </w:sectPr>
      </w:pP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7" w:lineRule="auto"/>
        <w:rPr>
          <w:color w:val="auto"/>
          <w:highlight w:val="none"/>
        </w:rPr>
      </w:pPr>
    </w:p>
    <w:p>
      <w:pPr>
        <w:spacing w:before="91" w:line="435" w:lineRule="exact"/>
        <w:rPr>
          <w:rFonts w:ascii="黑体" w:hAnsi="黑体" w:eastAsia="黑体" w:cs="黑体"/>
          <w:color w:val="auto"/>
          <w:sz w:val="28"/>
          <w:szCs w:val="28"/>
          <w:highlight w:val="none"/>
        </w:rPr>
      </w:pPr>
      <w:bookmarkStart w:id="377" w:name="bookmark417"/>
      <w:bookmarkEnd w:id="377"/>
      <w:r>
        <w:rPr>
          <w:rFonts w:ascii="Times New Roman" w:hAnsi="Times New Roman" w:eastAsia="Times New Roman" w:cs="Times New Roman"/>
          <w:color w:val="auto"/>
          <w:spacing w:val="-1"/>
          <w:position w:val="11"/>
          <w:sz w:val="28"/>
          <w:szCs w:val="28"/>
          <w:highlight w:val="none"/>
        </w:rPr>
        <w:t>2.</w:t>
      </w:r>
      <w:r>
        <w:rPr>
          <w:rFonts w:ascii="黑体" w:hAnsi="黑体" w:eastAsia="黑体" w:cs="黑体"/>
          <w:color w:val="auto"/>
          <w:spacing w:val="-1"/>
          <w:position w:val="11"/>
          <w:sz w:val="28"/>
          <w:szCs w:val="28"/>
          <w:highlight w:val="none"/>
        </w:rPr>
        <w:t>承包范围</w:t>
      </w:r>
    </w:p>
    <w:p>
      <w:pPr>
        <w:spacing w:line="219" w:lineRule="auto"/>
        <w:ind w:left="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2.1</w:t>
      </w:r>
      <w:r>
        <w:rPr>
          <w:rFonts w:ascii="黑体" w:hAnsi="黑体" w:eastAsia="黑体" w:cs="黑体"/>
          <w:color w:val="auto"/>
          <w:spacing w:val="-52"/>
          <w:sz w:val="24"/>
          <w:szCs w:val="24"/>
          <w:highlight w:val="none"/>
        </w:rPr>
        <w:t xml:space="preserve"> </w:t>
      </w:r>
      <w:r>
        <w:rPr>
          <w:rFonts w:ascii="黑体" w:hAnsi="黑体" w:eastAsia="黑体" w:cs="黑体"/>
          <w:color w:val="auto"/>
          <w:spacing w:val="-2"/>
          <w:sz w:val="24"/>
          <w:szCs w:val="24"/>
          <w:highlight w:val="none"/>
        </w:rPr>
        <w:t>承包范围</w:t>
      </w:r>
    </w:p>
    <w:p>
      <w:pPr>
        <w:spacing w:before="139" w:line="220" w:lineRule="auto"/>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2.1.1</w:t>
      </w:r>
      <w:r>
        <w:rPr>
          <w:rFonts w:ascii="黑体" w:hAnsi="黑体" w:eastAsia="黑体" w:cs="黑体"/>
          <w:color w:val="auto"/>
          <w:spacing w:val="-43"/>
          <w:sz w:val="21"/>
          <w:szCs w:val="21"/>
          <w:highlight w:val="none"/>
        </w:rPr>
        <w:t xml:space="preserve"> </w:t>
      </w:r>
      <w:r>
        <w:rPr>
          <w:rFonts w:ascii="黑体" w:hAnsi="黑体" w:eastAsia="黑体" w:cs="黑体"/>
          <w:color w:val="auto"/>
          <w:spacing w:val="-1"/>
          <w:sz w:val="21"/>
          <w:szCs w:val="21"/>
          <w:highlight w:val="none"/>
        </w:rPr>
        <w:t>承包人自行施工范围</w:t>
      </w:r>
    </w:p>
    <w:p>
      <w:pPr>
        <w:spacing w:before="172" w:line="220" w:lineRule="auto"/>
        <w:ind w:left="739"/>
        <w:rPr>
          <w:color w:val="auto"/>
          <w:highlight w:val="none"/>
        </w:rPr>
      </w:pPr>
      <w:r>
        <w:rPr>
          <w:rFonts w:ascii="宋体" w:hAnsi="宋体" w:eastAsia="宋体" w:cs="宋体"/>
          <w:color w:val="auto"/>
          <w:spacing w:val="-1"/>
          <w:sz w:val="21"/>
          <w:szCs w:val="21"/>
          <w:highlight w:val="none"/>
        </w:rPr>
        <w:t>本工程承包人自行施工的工程范围如下：</w:t>
      </w:r>
    </w:p>
    <w:p>
      <w:pPr>
        <w:tabs>
          <w:tab w:val="left" w:pos="7344"/>
        </w:tabs>
        <w:spacing w:before="26" w:line="159" w:lineRule="auto"/>
        <w:ind w:left="73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215" w:line="220" w:lineRule="auto"/>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2.1.2 承包范围内的暂估价项目</w:t>
      </w:r>
    </w:p>
    <w:p>
      <w:pPr>
        <w:spacing w:before="173" w:line="430"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"2.1.2.1" </w:instrText>
      </w:r>
      <w:r>
        <w:rPr>
          <w:color w:val="auto"/>
          <w:highlight w:val="none"/>
        </w:rPr>
        <w:fldChar w:fldCharType="separate"/>
      </w:r>
      <w:r>
        <w:rPr>
          <w:rFonts w:ascii="宋体" w:hAnsi="宋体" w:eastAsia="宋体" w:cs="宋体"/>
          <w:color w:val="auto"/>
          <w:position w:val="16"/>
          <w:sz w:val="21"/>
          <w:szCs w:val="21"/>
          <w:highlight w:val="none"/>
        </w:rPr>
        <w:t>2.1.2.1</w:t>
      </w:r>
      <w:r>
        <w:rPr>
          <w:rFonts w:ascii="宋体" w:hAnsi="宋体" w:eastAsia="宋体" w:cs="宋体"/>
          <w:color w:val="auto"/>
          <w:position w:val="16"/>
          <w:sz w:val="21"/>
          <w:szCs w:val="21"/>
          <w:highlight w:val="none"/>
        </w:rPr>
        <w:fldChar w:fldCharType="end"/>
      </w:r>
      <w:r>
        <w:rPr>
          <w:rFonts w:ascii="宋体" w:hAnsi="宋体" w:eastAsia="宋体" w:cs="宋体"/>
          <w:color w:val="auto"/>
          <w:spacing w:val="-56"/>
          <w:position w:val="16"/>
          <w:sz w:val="21"/>
          <w:szCs w:val="21"/>
          <w:highlight w:val="none"/>
        </w:rPr>
        <w:t xml:space="preserve"> </w:t>
      </w:r>
      <w:r>
        <w:rPr>
          <w:rFonts w:ascii="宋体" w:hAnsi="宋体" w:eastAsia="宋体" w:cs="宋体"/>
          <w:color w:val="auto"/>
          <w:position w:val="16"/>
          <w:sz w:val="21"/>
          <w:szCs w:val="21"/>
          <w:highlight w:val="none"/>
        </w:rPr>
        <w:t>承包范围内以暂估价形式实施的专业工程</w:t>
      </w:r>
      <w:r>
        <w:rPr>
          <w:rFonts w:ascii="宋体" w:hAnsi="宋体" w:eastAsia="宋体" w:cs="宋体"/>
          <w:color w:val="auto"/>
          <w:spacing w:val="-1"/>
          <w:position w:val="16"/>
          <w:sz w:val="21"/>
          <w:szCs w:val="21"/>
          <w:highlight w:val="none"/>
        </w:rPr>
        <w:t>见第五章“工程量清单”表</w:t>
      </w:r>
      <w:r>
        <w:rPr>
          <w:rFonts w:ascii="宋体" w:hAnsi="宋体" w:eastAsia="宋体" w:cs="宋体"/>
          <w:color w:val="auto"/>
          <w:spacing w:val="-59"/>
          <w:position w:val="16"/>
          <w:sz w:val="21"/>
          <w:szCs w:val="21"/>
          <w:highlight w:val="none"/>
        </w:rPr>
        <w:t xml:space="preserve"> </w:t>
      </w:r>
      <w:r>
        <w:rPr>
          <w:rFonts w:ascii="宋体" w:hAnsi="宋体" w:eastAsia="宋体" w:cs="宋体"/>
          <w:color w:val="auto"/>
          <w:spacing w:val="-1"/>
          <w:position w:val="16"/>
          <w:sz w:val="21"/>
          <w:szCs w:val="21"/>
          <w:highlight w:val="none"/>
        </w:rPr>
        <w:t>4.11—3“专业</w:t>
      </w:r>
    </w:p>
    <w:p>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工程暂估价表”。</w:t>
      </w:r>
    </w:p>
    <w:p>
      <w:pPr>
        <w:spacing w:before="180" w:line="430" w:lineRule="exact"/>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"2.1.2.2" </w:instrText>
      </w:r>
      <w:r>
        <w:rPr>
          <w:color w:val="auto"/>
          <w:highlight w:val="none"/>
        </w:rPr>
        <w:fldChar w:fldCharType="separate"/>
      </w:r>
      <w:r>
        <w:rPr>
          <w:rFonts w:ascii="宋体" w:hAnsi="宋体" w:eastAsia="宋体" w:cs="宋体"/>
          <w:color w:val="auto"/>
          <w:spacing w:val="-1"/>
          <w:position w:val="16"/>
          <w:sz w:val="21"/>
          <w:szCs w:val="21"/>
          <w:highlight w:val="none"/>
        </w:rPr>
        <w:t>2.1.2.2</w:t>
      </w:r>
      <w:r>
        <w:rPr>
          <w:rFonts w:ascii="宋体" w:hAnsi="宋体" w:eastAsia="宋体" w:cs="宋体"/>
          <w:color w:val="auto"/>
          <w:spacing w:val="-1"/>
          <w:position w:val="16"/>
          <w:sz w:val="21"/>
          <w:szCs w:val="21"/>
          <w:highlight w:val="none"/>
        </w:rPr>
        <w:fldChar w:fldCharType="end"/>
      </w:r>
      <w:r>
        <w:rPr>
          <w:rFonts w:ascii="宋体" w:hAnsi="宋体" w:eastAsia="宋体" w:cs="宋体"/>
          <w:color w:val="auto"/>
          <w:spacing w:val="-1"/>
          <w:position w:val="16"/>
          <w:sz w:val="21"/>
          <w:szCs w:val="21"/>
          <w:highlight w:val="none"/>
        </w:rPr>
        <w:t xml:space="preserve"> 承包范围内以暂估价形式实施的材料和工程设备见第五章“工程量清单”表 4.11—</w:t>
      </w:r>
    </w:p>
    <w:p>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2“材料和工程设备暂估单价表”。</w:t>
      </w:r>
    </w:p>
    <w:p>
      <w:pPr>
        <w:spacing w:before="183" w:line="219" w:lineRule="auto"/>
        <w:ind w:left="424"/>
        <w:rPr>
          <w:color w:val="auto"/>
          <w:highlight w:val="none"/>
        </w:rPr>
      </w:pPr>
      <w:r>
        <w:rPr>
          <w:color w:val="auto"/>
          <w:highlight w:val="none"/>
        </w:rPr>
        <w:fldChar w:fldCharType="begin"/>
      </w:r>
      <w:r>
        <w:rPr>
          <w:color w:val="auto"/>
          <w:highlight w:val="none"/>
        </w:rPr>
        <w:instrText xml:space="preserve"> HYPERLINK "2.1.2.3" </w:instrText>
      </w:r>
      <w:r>
        <w:rPr>
          <w:color w:val="auto"/>
          <w:highlight w:val="none"/>
        </w:rPr>
        <w:fldChar w:fldCharType="separate"/>
      </w:r>
      <w:r>
        <w:rPr>
          <w:rFonts w:ascii="宋体" w:hAnsi="宋体" w:eastAsia="宋体" w:cs="宋体"/>
          <w:color w:val="auto"/>
          <w:spacing w:val="-1"/>
          <w:sz w:val="21"/>
          <w:szCs w:val="21"/>
          <w:highlight w:val="none"/>
        </w:rPr>
        <w:t>2.1.2.3</w:t>
      </w:r>
      <w:r>
        <w:rPr>
          <w:rFonts w:ascii="宋体" w:hAnsi="宋体" w:eastAsia="宋体" w:cs="宋体"/>
          <w:color w:val="auto"/>
          <w:spacing w:val="-1"/>
          <w:sz w:val="21"/>
          <w:szCs w:val="21"/>
          <w:highlight w:val="none"/>
        </w:rPr>
        <w:fldChar w:fldCharType="end"/>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上述暂估价项目与本节第</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2.1.1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项承包</w:t>
      </w:r>
      <w:r>
        <w:rPr>
          <w:rFonts w:ascii="宋体" w:hAnsi="宋体" w:eastAsia="宋体" w:cs="宋体"/>
          <w:color w:val="auto"/>
          <w:spacing w:val="-2"/>
          <w:sz w:val="21"/>
          <w:szCs w:val="21"/>
          <w:highlight w:val="none"/>
        </w:rPr>
        <w:t>人自行施工范围的工作界面划分如下：</w:t>
      </w:r>
    </w:p>
    <w:p>
      <w:pPr>
        <w:tabs>
          <w:tab w:val="left" w:pos="8080"/>
        </w:tabs>
        <w:spacing w:before="27" w:line="159" w:lineRule="auto"/>
        <w:ind w:left="1045"/>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95" w:line="220" w:lineRule="auto"/>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2.1.3 承包范围内的暂列金额项目</w:t>
      </w:r>
    </w:p>
    <w:p>
      <w:pPr>
        <w:spacing w:before="172" w:line="378" w:lineRule="auto"/>
        <w:ind w:left="1" w:right="2" w:firstLine="423"/>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"2.1.3.1" </w:instrText>
      </w:r>
      <w:r>
        <w:rPr>
          <w:color w:val="auto"/>
          <w:highlight w:val="none"/>
        </w:rPr>
        <w:fldChar w:fldCharType="separate"/>
      </w:r>
      <w:r>
        <w:rPr>
          <w:rFonts w:ascii="宋体" w:hAnsi="宋体" w:eastAsia="宋体" w:cs="宋体"/>
          <w:color w:val="auto"/>
          <w:spacing w:val="2"/>
          <w:sz w:val="21"/>
          <w:szCs w:val="21"/>
          <w:highlight w:val="none"/>
        </w:rPr>
        <w:t>2.1.3.1</w:t>
      </w:r>
      <w:r>
        <w:rPr>
          <w:rFonts w:ascii="宋体" w:hAnsi="宋体" w:eastAsia="宋体" w:cs="宋体"/>
          <w:color w:val="auto"/>
          <w:spacing w:val="2"/>
          <w:sz w:val="21"/>
          <w:szCs w:val="21"/>
          <w:highlight w:val="none"/>
        </w:rPr>
        <w:fldChar w:fldCharType="end"/>
      </w:r>
      <w:r>
        <w:rPr>
          <w:rFonts w:ascii="宋体" w:hAnsi="宋体" w:eastAsia="宋体" w:cs="宋体"/>
          <w:color w:val="auto"/>
          <w:spacing w:val="2"/>
          <w:sz w:val="21"/>
          <w:szCs w:val="21"/>
          <w:highlight w:val="none"/>
        </w:rPr>
        <w:t xml:space="preserve"> 承包范围内以暂列金额（包括计日工</w:t>
      </w:r>
      <w:r>
        <w:rPr>
          <w:rFonts w:ascii="宋体" w:hAnsi="宋体" w:eastAsia="宋体" w:cs="宋体"/>
          <w:color w:val="auto"/>
          <w:spacing w:val="1"/>
          <w:sz w:val="21"/>
          <w:szCs w:val="21"/>
          <w:highlight w:val="none"/>
        </w:rPr>
        <w:t>）方式实施的项目见第五章“工程量清单”表</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4.1l—l“暂列金额明细表”（不包括计日工）和表 4.1l 一 4“计日工表”，其中计日工金额为承</w:t>
      </w:r>
    </w:p>
    <w:p>
      <w:pPr>
        <w:spacing w:line="219" w:lineRule="auto"/>
        <w:ind w:left="2"/>
        <w:rPr>
          <w:rFonts w:ascii="宋体" w:hAnsi="宋体" w:eastAsia="宋体" w:cs="宋体"/>
          <w:color w:val="auto"/>
          <w:sz w:val="21"/>
          <w:szCs w:val="21"/>
          <w:highlight w:val="none"/>
        </w:rPr>
      </w:pPr>
      <w:r>
        <w:rPr>
          <w:rFonts w:ascii="宋体" w:hAnsi="宋体" w:eastAsia="宋体" w:cs="宋体"/>
          <w:color w:val="auto"/>
          <w:sz w:val="21"/>
          <w:szCs w:val="21"/>
          <w:highlight w:val="none"/>
        </w:rPr>
        <w:t>包人在其投标报价中按表</w:t>
      </w:r>
      <w:r>
        <w:rPr>
          <w:rFonts w:ascii="宋体" w:hAnsi="宋体" w:eastAsia="宋体" w:cs="宋体"/>
          <w:color w:val="auto"/>
          <w:spacing w:val="-47"/>
          <w:sz w:val="21"/>
          <w:szCs w:val="21"/>
          <w:highlight w:val="none"/>
        </w:rPr>
        <w:t xml:space="preserve"> </w:t>
      </w:r>
      <w:r>
        <w:rPr>
          <w:rFonts w:ascii="宋体" w:hAnsi="宋体" w:eastAsia="宋体" w:cs="宋体"/>
          <w:color w:val="auto"/>
          <w:sz w:val="21"/>
          <w:szCs w:val="21"/>
          <w:highlight w:val="none"/>
        </w:rPr>
        <w:t>4.11—4“计日工表”所列计日工子目、数量和</w:t>
      </w:r>
      <w:r>
        <w:rPr>
          <w:rFonts w:ascii="宋体" w:hAnsi="宋体" w:eastAsia="宋体" w:cs="宋体"/>
          <w:color w:val="auto"/>
          <w:spacing w:val="-1"/>
          <w:sz w:val="21"/>
          <w:szCs w:val="21"/>
          <w:highlight w:val="none"/>
        </w:rPr>
        <w:t>相应规定填报的金额。</w:t>
      </w:r>
    </w:p>
    <w:p>
      <w:pPr>
        <w:spacing w:before="182" w:line="378" w:lineRule="auto"/>
        <w:ind w:left="42" w:right="5" w:firstLine="38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"2.1.3.2" </w:instrText>
      </w:r>
      <w:r>
        <w:rPr>
          <w:color w:val="auto"/>
          <w:highlight w:val="none"/>
        </w:rPr>
        <w:fldChar w:fldCharType="separate"/>
      </w:r>
      <w:r>
        <w:rPr>
          <w:rFonts w:ascii="宋体" w:hAnsi="宋体" w:eastAsia="宋体" w:cs="宋体"/>
          <w:color w:val="auto"/>
          <w:spacing w:val="-3"/>
          <w:sz w:val="21"/>
          <w:szCs w:val="21"/>
          <w:highlight w:val="none"/>
        </w:rPr>
        <w:t>2.1.3.2</w:t>
      </w:r>
      <w:r>
        <w:rPr>
          <w:rFonts w:ascii="宋体" w:hAnsi="宋体" w:eastAsia="宋体" w:cs="宋体"/>
          <w:color w:val="auto"/>
          <w:spacing w:val="-3"/>
          <w:sz w:val="21"/>
          <w:szCs w:val="21"/>
          <w:highlight w:val="none"/>
        </w:rPr>
        <w:fldChar w:fldCharType="end"/>
      </w:r>
      <w:r>
        <w:rPr>
          <w:rFonts w:ascii="宋体" w:hAnsi="宋体" w:eastAsia="宋体" w:cs="宋体"/>
          <w:color w:val="auto"/>
          <w:spacing w:val="-3"/>
          <w:sz w:val="21"/>
          <w:szCs w:val="21"/>
          <w:highlight w:val="none"/>
        </w:rPr>
        <w:t xml:space="preserve"> 暂列金额明细表中每笔暂列金额所对应的子目， 包括计日工， 均只</w:t>
      </w:r>
      <w:r>
        <w:rPr>
          <w:rFonts w:ascii="宋体" w:hAnsi="宋体" w:eastAsia="宋体" w:cs="宋体"/>
          <w:color w:val="auto"/>
          <w:spacing w:val="-4"/>
          <w:sz w:val="21"/>
          <w:szCs w:val="21"/>
          <w:highlight w:val="none"/>
        </w:rPr>
        <w:t>是可能发生的子</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目。承包人应当充分认识到，合同履行过程中所列暂列金额可能不发生， 也可能部分发生。即便</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发生， 监理人按照合同约定发出的使用暂列金额的指示也不限于只能用于表中所列子目。</w:t>
      </w:r>
    </w:p>
    <w:p>
      <w:pPr>
        <w:spacing w:before="179" w:line="429" w:lineRule="exact"/>
        <w:ind w:right="4"/>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"2.1.3.3" </w:instrText>
      </w:r>
      <w:r>
        <w:rPr>
          <w:color w:val="auto"/>
          <w:highlight w:val="none"/>
        </w:rPr>
        <w:fldChar w:fldCharType="separate"/>
      </w:r>
      <w:r>
        <w:rPr>
          <w:rFonts w:ascii="宋体" w:hAnsi="宋体" w:eastAsia="宋体" w:cs="宋体"/>
          <w:color w:val="auto"/>
          <w:spacing w:val="7"/>
          <w:position w:val="16"/>
          <w:sz w:val="21"/>
          <w:szCs w:val="21"/>
          <w:highlight w:val="none"/>
        </w:rPr>
        <w:t>2.1.3.3</w:t>
      </w:r>
      <w:r>
        <w:rPr>
          <w:rFonts w:ascii="宋体" w:hAnsi="宋体" w:eastAsia="宋体" w:cs="宋体"/>
          <w:color w:val="auto"/>
          <w:spacing w:val="7"/>
          <w:position w:val="16"/>
          <w:sz w:val="21"/>
          <w:szCs w:val="21"/>
          <w:highlight w:val="none"/>
        </w:rPr>
        <w:fldChar w:fldCharType="end"/>
      </w:r>
      <w:r>
        <w:rPr>
          <w:rFonts w:ascii="宋体" w:hAnsi="宋体" w:eastAsia="宋体" w:cs="宋体"/>
          <w:color w:val="auto"/>
          <w:spacing w:val="7"/>
          <w:position w:val="16"/>
          <w:sz w:val="21"/>
          <w:szCs w:val="21"/>
          <w:highlight w:val="none"/>
        </w:rPr>
        <w:t xml:space="preserve"> 暂列金额是否实际发生、其再分和</w:t>
      </w:r>
      <w:r>
        <w:rPr>
          <w:rFonts w:ascii="宋体" w:hAnsi="宋体" w:eastAsia="宋体" w:cs="宋体"/>
          <w:color w:val="auto"/>
          <w:spacing w:val="6"/>
          <w:position w:val="16"/>
          <w:sz w:val="21"/>
          <w:szCs w:val="21"/>
          <w:highlight w:val="none"/>
        </w:rPr>
        <w:t>合并等均不应成为承包人要求任何追加费用和</w:t>
      </w:r>
    </w:p>
    <w:p>
      <w:pPr>
        <w:spacing w:before="1" w:line="221" w:lineRule="auto"/>
        <w:ind w:left="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（或）延长工期的理由。</w:t>
      </w:r>
    </w:p>
    <w:p>
      <w:pPr>
        <w:spacing w:before="178" w:line="221" w:lineRule="auto"/>
        <w:ind w:left="424"/>
        <w:rPr>
          <w:rFonts w:ascii="宋体" w:hAnsi="宋体" w:eastAsia="宋体" w:cs="宋体"/>
          <w:color w:val="auto"/>
          <w:sz w:val="8"/>
          <w:szCs w:val="8"/>
          <w:highlight w:val="none"/>
        </w:rPr>
      </w:pPr>
      <w:r>
        <w:rPr>
          <w:color w:val="auto"/>
          <w:highlight w:val="none"/>
        </w:rPr>
        <w:fldChar w:fldCharType="begin"/>
      </w:r>
      <w:r>
        <w:rPr>
          <w:color w:val="auto"/>
          <w:highlight w:val="none"/>
        </w:rPr>
        <w:instrText xml:space="preserve"> HYPERLINK "2.1.3.4" </w:instrText>
      </w:r>
      <w:r>
        <w:rPr>
          <w:color w:val="auto"/>
          <w:highlight w:val="none"/>
        </w:rPr>
        <w:fldChar w:fldCharType="separate"/>
      </w:r>
      <w:r>
        <w:rPr>
          <w:rFonts w:ascii="宋体" w:hAnsi="宋体" w:eastAsia="宋体" w:cs="宋体"/>
          <w:color w:val="auto"/>
          <w:spacing w:val="-3"/>
          <w:sz w:val="21"/>
          <w:szCs w:val="21"/>
          <w:highlight w:val="none"/>
        </w:rPr>
        <w:t>2.1.3.4</w:t>
      </w:r>
      <w:r>
        <w:rPr>
          <w:rFonts w:ascii="宋体" w:hAnsi="宋体" w:eastAsia="宋体" w:cs="宋体"/>
          <w:color w:val="auto"/>
          <w:spacing w:val="-3"/>
          <w:sz w:val="21"/>
          <w:szCs w:val="21"/>
          <w:highlight w:val="none"/>
        </w:rPr>
        <w:fldChar w:fldCharType="end"/>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关于暂列金额的其他说明：</w:t>
      </w:r>
      <w:r>
        <w:rPr>
          <w:rFonts w:ascii="宋体" w:hAnsi="宋体" w:eastAsia="宋体" w:cs="宋体"/>
          <w:color w:val="auto"/>
          <w:sz w:val="8"/>
          <w:szCs w:val="8"/>
          <w:highlight w:val="none"/>
          <w:u w:val="single" w:color="auto"/>
        </w:rPr>
        <w:tab/>
      </w:r>
      <w:r>
        <w:rPr>
          <w:rFonts w:hint="eastAsia" w:ascii="宋体" w:hAnsi="宋体" w:eastAsia="宋体" w:cs="宋体"/>
          <w:color w:val="auto"/>
          <w:sz w:val="8"/>
          <w:szCs w:val="8"/>
          <w:highlight w:val="none"/>
          <w:u w:val="single" w:color="auto"/>
          <w:lang w:val="en-US" w:eastAsia="zh-CN"/>
        </w:rPr>
        <w:t xml:space="preserve">                                  </w:t>
      </w:r>
      <w:r>
        <w:rPr>
          <w:rFonts w:ascii="宋体" w:hAnsi="宋体" w:eastAsia="宋体" w:cs="宋体"/>
          <w:color w:val="auto"/>
          <w:spacing w:val="-11"/>
          <w:sz w:val="8"/>
          <w:szCs w:val="8"/>
          <w:highlight w:val="none"/>
        </w:rPr>
        <w:t xml:space="preserve"> </w:t>
      </w:r>
      <w:r>
        <w:rPr>
          <w:rFonts w:hint="eastAsia" w:ascii="宋体" w:hAnsi="宋体" w:eastAsia="宋体" w:cs="宋体"/>
          <w:color w:val="auto"/>
          <w:spacing w:val="-11"/>
          <w:sz w:val="8"/>
          <w:szCs w:val="8"/>
          <w:highlight w:val="none"/>
          <w:lang w:val="en-US" w:eastAsia="zh-CN"/>
        </w:rPr>
        <w:t xml:space="preserve">    </w:t>
      </w:r>
      <w:r>
        <w:rPr>
          <w:rFonts w:ascii="宋体" w:hAnsi="宋体" w:eastAsia="宋体" w:cs="宋体"/>
          <w:color w:val="auto"/>
          <w:spacing w:val="6"/>
          <w:sz w:val="8"/>
          <w:szCs w:val="8"/>
          <w:highlight w:val="none"/>
        </w:rPr>
        <w:t>。</w:t>
      </w:r>
    </w:p>
    <w:p>
      <w:pPr>
        <w:spacing w:before="196" w:line="219" w:lineRule="auto"/>
        <w:rPr>
          <w:rFonts w:ascii="黑体" w:hAnsi="黑体" w:eastAsia="黑体" w:cs="黑体"/>
          <w:color w:val="auto"/>
          <w:sz w:val="21"/>
          <w:szCs w:val="21"/>
          <w:highlight w:val="none"/>
        </w:rPr>
      </w:pPr>
      <w:r>
        <w:rPr>
          <w:rFonts w:ascii="黑体" w:hAnsi="黑体" w:eastAsia="黑体" w:cs="黑体"/>
          <w:color w:val="auto"/>
          <w:sz w:val="21"/>
          <w:szCs w:val="21"/>
          <w:highlight w:val="none"/>
        </w:rPr>
        <w:t>2.2 发包人发包专业工程和发包人供应的材料和工程设备</w:t>
      </w:r>
    </w:p>
    <w:p>
      <w:pPr>
        <w:spacing w:before="173" w:line="430" w:lineRule="exact"/>
        <w:ind w:right="31"/>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2.2.1</w:t>
      </w:r>
      <w:r>
        <w:rPr>
          <w:rFonts w:ascii="宋体" w:hAnsi="宋体" w:eastAsia="宋体" w:cs="宋体"/>
          <w:color w:val="auto"/>
          <w:spacing w:val="86"/>
          <w:position w:val="16"/>
          <w:sz w:val="21"/>
          <w:szCs w:val="21"/>
          <w:highlight w:val="none"/>
        </w:rPr>
        <w:t xml:space="preserve"> </w:t>
      </w:r>
      <w:r>
        <w:rPr>
          <w:rFonts w:ascii="宋体" w:hAnsi="宋体" w:eastAsia="宋体" w:cs="宋体"/>
          <w:color w:val="auto"/>
          <w:spacing w:val="-1"/>
          <w:position w:val="16"/>
          <w:sz w:val="21"/>
          <w:szCs w:val="21"/>
          <w:highlight w:val="none"/>
        </w:rPr>
        <w:t>由发包人发包的专业工程属于与本工程有关的其他工程，不属于承包人的承包范围。</w:t>
      </w:r>
    </w:p>
    <w:p>
      <w:pPr>
        <w:spacing w:line="221" w:lineRule="auto"/>
        <w:ind w:left="5"/>
        <w:rPr>
          <w:rFonts w:ascii="宋体" w:hAnsi="宋体" w:eastAsia="宋体" w:cs="宋体"/>
          <w:color w:val="auto"/>
          <w:sz w:val="8"/>
          <w:szCs w:val="8"/>
          <w:highlight w:val="none"/>
        </w:rPr>
      </w:pPr>
      <w:r>
        <w:rPr>
          <w:rFonts w:ascii="宋体" w:hAnsi="宋体" w:eastAsia="宋体" w:cs="宋体"/>
          <w:color w:val="auto"/>
          <w:spacing w:val="-3"/>
          <w:sz w:val="21"/>
          <w:szCs w:val="21"/>
          <w:highlight w:val="none"/>
        </w:rPr>
        <w:t>发包人发包的专业工程如下：</w:t>
      </w:r>
      <w:r>
        <w:rPr>
          <w:rFonts w:ascii="宋体" w:hAnsi="宋体" w:eastAsia="宋体" w:cs="宋体"/>
          <w:color w:val="auto"/>
          <w:sz w:val="8"/>
          <w:szCs w:val="8"/>
          <w:highlight w:val="none"/>
          <w:u w:val="single" w:color="auto"/>
        </w:rPr>
        <w:tab/>
      </w:r>
      <w:r>
        <w:rPr>
          <w:rFonts w:hint="eastAsia" w:ascii="宋体" w:hAnsi="宋体" w:eastAsia="宋体" w:cs="宋体"/>
          <w:color w:val="auto"/>
          <w:sz w:val="8"/>
          <w:szCs w:val="8"/>
          <w:highlight w:val="none"/>
          <w:u w:val="single" w:color="auto"/>
          <w:lang w:val="en-US" w:eastAsia="zh-CN"/>
        </w:rPr>
        <w:t xml:space="preserve">                                            </w:t>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239" w:line="430" w:lineRule="exact"/>
        <w:ind w:right="3"/>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2.2.2</w:t>
      </w:r>
      <w:r>
        <w:rPr>
          <w:rFonts w:ascii="宋体" w:hAnsi="宋体" w:eastAsia="宋体" w:cs="宋体"/>
          <w:color w:val="auto"/>
          <w:spacing w:val="85"/>
          <w:position w:val="16"/>
          <w:sz w:val="21"/>
          <w:szCs w:val="21"/>
          <w:highlight w:val="none"/>
        </w:rPr>
        <w:t xml:space="preserve"> </w:t>
      </w:r>
      <w:r>
        <w:rPr>
          <w:rFonts w:ascii="宋体" w:hAnsi="宋体" w:eastAsia="宋体" w:cs="宋体"/>
          <w:color w:val="auto"/>
          <w:position w:val="16"/>
          <w:sz w:val="21"/>
          <w:szCs w:val="21"/>
          <w:highlight w:val="none"/>
        </w:rPr>
        <w:t>由发包人供应的材料和工程设备不属于承包人的承包范</w:t>
      </w:r>
      <w:r>
        <w:rPr>
          <w:rFonts w:ascii="宋体" w:hAnsi="宋体" w:eastAsia="宋体" w:cs="宋体"/>
          <w:color w:val="auto"/>
          <w:spacing w:val="-1"/>
          <w:position w:val="16"/>
          <w:sz w:val="21"/>
          <w:szCs w:val="21"/>
          <w:highlight w:val="none"/>
        </w:rPr>
        <w:t>围。发包人供应的材料和工程</w:t>
      </w:r>
    </w:p>
    <w:p>
      <w:pPr>
        <w:spacing w:before="1" w:line="219" w:lineRule="auto"/>
        <w:ind w:left="5"/>
        <w:rPr>
          <w:rFonts w:ascii="宋体" w:hAnsi="宋体" w:eastAsia="宋体" w:cs="宋体"/>
          <w:color w:val="auto"/>
          <w:sz w:val="21"/>
          <w:szCs w:val="21"/>
          <w:highlight w:val="none"/>
        </w:rPr>
      </w:pPr>
      <w:r>
        <w:rPr>
          <w:rFonts w:ascii="宋体" w:hAnsi="宋体" w:eastAsia="宋体" w:cs="宋体"/>
          <w:color w:val="auto"/>
          <w:sz w:val="21"/>
          <w:szCs w:val="21"/>
          <w:highlight w:val="none"/>
        </w:rPr>
        <w:t>设备见合同附件二“发包人供应的材料和工程</w:t>
      </w:r>
      <w:r>
        <w:rPr>
          <w:rFonts w:ascii="宋体" w:hAnsi="宋体" w:eastAsia="宋体" w:cs="宋体"/>
          <w:color w:val="auto"/>
          <w:spacing w:val="-1"/>
          <w:sz w:val="21"/>
          <w:szCs w:val="21"/>
          <w:highlight w:val="none"/>
        </w:rPr>
        <w:t>设备一览表”。</w:t>
      </w:r>
    </w:p>
    <w:p>
      <w:pPr>
        <w:spacing w:before="158" w:line="219" w:lineRule="auto"/>
        <w:rPr>
          <w:rFonts w:ascii="黑体" w:hAnsi="黑体" w:eastAsia="黑体" w:cs="黑体"/>
          <w:color w:val="auto"/>
          <w:sz w:val="21"/>
          <w:szCs w:val="21"/>
          <w:highlight w:val="none"/>
        </w:rPr>
      </w:pPr>
      <w:r>
        <w:rPr>
          <w:rFonts w:ascii="黑体" w:hAnsi="黑体" w:eastAsia="黑体" w:cs="黑体"/>
          <w:color w:val="auto"/>
          <w:sz w:val="21"/>
          <w:szCs w:val="21"/>
          <w:highlight w:val="none"/>
        </w:rPr>
        <w:t>2.3 承包人与发包人发包专业工程承包人的工</w:t>
      </w:r>
      <w:r>
        <w:rPr>
          <w:rFonts w:ascii="黑体" w:hAnsi="黑体" w:eastAsia="黑体" w:cs="黑体"/>
          <w:color w:val="auto"/>
          <w:spacing w:val="-1"/>
          <w:sz w:val="21"/>
          <w:szCs w:val="21"/>
          <w:highlight w:val="none"/>
        </w:rPr>
        <w:t>作界面</w:t>
      </w:r>
    </w:p>
    <w:p>
      <w:pPr>
        <w:spacing w:before="173" w:line="220" w:lineRule="auto"/>
        <w:ind w:right="8"/>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2.3.1 承包人与发包人发包专业工程承包人以及</w:t>
      </w:r>
      <w:r>
        <w:rPr>
          <w:rFonts w:ascii="宋体" w:hAnsi="宋体" w:eastAsia="宋体" w:cs="宋体"/>
          <w:color w:val="auto"/>
          <w:spacing w:val="1"/>
          <w:sz w:val="21"/>
          <w:szCs w:val="21"/>
          <w:highlight w:val="none"/>
        </w:rPr>
        <w:t>与发包人供应的材料和设备的供应商之间的</w:t>
      </w:r>
    </w:p>
    <w:p>
      <w:pPr>
        <w:spacing w:line="220" w:lineRule="auto"/>
        <w:rPr>
          <w:rFonts w:ascii="宋体" w:hAnsi="宋体" w:eastAsia="宋体" w:cs="宋体"/>
          <w:color w:val="auto"/>
          <w:sz w:val="21"/>
          <w:szCs w:val="21"/>
          <w:highlight w:val="none"/>
        </w:rPr>
        <w:sectPr>
          <w:footerReference r:id="rId109" w:type="default"/>
          <w:pgSz w:w="11907" w:h="16841"/>
          <w:pgMar w:top="400" w:right="1524" w:bottom="1143" w:left="1479" w:header="0" w:footer="969" w:gutter="0"/>
          <w:pgNumType w:fmt="numberInDash"/>
          <w:cols w:space="720" w:num="1"/>
        </w:sectPr>
      </w:pPr>
    </w:p>
    <w:p>
      <w:pPr>
        <w:pStyle w:val="2"/>
        <w:spacing w:line="277" w:lineRule="auto"/>
        <w:rPr>
          <w:color w:val="auto"/>
          <w:highlight w:val="none"/>
        </w:rPr>
      </w:pPr>
    </w:p>
    <w:p>
      <w:pPr>
        <w:pStyle w:val="2"/>
        <w:spacing w:line="277" w:lineRule="auto"/>
        <w:rPr>
          <w:color w:val="auto"/>
          <w:highlight w:val="none"/>
        </w:rPr>
      </w:pPr>
    </w:p>
    <w:p>
      <w:pPr>
        <w:pStyle w:val="2"/>
        <w:spacing w:line="277" w:lineRule="auto"/>
        <w:rPr>
          <w:color w:val="auto"/>
          <w:highlight w:val="none"/>
        </w:rPr>
      </w:pPr>
    </w:p>
    <w:p>
      <w:pPr>
        <w:pStyle w:val="2"/>
        <w:spacing w:line="278" w:lineRule="auto"/>
        <w:rPr>
          <w:color w:val="auto"/>
          <w:highlight w:val="none"/>
        </w:rPr>
      </w:pPr>
    </w:p>
    <w:p>
      <w:pPr>
        <w:pStyle w:val="2"/>
        <w:spacing w:line="278" w:lineRule="auto"/>
        <w:rPr>
          <w:color w:val="auto"/>
          <w:highlight w:val="none"/>
        </w:rPr>
      </w:pPr>
    </w:p>
    <w:p>
      <w:pPr>
        <w:spacing w:before="68" w:line="221" w:lineRule="auto"/>
        <w:ind w:left="7"/>
        <w:rPr>
          <w:color w:val="auto"/>
          <w:highlight w:val="none"/>
        </w:rPr>
      </w:pPr>
      <w:r>
        <w:rPr>
          <w:rFonts w:ascii="宋体" w:hAnsi="宋体" w:eastAsia="宋体" w:cs="宋体"/>
          <w:color w:val="auto"/>
          <w:spacing w:val="-4"/>
          <w:sz w:val="21"/>
          <w:szCs w:val="21"/>
          <w:highlight w:val="none"/>
        </w:rPr>
        <w:t>工作界面划分如下：</w:t>
      </w:r>
    </w:p>
    <w:p>
      <w:pPr>
        <w:tabs>
          <w:tab w:val="left" w:pos="7977"/>
        </w:tabs>
        <w:spacing w:before="26" w:line="159" w:lineRule="auto"/>
        <w:ind w:left="733"/>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215" w:line="219" w:lineRule="auto"/>
        <w:ind w:left="3"/>
        <w:rPr>
          <w:rFonts w:ascii="黑体" w:hAnsi="黑体" w:eastAsia="黑体" w:cs="黑体"/>
          <w:color w:val="auto"/>
          <w:sz w:val="21"/>
          <w:szCs w:val="21"/>
          <w:highlight w:val="none"/>
        </w:rPr>
      </w:pPr>
      <w:r>
        <w:rPr>
          <w:rFonts w:ascii="黑体" w:hAnsi="黑体" w:eastAsia="黑体" w:cs="黑体"/>
          <w:color w:val="auto"/>
          <w:sz w:val="21"/>
          <w:szCs w:val="21"/>
          <w:highlight w:val="none"/>
        </w:rPr>
        <w:t>2.4 承包人需要为发包人和监理人提供的现场办公条件和设施</w:t>
      </w:r>
    </w:p>
    <w:p>
      <w:pPr>
        <w:spacing w:before="172" w:line="220"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2.4.1</w:t>
      </w:r>
      <w:r>
        <w:rPr>
          <w:rFonts w:ascii="宋体" w:hAnsi="宋体" w:eastAsia="宋体" w:cs="宋体"/>
          <w:color w:val="auto"/>
          <w:spacing w:val="-47"/>
          <w:sz w:val="21"/>
          <w:szCs w:val="21"/>
          <w:highlight w:val="none"/>
        </w:rPr>
        <w:t xml:space="preserve"> </w:t>
      </w:r>
      <w:r>
        <w:rPr>
          <w:rFonts w:ascii="宋体" w:hAnsi="宋体" w:eastAsia="宋体" w:cs="宋体"/>
          <w:color w:val="auto"/>
          <w:sz w:val="21"/>
          <w:szCs w:val="21"/>
          <w:highlight w:val="none"/>
        </w:rPr>
        <w:t>承包人需要为发包人和监理人提供的现场办公条件和设</w:t>
      </w:r>
      <w:r>
        <w:rPr>
          <w:rFonts w:ascii="宋体" w:hAnsi="宋体" w:eastAsia="宋体" w:cs="宋体"/>
          <w:color w:val="auto"/>
          <w:spacing w:val="-1"/>
          <w:sz w:val="21"/>
          <w:szCs w:val="21"/>
          <w:highlight w:val="none"/>
        </w:rPr>
        <w:t>施及其详细要求如下：</w:t>
      </w:r>
    </w:p>
    <w:p>
      <w:pPr>
        <w:pStyle w:val="2"/>
        <w:spacing w:line="266" w:lineRule="auto"/>
        <w:rPr>
          <w:color w:val="auto"/>
          <w:highlight w:val="none"/>
        </w:rPr>
      </w:pPr>
    </w:p>
    <w:p>
      <w:pPr>
        <w:tabs>
          <w:tab w:val="left" w:pos="7557"/>
        </w:tabs>
        <w:spacing w:before="26" w:line="159" w:lineRule="auto"/>
        <w:ind w:left="733"/>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34" w:line="436" w:lineRule="exact"/>
        <w:ind w:left="8"/>
        <w:rPr>
          <w:rFonts w:ascii="黑体" w:hAnsi="黑体" w:eastAsia="黑体" w:cs="黑体"/>
          <w:color w:val="auto"/>
          <w:sz w:val="28"/>
          <w:szCs w:val="28"/>
          <w:highlight w:val="none"/>
        </w:rPr>
      </w:pPr>
      <w:bookmarkStart w:id="378" w:name="bookmark418"/>
      <w:bookmarkEnd w:id="378"/>
      <w:r>
        <w:rPr>
          <w:rFonts w:ascii="Times New Roman" w:hAnsi="Times New Roman" w:eastAsia="Times New Roman" w:cs="Times New Roman"/>
          <w:color w:val="auto"/>
          <w:spacing w:val="-2"/>
          <w:position w:val="11"/>
          <w:sz w:val="28"/>
          <w:szCs w:val="28"/>
          <w:highlight w:val="none"/>
        </w:rPr>
        <w:t>3.</w:t>
      </w:r>
      <w:r>
        <w:rPr>
          <w:rFonts w:ascii="黑体" w:hAnsi="黑体" w:eastAsia="黑体" w:cs="黑体"/>
          <w:color w:val="auto"/>
          <w:spacing w:val="-2"/>
          <w:position w:val="11"/>
          <w:sz w:val="28"/>
          <w:szCs w:val="28"/>
          <w:highlight w:val="none"/>
        </w:rPr>
        <w:t>工期要求</w:t>
      </w:r>
    </w:p>
    <w:p>
      <w:pPr>
        <w:spacing w:line="220" w:lineRule="auto"/>
        <w:ind w:left="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3.1 合同工期</w:t>
      </w:r>
    </w:p>
    <w:p>
      <w:pPr>
        <w:spacing w:before="161" w:line="220" w:lineRule="auto"/>
        <w:ind w:right="8"/>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本工程合同工期和计划开、竣工日期为承包人在投标函附录中承诺</w:t>
      </w:r>
      <w:r>
        <w:rPr>
          <w:rFonts w:ascii="宋体" w:hAnsi="宋体" w:eastAsia="宋体" w:cs="宋体"/>
          <w:color w:val="auto"/>
          <w:spacing w:val="1"/>
          <w:sz w:val="21"/>
          <w:szCs w:val="21"/>
          <w:highlight w:val="none"/>
        </w:rPr>
        <w:t>的工期和计划开、竣工日</w:t>
      </w:r>
    </w:p>
    <w:p>
      <w:pPr>
        <w:spacing w:before="179" w:line="220" w:lineRule="auto"/>
        <w:ind w:left="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期，并在合同协议书中载明。</w:t>
      </w:r>
    </w:p>
    <w:p>
      <w:pPr>
        <w:spacing w:before="134" w:line="218" w:lineRule="auto"/>
        <w:ind w:left="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3.2 关于工期的一般规定</w:t>
      </w:r>
    </w:p>
    <w:p>
      <w:pPr>
        <w:spacing w:before="163" w:line="378" w:lineRule="auto"/>
        <w:ind w:left="5" w:firstLine="424"/>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3.2.1 承包人在投标函中承诺的工期和计划开、竣工日期之间发生矛盾或者不一致时， 以承</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包人承诺的工期为准。实际开工日期以通用合同条款第</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rPr>
        <w:t>11.1</w:t>
      </w:r>
      <w:r>
        <w:rPr>
          <w:rFonts w:ascii="宋体" w:hAnsi="宋体" w:eastAsia="宋体" w:cs="宋体"/>
          <w:color w:val="auto"/>
          <w:spacing w:val="-55"/>
          <w:sz w:val="21"/>
          <w:szCs w:val="21"/>
          <w:highlight w:val="none"/>
        </w:rPr>
        <w:t xml:space="preserve"> </w:t>
      </w:r>
      <w:r>
        <w:rPr>
          <w:rFonts w:ascii="宋体" w:hAnsi="宋体" w:eastAsia="宋体" w:cs="宋体"/>
          <w:color w:val="auto"/>
          <w:spacing w:val="-1"/>
          <w:sz w:val="21"/>
          <w:szCs w:val="21"/>
          <w:highlight w:val="none"/>
        </w:rPr>
        <w:t>款约定的监理人发出的开工通知中载</w:t>
      </w:r>
    </w:p>
    <w:p>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明的开工日期为准。</w:t>
      </w:r>
    </w:p>
    <w:p>
      <w:pPr>
        <w:spacing w:before="181" w:line="378" w:lineRule="auto"/>
        <w:ind w:left="5" w:right="5" w:firstLine="424"/>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3.2.2 如果承包人在投标函附录中承诺的工</w:t>
      </w:r>
      <w:r>
        <w:rPr>
          <w:rFonts w:ascii="宋体" w:hAnsi="宋体" w:eastAsia="宋体" w:cs="宋体"/>
          <w:color w:val="auto"/>
          <w:spacing w:val="1"/>
          <w:sz w:val="21"/>
          <w:szCs w:val="21"/>
          <w:highlight w:val="none"/>
        </w:rPr>
        <w:t>期提前于发包人在本工程招标文件中所要求的工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期，承包人在施工组织设计中应当制定相应的工期保证措施，由此而</w:t>
      </w:r>
      <w:r>
        <w:rPr>
          <w:rFonts w:ascii="宋体" w:hAnsi="宋体" w:eastAsia="宋体" w:cs="宋体"/>
          <w:color w:val="auto"/>
          <w:spacing w:val="1"/>
          <w:sz w:val="21"/>
          <w:szCs w:val="21"/>
          <w:highlight w:val="none"/>
        </w:rPr>
        <w:t>增加的费用应当被认为已经</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包括在投标总价中。除合同另有约定外， 合同履约过程中发包人不会因此再向承包人支付任何性</w:t>
      </w:r>
    </w:p>
    <w:p>
      <w:pPr>
        <w:spacing w:line="220" w:lineRule="auto"/>
        <w:ind w:left="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质的技术措施费用、赶工费用或其他任何性质的提前完工奖励等费用。</w:t>
      </w:r>
    </w:p>
    <w:p>
      <w:pPr>
        <w:spacing w:before="179" w:line="220"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3.2.3 承包人在投标函附录中所承诺的工期应当包括实施并完成本节上述 2.1.2 项规定的暂</w:t>
      </w:r>
    </w:p>
    <w:p>
      <w:pPr>
        <w:spacing w:before="179" w:line="257" w:lineRule="auto"/>
        <w:ind w:left="1" w:right="1371" w:firstLine="3"/>
        <w:rPr>
          <w:rFonts w:ascii="黑体" w:hAnsi="黑体" w:eastAsia="黑体" w:cs="黑体"/>
          <w:color w:val="auto"/>
          <w:sz w:val="28"/>
          <w:szCs w:val="28"/>
          <w:highlight w:val="none"/>
        </w:rPr>
      </w:pPr>
      <w:r>
        <w:rPr>
          <w:rFonts w:ascii="宋体" w:hAnsi="宋体" w:eastAsia="宋体" w:cs="宋体"/>
          <w:color w:val="auto"/>
          <w:spacing w:val="-1"/>
          <w:sz w:val="21"/>
          <w:szCs w:val="21"/>
          <w:highlight w:val="none"/>
        </w:rPr>
        <w:t>估价项目和上述</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2.1.3</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项规定的实际可能</w:t>
      </w:r>
      <w:r>
        <w:rPr>
          <w:rFonts w:ascii="宋体" w:hAnsi="宋体" w:eastAsia="宋体" w:cs="宋体"/>
          <w:color w:val="auto"/>
          <w:spacing w:val="-2"/>
          <w:sz w:val="21"/>
          <w:szCs w:val="21"/>
          <w:highlight w:val="none"/>
        </w:rPr>
        <w:t>发生的暂列金额在内的所有工作的工期。</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1"/>
          <w:sz w:val="28"/>
          <w:szCs w:val="28"/>
          <w:highlight w:val="none"/>
        </w:rPr>
        <w:t>4.</w:t>
      </w:r>
      <w:r>
        <w:rPr>
          <w:rFonts w:ascii="黑体" w:hAnsi="黑体" w:eastAsia="黑体" w:cs="黑体"/>
          <w:color w:val="auto"/>
          <w:spacing w:val="-1"/>
          <w:sz w:val="28"/>
          <w:szCs w:val="28"/>
          <w:highlight w:val="none"/>
        </w:rPr>
        <w:t>质量要求</w:t>
      </w:r>
    </w:p>
    <w:p>
      <w:pPr>
        <w:spacing w:before="102" w:line="220" w:lineRule="auto"/>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4.1</w:t>
      </w:r>
      <w:r>
        <w:rPr>
          <w:rFonts w:ascii="黑体" w:hAnsi="黑体" w:eastAsia="黑体" w:cs="黑体"/>
          <w:color w:val="auto"/>
          <w:spacing w:val="-48"/>
          <w:sz w:val="24"/>
          <w:szCs w:val="24"/>
          <w:highlight w:val="none"/>
        </w:rPr>
        <w:t xml:space="preserve"> </w:t>
      </w:r>
      <w:r>
        <w:rPr>
          <w:rFonts w:ascii="黑体" w:hAnsi="黑体" w:eastAsia="黑体" w:cs="黑体"/>
          <w:color w:val="auto"/>
          <w:spacing w:val="-2"/>
          <w:sz w:val="24"/>
          <w:szCs w:val="24"/>
          <w:highlight w:val="none"/>
        </w:rPr>
        <w:t>质量标准</w:t>
      </w:r>
    </w:p>
    <w:p>
      <w:pPr>
        <w:spacing w:before="162" w:line="430" w:lineRule="exact"/>
        <w:ind w:right="8"/>
        <w:jc w:val="right"/>
        <w:rPr>
          <w:rFonts w:ascii="宋体" w:hAnsi="宋体" w:eastAsia="宋体" w:cs="宋体"/>
          <w:color w:val="auto"/>
          <w:sz w:val="21"/>
          <w:szCs w:val="21"/>
          <w:highlight w:val="none"/>
        </w:rPr>
      </w:pPr>
      <w:r>
        <w:rPr>
          <w:rFonts w:ascii="宋体" w:hAnsi="宋体" w:eastAsia="宋体" w:cs="宋体"/>
          <w:color w:val="auto"/>
          <w:spacing w:val="2"/>
          <w:position w:val="16"/>
          <w:sz w:val="21"/>
          <w:szCs w:val="21"/>
          <w:highlight w:val="none"/>
        </w:rPr>
        <w:t>4.1.1 本工程要求的质量标准为符合现行国家有关工程</w:t>
      </w:r>
      <w:r>
        <w:rPr>
          <w:rFonts w:ascii="宋体" w:hAnsi="宋体" w:eastAsia="宋体" w:cs="宋体"/>
          <w:color w:val="auto"/>
          <w:spacing w:val="1"/>
          <w:position w:val="16"/>
          <w:sz w:val="21"/>
          <w:szCs w:val="21"/>
          <w:highlight w:val="none"/>
        </w:rPr>
        <w:t>施工验收规范和标准的要求（也称合</w:t>
      </w:r>
    </w:p>
    <w:p>
      <w:pPr>
        <w:spacing w:line="220" w:lineRule="auto"/>
        <w:ind w:left="5"/>
        <w:rPr>
          <w:rFonts w:ascii="宋体" w:hAnsi="宋体" w:eastAsia="宋体" w:cs="宋体"/>
          <w:color w:val="auto"/>
          <w:sz w:val="21"/>
          <w:szCs w:val="21"/>
          <w:highlight w:val="none"/>
        </w:rPr>
      </w:pPr>
      <w:r>
        <w:rPr>
          <w:rFonts w:ascii="宋体" w:hAnsi="宋体" w:eastAsia="宋体" w:cs="宋体"/>
          <w:color w:val="auto"/>
          <w:spacing w:val="-42"/>
          <w:sz w:val="21"/>
          <w:szCs w:val="21"/>
          <w:highlight w:val="none"/>
        </w:rPr>
        <w:t>格）。</w:t>
      </w:r>
    </w:p>
    <w:p>
      <w:pPr>
        <w:spacing w:before="171" w:line="219" w:lineRule="auto"/>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4.2</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特殊质量要求</w:t>
      </w:r>
    </w:p>
    <w:p>
      <w:pPr>
        <w:spacing w:before="191" w:line="220" w:lineRule="auto"/>
        <w:ind w:left="424"/>
        <w:rPr>
          <w:rFonts w:hint="default" w:ascii="宋体" w:hAnsi="宋体" w:eastAsia="宋体" w:cs="宋体"/>
          <w:color w:val="auto"/>
          <w:sz w:val="21"/>
          <w:szCs w:val="21"/>
          <w:highlight w:val="none"/>
          <w:lang w:val="en-US" w:eastAsia="zh-CN"/>
        </w:rPr>
      </w:pPr>
      <w:r>
        <w:rPr>
          <w:rFonts w:ascii="宋体" w:hAnsi="宋体" w:eastAsia="宋体" w:cs="宋体"/>
          <w:color w:val="auto"/>
          <w:spacing w:val="-2"/>
          <w:sz w:val="21"/>
          <w:szCs w:val="21"/>
          <w:highlight w:val="none"/>
        </w:rPr>
        <w:t>4.2.1 有关本工程质量方面的特殊要求如下：</w:t>
      </w:r>
      <w:r>
        <w:rPr>
          <w:rFonts w:hint="eastAsia" w:ascii="宋体" w:hAnsi="宋体" w:eastAsia="宋体" w:cs="宋体"/>
          <w:color w:val="auto"/>
          <w:spacing w:val="-2"/>
          <w:sz w:val="21"/>
          <w:szCs w:val="21"/>
          <w:highlight w:val="none"/>
          <w:u w:val="single"/>
          <w:lang w:val="en-US" w:eastAsia="zh-CN"/>
        </w:rPr>
        <w:t xml:space="preserve">                       </w:t>
      </w:r>
    </w:p>
    <w:p>
      <w:pPr>
        <w:tabs>
          <w:tab w:val="left" w:pos="7347"/>
        </w:tabs>
        <w:spacing w:before="26" w:line="159" w:lineRule="auto"/>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5" w:line="221" w:lineRule="auto"/>
        <w:ind w:left="10"/>
        <w:rPr>
          <w:rFonts w:ascii="黑体" w:hAnsi="黑体" w:eastAsia="黑体" w:cs="黑体"/>
          <w:color w:val="auto"/>
          <w:sz w:val="28"/>
          <w:szCs w:val="28"/>
          <w:highlight w:val="none"/>
        </w:rPr>
      </w:pPr>
      <w:r>
        <w:rPr>
          <w:rFonts w:ascii="Times New Roman" w:hAnsi="Times New Roman" w:eastAsia="Times New Roman" w:cs="Times New Roman"/>
          <w:color w:val="auto"/>
          <w:spacing w:val="-2"/>
          <w:sz w:val="28"/>
          <w:szCs w:val="28"/>
          <w:highlight w:val="none"/>
        </w:rPr>
        <w:t>5.</w:t>
      </w:r>
      <w:r>
        <w:rPr>
          <w:rFonts w:ascii="黑体" w:hAnsi="黑体" w:eastAsia="黑体" w:cs="黑体"/>
          <w:color w:val="auto"/>
          <w:spacing w:val="-2"/>
          <w:sz w:val="28"/>
          <w:szCs w:val="28"/>
          <w:highlight w:val="none"/>
        </w:rPr>
        <w:t>适用规范和标准</w:t>
      </w:r>
    </w:p>
    <w:p>
      <w:pPr>
        <w:spacing w:before="139" w:line="219" w:lineRule="auto"/>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5.1</w:t>
      </w:r>
      <w:r>
        <w:rPr>
          <w:rFonts w:ascii="黑体" w:hAnsi="黑体" w:eastAsia="黑体" w:cs="黑体"/>
          <w:color w:val="auto"/>
          <w:spacing w:val="-36"/>
          <w:sz w:val="24"/>
          <w:szCs w:val="24"/>
          <w:highlight w:val="none"/>
        </w:rPr>
        <w:t xml:space="preserve"> </w:t>
      </w:r>
      <w:r>
        <w:rPr>
          <w:rFonts w:ascii="黑体" w:hAnsi="黑体" w:eastAsia="黑体" w:cs="黑体"/>
          <w:color w:val="auto"/>
          <w:spacing w:val="-2"/>
          <w:sz w:val="24"/>
          <w:szCs w:val="24"/>
          <w:highlight w:val="none"/>
        </w:rPr>
        <w:t>适用的规范、标准和规程</w:t>
      </w:r>
    </w:p>
    <w:p>
      <w:pPr>
        <w:spacing w:before="192" w:line="432" w:lineRule="exact"/>
        <w:ind w:right="8"/>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5.1.1 除合同另有约定外， 本工程适用现行国家、行业和地方规范、标准和规程。适用于本</w:t>
      </w:r>
    </w:p>
    <w:p>
      <w:pPr>
        <w:spacing w:before="1" w:line="219" w:lineRule="auto"/>
        <w:ind w:left="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工程的国家、行业和地方的规范、标准和规范等的名录见本章第三节。</w:t>
      </w:r>
    </w:p>
    <w:p>
      <w:pPr>
        <w:spacing w:before="179" w:line="220" w:lineRule="auto"/>
        <w:ind w:right="8"/>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构成合同文件的任何内容与适用的规范、标准和规程之间出现</w:t>
      </w:r>
      <w:r>
        <w:rPr>
          <w:rFonts w:ascii="宋体" w:hAnsi="宋体" w:eastAsia="宋体" w:cs="宋体"/>
          <w:color w:val="auto"/>
          <w:spacing w:val="1"/>
          <w:sz w:val="21"/>
          <w:szCs w:val="21"/>
          <w:highlight w:val="none"/>
        </w:rPr>
        <w:t>矛盾，承包人应书面要求监理</w:t>
      </w:r>
    </w:p>
    <w:p>
      <w:pPr>
        <w:spacing w:line="220" w:lineRule="auto"/>
        <w:rPr>
          <w:rFonts w:ascii="宋体" w:hAnsi="宋体" w:eastAsia="宋体" w:cs="宋体"/>
          <w:color w:val="auto"/>
          <w:sz w:val="21"/>
          <w:szCs w:val="21"/>
          <w:highlight w:val="none"/>
        </w:rPr>
        <w:sectPr>
          <w:footerReference r:id="rId110" w:type="default"/>
          <w:pgSz w:w="11907" w:h="16841"/>
          <w:pgMar w:top="400" w:right="1524" w:bottom="1143" w:left="1476" w:header="0" w:footer="969" w:gutter="0"/>
          <w:pgNumType w:fmt="numberInDash"/>
          <w:cols w:space="720" w:num="1"/>
        </w:sectPr>
      </w:pPr>
    </w:p>
    <w:p>
      <w:pPr>
        <w:pStyle w:val="2"/>
        <w:spacing w:line="277" w:lineRule="auto"/>
        <w:rPr>
          <w:color w:val="auto"/>
          <w:highlight w:val="none"/>
        </w:rPr>
      </w:pPr>
    </w:p>
    <w:p>
      <w:pPr>
        <w:pStyle w:val="2"/>
        <w:spacing w:line="277" w:lineRule="auto"/>
        <w:rPr>
          <w:color w:val="auto"/>
          <w:highlight w:val="none"/>
        </w:rPr>
      </w:pPr>
    </w:p>
    <w:p>
      <w:pPr>
        <w:pStyle w:val="2"/>
        <w:spacing w:line="277" w:lineRule="auto"/>
        <w:rPr>
          <w:color w:val="auto"/>
          <w:highlight w:val="none"/>
        </w:rPr>
      </w:pPr>
    </w:p>
    <w:p>
      <w:pPr>
        <w:pStyle w:val="2"/>
        <w:spacing w:line="277" w:lineRule="auto"/>
        <w:rPr>
          <w:color w:val="auto"/>
          <w:highlight w:val="none"/>
        </w:rPr>
      </w:pPr>
    </w:p>
    <w:p>
      <w:pPr>
        <w:pStyle w:val="2"/>
        <w:spacing w:line="278" w:lineRule="auto"/>
        <w:rPr>
          <w:color w:val="auto"/>
          <w:highlight w:val="none"/>
        </w:rPr>
      </w:pPr>
    </w:p>
    <w:p>
      <w:pPr>
        <w:spacing w:before="68" w:line="221" w:lineRule="auto"/>
        <w:ind w:left="6"/>
        <w:rPr>
          <w:rFonts w:ascii="宋体" w:hAnsi="宋体" w:eastAsia="宋体" w:cs="宋体"/>
          <w:color w:val="auto"/>
          <w:sz w:val="21"/>
          <w:szCs w:val="21"/>
          <w:highlight w:val="none"/>
        </w:rPr>
      </w:pPr>
      <w:bookmarkStart w:id="379" w:name="bookmark419"/>
      <w:bookmarkEnd w:id="379"/>
      <w:r>
        <w:rPr>
          <w:rFonts w:ascii="宋体" w:hAnsi="宋体" w:eastAsia="宋体" w:cs="宋体"/>
          <w:color w:val="auto"/>
          <w:spacing w:val="-1"/>
          <w:sz w:val="21"/>
          <w:szCs w:val="21"/>
          <w:highlight w:val="none"/>
        </w:rPr>
        <w:t>人予以澄清，除监理人有特别指示外，承包人应按照其中要求最严格的标准执行。</w:t>
      </w:r>
    </w:p>
    <w:p>
      <w:pPr>
        <w:spacing w:before="177" w:line="378" w:lineRule="auto"/>
        <w:ind w:left="6" w:firstLine="42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5.1.2 除合同另有约定外， 材料、施工工艺和本工程都应依照本技术标准和要求以及适用的</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现行规范、标准和规程的最新版本执行。若适用的现行规范、标准</w:t>
      </w:r>
      <w:r>
        <w:rPr>
          <w:rFonts w:ascii="宋体" w:hAnsi="宋体" w:eastAsia="宋体" w:cs="宋体"/>
          <w:color w:val="auto"/>
          <w:spacing w:val="1"/>
          <w:sz w:val="21"/>
          <w:szCs w:val="21"/>
          <w:highlight w:val="none"/>
        </w:rPr>
        <w:t>和规程的最新版本是在基准日</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后颁布的，</w:t>
      </w:r>
      <w:r>
        <w:rPr>
          <w:rFonts w:ascii="宋体" w:hAnsi="宋体" w:eastAsia="宋体" w:cs="宋体"/>
          <w:color w:val="auto"/>
          <w:spacing w:val="-23"/>
          <w:sz w:val="21"/>
          <w:szCs w:val="21"/>
          <w:highlight w:val="none"/>
        </w:rPr>
        <w:t xml:space="preserve"> </w:t>
      </w:r>
      <w:r>
        <w:rPr>
          <w:rFonts w:ascii="宋体" w:hAnsi="宋体" w:eastAsia="宋体" w:cs="宋体"/>
          <w:color w:val="auto"/>
          <w:spacing w:val="-5"/>
          <w:sz w:val="21"/>
          <w:szCs w:val="21"/>
          <w:highlight w:val="none"/>
        </w:rPr>
        <w:t>且相应标准发生变更并成为合同文件中最严格的标准， 则应按合同条款第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5"/>
          <w:sz w:val="21"/>
          <w:szCs w:val="21"/>
          <w:highlight w:val="none"/>
        </w:rPr>
        <w:t>15</w:t>
      </w:r>
      <w:r>
        <w:rPr>
          <w:rFonts w:ascii="宋体" w:hAnsi="宋体" w:eastAsia="宋体" w:cs="宋体"/>
          <w:color w:val="auto"/>
          <w:spacing w:val="-56"/>
          <w:sz w:val="21"/>
          <w:szCs w:val="21"/>
          <w:highlight w:val="none"/>
        </w:rPr>
        <w:t xml:space="preserve"> </w:t>
      </w:r>
      <w:r>
        <w:rPr>
          <w:rFonts w:ascii="宋体" w:hAnsi="宋体" w:eastAsia="宋体" w:cs="宋体"/>
          <w:color w:val="auto"/>
          <w:spacing w:val="-6"/>
          <w:sz w:val="21"/>
          <w:szCs w:val="21"/>
          <w:highlight w:val="none"/>
        </w:rPr>
        <w:t>条的约定</w:t>
      </w:r>
    </w:p>
    <w:p>
      <w:pPr>
        <w:spacing w:line="220" w:lineRule="auto"/>
        <w:ind w:left="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办理。</w:t>
      </w:r>
    </w:p>
    <w:p>
      <w:pPr>
        <w:spacing w:before="172" w:line="219" w:lineRule="auto"/>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5.2 特殊技术标准和要求</w:t>
      </w:r>
    </w:p>
    <w:p>
      <w:pPr>
        <w:spacing w:before="192" w:line="220" w:lineRule="auto"/>
        <w:ind w:left="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5.2.1</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适用本工程的特殊技术标准和要</w:t>
      </w:r>
      <w:r>
        <w:rPr>
          <w:rFonts w:ascii="宋体" w:hAnsi="宋体" w:eastAsia="宋体" w:cs="宋体"/>
          <w:color w:val="auto"/>
          <w:spacing w:val="-2"/>
          <w:sz w:val="21"/>
          <w:szCs w:val="21"/>
          <w:highlight w:val="none"/>
        </w:rPr>
        <w:t>求见本章第二节。</w:t>
      </w:r>
    </w:p>
    <w:p>
      <w:pPr>
        <w:spacing w:before="180" w:line="220" w:lineRule="auto"/>
        <w:ind w:left="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5.2.2</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有合同约束力的图纸和其他设计文件中的有关文字说明是本节的组成内容。</w:t>
      </w:r>
    </w:p>
    <w:p>
      <w:pPr>
        <w:spacing w:before="98" w:line="433" w:lineRule="exact"/>
        <w:ind w:left="8"/>
        <w:rPr>
          <w:rFonts w:ascii="黑体" w:hAnsi="黑体" w:eastAsia="黑体" w:cs="黑体"/>
          <w:color w:val="auto"/>
          <w:sz w:val="28"/>
          <w:szCs w:val="28"/>
          <w:highlight w:val="none"/>
        </w:rPr>
      </w:pPr>
      <w:r>
        <w:rPr>
          <w:rFonts w:ascii="Times New Roman" w:hAnsi="Times New Roman" w:eastAsia="Times New Roman" w:cs="Times New Roman"/>
          <w:color w:val="auto"/>
          <w:spacing w:val="-2"/>
          <w:position w:val="11"/>
          <w:sz w:val="28"/>
          <w:szCs w:val="28"/>
          <w:highlight w:val="none"/>
        </w:rPr>
        <w:t>6.</w:t>
      </w:r>
      <w:r>
        <w:rPr>
          <w:rFonts w:ascii="黑体" w:hAnsi="黑体" w:eastAsia="黑体" w:cs="黑体"/>
          <w:color w:val="auto"/>
          <w:spacing w:val="-2"/>
          <w:position w:val="11"/>
          <w:sz w:val="28"/>
          <w:szCs w:val="28"/>
          <w:highlight w:val="none"/>
        </w:rPr>
        <w:t>安全文明施工</w:t>
      </w:r>
    </w:p>
    <w:p>
      <w:pPr>
        <w:spacing w:line="218" w:lineRule="auto"/>
        <w:ind w:left="4"/>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6.1</w:t>
      </w:r>
      <w:r>
        <w:rPr>
          <w:rFonts w:ascii="黑体" w:hAnsi="黑体" w:eastAsia="黑体" w:cs="黑体"/>
          <w:color w:val="auto"/>
          <w:spacing w:val="-37"/>
          <w:sz w:val="24"/>
          <w:szCs w:val="24"/>
          <w:highlight w:val="none"/>
        </w:rPr>
        <w:t xml:space="preserve"> </w:t>
      </w:r>
      <w:r>
        <w:rPr>
          <w:rFonts w:ascii="黑体" w:hAnsi="黑体" w:eastAsia="黑体" w:cs="黑体"/>
          <w:color w:val="auto"/>
          <w:spacing w:val="-4"/>
          <w:sz w:val="24"/>
          <w:szCs w:val="24"/>
          <w:highlight w:val="none"/>
        </w:rPr>
        <w:t>安全防护</w:t>
      </w:r>
    </w:p>
    <w:p>
      <w:pPr>
        <w:spacing w:before="163" w:line="379" w:lineRule="auto"/>
        <w:ind w:left="5"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6.1.1 在工程施工、竣工、交付及修补任何缺陷的</w:t>
      </w:r>
      <w:r>
        <w:rPr>
          <w:rFonts w:ascii="宋体" w:hAnsi="宋体" w:eastAsia="宋体" w:cs="宋体"/>
          <w:color w:val="auto"/>
          <w:spacing w:val="1"/>
          <w:sz w:val="21"/>
          <w:szCs w:val="21"/>
          <w:highlight w:val="none"/>
        </w:rPr>
        <w:t>过程中，承包人应当始终遵守国家和地方</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有关安全生产的法律、法规、规范、标准和规程等，按照通用合同条款第 9.2 款的约定履行其安</w:t>
      </w:r>
    </w:p>
    <w:p>
      <w:pPr>
        <w:spacing w:line="222"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全施工职责。</w:t>
      </w:r>
    </w:p>
    <w:p>
      <w:pPr>
        <w:spacing w:before="177" w:line="378" w:lineRule="auto"/>
        <w:ind w:left="6" w:right="1"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6.1.2 承包人应坚持“安全第一，预防为主”的方</w:t>
      </w:r>
      <w:r>
        <w:rPr>
          <w:rFonts w:ascii="宋体" w:hAnsi="宋体" w:eastAsia="宋体" w:cs="宋体"/>
          <w:color w:val="auto"/>
          <w:spacing w:val="1"/>
          <w:sz w:val="21"/>
          <w:szCs w:val="21"/>
          <w:highlight w:val="none"/>
        </w:rPr>
        <w:t>针，建立、健全安全生产责任制度和安全</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生产教育培训制度。在整个工程施工期间，承包人应在施工场地（现场）设</w:t>
      </w:r>
      <w:r>
        <w:rPr>
          <w:rFonts w:ascii="宋体" w:hAnsi="宋体" w:eastAsia="宋体" w:cs="宋体"/>
          <w:color w:val="auto"/>
          <w:spacing w:val="1"/>
          <w:sz w:val="21"/>
          <w:szCs w:val="21"/>
          <w:highlight w:val="none"/>
        </w:rPr>
        <w:t>立、提供和维护并在</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有关工作完成或竣工后撤除：</w:t>
      </w:r>
    </w:p>
    <w:p>
      <w:pPr>
        <w:spacing w:before="171" w:line="420" w:lineRule="exact"/>
        <w:ind w:right="13"/>
        <w:jc w:val="right"/>
        <w:rPr>
          <w:rFonts w:ascii="宋体" w:hAnsi="宋体" w:eastAsia="宋体" w:cs="宋体"/>
          <w:color w:val="auto"/>
          <w:sz w:val="21"/>
          <w:szCs w:val="21"/>
          <w:highlight w:val="none"/>
        </w:rPr>
      </w:pPr>
      <w:r>
        <w:rPr>
          <w:rFonts w:ascii="宋体" w:hAnsi="宋体" w:eastAsia="宋体" w:cs="宋体"/>
          <w:color w:val="auto"/>
          <w:spacing w:val="4"/>
          <w:position w:val="15"/>
          <w:sz w:val="21"/>
          <w:szCs w:val="21"/>
          <w:highlight w:val="none"/>
        </w:rPr>
        <w:t>（1）设立在现场入口显著位置的现场施工总平面图、总平面管理、安全生产、文明施工、</w:t>
      </w:r>
    </w:p>
    <w:p>
      <w:pPr>
        <w:spacing w:before="1" w:line="219" w:lineRule="auto"/>
        <w:ind w:left="4"/>
        <w:rPr>
          <w:rFonts w:ascii="宋体" w:hAnsi="宋体" w:eastAsia="宋体" w:cs="宋体"/>
          <w:color w:val="auto"/>
          <w:sz w:val="21"/>
          <w:szCs w:val="21"/>
          <w:highlight w:val="none"/>
        </w:rPr>
      </w:pPr>
      <w:r>
        <w:rPr>
          <w:rFonts w:ascii="宋体" w:hAnsi="宋体" w:eastAsia="宋体" w:cs="宋体"/>
          <w:color w:val="auto"/>
          <w:sz w:val="21"/>
          <w:szCs w:val="21"/>
          <w:highlight w:val="none"/>
        </w:rPr>
        <w:t>环境保护、质量控制、材料管理等的规章制度和主要参建单位名称和工程概况等说明的图板；</w:t>
      </w:r>
    </w:p>
    <w:p>
      <w:pPr>
        <w:spacing w:before="156" w:line="401" w:lineRule="exact"/>
        <w:ind w:right="13"/>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（2）为确保工程安全施工须设立的足够的标志、宣传画、标语、指示牌、警告牌、火警、</w:t>
      </w:r>
    </w:p>
    <w:p>
      <w:pPr>
        <w:spacing w:line="220" w:lineRule="auto"/>
        <w:ind w:left="1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匪警和急救电话提示牌等等；</w:t>
      </w:r>
    </w:p>
    <w:p>
      <w:pPr>
        <w:spacing w:before="148" w:line="401" w:lineRule="exact"/>
        <w:ind w:right="13"/>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（3）洞口和临边位置的安全防护设施，包括护身栏杆、脚手架、洞口盖板和加筋、竖井防</w:t>
      </w:r>
    </w:p>
    <w:p>
      <w:pPr>
        <w:spacing w:before="1" w:line="220" w:lineRule="auto"/>
        <w:ind w:left="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护栏杆、防护棚、防护网、坡道等等；</w:t>
      </w:r>
    </w:p>
    <w:p>
      <w:pPr>
        <w:spacing w:before="150" w:line="398" w:lineRule="exact"/>
        <w:ind w:right="13"/>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（4）安全带、安全绳、安全帽、安全网、绝缘鞋、绝缘手套、防护口罩和防护衣等安全生</w:t>
      </w:r>
    </w:p>
    <w:p>
      <w:pPr>
        <w:spacing w:before="1" w:line="220" w:lineRule="auto"/>
        <w:ind w:left="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产用品；</w:t>
      </w:r>
    </w:p>
    <w:p>
      <w:pPr>
        <w:spacing w:before="149" w:line="220" w:lineRule="auto"/>
        <w:ind w:left="430"/>
        <w:rPr>
          <w:rFonts w:ascii="宋体" w:hAnsi="宋体" w:eastAsia="宋体" w:cs="宋体"/>
          <w:color w:val="auto"/>
          <w:sz w:val="21"/>
          <w:szCs w:val="21"/>
          <w:highlight w:val="none"/>
        </w:rPr>
      </w:pPr>
      <w:r>
        <w:rPr>
          <w:rFonts w:ascii="宋体" w:hAnsi="宋体" w:eastAsia="宋体" w:cs="宋体"/>
          <w:color w:val="auto"/>
          <w:sz w:val="21"/>
          <w:szCs w:val="21"/>
          <w:highlight w:val="none"/>
        </w:rPr>
        <w:t>（5）所有机械设备包括各类电动工具的安全保护</w:t>
      </w:r>
      <w:r>
        <w:rPr>
          <w:rFonts w:ascii="宋体" w:hAnsi="宋体" w:eastAsia="宋体" w:cs="宋体"/>
          <w:color w:val="auto"/>
          <w:spacing w:val="-1"/>
          <w:sz w:val="21"/>
          <w:szCs w:val="21"/>
          <w:highlight w:val="none"/>
        </w:rPr>
        <w:t>和接地装置和操作说明；</w:t>
      </w:r>
    </w:p>
    <w:p>
      <w:pPr>
        <w:spacing w:before="151" w:line="221" w:lineRule="auto"/>
        <w:ind w:left="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（6）装备良好的临时急救站和配备称职的医护人员；</w:t>
      </w:r>
    </w:p>
    <w:p>
      <w:pPr>
        <w:spacing w:before="147" w:line="401"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（7）主要作业场所和临时安全疏散通道</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1"/>
          <w:position w:val="14"/>
          <w:sz w:val="21"/>
          <w:szCs w:val="21"/>
          <w:highlight w:val="none"/>
        </w:rPr>
        <w:t>24</w:t>
      </w:r>
      <w:r>
        <w:rPr>
          <w:rFonts w:ascii="宋体" w:hAnsi="宋体" w:eastAsia="宋体" w:cs="宋体"/>
          <w:color w:val="auto"/>
          <w:spacing w:val="-45"/>
          <w:position w:val="14"/>
          <w:sz w:val="21"/>
          <w:szCs w:val="21"/>
          <w:highlight w:val="none"/>
        </w:rPr>
        <w:t xml:space="preserve"> </w:t>
      </w:r>
      <w:r>
        <w:rPr>
          <w:rFonts w:ascii="宋体" w:hAnsi="宋体" w:eastAsia="宋体" w:cs="宋体"/>
          <w:color w:val="auto"/>
          <w:spacing w:val="-1"/>
          <w:position w:val="14"/>
          <w:sz w:val="21"/>
          <w:szCs w:val="21"/>
          <w:highlight w:val="none"/>
        </w:rPr>
        <w:t>小时</w:t>
      </w:r>
      <w:r>
        <w:rPr>
          <w:rFonts w:ascii="宋体" w:hAnsi="宋体" w:eastAsia="宋体" w:cs="宋体"/>
          <w:color w:val="auto"/>
          <w:spacing w:val="-47"/>
          <w:position w:val="14"/>
          <w:sz w:val="21"/>
          <w:szCs w:val="21"/>
          <w:highlight w:val="none"/>
        </w:rPr>
        <w:t xml:space="preserve"> </w:t>
      </w:r>
      <w:r>
        <w:rPr>
          <w:rFonts w:ascii="宋体" w:hAnsi="宋体" w:eastAsia="宋体" w:cs="宋体"/>
          <w:color w:val="auto"/>
          <w:spacing w:val="-1"/>
          <w:position w:val="14"/>
          <w:sz w:val="21"/>
          <w:szCs w:val="21"/>
          <w:highlight w:val="none"/>
        </w:rPr>
        <w:t>36</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1"/>
          <w:position w:val="14"/>
          <w:sz w:val="21"/>
          <w:szCs w:val="21"/>
          <w:highlight w:val="none"/>
        </w:rPr>
        <w:t>伏安全照明和必要的警示等以</w:t>
      </w:r>
      <w:r>
        <w:rPr>
          <w:rFonts w:ascii="宋体" w:hAnsi="宋体" w:eastAsia="宋体" w:cs="宋体"/>
          <w:color w:val="auto"/>
          <w:spacing w:val="-2"/>
          <w:position w:val="14"/>
          <w:sz w:val="21"/>
          <w:szCs w:val="21"/>
          <w:highlight w:val="none"/>
        </w:rPr>
        <w:t>防止各种可</w:t>
      </w:r>
    </w:p>
    <w:p>
      <w:pPr>
        <w:spacing w:line="221" w:lineRule="auto"/>
        <w:ind w:left="1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能的事故；</w:t>
      </w:r>
    </w:p>
    <w:p>
      <w:pPr>
        <w:spacing w:before="149" w:line="221" w:lineRule="auto"/>
        <w:ind w:left="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（8）足够数量的和合格的手提灭火器；</w:t>
      </w:r>
    </w:p>
    <w:p>
      <w:pPr>
        <w:spacing w:before="148" w:line="219" w:lineRule="auto"/>
        <w:ind w:left="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（9）装备良好的易燃易爆物品仓库和相应的使用管理制度；</w:t>
      </w:r>
    </w:p>
    <w:p>
      <w:pPr>
        <w:spacing w:before="151" w:line="221" w:lineRule="auto"/>
        <w:ind w:left="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（10）对涉及明火施工的工作制定诸如用火证等</w:t>
      </w:r>
      <w:r>
        <w:rPr>
          <w:rFonts w:ascii="宋体" w:hAnsi="宋体" w:eastAsia="宋体" w:cs="宋体"/>
          <w:color w:val="auto"/>
          <w:spacing w:val="-2"/>
          <w:sz w:val="21"/>
          <w:szCs w:val="21"/>
          <w:highlight w:val="none"/>
        </w:rPr>
        <w:t>的管理制度；</w:t>
      </w:r>
    </w:p>
    <w:p>
      <w:pPr>
        <w:spacing w:before="150" w:line="221" w:lineRule="auto"/>
        <w:ind w:left="430"/>
        <w:rPr>
          <w:rFonts w:ascii="宋体" w:hAnsi="宋体" w:eastAsia="宋体" w:cs="宋体"/>
          <w:color w:val="auto"/>
          <w:sz w:val="21"/>
          <w:szCs w:val="21"/>
          <w:highlight w:val="none"/>
        </w:rPr>
      </w:pPr>
      <w:r>
        <w:rPr>
          <w:rFonts w:ascii="宋体" w:hAnsi="宋体" w:eastAsia="宋体" w:cs="宋体"/>
          <w:color w:val="auto"/>
          <w:sz w:val="21"/>
          <w:szCs w:val="21"/>
          <w:highlight w:val="none"/>
        </w:rPr>
        <w:t>（11）其他：</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line="221" w:lineRule="auto"/>
        <w:rPr>
          <w:rFonts w:ascii="宋体" w:hAnsi="宋体" w:eastAsia="宋体" w:cs="宋体"/>
          <w:color w:val="auto"/>
          <w:sz w:val="21"/>
          <w:szCs w:val="21"/>
          <w:highlight w:val="none"/>
        </w:rPr>
        <w:sectPr>
          <w:footerReference r:id="rId111" w:type="default"/>
          <w:pgSz w:w="11907" w:h="16841"/>
          <w:pgMar w:top="400" w:right="1524" w:bottom="1143" w:left="1477" w:header="0" w:footer="969" w:gutter="0"/>
          <w:pgNumType w:fmt="numberInDash"/>
          <w:cols w:space="720" w:num="1"/>
        </w:sectPr>
      </w:pPr>
    </w:p>
    <w:p>
      <w:pPr>
        <w:pStyle w:val="2"/>
        <w:spacing w:line="272" w:lineRule="auto"/>
        <w:rPr>
          <w:color w:val="auto"/>
          <w:highlight w:val="none"/>
        </w:rPr>
      </w:pPr>
    </w:p>
    <w:p>
      <w:pPr>
        <w:pStyle w:val="2"/>
        <w:spacing w:line="272" w:lineRule="auto"/>
        <w:rPr>
          <w:color w:val="auto"/>
          <w:highlight w:val="none"/>
        </w:rPr>
      </w:pPr>
    </w:p>
    <w:p>
      <w:pPr>
        <w:pStyle w:val="2"/>
        <w:spacing w:line="273" w:lineRule="auto"/>
        <w:rPr>
          <w:color w:val="auto"/>
          <w:highlight w:val="none"/>
        </w:rPr>
      </w:pPr>
    </w:p>
    <w:p>
      <w:pPr>
        <w:pStyle w:val="2"/>
        <w:spacing w:line="273" w:lineRule="auto"/>
        <w:rPr>
          <w:color w:val="auto"/>
          <w:highlight w:val="none"/>
        </w:rPr>
      </w:pPr>
    </w:p>
    <w:p>
      <w:pPr>
        <w:pStyle w:val="2"/>
        <w:spacing w:line="273" w:lineRule="auto"/>
        <w:rPr>
          <w:color w:val="auto"/>
          <w:highlight w:val="none"/>
        </w:rPr>
      </w:pPr>
    </w:p>
    <w:p>
      <w:pPr>
        <w:spacing w:before="68" w:line="401" w:lineRule="exact"/>
        <w:ind w:left="422"/>
        <w:rPr>
          <w:rFonts w:ascii="宋体" w:hAnsi="宋体" w:eastAsia="宋体" w:cs="宋体"/>
          <w:color w:val="auto"/>
          <w:sz w:val="21"/>
          <w:szCs w:val="21"/>
          <w:highlight w:val="none"/>
        </w:rPr>
      </w:pPr>
      <w:bookmarkStart w:id="380" w:name="bookmark421"/>
      <w:bookmarkEnd w:id="380"/>
      <w:bookmarkStart w:id="381" w:name="bookmark422"/>
      <w:bookmarkEnd w:id="381"/>
      <w:bookmarkStart w:id="382" w:name="bookmark420"/>
      <w:bookmarkEnd w:id="382"/>
      <w:bookmarkStart w:id="383" w:name="bookmark423"/>
      <w:bookmarkEnd w:id="383"/>
      <w:bookmarkStart w:id="384" w:name="bookmark424"/>
      <w:bookmarkEnd w:id="384"/>
      <w:r>
        <w:rPr>
          <w:rFonts w:ascii="宋体" w:hAnsi="宋体" w:eastAsia="宋体" w:cs="宋体"/>
          <w:color w:val="auto"/>
          <w:spacing w:val="-1"/>
          <w:position w:val="14"/>
          <w:sz w:val="21"/>
          <w:szCs w:val="21"/>
          <w:highlight w:val="none"/>
        </w:rPr>
        <w:t>6.1.3 安全文明施工费用必须专款专用， 承包人应对其由于安全文明施工费用和施工安全措</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施不到位而发生的安全事故承担全部责任。</w:t>
      </w:r>
    </w:p>
    <w:p>
      <w:pPr>
        <w:spacing w:before="147" w:line="352" w:lineRule="auto"/>
        <w:ind w:right="182"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6.1.4 承包人应建立专门的施工场地（现场）安全生产管理机构， 配备足够数量的和符合有</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关规定的专职安全生产管理人员， 负责日常安全生产巡查和专项检查，召集和主持现场全体人员</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参加的安全生产例会（每周至少一次</w:t>
      </w:r>
      <w:r>
        <w:rPr>
          <w:rFonts w:ascii="宋体" w:hAnsi="宋体" w:eastAsia="宋体" w:cs="宋体"/>
          <w:color w:val="auto"/>
          <w:spacing w:val="-37"/>
          <w:sz w:val="21"/>
          <w:szCs w:val="21"/>
          <w:highlight w:val="none"/>
        </w:rPr>
        <w:t>），</w:t>
      </w:r>
      <w:r>
        <w:rPr>
          <w:rFonts w:ascii="宋体" w:hAnsi="宋体" w:eastAsia="宋体" w:cs="宋体"/>
          <w:color w:val="auto"/>
          <w:spacing w:val="4"/>
          <w:sz w:val="21"/>
          <w:szCs w:val="21"/>
          <w:highlight w:val="none"/>
        </w:rPr>
        <w:t>负责安全技术</w:t>
      </w:r>
      <w:r>
        <w:rPr>
          <w:rFonts w:ascii="宋体" w:hAnsi="宋体" w:eastAsia="宋体" w:cs="宋体"/>
          <w:color w:val="auto"/>
          <w:spacing w:val="3"/>
          <w:sz w:val="21"/>
          <w:szCs w:val="21"/>
          <w:highlight w:val="none"/>
        </w:rPr>
        <w:t>交底和技术方案的安全把关，负责制定或</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审核安全隐患的整改措施并监督落实，负责安全资料的整理和管理，</w:t>
      </w:r>
      <w:r>
        <w:rPr>
          <w:rFonts w:ascii="宋体" w:hAnsi="宋体" w:eastAsia="宋体" w:cs="宋体"/>
          <w:color w:val="auto"/>
          <w:spacing w:val="1"/>
          <w:sz w:val="21"/>
          <w:szCs w:val="21"/>
          <w:highlight w:val="none"/>
        </w:rPr>
        <w:t>及时消除安全隐患，做好安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全检查记录，确保所有的安全设施都处于良好的运转状态。承包人项</w:t>
      </w:r>
      <w:r>
        <w:rPr>
          <w:rFonts w:ascii="宋体" w:hAnsi="宋体" w:eastAsia="宋体" w:cs="宋体"/>
          <w:color w:val="auto"/>
          <w:spacing w:val="1"/>
          <w:sz w:val="21"/>
          <w:szCs w:val="21"/>
          <w:highlight w:val="none"/>
        </w:rPr>
        <w:t>目经理和专职安全生产管理</w:t>
      </w:r>
    </w:p>
    <w:p>
      <w:pPr>
        <w:spacing w:line="219" w:lineRule="auto"/>
        <w:ind w:left="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人员均应当具备有效的安全生产考核合格证书。</w:t>
      </w:r>
    </w:p>
    <w:p>
      <w:pPr>
        <w:spacing w:before="152" w:line="351" w:lineRule="auto"/>
        <w:ind w:right="182"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6.1.5 承包人应遵照有关法规要求， 编印安全防护手册发给进场施工人员，做好进场施工人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员上岗前的安全教育和培训工作， 并建立考核制度， 只有考核合格</w:t>
      </w:r>
      <w:r>
        <w:rPr>
          <w:rFonts w:ascii="宋体" w:hAnsi="宋体" w:eastAsia="宋体" w:cs="宋体"/>
          <w:color w:val="auto"/>
          <w:spacing w:val="-4"/>
          <w:sz w:val="21"/>
          <w:szCs w:val="21"/>
          <w:highlight w:val="none"/>
        </w:rPr>
        <w:t>的人员才能进场施工作业。特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种作业人员还应经过专门的安全作业培训，并取得特种作业操作资格</w:t>
      </w:r>
      <w:r>
        <w:rPr>
          <w:rFonts w:ascii="宋体" w:hAnsi="宋体" w:eastAsia="宋体" w:cs="宋体"/>
          <w:color w:val="auto"/>
          <w:spacing w:val="1"/>
          <w:sz w:val="21"/>
          <w:szCs w:val="21"/>
          <w:highlight w:val="none"/>
        </w:rPr>
        <w:t>证书后方可上岗。在任何分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部分项工程开始施工前，承包人应当就有关安全施工的技术要求向施</w:t>
      </w:r>
      <w:r>
        <w:rPr>
          <w:rFonts w:ascii="宋体" w:hAnsi="宋体" w:eastAsia="宋体" w:cs="宋体"/>
          <w:color w:val="auto"/>
          <w:spacing w:val="1"/>
          <w:sz w:val="21"/>
          <w:szCs w:val="21"/>
          <w:highlight w:val="none"/>
        </w:rPr>
        <w:t>工作业班组和作业人员等进</w:t>
      </w:r>
    </w:p>
    <w:p>
      <w:pPr>
        <w:spacing w:before="1" w:line="220"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行安全交底，并由双方签字确认。</w:t>
      </w:r>
    </w:p>
    <w:p>
      <w:pPr>
        <w:spacing w:before="117" w:line="284" w:lineRule="auto"/>
        <w:ind w:left="1" w:right="185"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6.1.6 承包人应为其进场施工人员配备必需的安全</w:t>
      </w:r>
      <w:r>
        <w:rPr>
          <w:rFonts w:ascii="宋体" w:hAnsi="宋体" w:eastAsia="宋体" w:cs="宋体"/>
          <w:color w:val="auto"/>
          <w:spacing w:val="1"/>
          <w:sz w:val="21"/>
          <w:szCs w:val="21"/>
          <w:highlight w:val="none"/>
        </w:rPr>
        <w:t>防护设施和设备，承包人还应为施工场地</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（现场）邻近地区的所有者和占有者、公众和其他人员，提供一切必要的临时道路、人行道、防</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护棚、围栏及警告等，以确保财产和人身安全以及最大程度地降低施工可能造成的不</w:t>
      </w:r>
      <w:r>
        <w:rPr>
          <w:rFonts w:ascii="宋体" w:hAnsi="宋体" w:eastAsia="宋体" w:cs="宋体"/>
          <w:color w:val="auto"/>
          <w:spacing w:val="-1"/>
          <w:sz w:val="21"/>
          <w:szCs w:val="21"/>
          <w:highlight w:val="none"/>
        </w:rPr>
        <w:t>便。</w:t>
      </w:r>
    </w:p>
    <w:p>
      <w:pPr>
        <w:spacing w:before="113" w:line="297" w:lineRule="auto"/>
        <w:ind w:right="182"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6.1.7 承包人应在施工场地（现场）入口处、施工起重</w:t>
      </w:r>
      <w:r>
        <w:rPr>
          <w:rFonts w:ascii="宋体" w:hAnsi="宋体" w:eastAsia="宋体" w:cs="宋体"/>
          <w:color w:val="auto"/>
          <w:spacing w:val="1"/>
          <w:sz w:val="21"/>
          <w:szCs w:val="21"/>
          <w:highlight w:val="none"/>
        </w:rPr>
        <w:t>机械、临时用电设施、脚手架、出入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通道口、楼梯口、电梯井口、孔洞口、隧道口、基坑边沿、危险品存</w:t>
      </w:r>
      <w:r>
        <w:rPr>
          <w:rFonts w:ascii="宋体" w:hAnsi="宋体" w:eastAsia="宋体" w:cs="宋体"/>
          <w:color w:val="auto"/>
          <w:spacing w:val="1"/>
          <w:sz w:val="21"/>
          <w:szCs w:val="21"/>
          <w:highlight w:val="none"/>
        </w:rPr>
        <w:t>放处等危险部位设置一切必</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需的安全警示标志，包括但不限于标准道路标志、报警标志、危险标志、控制标志、安全标志、</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指示标志、警告标志等，并配备必要的照明、防护和看守。承包人应</w:t>
      </w:r>
      <w:r>
        <w:rPr>
          <w:rFonts w:ascii="宋体" w:hAnsi="宋体" w:eastAsia="宋体" w:cs="宋体"/>
          <w:color w:val="auto"/>
          <w:spacing w:val="1"/>
          <w:sz w:val="21"/>
          <w:szCs w:val="21"/>
          <w:highlight w:val="none"/>
        </w:rPr>
        <w:t>当按监理人的指示，经常补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充或更换失效的警示和标志。</w:t>
      </w:r>
    </w:p>
    <w:p>
      <w:pPr>
        <w:spacing w:before="106" w:line="293" w:lineRule="auto"/>
        <w:ind w:left="2" w:right="182"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6.1.8 承包人应对施工场地（现场）内由其提供并安装</w:t>
      </w:r>
      <w:r>
        <w:rPr>
          <w:rFonts w:ascii="宋体" w:hAnsi="宋体" w:eastAsia="宋体" w:cs="宋体"/>
          <w:color w:val="auto"/>
          <w:spacing w:val="1"/>
          <w:sz w:val="21"/>
          <w:szCs w:val="21"/>
          <w:highlight w:val="none"/>
        </w:rPr>
        <w:t>的所有提升架、外用电梯和塔吊等垂</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直和水平运输机械进行安全围护， 包括卸料平台门的安全开关、警示铃和警示灯，卸料平台的护</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身栏杆， 脚手架和安全网等等；所有的机械设备应设置安全操作防护罩， 并在醒</w:t>
      </w:r>
      <w:r>
        <w:rPr>
          <w:rFonts w:ascii="宋体" w:hAnsi="宋体" w:eastAsia="宋体" w:cs="宋体"/>
          <w:color w:val="auto"/>
          <w:spacing w:val="-4"/>
          <w:sz w:val="21"/>
          <w:szCs w:val="21"/>
          <w:highlight w:val="none"/>
        </w:rPr>
        <w:t>目位置张挂详细</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的安全操作要点等。</w:t>
      </w:r>
    </w:p>
    <w:p>
      <w:pPr>
        <w:spacing w:before="107" w:line="293" w:lineRule="auto"/>
        <w:ind w:left="1" w:right="5"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6.1.9 承包人应对所有用于提升的挂钩、挂环、钢丝绳、铁扁担等进行定期检测、检查和标  </w:t>
      </w:r>
      <w:r>
        <w:rPr>
          <w:rFonts w:ascii="宋体" w:hAnsi="宋体" w:eastAsia="宋体" w:cs="宋体"/>
          <w:color w:val="auto"/>
          <w:spacing w:val="-3"/>
          <w:sz w:val="21"/>
          <w:szCs w:val="21"/>
          <w:highlight w:val="none"/>
        </w:rPr>
        <w:t>定；如果监理人认为， 任何此类设施已经损坏或有使用不当之处， 承包</w:t>
      </w:r>
      <w:r>
        <w:rPr>
          <w:rFonts w:ascii="宋体" w:hAnsi="宋体" w:eastAsia="宋体" w:cs="宋体"/>
          <w:color w:val="auto"/>
          <w:spacing w:val="-4"/>
          <w:sz w:val="21"/>
          <w:szCs w:val="21"/>
          <w:highlight w:val="none"/>
        </w:rPr>
        <w:t xml:space="preserve">人应立即以合格的产品进  </w:t>
      </w:r>
      <w:r>
        <w:rPr>
          <w:rFonts w:ascii="宋体" w:hAnsi="宋体" w:eastAsia="宋体" w:cs="宋体"/>
          <w:color w:val="auto"/>
          <w:spacing w:val="-1"/>
          <w:sz w:val="21"/>
          <w:szCs w:val="21"/>
          <w:highlight w:val="none"/>
        </w:rPr>
        <w:t>行更换； 所有垂直和水平运输机械的搭设、顶升</w:t>
      </w:r>
      <w:r>
        <w:rPr>
          <w:rFonts w:ascii="宋体" w:hAnsi="宋体" w:eastAsia="宋体" w:cs="宋体"/>
          <w:color w:val="auto"/>
          <w:spacing w:val="-2"/>
          <w:sz w:val="21"/>
          <w:szCs w:val="21"/>
          <w:highlight w:val="none"/>
        </w:rPr>
        <w:t>、使用和拆除必须严格依照现行有关法规、规章、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规范、标准和规程等的要求。</w:t>
      </w:r>
    </w:p>
    <w:p>
      <w:pPr>
        <w:spacing w:before="108" w:line="285" w:lineRule="auto"/>
        <w:ind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6.1.10 所有机械和工器具应定期保养、校核和维护，以保</w:t>
      </w:r>
      <w:r>
        <w:rPr>
          <w:rFonts w:ascii="宋体" w:hAnsi="宋体" w:eastAsia="宋体" w:cs="宋体"/>
          <w:color w:val="auto"/>
          <w:spacing w:val="-2"/>
          <w:sz w:val="21"/>
          <w:szCs w:val="21"/>
          <w:highlight w:val="none"/>
        </w:rPr>
        <w:t>证它们处于良好和安全的工作状态。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保养、校核和维护工作应尽可能安排在非工作时</w:t>
      </w:r>
      <w:r>
        <w:rPr>
          <w:rFonts w:ascii="宋体" w:hAnsi="宋体" w:eastAsia="宋体" w:cs="宋体"/>
          <w:color w:val="auto"/>
          <w:spacing w:val="1"/>
          <w:sz w:val="21"/>
          <w:szCs w:val="21"/>
          <w:highlight w:val="none"/>
        </w:rPr>
        <w:t xml:space="preserve">间进行，并为上述机械和工器具准备足够的备用  </w:t>
      </w:r>
      <w:r>
        <w:rPr>
          <w:rFonts w:ascii="宋体" w:hAnsi="宋体" w:eastAsia="宋体" w:cs="宋体"/>
          <w:color w:val="auto"/>
          <w:spacing w:val="-7"/>
          <w:sz w:val="21"/>
          <w:szCs w:val="21"/>
          <w:highlight w:val="none"/>
        </w:rPr>
        <w:t>配件，</w:t>
      </w:r>
      <w:r>
        <w:rPr>
          <w:rFonts w:ascii="宋体" w:hAnsi="宋体" w:eastAsia="宋体" w:cs="宋体"/>
          <w:color w:val="auto"/>
          <w:spacing w:val="25"/>
          <w:sz w:val="21"/>
          <w:szCs w:val="21"/>
          <w:highlight w:val="none"/>
        </w:rPr>
        <w:t xml:space="preserve"> </w:t>
      </w:r>
      <w:r>
        <w:rPr>
          <w:rFonts w:ascii="宋体" w:hAnsi="宋体" w:eastAsia="宋体" w:cs="宋体"/>
          <w:color w:val="auto"/>
          <w:spacing w:val="-7"/>
          <w:sz w:val="21"/>
          <w:szCs w:val="21"/>
          <w:highlight w:val="none"/>
        </w:rPr>
        <w:t>以确保工程的施工能不间断地进行。</w:t>
      </w:r>
    </w:p>
    <w:p>
      <w:pPr>
        <w:spacing w:before="108" w:line="285" w:lineRule="auto"/>
        <w:ind w:left="5" w:right="177" w:firstLine="416"/>
        <w:rPr>
          <w:rFonts w:ascii="宋体" w:hAnsi="宋体" w:eastAsia="宋体" w:cs="宋体"/>
          <w:color w:val="auto"/>
          <w:sz w:val="21"/>
          <w:szCs w:val="21"/>
          <w:highlight w:val="none"/>
        </w:rPr>
      </w:pPr>
      <w:r>
        <w:rPr>
          <w:rFonts w:ascii="宋体" w:hAnsi="宋体" w:eastAsia="宋体" w:cs="宋体"/>
          <w:color w:val="auto"/>
          <w:sz w:val="21"/>
          <w:szCs w:val="21"/>
          <w:highlight w:val="none"/>
        </w:rPr>
        <w:t>6.1.11</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在永久工程和施工边坡、建筑物基坑、地下洞室等的开挖过程</w:t>
      </w:r>
      <w:r>
        <w:rPr>
          <w:rFonts w:ascii="宋体" w:hAnsi="宋体" w:eastAsia="宋体" w:cs="宋体"/>
          <w:color w:val="auto"/>
          <w:spacing w:val="-1"/>
          <w:sz w:val="21"/>
          <w:szCs w:val="21"/>
          <w:highlight w:val="none"/>
        </w:rPr>
        <w:t>中，应根据其施工安全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的需要和（或）监理人指示，安装必要的施工安全监测仪器，及时进行必要的施工安全监测，并</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rPr>
        <w:t>定期将安全监测成果提交监理人，以防止引起</w:t>
      </w:r>
      <w:r>
        <w:rPr>
          <w:rFonts w:ascii="宋体" w:hAnsi="宋体" w:eastAsia="宋体" w:cs="宋体"/>
          <w:color w:val="auto"/>
          <w:spacing w:val="-1"/>
          <w:sz w:val="21"/>
          <w:szCs w:val="21"/>
          <w:highlight w:val="none"/>
        </w:rPr>
        <w:t>任何沉降、变形或其他影响正常施工进度的损害。</w:t>
      </w:r>
    </w:p>
    <w:p>
      <w:pPr>
        <w:spacing w:before="108" w:line="221"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6.1.12 承包人应对任何施工中的永久工程进行必要的支撑或临时加固。除非承包人已获得监</w:t>
      </w:r>
    </w:p>
    <w:p>
      <w:pPr>
        <w:spacing w:line="221" w:lineRule="auto"/>
        <w:rPr>
          <w:rFonts w:ascii="宋体" w:hAnsi="宋体" w:eastAsia="宋体" w:cs="宋体"/>
          <w:color w:val="auto"/>
          <w:sz w:val="21"/>
          <w:szCs w:val="21"/>
          <w:highlight w:val="none"/>
        </w:rPr>
        <w:sectPr>
          <w:footerReference r:id="rId112" w:type="default"/>
          <w:pgSz w:w="11907" w:h="16841"/>
          <w:pgMar w:top="400" w:right="1347" w:bottom="1143" w:left="1481"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68" w:line="285" w:lineRule="auto"/>
        <w:ind w:left="1" w:right="177" w:firstLine="2"/>
        <w:jc w:val="both"/>
        <w:rPr>
          <w:rFonts w:ascii="宋体" w:hAnsi="宋体" w:eastAsia="宋体" w:cs="宋体"/>
          <w:color w:val="auto"/>
          <w:sz w:val="21"/>
          <w:szCs w:val="21"/>
          <w:highlight w:val="none"/>
        </w:rPr>
      </w:pPr>
      <w:bookmarkStart w:id="385" w:name="bookmark425"/>
      <w:bookmarkEnd w:id="385"/>
      <w:r>
        <w:rPr>
          <w:rFonts w:ascii="宋体" w:hAnsi="宋体" w:eastAsia="宋体" w:cs="宋体"/>
          <w:color w:val="auto"/>
          <w:spacing w:val="2"/>
          <w:sz w:val="21"/>
          <w:szCs w:val="21"/>
          <w:highlight w:val="none"/>
        </w:rPr>
        <w:t>理人书面许可并按要求进行了必要的加固或支撑，不允许承包人</w:t>
      </w:r>
      <w:r>
        <w:rPr>
          <w:rFonts w:ascii="宋体" w:hAnsi="宋体" w:eastAsia="宋体" w:cs="宋体"/>
          <w:color w:val="auto"/>
          <w:spacing w:val="1"/>
          <w:sz w:val="21"/>
          <w:szCs w:val="21"/>
          <w:highlight w:val="none"/>
        </w:rPr>
        <w:t>在任何已完成的永久性结构上堆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放超过设计允许荷载的任何材料、物品或设备。在任何情况下，承包</w:t>
      </w:r>
      <w:r>
        <w:rPr>
          <w:rFonts w:ascii="宋体" w:hAnsi="宋体" w:eastAsia="宋体" w:cs="宋体"/>
          <w:color w:val="auto"/>
          <w:spacing w:val="1"/>
          <w:sz w:val="21"/>
          <w:szCs w:val="21"/>
          <w:highlight w:val="none"/>
        </w:rPr>
        <w:t>人均应对其任何上述超载行</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为引起的后果负责， 并承担相应的修缮费用。</w:t>
      </w:r>
    </w:p>
    <w:p>
      <w:pPr>
        <w:spacing w:before="107" w:line="285" w:lineRule="auto"/>
        <w:ind w:left="1" w:firstLine="4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6.1.13 承包人应成立应急救援小组， 配备必要的应急救援器材和设备，</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 xml:space="preserve">制定灾害和生产安全  </w:t>
      </w:r>
      <w:r>
        <w:rPr>
          <w:rFonts w:ascii="宋体" w:hAnsi="宋体" w:eastAsia="宋体" w:cs="宋体"/>
          <w:color w:val="auto"/>
          <w:spacing w:val="-1"/>
          <w:sz w:val="21"/>
          <w:szCs w:val="21"/>
          <w:highlight w:val="none"/>
        </w:rPr>
        <w:t>事故的应急救援预案， 并将应急救援预案报送监理</w:t>
      </w:r>
      <w:r>
        <w:rPr>
          <w:rFonts w:ascii="宋体" w:hAnsi="宋体" w:eastAsia="宋体" w:cs="宋体"/>
          <w:color w:val="auto"/>
          <w:spacing w:val="-2"/>
          <w:sz w:val="21"/>
          <w:szCs w:val="21"/>
          <w:highlight w:val="none"/>
        </w:rPr>
        <w:t>人。应急救援预案应能随时组织应救专职人员、</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并定期组织演练。</w:t>
      </w:r>
    </w:p>
    <w:p>
      <w:pPr>
        <w:spacing w:before="109" w:line="219" w:lineRule="auto"/>
        <w:ind w:left="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6.1.14</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施工过程中需要使用爆破或带炸药的工具等危险性</w:t>
      </w:r>
      <w:r>
        <w:rPr>
          <w:rFonts w:ascii="宋体" w:hAnsi="宋体" w:eastAsia="宋体" w:cs="宋体"/>
          <w:color w:val="auto"/>
          <w:spacing w:val="-3"/>
          <w:sz w:val="21"/>
          <w:szCs w:val="21"/>
          <w:highlight w:val="none"/>
        </w:rPr>
        <w:t>施工方法时，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承包人应提前通</w:t>
      </w:r>
    </w:p>
    <w:p>
      <w:pPr>
        <w:spacing w:before="111" w:line="292" w:lineRule="auto"/>
        <w:ind w:left="1" w:right="177"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知监理人。经监理人批准后，承包人应依照有关法律、法规</w:t>
      </w:r>
      <w:r>
        <w:rPr>
          <w:rFonts w:ascii="宋体" w:hAnsi="宋体" w:eastAsia="宋体" w:cs="宋体"/>
          <w:color w:val="auto"/>
          <w:spacing w:val="1"/>
          <w:sz w:val="21"/>
          <w:szCs w:val="21"/>
          <w:highlight w:val="none"/>
        </w:rPr>
        <w:t>、规章以及政府有关主管机构制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定的规范性文件等的规定， 向有关机构提出申请并获得相关许可。承包人应严格依照上述规定使</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用、储藏、管理爆破物品或带炸药的工具等，并负责由于这类物品的</w:t>
      </w:r>
      <w:r>
        <w:rPr>
          <w:rFonts w:ascii="宋体" w:hAnsi="宋体" w:eastAsia="宋体" w:cs="宋体"/>
          <w:color w:val="auto"/>
          <w:spacing w:val="1"/>
          <w:sz w:val="21"/>
          <w:szCs w:val="21"/>
          <w:highlight w:val="none"/>
        </w:rPr>
        <w:t>使用可能引起的任何损失或</w:t>
      </w:r>
      <w:r>
        <w:rPr>
          <w:rFonts w:ascii="宋体" w:hAnsi="宋体" w:eastAsia="宋体" w:cs="宋体"/>
          <w:color w:val="auto"/>
          <w:sz w:val="21"/>
          <w:szCs w:val="21"/>
          <w:highlight w:val="none"/>
        </w:rPr>
        <w:t xml:space="preserve"> 损害的赔偿。任何情况下，承包人不得在已完永久性工程中和空心砌体中使用爆破方法。</w:t>
      </w:r>
    </w:p>
    <w:p>
      <w:pPr>
        <w:spacing w:before="112" w:line="284" w:lineRule="auto"/>
        <w:ind w:left="2" w:right="172"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6.1.15 基坑支护与降水工程、土方开挖工程、模板工程、起重吊装工程、脚手架工程、拆除</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工程和爆破工程等达到一定规模和危险性较大的分部分</w:t>
      </w:r>
      <w:r>
        <w:rPr>
          <w:rFonts w:ascii="宋体" w:hAnsi="宋体" w:eastAsia="宋体" w:cs="宋体"/>
          <w:color w:val="auto"/>
          <w:sz w:val="21"/>
          <w:szCs w:val="21"/>
          <w:highlight w:val="none"/>
        </w:rPr>
        <w:t xml:space="preserve">项工程，承包人应当编制专项施工方案， </w:t>
      </w:r>
      <w:r>
        <w:rPr>
          <w:rFonts w:ascii="宋体" w:hAnsi="宋体" w:eastAsia="宋体" w:cs="宋体"/>
          <w:color w:val="auto"/>
          <w:spacing w:val="-3"/>
          <w:sz w:val="21"/>
          <w:szCs w:val="21"/>
          <w:highlight w:val="none"/>
        </w:rPr>
        <w:t>其中深基坑、地下暗挖和高大模板工程的专项施工方案， 还应组织专家进行论证和审查。</w:t>
      </w:r>
    </w:p>
    <w:p>
      <w:pPr>
        <w:spacing w:before="112" w:line="300" w:lineRule="auto"/>
        <w:ind w:right="172" w:firstLine="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6.1.16</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承包人应按照通用合同条款第</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rPr>
        <w:t>9.5</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rPr>
        <w:t>款的约定处理本工程施工过程中发生的事故。发生</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施工安全事故后，承包人必须立即报告监理人和发包人，并在事故发生后</w:t>
      </w:r>
      <w:r>
        <w:rPr>
          <w:rFonts w:ascii="宋体" w:hAnsi="宋体" w:eastAsia="宋体" w:cs="宋体"/>
          <w:color w:val="auto"/>
          <w:spacing w:val="1"/>
          <w:sz w:val="21"/>
          <w:szCs w:val="21"/>
          <w:highlight w:val="none"/>
        </w:rPr>
        <w:t>一小时内向发包人提交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事故情况书面报告，并根据《生产安全事故报告和调查处理条例》的规定</w:t>
      </w:r>
      <w:r>
        <w:rPr>
          <w:rFonts w:ascii="宋体" w:hAnsi="宋体" w:eastAsia="宋体" w:cs="宋体"/>
          <w:color w:val="auto"/>
          <w:spacing w:val="1"/>
          <w:sz w:val="21"/>
          <w:szCs w:val="21"/>
          <w:highlight w:val="none"/>
        </w:rPr>
        <w:t>，及时向工程所在地县</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级以上地方人民政府安全生产监督管理部门和建设行政主管部门报告。情况紧急时， 事故现场有</w:t>
      </w:r>
      <w:r>
        <w:rPr>
          <w:rFonts w:ascii="宋体" w:hAnsi="宋体" w:eastAsia="宋体" w:cs="宋体"/>
          <w:color w:val="auto"/>
          <w:spacing w:val="12"/>
          <w:sz w:val="21"/>
          <w:szCs w:val="21"/>
          <w:highlight w:val="none"/>
        </w:rPr>
        <w:t xml:space="preserve"> </w:t>
      </w:r>
      <w:r>
        <w:rPr>
          <w:rFonts w:ascii="宋体" w:hAnsi="宋体" w:eastAsia="宋体" w:cs="宋体"/>
          <w:color w:val="auto"/>
          <w:spacing w:val="2"/>
          <w:sz w:val="21"/>
          <w:szCs w:val="21"/>
          <w:highlight w:val="none"/>
        </w:rPr>
        <w:t>关人员可以直接向工程所在地县级以上地方人民政府安全生产监督管理部</w:t>
      </w:r>
      <w:r>
        <w:rPr>
          <w:rFonts w:ascii="宋体" w:hAnsi="宋体" w:eastAsia="宋体" w:cs="宋体"/>
          <w:color w:val="auto"/>
          <w:spacing w:val="1"/>
          <w:sz w:val="21"/>
          <w:szCs w:val="21"/>
          <w:highlight w:val="none"/>
        </w:rPr>
        <w:t>门和建设行政主管部门</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报告。</w:t>
      </w:r>
    </w:p>
    <w:p>
      <w:pPr>
        <w:spacing w:before="110" w:line="285" w:lineRule="auto"/>
        <w:ind w:left="2" w:right="172"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6.1.17 承包人还应根据有关法律、法规、规定和条例等的要求，制定一套安全生产应急措施</w:t>
      </w:r>
      <w:r>
        <w:rPr>
          <w:rFonts w:ascii="宋体" w:hAnsi="宋体" w:eastAsia="宋体" w:cs="宋体"/>
          <w:color w:val="auto"/>
          <w:spacing w:val="15"/>
          <w:sz w:val="21"/>
          <w:szCs w:val="21"/>
          <w:highlight w:val="none"/>
        </w:rPr>
        <w:t xml:space="preserve"> </w:t>
      </w:r>
      <w:r>
        <w:rPr>
          <w:rFonts w:ascii="宋体" w:hAnsi="宋体" w:eastAsia="宋体" w:cs="宋体"/>
          <w:color w:val="auto"/>
          <w:spacing w:val="-5"/>
          <w:sz w:val="21"/>
          <w:szCs w:val="21"/>
          <w:highlight w:val="none"/>
        </w:rPr>
        <w:t>和程序， 保证一旦出现任何安全事故，能立即保护好现场</w:t>
      </w:r>
      <w:r>
        <w:rPr>
          <w:rFonts w:ascii="宋体" w:hAnsi="宋体" w:eastAsia="宋体" w:cs="宋体"/>
          <w:color w:val="auto"/>
          <w:spacing w:val="-6"/>
          <w:sz w:val="21"/>
          <w:szCs w:val="21"/>
          <w:highlight w:val="none"/>
        </w:rPr>
        <w:t>， 抢救伤员和财产， 保证施工生产的正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常进行，防止损失扩大。</w:t>
      </w:r>
    </w:p>
    <w:p>
      <w:pPr>
        <w:spacing w:before="108" w:line="221" w:lineRule="auto"/>
        <w:ind w:left="423"/>
        <w:rPr>
          <w:color w:val="auto"/>
          <w:highlight w:val="none"/>
        </w:rPr>
      </w:pPr>
      <w:r>
        <w:rPr>
          <w:rFonts w:ascii="宋体" w:hAnsi="宋体" w:eastAsia="宋体" w:cs="宋体"/>
          <w:color w:val="auto"/>
          <w:spacing w:val="-1"/>
          <w:sz w:val="21"/>
          <w:szCs w:val="21"/>
          <w:highlight w:val="none"/>
        </w:rPr>
        <w:t>6.1.18</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安全防护方面的其他要求如下：</w:t>
      </w:r>
    </w:p>
    <w:p>
      <w:pPr>
        <w:pStyle w:val="2"/>
        <w:spacing w:line="262" w:lineRule="auto"/>
        <w:rPr>
          <w:color w:val="auto"/>
          <w:highlight w:val="none"/>
        </w:rPr>
      </w:pPr>
    </w:p>
    <w:p>
      <w:pPr>
        <w:spacing w:before="68" w:line="46" w:lineRule="exact"/>
        <w:ind w:left="7372"/>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450850</wp:posOffset>
                </wp:positionH>
                <wp:positionV relativeFrom="paragraph">
                  <wp:posOffset>-43180</wp:posOffset>
                </wp:positionV>
                <wp:extent cx="4225290" cy="17907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225290" cy="179070"/>
                        </a:xfrm>
                        <a:prstGeom prst="rect">
                          <a:avLst/>
                        </a:prstGeom>
                        <a:noFill/>
                        <a:ln>
                          <a:noFill/>
                        </a:ln>
                      </wps:spPr>
                      <wps:txbx>
                        <w:txbxContent>
                          <w:p>
                            <w:pPr>
                              <w:pStyle w:val="2"/>
                              <w:tabs>
                                <w:tab w:val="left" w:pos="6632"/>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35.5pt;margin-top:-3.4pt;height:14.1pt;width:332.7pt;z-index:251674624;mso-width-relative:page;mso-height-relative:page;" filled="f" stroked="f" coordsize="21600,21600" o:gfxdata="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aAgMXYAAAACAEAAA8AAAAAAAAAAQAgAAAAIgAAAGRycy9kb3ducmV2LnhtbFBL&#10;AQIUABQAAAAIAIdO4kDCIrlEvQEAAHQDAAAOAAAAAAAAAAEAIAAAACcBAABkcnMvZTJvRG9jLnht&#10;bFBLBQYAAAAABgAGAFkBAABWBQAAAAA=&#10;">
                <v:fill on="f" focussize="0,0"/>
                <v:stroke on="f"/>
                <v:imagedata o:title=""/>
                <o:lock v:ext="edit" aspectratio="f"/>
                <v:textbox inset="0mm,0mm,0mm,0mm">
                  <w:txbxContent>
                    <w:p>
                      <w:pPr>
                        <w:pStyle w:val="2"/>
                        <w:tabs>
                          <w:tab w:val="left" w:pos="6632"/>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before="252" w:line="218" w:lineRule="auto"/>
        <w:ind w:left="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6.2</w:t>
      </w:r>
      <w:r>
        <w:rPr>
          <w:rFonts w:ascii="黑体" w:hAnsi="黑体" w:eastAsia="黑体" w:cs="黑体"/>
          <w:color w:val="auto"/>
          <w:spacing w:val="-44"/>
          <w:sz w:val="24"/>
          <w:szCs w:val="24"/>
          <w:highlight w:val="none"/>
        </w:rPr>
        <w:t xml:space="preserve"> </w:t>
      </w:r>
      <w:r>
        <w:rPr>
          <w:rFonts w:ascii="黑体" w:hAnsi="黑体" w:eastAsia="黑体" w:cs="黑体"/>
          <w:color w:val="auto"/>
          <w:spacing w:val="-3"/>
          <w:sz w:val="24"/>
          <w:szCs w:val="24"/>
          <w:highlight w:val="none"/>
        </w:rPr>
        <w:t>临时消防</w:t>
      </w:r>
    </w:p>
    <w:p>
      <w:pPr>
        <w:spacing w:before="174" w:line="268" w:lineRule="auto"/>
        <w:ind w:left="1" w:right="180"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6.2.1 承包人应建立消防安全责任制度， 制定用火、用电和使用易燃易爆等危险品的消防安</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全管理制度和操作规程。各项制度和规程等应满足相关法律法规和政府消防管理部门的要求。</w:t>
      </w:r>
    </w:p>
    <w:p>
      <w:pPr>
        <w:spacing w:before="107" w:line="303" w:lineRule="auto"/>
        <w:ind w:left="1" w:right="176"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6.2.2 承包人应根据相关法律法规和消防管理部门</w:t>
      </w:r>
      <w:r>
        <w:rPr>
          <w:rFonts w:ascii="宋体" w:hAnsi="宋体" w:eastAsia="宋体" w:cs="宋体"/>
          <w:color w:val="auto"/>
          <w:spacing w:val="1"/>
          <w:sz w:val="21"/>
          <w:szCs w:val="21"/>
          <w:highlight w:val="none"/>
        </w:rPr>
        <w:t>的要求，为施工中的永久工程和所有临时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工程提供必要的临时消防和紧急疏散设施，包括提供并维持畅通的消</w:t>
      </w:r>
      <w:r>
        <w:rPr>
          <w:rFonts w:ascii="宋体" w:hAnsi="宋体" w:eastAsia="宋体" w:cs="宋体"/>
          <w:color w:val="auto"/>
          <w:spacing w:val="1"/>
          <w:sz w:val="21"/>
          <w:szCs w:val="21"/>
          <w:highlight w:val="none"/>
        </w:rPr>
        <w:t>防通道、临时消火栓、灭火</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器、水龙带、灭火桶、灭火铲、灭火斧、消防水管、阀门、检查井、</w:t>
      </w:r>
      <w:r>
        <w:rPr>
          <w:rFonts w:ascii="宋体" w:hAnsi="宋体" w:eastAsia="宋体" w:cs="宋体"/>
          <w:color w:val="auto"/>
          <w:spacing w:val="1"/>
          <w:sz w:val="21"/>
          <w:szCs w:val="21"/>
          <w:highlight w:val="none"/>
        </w:rPr>
        <w:t>临时消防水箱、泵房和紧随</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工作面的临时疏散楼梯或疏散设施，消防设施的设立和消防设备的型</w:t>
      </w:r>
      <w:r>
        <w:rPr>
          <w:rFonts w:ascii="宋体" w:hAnsi="宋体" w:eastAsia="宋体" w:cs="宋体"/>
          <w:color w:val="auto"/>
          <w:spacing w:val="1"/>
          <w:sz w:val="21"/>
          <w:szCs w:val="21"/>
          <w:highlight w:val="none"/>
        </w:rPr>
        <w:t>号和功率应满足消防任务的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需要，始终保持能够随时投入正常使用的状态， 并设立明显标志。承包人的临时消防系统和配置</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应分别经过监理人和消防管理部门的审批和验收；承包人还应自费获</w:t>
      </w:r>
      <w:r>
        <w:rPr>
          <w:rFonts w:ascii="宋体" w:hAnsi="宋体" w:eastAsia="宋体" w:cs="宋体"/>
          <w:color w:val="auto"/>
          <w:spacing w:val="1"/>
          <w:sz w:val="21"/>
          <w:szCs w:val="21"/>
          <w:highlight w:val="none"/>
        </w:rPr>
        <w:t>得消防管理部门的临时消防</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证书。所有的临时消防设施属于承包人所有，至工程实际竣工时且永久</w:t>
      </w:r>
      <w:r>
        <w:rPr>
          <w:rFonts w:ascii="宋体" w:hAnsi="宋体" w:eastAsia="宋体" w:cs="宋体"/>
          <w:color w:val="auto"/>
          <w:spacing w:val="1"/>
          <w:sz w:val="21"/>
          <w:szCs w:val="21"/>
          <w:highlight w:val="none"/>
        </w:rPr>
        <w:t>性消防系统投入使用后从</w:t>
      </w:r>
    </w:p>
    <w:p>
      <w:pPr>
        <w:spacing w:line="303" w:lineRule="auto"/>
        <w:rPr>
          <w:rFonts w:ascii="宋体" w:hAnsi="宋体" w:eastAsia="宋体" w:cs="宋体"/>
          <w:color w:val="auto"/>
          <w:sz w:val="21"/>
          <w:szCs w:val="21"/>
          <w:highlight w:val="none"/>
        </w:rPr>
        <w:sectPr>
          <w:footerReference r:id="rId113" w:type="default"/>
          <w:pgSz w:w="11907" w:h="16841"/>
          <w:pgMar w:top="400" w:right="1352" w:bottom="1143" w:left="1480"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spacing w:before="68" w:line="221" w:lineRule="auto"/>
        <w:ind w:left="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现场拆除。</w:t>
      </w:r>
    </w:p>
    <w:p>
      <w:pPr>
        <w:spacing w:before="109" w:line="285" w:lineRule="auto"/>
        <w:ind w:left="3" w:right="6" w:firstLine="42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6.2.3 承包人应当成立由项目主要负责人担任组长</w:t>
      </w:r>
      <w:r>
        <w:rPr>
          <w:rFonts w:ascii="宋体" w:hAnsi="宋体" w:eastAsia="宋体" w:cs="宋体"/>
          <w:color w:val="auto"/>
          <w:spacing w:val="1"/>
          <w:sz w:val="21"/>
          <w:szCs w:val="21"/>
          <w:highlight w:val="none"/>
        </w:rPr>
        <w:t>的临时消防组或消防队，宣传消防基本知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识和基本操作培训，组织消防演练，保证一旦发生火灾，能够组织</w:t>
      </w:r>
      <w:r>
        <w:rPr>
          <w:rFonts w:ascii="宋体" w:hAnsi="宋体" w:eastAsia="宋体" w:cs="宋体"/>
          <w:color w:val="auto"/>
          <w:spacing w:val="1"/>
          <w:sz w:val="21"/>
          <w:szCs w:val="21"/>
          <w:highlight w:val="none"/>
        </w:rPr>
        <w:t>有效的自救，保护生命和财产</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安全。</w:t>
      </w:r>
    </w:p>
    <w:p>
      <w:pPr>
        <w:spacing w:before="105" w:line="285" w:lineRule="auto"/>
        <w:ind w:left="5" w:right="4" w:firstLine="4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6.2.4 施工场地（现场）内的易燃、易爆物品应单独</w:t>
      </w:r>
      <w:r>
        <w:rPr>
          <w:rFonts w:ascii="宋体" w:hAnsi="宋体" w:eastAsia="宋体" w:cs="宋体"/>
          <w:color w:val="auto"/>
          <w:spacing w:val="1"/>
          <w:sz w:val="21"/>
          <w:szCs w:val="21"/>
          <w:highlight w:val="none"/>
        </w:rPr>
        <w:t>和安全地存放，设专人进行存放和领用</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管理。施工场地（现场）储有或正在使用易燃、易爆或可燃材料时</w:t>
      </w:r>
      <w:r>
        <w:rPr>
          <w:rFonts w:ascii="宋体" w:hAnsi="宋体" w:eastAsia="宋体" w:cs="宋体"/>
          <w:color w:val="auto"/>
          <w:spacing w:val="1"/>
          <w:sz w:val="21"/>
          <w:szCs w:val="21"/>
          <w:highlight w:val="none"/>
        </w:rPr>
        <w:t>或有明火施工的工序，应当实</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行严格的“用火证”管理制度。</w:t>
      </w:r>
    </w:p>
    <w:p>
      <w:pPr>
        <w:spacing w:before="108" w:line="221" w:lineRule="auto"/>
        <w:ind w:left="423"/>
        <w:rPr>
          <w:color w:val="auto"/>
          <w:highlight w:val="none"/>
        </w:rPr>
      </w:pPr>
      <w:r>
        <w:rPr>
          <w:rFonts w:ascii="宋体" w:hAnsi="宋体" w:eastAsia="宋体" w:cs="宋体"/>
          <w:color w:val="auto"/>
          <w:spacing w:val="-2"/>
          <w:sz w:val="21"/>
          <w:szCs w:val="21"/>
          <w:highlight w:val="none"/>
        </w:rPr>
        <w:t>6.2.5</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临时消防方面的其他要求如下：</w:t>
      </w:r>
    </w:p>
    <w:p>
      <w:pPr>
        <w:tabs>
          <w:tab w:val="left" w:pos="7342"/>
        </w:tabs>
        <w:spacing w:before="26" w:line="159" w:lineRule="auto"/>
        <w:ind w:left="73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229" w:line="220" w:lineRule="auto"/>
        <w:ind w:left="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6.3</w:t>
      </w:r>
      <w:r>
        <w:rPr>
          <w:rFonts w:ascii="黑体" w:hAnsi="黑体" w:eastAsia="黑体" w:cs="黑体"/>
          <w:color w:val="auto"/>
          <w:spacing w:val="-44"/>
          <w:sz w:val="24"/>
          <w:szCs w:val="24"/>
          <w:highlight w:val="none"/>
        </w:rPr>
        <w:t xml:space="preserve"> </w:t>
      </w:r>
      <w:r>
        <w:rPr>
          <w:rFonts w:ascii="黑体" w:hAnsi="黑体" w:eastAsia="黑体" w:cs="黑体"/>
          <w:color w:val="auto"/>
          <w:spacing w:val="-3"/>
          <w:sz w:val="24"/>
          <w:szCs w:val="24"/>
          <w:highlight w:val="none"/>
        </w:rPr>
        <w:t>临时供电</w:t>
      </w:r>
    </w:p>
    <w:p>
      <w:pPr>
        <w:spacing w:before="169" w:line="293" w:lineRule="auto"/>
        <w:ind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6.3.1</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承包人应当根据《施工现场临时用电安全技术规范》（JGJ</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46—2005）及其适用的修订</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版本的规定和施工要求编制施工临时用电方案。临时用电方案及其变更必须履行“编制、审核、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批准”程序。施工临时用电方案应当由电气工程技术人员组织编制，经</w:t>
      </w:r>
      <w:r>
        <w:rPr>
          <w:rFonts w:ascii="宋体" w:hAnsi="宋体" w:eastAsia="宋体" w:cs="宋体"/>
          <w:color w:val="auto"/>
          <w:spacing w:val="1"/>
          <w:sz w:val="21"/>
          <w:szCs w:val="21"/>
          <w:highlight w:val="none"/>
        </w:rPr>
        <w:t>企业技术负责人批准后实</w:t>
      </w:r>
      <w:r>
        <w:rPr>
          <w:rFonts w:ascii="宋体" w:hAnsi="宋体" w:eastAsia="宋体" w:cs="宋体"/>
          <w:color w:val="auto"/>
          <w:sz w:val="21"/>
          <w:szCs w:val="21"/>
          <w:highlight w:val="none"/>
        </w:rPr>
        <w:t xml:space="preserve"> 施，经编制、审核、批准部门和使用单位共同验收合格后方可投入使</w:t>
      </w:r>
      <w:r>
        <w:rPr>
          <w:rFonts w:ascii="宋体" w:hAnsi="宋体" w:eastAsia="宋体" w:cs="宋体"/>
          <w:color w:val="auto"/>
          <w:spacing w:val="-1"/>
          <w:sz w:val="21"/>
          <w:szCs w:val="21"/>
          <w:highlight w:val="none"/>
        </w:rPr>
        <w:t>用。</w:t>
      </w:r>
    </w:p>
    <w:p>
      <w:pPr>
        <w:spacing w:before="107" w:line="285" w:lineRule="auto"/>
        <w:ind w:left="13" w:right="6" w:firstLine="4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6.3.2 承包人应为施工场地（现场</w:t>
      </w:r>
      <w:r>
        <w:rPr>
          <w:rFonts w:ascii="宋体" w:hAnsi="宋体" w:eastAsia="宋体" w:cs="宋体"/>
          <w:color w:val="auto"/>
          <w:spacing w:val="-53"/>
          <w:w w:val="97"/>
          <w:sz w:val="21"/>
          <w:szCs w:val="21"/>
          <w:highlight w:val="none"/>
        </w:rPr>
        <w:t>），</w:t>
      </w:r>
      <w:r>
        <w:rPr>
          <w:rFonts w:ascii="宋体" w:hAnsi="宋体" w:eastAsia="宋体" w:cs="宋体"/>
          <w:color w:val="auto"/>
          <w:spacing w:val="-2"/>
          <w:sz w:val="21"/>
          <w:szCs w:val="21"/>
          <w:highlight w:val="none"/>
        </w:rPr>
        <w:t>包括</w:t>
      </w:r>
      <w:r>
        <w:rPr>
          <w:rFonts w:ascii="宋体" w:hAnsi="宋体" w:eastAsia="宋体" w:cs="宋体"/>
          <w:color w:val="auto"/>
          <w:spacing w:val="-3"/>
          <w:sz w:val="21"/>
          <w:szCs w:val="21"/>
          <w:highlight w:val="none"/>
        </w:rPr>
        <w:t>为工程楼层或者各区域，</w:t>
      </w:r>
      <w:r>
        <w:rPr>
          <w:rFonts w:ascii="宋体" w:hAnsi="宋体" w:eastAsia="宋体" w:cs="宋体"/>
          <w:color w:val="auto"/>
          <w:spacing w:val="-20"/>
          <w:sz w:val="21"/>
          <w:szCs w:val="21"/>
          <w:highlight w:val="none"/>
        </w:rPr>
        <w:t xml:space="preserve"> </w:t>
      </w:r>
      <w:r>
        <w:rPr>
          <w:rFonts w:ascii="宋体" w:hAnsi="宋体" w:eastAsia="宋体" w:cs="宋体"/>
          <w:color w:val="auto"/>
          <w:spacing w:val="-3"/>
          <w:sz w:val="21"/>
          <w:szCs w:val="21"/>
          <w:highlight w:val="none"/>
        </w:rPr>
        <w:t>提供、设立和维护必要的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临时电力供应系统，并保证电力供应系统始</w:t>
      </w:r>
      <w:r>
        <w:rPr>
          <w:rFonts w:ascii="宋体" w:hAnsi="宋体" w:eastAsia="宋体" w:cs="宋体"/>
          <w:color w:val="auto"/>
          <w:spacing w:val="1"/>
          <w:sz w:val="21"/>
          <w:szCs w:val="21"/>
          <w:highlight w:val="none"/>
        </w:rPr>
        <w:t>终处于满足供电管理部门要求和正常施工生产所要求</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的状态，并在工程实际竣工和相应永久系统投入使用后从现场拆除。</w:t>
      </w:r>
    </w:p>
    <w:p>
      <w:pPr>
        <w:spacing w:before="113" w:line="300" w:lineRule="auto"/>
        <w:ind w:right="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6.3.3 临时供电系统的电缆、电线、配电箱、控制</w:t>
      </w:r>
      <w:r>
        <w:rPr>
          <w:rFonts w:ascii="宋体" w:hAnsi="宋体" w:eastAsia="宋体" w:cs="宋体"/>
          <w:color w:val="auto"/>
          <w:spacing w:val="1"/>
          <w:sz w:val="21"/>
          <w:szCs w:val="21"/>
          <w:highlight w:val="none"/>
        </w:rPr>
        <w:t>柜、开关箱、漏电保护器等材料设备均应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当具有生产（制造）许可证、产品合格证并经过检验合</w:t>
      </w:r>
      <w:r>
        <w:rPr>
          <w:rFonts w:ascii="宋体" w:hAnsi="宋体" w:eastAsia="宋体" w:cs="宋体"/>
          <w:color w:val="auto"/>
          <w:spacing w:val="1"/>
          <w:sz w:val="21"/>
          <w:szCs w:val="21"/>
          <w:highlight w:val="none"/>
        </w:rPr>
        <w:t>格的产品。临时用电采用三相五线制、三</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级配电和两极漏电保护供电，三相四线制配电的电缆线路必须采用五芯电缆， 按规定设立零线和</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接地线。电缆和电线的铺设要符合安全用电标准要求，电缆线路应采用</w:t>
      </w:r>
      <w:r>
        <w:rPr>
          <w:rFonts w:ascii="宋体" w:hAnsi="宋体" w:eastAsia="宋体" w:cs="宋体"/>
          <w:color w:val="auto"/>
          <w:spacing w:val="1"/>
          <w:sz w:val="21"/>
          <w:szCs w:val="21"/>
          <w:highlight w:val="none"/>
        </w:rPr>
        <w:t>埋地或架空敷设，严禁地</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面明设， 并应避免机械损伤和介质腐蚀。埋地电缆路径应设方位标志。各种配电设备均设有防止</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漏电和防雨防水设施。</w:t>
      </w:r>
    </w:p>
    <w:p>
      <w:pPr>
        <w:spacing w:before="111" w:line="284" w:lineRule="auto"/>
        <w:ind w:left="5" w:right="17" w:firstLine="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6.3.4 承包人应在施工作业区、施工道路、临时设施、办公区和生活区设置足够的照明，地</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下工程照明系统的电压不得高于</w:t>
      </w:r>
      <w:r>
        <w:rPr>
          <w:rFonts w:ascii="宋体" w:hAnsi="宋体" w:eastAsia="宋体" w:cs="宋体"/>
          <w:color w:val="auto"/>
          <w:spacing w:val="-54"/>
          <w:sz w:val="21"/>
          <w:szCs w:val="21"/>
          <w:highlight w:val="none"/>
        </w:rPr>
        <w:t xml:space="preserve"> </w:t>
      </w:r>
      <w:r>
        <w:rPr>
          <w:rFonts w:ascii="宋体" w:hAnsi="宋体" w:eastAsia="宋体" w:cs="宋体"/>
          <w:color w:val="auto"/>
          <w:spacing w:val="-1"/>
          <w:sz w:val="21"/>
          <w:szCs w:val="21"/>
          <w:highlight w:val="none"/>
        </w:rPr>
        <w:t>36V，在潮湿和易触及带电体场所的照明供电电压不应大于</w:t>
      </w:r>
      <w:r>
        <w:rPr>
          <w:rFonts w:ascii="宋体" w:hAnsi="宋体" w:eastAsia="宋体" w:cs="宋体"/>
          <w:color w:val="auto"/>
          <w:spacing w:val="-53"/>
          <w:sz w:val="21"/>
          <w:szCs w:val="21"/>
          <w:highlight w:val="none"/>
        </w:rPr>
        <w:t xml:space="preserve"> </w:t>
      </w:r>
      <w:r>
        <w:rPr>
          <w:rFonts w:ascii="宋体" w:hAnsi="宋体" w:eastAsia="宋体" w:cs="宋体"/>
          <w:color w:val="auto"/>
          <w:spacing w:val="-1"/>
          <w:sz w:val="21"/>
          <w:szCs w:val="21"/>
          <w:highlight w:val="none"/>
        </w:rPr>
        <w:t>24V。</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不便于使用电器照明的工作面应采用特殊照明设施。</w:t>
      </w:r>
    </w:p>
    <w:p>
      <w:pPr>
        <w:spacing w:before="110" w:line="268" w:lineRule="auto"/>
        <w:ind w:right="8"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6.3.5 凡可能漏电伤人或易受雷击的电器及建筑物</w:t>
      </w:r>
      <w:r>
        <w:rPr>
          <w:rFonts w:ascii="宋体" w:hAnsi="宋体" w:eastAsia="宋体" w:cs="宋体"/>
          <w:color w:val="auto"/>
          <w:spacing w:val="1"/>
          <w:sz w:val="21"/>
          <w:szCs w:val="21"/>
          <w:highlight w:val="none"/>
        </w:rPr>
        <w:t>均应设置接地和避雷装置。承包人应负责</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避雷装置的采购、安装、管理和维修，并建立定期检查制度。</w:t>
      </w:r>
    </w:p>
    <w:p>
      <w:pPr>
        <w:spacing w:before="109" w:line="221" w:lineRule="auto"/>
        <w:ind w:left="423"/>
        <w:rPr>
          <w:rFonts w:hint="default" w:eastAsia="宋体"/>
          <w:color w:val="auto"/>
          <w:highlight w:val="none"/>
          <w:u w:val="single"/>
          <w:lang w:val="en-US" w:eastAsia="zh-CN"/>
        </w:rPr>
      </w:pPr>
      <w:r>
        <w:rPr>
          <w:rFonts w:ascii="宋体" w:hAnsi="宋体" w:eastAsia="宋体" w:cs="宋体"/>
          <w:color w:val="auto"/>
          <w:spacing w:val="-2"/>
          <w:sz w:val="21"/>
          <w:szCs w:val="21"/>
          <w:highlight w:val="none"/>
        </w:rPr>
        <w:t>6.3.6</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临时用电方面的其他要求如下：</w:t>
      </w:r>
      <w:r>
        <w:rPr>
          <w:rFonts w:hint="eastAsia" w:ascii="宋体" w:hAnsi="宋体" w:eastAsia="宋体" w:cs="宋体"/>
          <w:color w:val="auto"/>
          <w:spacing w:val="-2"/>
          <w:sz w:val="21"/>
          <w:szCs w:val="21"/>
          <w:highlight w:val="none"/>
          <w:u w:val="single"/>
          <w:lang w:val="en-US" w:eastAsia="zh-CN"/>
        </w:rPr>
        <w:t xml:space="preserve">                      </w:t>
      </w:r>
    </w:p>
    <w:p>
      <w:pPr>
        <w:tabs>
          <w:tab w:val="left" w:pos="7554"/>
        </w:tabs>
        <w:spacing w:before="26" w:line="159" w:lineRule="auto"/>
        <w:ind w:left="941"/>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9" w:line="219" w:lineRule="auto"/>
        <w:ind w:left="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6.4</w:t>
      </w:r>
      <w:r>
        <w:rPr>
          <w:rFonts w:ascii="黑体" w:hAnsi="黑体" w:eastAsia="黑体" w:cs="黑体"/>
          <w:color w:val="auto"/>
          <w:spacing w:val="-37"/>
          <w:sz w:val="24"/>
          <w:szCs w:val="24"/>
          <w:highlight w:val="none"/>
        </w:rPr>
        <w:t xml:space="preserve"> </w:t>
      </w:r>
      <w:r>
        <w:rPr>
          <w:rFonts w:ascii="黑体" w:hAnsi="黑体" w:eastAsia="黑体" w:cs="黑体"/>
          <w:color w:val="auto"/>
          <w:spacing w:val="-4"/>
          <w:sz w:val="24"/>
          <w:szCs w:val="24"/>
          <w:highlight w:val="none"/>
        </w:rPr>
        <w:t>劳动保护</w:t>
      </w:r>
    </w:p>
    <w:p>
      <w:pPr>
        <w:spacing w:before="107" w:line="297" w:lineRule="auto"/>
        <w:ind w:left="5" w:right="6" w:firstLine="418"/>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6.4.1 承包人应遵守所有适用于本合同的劳动法规</w:t>
      </w:r>
      <w:r>
        <w:rPr>
          <w:rFonts w:ascii="宋体" w:hAnsi="宋体" w:eastAsia="宋体" w:cs="宋体"/>
          <w:color w:val="auto"/>
          <w:spacing w:val="1"/>
          <w:sz w:val="21"/>
          <w:szCs w:val="21"/>
          <w:highlight w:val="none"/>
        </w:rPr>
        <w:t>及其他有关法律、法规、规章和规定中关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于工人工资标准、劳动时间和劳动条件的规定， 合理安排现场作业人员的劳动</w:t>
      </w:r>
      <w:r>
        <w:rPr>
          <w:rFonts w:ascii="宋体" w:hAnsi="宋体" w:eastAsia="宋体" w:cs="宋体"/>
          <w:color w:val="auto"/>
          <w:spacing w:val="-4"/>
          <w:sz w:val="21"/>
          <w:szCs w:val="21"/>
          <w:highlight w:val="none"/>
        </w:rPr>
        <w:t>和休息时间， 保障</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劳动者必须的休息时间，支付合理的报酬和费用。承包人应按</w:t>
      </w:r>
      <w:r>
        <w:rPr>
          <w:rFonts w:ascii="宋体" w:hAnsi="宋体" w:eastAsia="宋体" w:cs="宋体"/>
          <w:color w:val="auto"/>
          <w:spacing w:val="1"/>
          <w:sz w:val="21"/>
          <w:szCs w:val="21"/>
          <w:highlight w:val="none"/>
        </w:rPr>
        <w:t>有关行政管理部门的规定为本合同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下雇佣的职员和工人办理任何必要的证件、许可、保险和注册等， 并保障发包人免于因承包人不</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能依照或完全依照上述所有法律、法规、规章和规定等可能给发包人带来的任何处罚、索赔、损</w:t>
      </w:r>
    </w:p>
    <w:p>
      <w:pPr>
        <w:spacing w:line="297" w:lineRule="auto"/>
        <w:rPr>
          <w:rFonts w:ascii="宋体" w:hAnsi="宋体" w:eastAsia="宋体" w:cs="宋体"/>
          <w:color w:val="auto"/>
          <w:sz w:val="21"/>
          <w:szCs w:val="21"/>
          <w:highlight w:val="none"/>
        </w:rPr>
        <w:sectPr>
          <w:footerReference r:id="rId114" w:type="default"/>
          <w:pgSz w:w="11907" w:h="16841"/>
          <w:pgMar w:top="400" w:right="1524" w:bottom="1143" w:left="1480"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spacing w:before="68" w:line="221" w:lineRule="auto"/>
        <w:ind w:left="5"/>
        <w:rPr>
          <w:rFonts w:ascii="宋体" w:hAnsi="宋体" w:eastAsia="宋体" w:cs="宋体"/>
          <w:color w:val="auto"/>
          <w:sz w:val="21"/>
          <w:szCs w:val="21"/>
          <w:highlight w:val="none"/>
        </w:rPr>
      </w:pPr>
      <w:bookmarkStart w:id="386" w:name="bookmark426"/>
      <w:bookmarkEnd w:id="386"/>
      <w:r>
        <w:rPr>
          <w:rFonts w:ascii="宋体" w:hAnsi="宋体" w:eastAsia="宋体" w:cs="宋体"/>
          <w:color w:val="auto"/>
          <w:spacing w:val="-2"/>
          <w:sz w:val="21"/>
          <w:szCs w:val="21"/>
          <w:highlight w:val="none"/>
        </w:rPr>
        <w:t>失和损害等。</w:t>
      </w:r>
    </w:p>
    <w:p>
      <w:pPr>
        <w:spacing w:before="110" w:line="284" w:lineRule="auto"/>
        <w:ind w:left="3" w:right="1"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6.4.2 承包人应按照国家《劳动保护法》的规定，保障现场施工人员的劳动安全。承包人应  </w:t>
      </w:r>
      <w:r>
        <w:rPr>
          <w:rFonts w:ascii="宋体" w:hAnsi="宋体" w:eastAsia="宋体" w:cs="宋体"/>
          <w:color w:val="auto"/>
          <w:spacing w:val="-1"/>
          <w:sz w:val="21"/>
          <w:szCs w:val="21"/>
          <w:highlight w:val="none"/>
        </w:rPr>
        <w:t>为本合同下雇佣的职员和工人提供适当和充分</w:t>
      </w:r>
      <w:r>
        <w:rPr>
          <w:rFonts w:ascii="宋体" w:hAnsi="宋体" w:eastAsia="宋体" w:cs="宋体"/>
          <w:color w:val="auto"/>
          <w:spacing w:val="-2"/>
          <w:sz w:val="21"/>
          <w:szCs w:val="21"/>
          <w:highlight w:val="none"/>
        </w:rPr>
        <w:t>的劳动保护， 包括但不限于安全防护、防寒、防雨、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防尘、绝缘保护、常用药品、急救设备、传染病预防</w:t>
      </w:r>
      <w:r>
        <w:rPr>
          <w:rFonts w:ascii="宋体" w:hAnsi="宋体" w:eastAsia="宋体" w:cs="宋体"/>
          <w:color w:val="auto"/>
          <w:spacing w:val="-2"/>
          <w:sz w:val="21"/>
          <w:szCs w:val="21"/>
          <w:highlight w:val="none"/>
        </w:rPr>
        <w:t>等。</w:t>
      </w:r>
    </w:p>
    <w:p>
      <w:pPr>
        <w:spacing w:before="111" w:line="292" w:lineRule="auto"/>
        <w:ind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6.4.3 承包人应为其履行本合同所雇佣的职员和工人提供和维护任何必要的膳宿条件和生活  环境，包括但不限于宿舍、围栏、供水（饮用及其他目的用水）、供电、卫生设备、食堂及炊具、</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防火及灭火设备、供热、家具及其他正常膳宿条件和生活环境所需的必需品， 并应考虑宗教和民  族习惯。</w:t>
      </w:r>
    </w:p>
    <w:p>
      <w:pPr>
        <w:spacing w:before="108" w:line="293" w:lineRule="auto"/>
        <w:ind w:left="14" w:right="179" w:firstLine="40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6.4.4 承包人应为现场工人提供符合政府卫生规定的生活条件并获得必要的许可， 保证工人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的健康和防止任何传染病， 包括工人的食堂、厕所、工具房、宿舍等；承包人应聘请专业</w:t>
      </w:r>
      <w:r>
        <w:rPr>
          <w:rFonts w:ascii="宋体" w:hAnsi="宋体" w:eastAsia="宋体" w:cs="宋体"/>
          <w:color w:val="auto"/>
          <w:spacing w:val="-2"/>
          <w:sz w:val="21"/>
          <w:szCs w:val="21"/>
          <w:highlight w:val="none"/>
        </w:rPr>
        <w:t>的卫生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防疫部门定期对现场、工人生活基地和工程进行防疫和卫生的专</w:t>
      </w:r>
      <w:r>
        <w:rPr>
          <w:rFonts w:ascii="宋体" w:hAnsi="宋体" w:eastAsia="宋体" w:cs="宋体"/>
          <w:color w:val="auto"/>
          <w:sz w:val="21"/>
          <w:szCs w:val="21"/>
          <w:highlight w:val="none"/>
        </w:rPr>
        <w:t xml:space="preserve">业检查和处理，包括消灭白蚁、 </w:t>
      </w:r>
      <w:r>
        <w:rPr>
          <w:rFonts w:ascii="宋体" w:hAnsi="宋体" w:eastAsia="宋体" w:cs="宋体"/>
          <w:color w:val="auto"/>
          <w:spacing w:val="-4"/>
          <w:sz w:val="21"/>
          <w:szCs w:val="21"/>
          <w:highlight w:val="none"/>
        </w:rPr>
        <w:t>鼠害、蚊蝇和其它害虫， 以防对施工人员、现场和永久工程造成任何危害。</w:t>
      </w:r>
    </w:p>
    <w:p>
      <w:pPr>
        <w:spacing w:before="108" w:line="269" w:lineRule="auto"/>
        <w:ind w:right="229"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6.4.5 承包人应在现场设立专门的临时</w:t>
      </w:r>
      <w:r>
        <w:rPr>
          <w:rFonts w:ascii="宋体" w:hAnsi="宋体" w:eastAsia="宋体" w:cs="宋体"/>
          <w:color w:val="auto"/>
          <w:sz w:val="21"/>
          <w:szCs w:val="21"/>
          <w:highlight w:val="none"/>
        </w:rPr>
        <w:t>医疗站，配备足够的设施、药物和称职的医务人员， 承包人还应准备急救担架，用于一旦发生安全事故时对受伤人员的</w:t>
      </w:r>
      <w:r>
        <w:rPr>
          <w:rFonts w:ascii="宋体" w:hAnsi="宋体" w:eastAsia="宋体" w:cs="宋体"/>
          <w:color w:val="auto"/>
          <w:spacing w:val="-1"/>
          <w:sz w:val="21"/>
          <w:szCs w:val="21"/>
          <w:highlight w:val="none"/>
        </w:rPr>
        <w:t>急救。</w:t>
      </w:r>
    </w:p>
    <w:p>
      <w:pPr>
        <w:spacing w:before="108" w:line="221" w:lineRule="auto"/>
        <w:ind w:left="422"/>
        <w:rPr>
          <w:rFonts w:hint="default" w:eastAsia="宋体"/>
          <w:color w:val="auto"/>
          <w:highlight w:val="none"/>
          <w:u w:val="single"/>
          <w:lang w:val="en-US" w:eastAsia="zh-CN"/>
        </w:rPr>
      </w:pPr>
      <w:r>
        <w:rPr>
          <w:rFonts w:ascii="宋体" w:hAnsi="宋体" w:eastAsia="宋体" w:cs="宋体"/>
          <w:color w:val="auto"/>
          <w:spacing w:val="-1"/>
          <w:sz w:val="21"/>
          <w:szCs w:val="21"/>
          <w:highlight w:val="none"/>
        </w:rPr>
        <w:t>6.4.6</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劳动保护方面的其他要求如下：</w:t>
      </w:r>
      <w:r>
        <w:rPr>
          <w:rFonts w:hint="eastAsia" w:ascii="宋体" w:hAnsi="宋体" w:eastAsia="宋体" w:cs="宋体"/>
          <w:color w:val="auto"/>
          <w:spacing w:val="-1"/>
          <w:sz w:val="21"/>
          <w:szCs w:val="21"/>
          <w:highlight w:val="none"/>
          <w:u w:val="single"/>
          <w:lang w:val="en-US" w:eastAsia="zh-CN"/>
        </w:rPr>
        <w:t xml:space="preserve">                                    </w:t>
      </w:r>
    </w:p>
    <w:p>
      <w:pPr>
        <w:tabs>
          <w:tab w:val="left" w:pos="7552"/>
        </w:tabs>
        <w:spacing w:before="26" w:line="159" w:lineRule="auto"/>
        <w:ind w:left="94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0"/>
          <w:sz w:val="8"/>
          <w:szCs w:val="8"/>
          <w:highlight w:val="none"/>
        </w:rPr>
        <w:t xml:space="preserve"> </w:t>
      </w:r>
      <w:r>
        <w:rPr>
          <w:rFonts w:ascii="宋体" w:hAnsi="宋体" w:eastAsia="宋体" w:cs="宋体"/>
          <w:color w:val="auto"/>
          <w:spacing w:val="6"/>
          <w:sz w:val="8"/>
          <w:szCs w:val="8"/>
          <w:highlight w:val="none"/>
        </w:rPr>
        <w:t>。</w:t>
      </w:r>
    </w:p>
    <w:p>
      <w:pPr>
        <w:spacing w:before="179" w:line="220" w:lineRule="auto"/>
        <w:ind w:left="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6.5</w:t>
      </w:r>
      <w:r>
        <w:rPr>
          <w:rFonts w:ascii="黑体" w:hAnsi="黑体" w:eastAsia="黑体" w:cs="黑体"/>
          <w:color w:val="auto"/>
          <w:spacing w:val="-50"/>
          <w:sz w:val="24"/>
          <w:szCs w:val="24"/>
          <w:highlight w:val="none"/>
        </w:rPr>
        <w:t xml:space="preserve"> </w:t>
      </w:r>
      <w:r>
        <w:rPr>
          <w:rFonts w:ascii="黑体" w:hAnsi="黑体" w:eastAsia="黑体" w:cs="黑体"/>
          <w:color w:val="auto"/>
          <w:spacing w:val="-3"/>
          <w:sz w:val="24"/>
          <w:szCs w:val="24"/>
          <w:highlight w:val="none"/>
        </w:rPr>
        <w:t>脚手架</w:t>
      </w:r>
    </w:p>
    <w:p>
      <w:pPr>
        <w:spacing w:before="100" w:line="292" w:lineRule="auto"/>
        <w:ind w:right="182"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6.5.1 承包人应搭设并维护一切必要的临时脚手架</w:t>
      </w:r>
      <w:r>
        <w:rPr>
          <w:rFonts w:ascii="宋体" w:hAnsi="宋体" w:eastAsia="宋体" w:cs="宋体"/>
          <w:color w:val="auto"/>
          <w:spacing w:val="1"/>
          <w:sz w:val="21"/>
          <w:szCs w:val="21"/>
          <w:highlight w:val="none"/>
        </w:rPr>
        <w:t>、挑平台并配以脚手板、安全网、护身栏</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杆、门架、马道、坡道、爬梯等等。脚手架和挑平台的搭设应满足有关安全生产的法律、法规、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规范、标准和规程等的要求。新搭设的脚手架投入使用前， 承包人必须组织安全检查和验收，并</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对使用脚手架的作业人员进行安全交底。</w:t>
      </w:r>
    </w:p>
    <w:p>
      <w:pPr>
        <w:spacing w:before="111" w:line="268" w:lineRule="auto"/>
        <w:ind w:left="14" w:right="182"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6.5.2 所有脚手架， 尤其是大型、复杂、高耸和非常规脚手架，要编制专项施</w:t>
      </w:r>
      <w:r>
        <w:rPr>
          <w:rFonts w:ascii="宋体" w:hAnsi="宋体" w:eastAsia="宋体" w:cs="宋体"/>
          <w:color w:val="auto"/>
          <w:spacing w:val="-4"/>
          <w:sz w:val="21"/>
          <w:szCs w:val="21"/>
          <w:highlight w:val="none"/>
        </w:rPr>
        <w:t>工方案， 还应</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当经过安全验算，脚手架安全验算结果必须报送监理人核查后方可实施。</w:t>
      </w:r>
    </w:p>
    <w:p>
      <w:pPr>
        <w:spacing w:before="110" w:line="268" w:lineRule="auto"/>
        <w:ind w:right="182"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6.5.3 搭设爬架、挂架、超高脚手架等特种或新型脚手架时， 承包人应确保此类脚手架的安</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全性和保证此类脚手架已经过有关行政管理部门允许使用的批准， 并承担与此有关的一切费用。</w:t>
      </w:r>
    </w:p>
    <w:p>
      <w:pPr>
        <w:spacing w:before="110" w:line="285" w:lineRule="auto"/>
        <w:ind w:left="1" w:right="179"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6.5.4 承包人应当加强脚手架的日常安全巡查，及时对其中的安全隐患进行整改， 确保脚手</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架使用安全。雨、雪、雾、霜和大风等天气后， 承包人必须对脚手架进行安全巡查</w:t>
      </w:r>
      <w:r>
        <w:rPr>
          <w:rFonts w:ascii="宋体" w:hAnsi="宋体" w:eastAsia="宋体" w:cs="宋体"/>
          <w:color w:val="auto"/>
          <w:spacing w:val="-4"/>
          <w:sz w:val="21"/>
          <w:szCs w:val="21"/>
          <w:highlight w:val="none"/>
        </w:rPr>
        <w:t>， 并及时消除</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安全隐患。</w:t>
      </w:r>
    </w:p>
    <w:p>
      <w:pPr>
        <w:spacing w:before="109" w:line="297" w:lineRule="auto"/>
        <w:ind w:right="17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6.5.5 承包人应允许发包人、监理人、专业分包人、独立承包</w:t>
      </w:r>
      <w:r>
        <w:rPr>
          <w:rFonts w:ascii="宋体" w:hAnsi="宋体" w:eastAsia="宋体" w:cs="宋体"/>
          <w:color w:val="auto"/>
          <w:spacing w:val="1"/>
          <w:sz w:val="21"/>
          <w:szCs w:val="21"/>
          <w:highlight w:val="none"/>
        </w:rPr>
        <w:t>人（如果有）和有关行政管理</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部门或者机构免费使用承包人在现场搭设的任何已有脚手架，并就其安全使用做必要交底说明。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承包人在拆除任何脚手架前，应书面请示监理</w:t>
      </w:r>
      <w:r>
        <w:rPr>
          <w:rFonts w:ascii="宋体" w:hAnsi="宋体" w:eastAsia="宋体" w:cs="宋体"/>
          <w:color w:val="auto"/>
          <w:spacing w:val="1"/>
          <w:sz w:val="21"/>
          <w:szCs w:val="21"/>
          <w:highlight w:val="none"/>
        </w:rPr>
        <w:t>人他将要拆除的脚手架是否为发包人、监理人、专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业分包人、独立承包人（如果有）和政府有关机构所需，只有在获得监理人</w:t>
      </w:r>
      <w:r>
        <w:rPr>
          <w:rFonts w:ascii="宋体" w:hAnsi="宋体" w:eastAsia="宋体" w:cs="宋体"/>
          <w:color w:val="auto"/>
          <w:spacing w:val="1"/>
          <w:sz w:val="21"/>
          <w:szCs w:val="21"/>
          <w:highlight w:val="none"/>
        </w:rPr>
        <w:t>书面批准后，承包人</w:t>
      </w:r>
      <w:r>
        <w:rPr>
          <w:rFonts w:ascii="宋体" w:hAnsi="宋体" w:eastAsia="宋体" w:cs="宋体"/>
          <w:color w:val="auto"/>
          <w:sz w:val="21"/>
          <w:szCs w:val="21"/>
          <w:highlight w:val="none"/>
        </w:rPr>
        <w:t xml:space="preserve"> 才能拆除相关脚手架，否则承包人应自费重新</w:t>
      </w:r>
      <w:r>
        <w:rPr>
          <w:rFonts w:ascii="宋体" w:hAnsi="宋体" w:eastAsia="宋体" w:cs="宋体"/>
          <w:color w:val="auto"/>
          <w:spacing w:val="-1"/>
          <w:sz w:val="21"/>
          <w:szCs w:val="21"/>
          <w:highlight w:val="none"/>
        </w:rPr>
        <w:t>搭设。</w:t>
      </w:r>
    </w:p>
    <w:p>
      <w:pPr>
        <w:spacing w:before="110" w:line="220" w:lineRule="auto"/>
        <w:ind w:left="422"/>
        <w:rPr>
          <w:rFonts w:ascii="宋体" w:hAnsi="宋体" w:eastAsia="宋体" w:cs="宋体"/>
          <w:color w:val="auto"/>
          <w:sz w:val="8"/>
          <w:szCs w:val="8"/>
          <w:highlight w:val="none"/>
        </w:rPr>
      </w:pPr>
      <w:r>
        <w:rPr>
          <w:rFonts w:ascii="宋体" w:hAnsi="宋体" w:eastAsia="宋体" w:cs="宋体"/>
          <w:color w:val="auto"/>
          <w:spacing w:val="-3"/>
          <w:sz w:val="21"/>
          <w:szCs w:val="21"/>
          <w:highlight w:val="none"/>
        </w:rPr>
        <w:t>6.5.6</w:t>
      </w:r>
      <w:r>
        <w:rPr>
          <w:rFonts w:ascii="宋体" w:hAnsi="宋体" w:eastAsia="宋体" w:cs="宋体"/>
          <w:color w:val="auto"/>
          <w:spacing w:val="-44"/>
          <w:sz w:val="21"/>
          <w:szCs w:val="21"/>
          <w:highlight w:val="none"/>
        </w:rPr>
        <w:t xml:space="preserve"> </w:t>
      </w:r>
      <w:r>
        <w:rPr>
          <w:rFonts w:ascii="宋体" w:hAnsi="宋体" w:eastAsia="宋体" w:cs="宋体"/>
          <w:color w:val="auto"/>
          <w:spacing w:val="-3"/>
          <w:sz w:val="21"/>
          <w:szCs w:val="21"/>
          <w:highlight w:val="none"/>
        </w:rPr>
        <w:t>脚手架的其他要求如下：</w:t>
      </w:r>
      <w:r>
        <w:rPr>
          <w:rFonts w:ascii="宋体" w:hAnsi="宋体" w:eastAsia="宋体" w:cs="宋体"/>
          <w:color w:val="auto"/>
          <w:sz w:val="8"/>
          <w:szCs w:val="8"/>
          <w:highlight w:val="none"/>
          <w:u w:val="single" w:color="auto"/>
        </w:rPr>
        <w:tab/>
      </w:r>
      <w:r>
        <w:rPr>
          <w:rFonts w:hint="eastAsia" w:ascii="宋体" w:hAnsi="宋体" w:eastAsia="宋体" w:cs="宋体"/>
          <w:color w:val="auto"/>
          <w:sz w:val="8"/>
          <w:szCs w:val="8"/>
          <w:highlight w:val="none"/>
          <w:u w:val="single" w:color="auto"/>
          <w:lang w:val="en-US" w:eastAsia="zh-CN"/>
        </w:rPr>
        <w:t xml:space="preserve">                                                        </w:t>
      </w:r>
      <w:r>
        <w:rPr>
          <w:rFonts w:ascii="宋体" w:hAnsi="宋体" w:eastAsia="宋体" w:cs="宋体"/>
          <w:color w:val="auto"/>
          <w:spacing w:val="-10"/>
          <w:sz w:val="8"/>
          <w:szCs w:val="8"/>
          <w:highlight w:val="none"/>
        </w:rPr>
        <w:t xml:space="preserve"> </w:t>
      </w:r>
      <w:r>
        <w:rPr>
          <w:rFonts w:ascii="宋体" w:hAnsi="宋体" w:eastAsia="宋体" w:cs="宋体"/>
          <w:color w:val="auto"/>
          <w:spacing w:val="6"/>
          <w:sz w:val="8"/>
          <w:szCs w:val="8"/>
          <w:highlight w:val="none"/>
        </w:rPr>
        <w:t>。</w:t>
      </w:r>
    </w:p>
    <w:p>
      <w:pPr>
        <w:spacing w:before="229" w:line="220" w:lineRule="auto"/>
        <w:ind w:left="1"/>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6.6 施工安全措施计划</w:t>
      </w:r>
    </w:p>
    <w:p>
      <w:pPr>
        <w:spacing w:line="220" w:lineRule="auto"/>
        <w:rPr>
          <w:rFonts w:ascii="黑体" w:hAnsi="黑体" w:eastAsia="黑体" w:cs="黑体"/>
          <w:color w:val="auto"/>
          <w:sz w:val="24"/>
          <w:szCs w:val="24"/>
          <w:highlight w:val="none"/>
        </w:rPr>
        <w:sectPr>
          <w:footerReference r:id="rId115" w:type="default"/>
          <w:pgSz w:w="11907" w:h="16841"/>
          <w:pgMar w:top="400" w:right="1350" w:bottom="1143" w:left="1481"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68" w:line="293" w:lineRule="auto"/>
        <w:ind w:right="151" w:firstLine="420"/>
        <w:rPr>
          <w:rFonts w:ascii="宋体" w:hAnsi="宋体" w:eastAsia="宋体" w:cs="宋体"/>
          <w:color w:val="auto"/>
          <w:sz w:val="21"/>
          <w:szCs w:val="21"/>
          <w:highlight w:val="none"/>
        </w:rPr>
      </w:pPr>
      <w:bookmarkStart w:id="387" w:name="bookmark427"/>
      <w:bookmarkEnd w:id="387"/>
      <w:r>
        <w:rPr>
          <w:rFonts w:ascii="宋体" w:hAnsi="宋体" w:eastAsia="宋体" w:cs="宋体"/>
          <w:color w:val="auto"/>
          <w:spacing w:val="-8"/>
          <w:sz w:val="21"/>
          <w:szCs w:val="21"/>
          <w:highlight w:val="none"/>
        </w:rPr>
        <w:t>6.6.1 承包人应根据《中华人民共和国安全生产法》、《职业健康安全管理体系规范》、《中华</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人民共和国消防法》、《中华人民共和国道路交通安全法》、《中华人民共和国传染病防治法实施办</w:t>
      </w:r>
      <w:r>
        <w:rPr>
          <w:rFonts w:ascii="宋体" w:hAnsi="宋体" w:eastAsia="宋体" w:cs="宋体"/>
          <w:color w:val="auto"/>
          <w:spacing w:val="2"/>
          <w:sz w:val="21"/>
          <w:szCs w:val="21"/>
          <w:highlight w:val="none"/>
        </w:rPr>
        <w:t xml:space="preserve"> </w:t>
      </w:r>
      <w:r>
        <w:rPr>
          <w:rFonts w:ascii="宋体" w:hAnsi="宋体" w:eastAsia="宋体" w:cs="宋体"/>
          <w:color w:val="auto"/>
          <w:spacing w:val="-4"/>
          <w:sz w:val="21"/>
          <w:szCs w:val="21"/>
          <w:highlight w:val="none"/>
        </w:rPr>
        <w:t>法》和地方有关的法规等，按照合同条款第 9.2.1 项的约定，</w:t>
      </w:r>
      <w:r>
        <w:rPr>
          <w:rFonts w:ascii="宋体" w:hAnsi="宋体" w:eastAsia="宋体" w:cs="宋体"/>
          <w:color w:val="auto"/>
          <w:spacing w:val="-21"/>
          <w:sz w:val="21"/>
          <w:szCs w:val="21"/>
          <w:highlight w:val="none"/>
        </w:rPr>
        <w:t xml:space="preserve"> </w:t>
      </w:r>
      <w:r>
        <w:rPr>
          <w:rFonts w:ascii="宋体" w:hAnsi="宋体" w:eastAsia="宋体" w:cs="宋体"/>
          <w:color w:val="auto"/>
          <w:spacing w:val="-4"/>
          <w:sz w:val="21"/>
          <w:szCs w:val="21"/>
          <w:highlight w:val="none"/>
        </w:rPr>
        <w:t>编制一份施工</w:t>
      </w:r>
      <w:r>
        <w:rPr>
          <w:rFonts w:ascii="宋体" w:hAnsi="宋体" w:eastAsia="宋体" w:cs="宋体"/>
          <w:color w:val="auto"/>
          <w:spacing w:val="-5"/>
          <w:sz w:val="21"/>
          <w:szCs w:val="21"/>
          <w:highlight w:val="none"/>
        </w:rPr>
        <w:t>安全措施计划，</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报送</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监理人审批。</w:t>
      </w:r>
    </w:p>
    <w:p>
      <w:pPr>
        <w:spacing w:before="111" w:line="300" w:lineRule="auto"/>
        <w:ind w:right="151"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6.6.2 施工安全措施计划是承包人阐明其安全管理</w:t>
      </w:r>
      <w:r>
        <w:rPr>
          <w:rFonts w:ascii="宋体" w:hAnsi="宋体" w:eastAsia="宋体" w:cs="宋体"/>
          <w:color w:val="auto"/>
          <w:spacing w:val="1"/>
          <w:sz w:val="21"/>
          <w:szCs w:val="21"/>
          <w:highlight w:val="none"/>
        </w:rPr>
        <w:t>方针、管理体系、安全制度和安全措施等</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的文件， 其内容应当反映现行法律法规规定的和合同条款约定的以及本条上述约定的承包人安全</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职责，包括但不限于</w:t>
      </w:r>
      <w:r>
        <w:rPr>
          <w:rFonts w:ascii="宋体" w:hAnsi="宋体" w:eastAsia="宋体" w:cs="宋体"/>
          <w:color w:val="auto"/>
          <w:spacing w:val="-53"/>
          <w:sz w:val="21"/>
          <w:szCs w:val="21"/>
          <w:highlight w:val="none"/>
        </w:rPr>
        <w:t>：（</w:t>
      </w:r>
      <w:r>
        <w:rPr>
          <w:rFonts w:ascii="宋体" w:hAnsi="宋体" w:eastAsia="宋体" w:cs="宋体"/>
          <w:color w:val="auto"/>
          <w:spacing w:val="2"/>
          <w:sz w:val="21"/>
          <w:szCs w:val="21"/>
          <w:highlight w:val="none"/>
        </w:rPr>
        <w:t>1）施工安全管理机构的设置</w:t>
      </w:r>
      <w:r>
        <w:rPr>
          <w:rFonts w:ascii="宋体" w:hAnsi="宋体" w:eastAsia="宋体" w:cs="宋体"/>
          <w:color w:val="auto"/>
          <w:spacing w:val="-53"/>
          <w:sz w:val="21"/>
          <w:szCs w:val="21"/>
          <w:highlight w:val="none"/>
        </w:rPr>
        <w:t>；（</w:t>
      </w:r>
      <w:r>
        <w:rPr>
          <w:rFonts w:ascii="宋体" w:hAnsi="宋体" w:eastAsia="宋体" w:cs="宋体"/>
          <w:color w:val="auto"/>
          <w:spacing w:val="2"/>
          <w:sz w:val="21"/>
          <w:szCs w:val="21"/>
          <w:highlight w:val="none"/>
        </w:rPr>
        <w:t>2）专职安全管理人员的配备</w:t>
      </w:r>
      <w:r>
        <w:rPr>
          <w:rFonts w:ascii="宋体" w:hAnsi="宋体" w:eastAsia="宋体" w:cs="宋体"/>
          <w:color w:val="auto"/>
          <w:spacing w:val="-53"/>
          <w:sz w:val="21"/>
          <w:szCs w:val="21"/>
          <w:highlight w:val="none"/>
        </w:rPr>
        <w:t>；（</w:t>
      </w:r>
      <w:r>
        <w:rPr>
          <w:rFonts w:ascii="宋体" w:hAnsi="宋体" w:eastAsia="宋体" w:cs="宋体"/>
          <w:color w:val="auto"/>
          <w:spacing w:val="2"/>
          <w:sz w:val="21"/>
          <w:szCs w:val="21"/>
          <w:highlight w:val="none"/>
        </w:rPr>
        <w:t>3）安全</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责任制度和管理措施</w:t>
      </w:r>
      <w:r>
        <w:rPr>
          <w:rFonts w:ascii="宋体" w:hAnsi="宋体" w:eastAsia="宋体" w:cs="宋体"/>
          <w:color w:val="auto"/>
          <w:spacing w:val="-44"/>
          <w:sz w:val="21"/>
          <w:szCs w:val="21"/>
          <w:highlight w:val="none"/>
        </w:rPr>
        <w:t>；（</w:t>
      </w:r>
      <w:r>
        <w:rPr>
          <w:rFonts w:ascii="宋体" w:hAnsi="宋体" w:eastAsia="宋体" w:cs="宋体"/>
          <w:color w:val="auto"/>
          <w:spacing w:val="1"/>
          <w:sz w:val="21"/>
          <w:szCs w:val="21"/>
          <w:highlight w:val="none"/>
        </w:rPr>
        <w:t>4）安全教育和培训制度及管理措施</w:t>
      </w:r>
      <w:r>
        <w:rPr>
          <w:rFonts w:ascii="宋体" w:hAnsi="宋体" w:eastAsia="宋体" w:cs="宋体"/>
          <w:color w:val="auto"/>
          <w:spacing w:val="-44"/>
          <w:sz w:val="21"/>
          <w:szCs w:val="21"/>
          <w:highlight w:val="none"/>
        </w:rPr>
        <w:t>；（</w:t>
      </w:r>
      <w:r>
        <w:rPr>
          <w:rFonts w:ascii="宋体" w:hAnsi="宋体" w:eastAsia="宋体" w:cs="宋体"/>
          <w:color w:val="auto"/>
          <w:spacing w:val="1"/>
          <w:sz w:val="21"/>
          <w:szCs w:val="21"/>
          <w:highlight w:val="none"/>
        </w:rPr>
        <w:t>5）各项安全生产规章制度和操作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规程</w:t>
      </w:r>
      <w:r>
        <w:rPr>
          <w:rFonts w:ascii="宋体" w:hAnsi="宋体" w:eastAsia="宋体" w:cs="宋体"/>
          <w:color w:val="auto"/>
          <w:spacing w:val="-39"/>
          <w:sz w:val="21"/>
          <w:szCs w:val="21"/>
          <w:highlight w:val="none"/>
        </w:rPr>
        <w:t>；（</w:t>
      </w:r>
      <w:r>
        <w:rPr>
          <w:rFonts w:ascii="宋体" w:hAnsi="宋体" w:eastAsia="宋体" w:cs="宋体"/>
          <w:color w:val="auto"/>
          <w:spacing w:val="-1"/>
          <w:sz w:val="21"/>
          <w:szCs w:val="21"/>
          <w:highlight w:val="none"/>
        </w:rPr>
        <w:t>6）各项施工安全措施和防护措施</w:t>
      </w:r>
      <w:r>
        <w:rPr>
          <w:rFonts w:ascii="宋体" w:hAnsi="宋体" w:eastAsia="宋体" w:cs="宋体"/>
          <w:color w:val="auto"/>
          <w:spacing w:val="-39"/>
          <w:sz w:val="21"/>
          <w:szCs w:val="21"/>
          <w:highlight w:val="none"/>
        </w:rPr>
        <w:t>；（</w:t>
      </w:r>
      <w:r>
        <w:rPr>
          <w:rFonts w:ascii="宋体" w:hAnsi="宋体" w:eastAsia="宋体" w:cs="宋体"/>
          <w:color w:val="auto"/>
          <w:spacing w:val="-1"/>
          <w:sz w:val="21"/>
          <w:szCs w:val="21"/>
          <w:highlight w:val="none"/>
        </w:rPr>
        <w:t>7）危险品管理和使用制度</w:t>
      </w:r>
      <w:r>
        <w:rPr>
          <w:rFonts w:ascii="宋体" w:hAnsi="宋体" w:eastAsia="宋体" w:cs="宋体"/>
          <w:color w:val="auto"/>
          <w:spacing w:val="-39"/>
          <w:sz w:val="21"/>
          <w:szCs w:val="21"/>
          <w:highlight w:val="none"/>
        </w:rPr>
        <w:t>；（</w:t>
      </w:r>
      <w:r>
        <w:rPr>
          <w:rFonts w:ascii="宋体" w:hAnsi="宋体" w:eastAsia="宋体" w:cs="宋体"/>
          <w:color w:val="auto"/>
          <w:spacing w:val="-1"/>
          <w:sz w:val="21"/>
          <w:szCs w:val="21"/>
          <w:highlight w:val="none"/>
        </w:rPr>
        <w:t>8）安全设施、设备、</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器材和劳动保护用品的配置</w:t>
      </w:r>
      <w:r>
        <w:rPr>
          <w:rFonts w:ascii="宋体" w:hAnsi="宋体" w:eastAsia="宋体" w:cs="宋体"/>
          <w:color w:val="auto"/>
          <w:spacing w:val="-29"/>
          <w:sz w:val="21"/>
          <w:szCs w:val="21"/>
          <w:highlight w:val="none"/>
        </w:rPr>
        <w:t>；（</w:t>
      </w:r>
      <w:r>
        <w:rPr>
          <w:rFonts w:ascii="宋体" w:hAnsi="宋体" w:eastAsia="宋体" w:cs="宋体"/>
          <w:color w:val="auto"/>
          <w:spacing w:val="-4"/>
          <w:sz w:val="21"/>
          <w:szCs w:val="21"/>
          <w:highlight w:val="none"/>
        </w:rPr>
        <w:t>9）其他：</w:t>
      </w:r>
      <w:r>
        <w:rPr>
          <w:rFonts w:ascii="宋体" w:hAnsi="宋体" w:eastAsia="宋体" w:cs="宋体"/>
          <w:color w:val="auto"/>
          <w:spacing w:val="-3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pPr>
        <w:spacing w:before="111" w:line="292" w:lineRule="auto"/>
        <w:ind w:left="1" w:right="151"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施工安全措施的项目和范围，应符合国家颁发的《安全技术措施计划的</w:t>
      </w:r>
      <w:r>
        <w:rPr>
          <w:rFonts w:ascii="宋体" w:hAnsi="宋体" w:eastAsia="宋体" w:cs="宋体"/>
          <w:color w:val="auto"/>
          <w:spacing w:val="1"/>
          <w:sz w:val="21"/>
          <w:szCs w:val="21"/>
          <w:highlight w:val="none"/>
        </w:rPr>
        <w:t>项目总名称表》及其</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附录 H、I、J 的规定，即应采取以改善劳动条件， 防止工伤事故，</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预防职业病和职业中毒为目的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的一切施工安全措施，</w:t>
      </w:r>
      <w:r>
        <w:rPr>
          <w:rFonts w:ascii="宋体" w:hAnsi="宋体" w:eastAsia="宋体" w:cs="宋体"/>
          <w:color w:val="auto"/>
          <w:spacing w:val="50"/>
          <w:sz w:val="21"/>
          <w:szCs w:val="21"/>
          <w:highlight w:val="none"/>
        </w:rPr>
        <w:t xml:space="preserve"> </w:t>
      </w:r>
      <w:r>
        <w:rPr>
          <w:rFonts w:ascii="宋体" w:hAnsi="宋体" w:eastAsia="宋体" w:cs="宋体"/>
          <w:color w:val="auto"/>
          <w:spacing w:val="-2"/>
          <w:sz w:val="21"/>
          <w:szCs w:val="21"/>
          <w:highlight w:val="none"/>
        </w:rPr>
        <w:t>以及修建必要的安全设施、配备安全技术开发试验所需的器材、设备和技</w:t>
      </w:r>
      <w:r>
        <w:rPr>
          <w:rFonts w:ascii="宋体" w:hAnsi="宋体" w:eastAsia="宋体" w:cs="宋体"/>
          <w:color w:val="auto"/>
          <w:sz w:val="21"/>
          <w:szCs w:val="21"/>
          <w:highlight w:val="none"/>
        </w:rPr>
        <w:t xml:space="preserve"> 术资料，并对现场的施工管理及作业人员做好相应的安全</w:t>
      </w:r>
      <w:r>
        <w:rPr>
          <w:rFonts w:ascii="宋体" w:hAnsi="宋体" w:eastAsia="宋体" w:cs="宋体"/>
          <w:color w:val="auto"/>
          <w:spacing w:val="-1"/>
          <w:sz w:val="21"/>
          <w:szCs w:val="21"/>
          <w:highlight w:val="none"/>
        </w:rPr>
        <w:t>宣传教育。</w:t>
      </w:r>
    </w:p>
    <w:p>
      <w:pPr>
        <w:spacing w:before="108" w:line="285" w:lineRule="auto"/>
        <w:ind w:right="153"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6.6.3 施工安全措施计划应当在专用合同条款第 9.2.1 项约定的期限内报送监理人。承包人</w:t>
      </w:r>
      <w:r>
        <w:rPr>
          <w:rFonts w:ascii="宋体" w:hAnsi="宋体" w:eastAsia="宋体" w:cs="宋体"/>
          <w:color w:val="auto"/>
          <w:spacing w:val="16"/>
          <w:sz w:val="21"/>
          <w:szCs w:val="21"/>
          <w:highlight w:val="none"/>
        </w:rPr>
        <w:t xml:space="preserve"> </w:t>
      </w:r>
      <w:r>
        <w:rPr>
          <w:rFonts w:ascii="宋体" w:hAnsi="宋体" w:eastAsia="宋体" w:cs="宋体"/>
          <w:color w:val="auto"/>
          <w:spacing w:val="1"/>
          <w:sz w:val="21"/>
          <w:szCs w:val="21"/>
          <w:highlight w:val="none"/>
        </w:rPr>
        <w:t>应当严格执行经监理人批准的施工安全措施计划，并及时</w:t>
      </w:r>
      <w:r>
        <w:rPr>
          <w:rFonts w:ascii="宋体" w:hAnsi="宋体" w:eastAsia="宋体" w:cs="宋体"/>
          <w:color w:val="auto"/>
          <w:sz w:val="21"/>
          <w:szCs w:val="21"/>
          <w:highlight w:val="none"/>
        </w:rPr>
        <w:t xml:space="preserve">补充、修订和完善施工安全措施计划， </w:t>
      </w:r>
      <w:r>
        <w:rPr>
          <w:rFonts w:ascii="宋体" w:hAnsi="宋体" w:eastAsia="宋体" w:cs="宋体"/>
          <w:color w:val="auto"/>
          <w:spacing w:val="-3"/>
          <w:sz w:val="21"/>
          <w:szCs w:val="21"/>
          <w:highlight w:val="none"/>
        </w:rPr>
        <w:t>确保安全生产。</w:t>
      </w:r>
    </w:p>
    <w:p>
      <w:pPr>
        <w:spacing w:before="180" w:line="218" w:lineRule="auto"/>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6.7</w:t>
      </w:r>
      <w:r>
        <w:rPr>
          <w:rFonts w:ascii="黑体" w:hAnsi="黑体" w:eastAsia="黑体" w:cs="黑体"/>
          <w:color w:val="auto"/>
          <w:spacing w:val="-46"/>
          <w:sz w:val="24"/>
          <w:szCs w:val="24"/>
          <w:highlight w:val="none"/>
        </w:rPr>
        <w:t xml:space="preserve"> </w:t>
      </w:r>
      <w:r>
        <w:rPr>
          <w:rFonts w:ascii="黑体" w:hAnsi="黑体" w:eastAsia="黑体" w:cs="黑体"/>
          <w:color w:val="auto"/>
          <w:spacing w:val="-3"/>
          <w:sz w:val="24"/>
          <w:szCs w:val="24"/>
          <w:highlight w:val="none"/>
        </w:rPr>
        <w:t>文明施工</w:t>
      </w:r>
    </w:p>
    <w:p>
      <w:pPr>
        <w:spacing w:before="161" w:line="269" w:lineRule="auto"/>
        <w:ind w:left="2" w:right="159" w:firstLine="4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6.7.1 承包人应遵守国家和工程所在地有关法规、规范、规程和标准的规定， 履行文明施工</w:t>
      </w:r>
      <w:r>
        <w:rPr>
          <w:rFonts w:ascii="宋体" w:hAnsi="宋体" w:eastAsia="宋体" w:cs="宋体"/>
          <w:color w:val="auto"/>
          <w:spacing w:val="7"/>
          <w:sz w:val="21"/>
          <w:szCs w:val="21"/>
          <w:highlight w:val="none"/>
        </w:rPr>
        <w:t xml:space="preserve"> </w:t>
      </w:r>
      <w:r>
        <w:rPr>
          <w:rFonts w:ascii="宋体" w:hAnsi="宋体" w:eastAsia="宋体" w:cs="宋体"/>
          <w:color w:val="auto"/>
          <w:spacing w:val="-7"/>
          <w:sz w:val="21"/>
          <w:szCs w:val="21"/>
          <w:highlight w:val="none"/>
        </w:rPr>
        <w:t>义务， 确保文明施工专项费用专款专用。</w:t>
      </w:r>
    </w:p>
    <w:p>
      <w:pPr>
        <w:spacing w:before="108" w:line="221" w:lineRule="auto"/>
        <w:ind w:left="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6.7.2</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承包人应当规范现场施工秩序，实行标准化管理：</w:t>
      </w:r>
    </w:p>
    <w:p>
      <w:pPr>
        <w:spacing w:before="108" w:line="269" w:lineRule="auto"/>
        <w:ind w:right="157" w:firstLine="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（1）承包人的施工场地（现场）必须干净整治、做到无积水、无淤泥、无杂物，材料堆放</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整齐；</w:t>
      </w:r>
    </w:p>
    <w:p>
      <w:pPr>
        <w:spacing w:before="109" w:line="221" w:lineRule="auto"/>
        <w:ind w:left="42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（2）施工场地（现场）应进行硬化处理， 定期定时洒水， 做好防治扬</w:t>
      </w:r>
      <w:r>
        <w:rPr>
          <w:rFonts w:ascii="宋体" w:hAnsi="宋体" w:eastAsia="宋体" w:cs="宋体"/>
          <w:color w:val="auto"/>
          <w:spacing w:val="-6"/>
          <w:sz w:val="21"/>
          <w:szCs w:val="21"/>
          <w:highlight w:val="none"/>
        </w:rPr>
        <w:t>尘和大气污染工作；</w:t>
      </w:r>
    </w:p>
    <w:p>
      <w:pPr>
        <w:spacing w:before="109" w:line="269" w:lineRule="auto"/>
        <w:ind w:left="2"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（3）严格遵守“工完、料尽、场地净”的原则，不留垃圾、不留剩余施工材料和</w:t>
      </w:r>
      <w:r>
        <w:rPr>
          <w:rFonts w:ascii="宋体" w:hAnsi="宋体" w:eastAsia="宋体" w:cs="宋体"/>
          <w:color w:val="auto"/>
          <w:spacing w:val="2"/>
          <w:sz w:val="21"/>
          <w:szCs w:val="21"/>
          <w:highlight w:val="none"/>
        </w:rPr>
        <w:t>施工机具，</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各种设备运转正常；</w:t>
      </w:r>
    </w:p>
    <w:p>
      <w:pPr>
        <w:spacing w:before="108" w:line="269" w:lineRule="auto"/>
        <w:ind w:left="2" w:right="160" w:firstLine="4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（4）承包人修建的施工临时设施应符合监理人批准的施工规划要求，并应满足本节规定的</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各项安全要求；</w:t>
      </w:r>
    </w:p>
    <w:p>
      <w:pPr>
        <w:spacing w:before="108" w:line="269" w:lineRule="auto"/>
        <w:ind w:left="19" w:right="155" w:firstLine="40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（5）监理人可要求承包人在施工场地（现场）设置各级承包人的安全文明施工责任牌等文</w:t>
      </w:r>
      <w:r>
        <w:rPr>
          <w:rFonts w:ascii="宋体" w:hAnsi="宋体" w:eastAsia="宋体" w:cs="宋体"/>
          <w:color w:val="auto"/>
          <w:spacing w:val="12"/>
          <w:sz w:val="21"/>
          <w:szCs w:val="21"/>
          <w:highlight w:val="none"/>
        </w:rPr>
        <w:t xml:space="preserve"> </w:t>
      </w:r>
      <w:r>
        <w:rPr>
          <w:rFonts w:ascii="宋体" w:hAnsi="宋体" w:eastAsia="宋体" w:cs="宋体"/>
          <w:color w:val="auto"/>
          <w:spacing w:val="-8"/>
          <w:sz w:val="21"/>
          <w:szCs w:val="21"/>
          <w:highlight w:val="none"/>
        </w:rPr>
        <w:t>明施工警示牌；</w:t>
      </w:r>
    </w:p>
    <w:p>
      <w:pPr>
        <w:spacing w:before="108" w:line="269" w:lineRule="auto"/>
        <w:ind w:right="160"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（6）材料进入现场应按指定位置堆放整齐，不得影响现场施工和堵塞施工、消防通道。材</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料堆放场地应有专职的管理人员；</w:t>
      </w:r>
    </w:p>
    <w:p>
      <w:pPr>
        <w:spacing w:before="109" w:line="269" w:lineRule="auto"/>
        <w:ind w:left="1" w:right="160" w:firstLine="4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（7）施工和安装用的各种扣件、紧固件、绳索具、小型配件、镙钉等应在专设的仓库内装</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箱放置；</w:t>
      </w:r>
    </w:p>
    <w:p>
      <w:pPr>
        <w:spacing w:before="108" w:line="269" w:lineRule="auto"/>
        <w:ind w:left="5" w:right="160" w:firstLine="4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（8）现场风、水管及照明电线的布置应安全、合理、规范、有序，做到整齐美观。不得随</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意架设和造成隐患或影响施工。</w:t>
      </w:r>
    </w:p>
    <w:p>
      <w:pPr>
        <w:spacing w:before="108" w:line="221" w:lineRule="auto"/>
        <w:ind w:left="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6.7.3 承包人应为其雇佣的施工工人建立并维护相</w:t>
      </w:r>
      <w:r>
        <w:rPr>
          <w:rFonts w:ascii="宋体" w:hAnsi="宋体" w:eastAsia="宋体" w:cs="宋体"/>
          <w:color w:val="auto"/>
          <w:spacing w:val="1"/>
          <w:sz w:val="21"/>
          <w:szCs w:val="21"/>
          <w:highlight w:val="none"/>
        </w:rPr>
        <w:t>应的生活宿舍、食堂、浴室、厕所和文化</w:t>
      </w:r>
    </w:p>
    <w:p>
      <w:pPr>
        <w:spacing w:line="221" w:lineRule="auto"/>
        <w:rPr>
          <w:rFonts w:ascii="宋体" w:hAnsi="宋体" w:eastAsia="宋体" w:cs="宋体"/>
          <w:color w:val="auto"/>
          <w:sz w:val="21"/>
          <w:szCs w:val="21"/>
          <w:highlight w:val="none"/>
        </w:rPr>
        <w:sectPr>
          <w:footerReference r:id="rId116" w:type="default"/>
          <w:pgSz w:w="11907" w:h="16841"/>
          <w:pgMar w:top="400" w:right="1373" w:bottom="1143" w:left="1482"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spacing w:before="69" w:line="220" w:lineRule="auto"/>
        <w:ind w:left="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活动室等，</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其标准应满足政府有关机构的生活标准和卫生标准等的要求。</w:t>
      </w:r>
    </w:p>
    <w:p>
      <w:pPr>
        <w:spacing w:before="107" w:line="298" w:lineRule="auto"/>
        <w:ind w:left="5" w:right="177" w:firstLine="4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6.7.4 承包人应为任何已完成的、正在施工的和将要进行的任何永久和临时工程、材料、物</w:t>
      </w:r>
      <w:r>
        <w:rPr>
          <w:rFonts w:ascii="宋体" w:hAnsi="宋体" w:eastAsia="宋体" w:cs="宋体"/>
          <w:color w:val="auto"/>
          <w:spacing w:val="14"/>
          <w:sz w:val="21"/>
          <w:szCs w:val="21"/>
          <w:highlight w:val="none"/>
        </w:rPr>
        <w:t xml:space="preserve"> </w:t>
      </w:r>
      <w:r>
        <w:rPr>
          <w:rFonts w:ascii="宋体" w:hAnsi="宋体" w:eastAsia="宋体" w:cs="宋体"/>
          <w:color w:val="auto"/>
          <w:spacing w:val="-2"/>
          <w:sz w:val="21"/>
          <w:szCs w:val="21"/>
          <w:highlight w:val="none"/>
        </w:rPr>
        <w:t>品、设备、以及因永久工程施工而暴露的任何毗邻财产提供必要的覆盖和保护措施，</w:t>
      </w:r>
      <w:r>
        <w:rPr>
          <w:rFonts w:ascii="宋体" w:hAnsi="宋体" w:eastAsia="宋体" w:cs="宋体"/>
          <w:color w:val="auto"/>
          <w:spacing w:val="47"/>
          <w:sz w:val="21"/>
          <w:szCs w:val="21"/>
          <w:highlight w:val="none"/>
        </w:rPr>
        <w:t xml:space="preserve"> </w:t>
      </w:r>
      <w:r>
        <w:rPr>
          <w:rFonts w:ascii="宋体" w:hAnsi="宋体" w:eastAsia="宋体" w:cs="宋体"/>
          <w:color w:val="auto"/>
          <w:spacing w:val="-2"/>
          <w:sz w:val="21"/>
          <w:szCs w:val="21"/>
          <w:highlight w:val="none"/>
        </w:rPr>
        <w:t>以避免恶劣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天气影响工程施工和造成损失。保护措施包括必要的冬季供</w:t>
      </w:r>
      <w:r>
        <w:rPr>
          <w:rFonts w:ascii="宋体" w:hAnsi="宋体" w:eastAsia="宋体" w:cs="宋体"/>
          <w:color w:val="auto"/>
          <w:spacing w:val="1"/>
          <w:sz w:val="21"/>
          <w:szCs w:val="21"/>
          <w:highlight w:val="none"/>
        </w:rPr>
        <w:t>暖、雨季用阻燃防水油布覆盖、额外</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的临时仓库等等。因承包人措施不得力或不到位而给工程带</w:t>
      </w:r>
      <w:r>
        <w:rPr>
          <w:rFonts w:ascii="宋体" w:hAnsi="宋体" w:eastAsia="宋体" w:cs="宋体"/>
          <w:color w:val="auto"/>
          <w:spacing w:val="1"/>
          <w:sz w:val="21"/>
          <w:szCs w:val="21"/>
          <w:highlight w:val="none"/>
        </w:rPr>
        <w:t>来的任何损失或损害由承包人自己负</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责。</w:t>
      </w:r>
    </w:p>
    <w:p>
      <w:pPr>
        <w:spacing w:before="107" w:line="268" w:lineRule="auto"/>
        <w:ind w:left="4" w:right="179" w:firstLine="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6.7.5 在工程施工期间，承包人应始终避免现场出现不必要的障碍物， 妥当存放并处置施工</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设备和多余的材料，</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及时从现场清除运走任何废料、垃圾或不再需要的</w:t>
      </w:r>
      <w:r>
        <w:rPr>
          <w:rFonts w:ascii="宋体" w:hAnsi="宋体" w:eastAsia="宋体" w:cs="宋体"/>
          <w:color w:val="auto"/>
          <w:spacing w:val="-3"/>
          <w:sz w:val="21"/>
          <w:szCs w:val="21"/>
          <w:highlight w:val="none"/>
        </w:rPr>
        <w:t>临时工程和设施。</w:t>
      </w:r>
    </w:p>
    <w:p>
      <w:pPr>
        <w:spacing w:before="108" w:line="293" w:lineRule="auto"/>
        <w:ind w:right="177"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6.7.6 承包人应为现场的工人和其他所有工作人员提供符合卫生要求的厕所， 厕所应贴有磁</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砖并带手动或自动冲刷设备和洗手盆；承包人负责支付与该厕所相关</w:t>
      </w:r>
      <w:r>
        <w:rPr>
          <w:rFonts w:ascii="宋体" w:hAnsi="宋体" w:eastAsia="宋体" w:cs="宋体"/>
          <w:color w:val="auto"/>
          <w:spacing w:val="1"/>
          <w:sz w:val="21"/>
          <w:szCs w:val="21"/>
          <w:highlight w:val="none"/>
        </w:rPr>
        <w:t>的所有费用，并在工程竣工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时，从现场拆除。承包人应在工作区域设立必要的临时厕所，并安排</w:t>
      </w:r>
      <w:r>
        <w:rPr>
          <w:rFonts w:ascii="宋体" w:hAnsi="宋体" w:eastAsia="宋体" w:cs="宋体"/>
          <w:color w:val="auto"/>
          <w:spacing w:val="1"/>
          <w:sz w:val="21"/>
          <w:szCs w:val="21"/>
          <w:highlight w:val="none"/>
        </w:rPr>
        <w:t>专门人员负责看护和定时清</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理，以确保现场免于随地大小便的污染。</w:t>
      </w:r>
    </w:p>
    <w:p>
      <w:pPr>
        <w:spacing w:before="108" w:line="269" w:lineRule="auto"/>
        <w:ind w:left="1" w:right="187"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6.7.7 承包人应在现场设立固定的垃圾临时存放点并在各楼层或区域设立必要的垃圾箱；所</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有垃圾必须在当天清除出现场， 并按有关行政管理部门的规定，运送到指定的垃圾消纳场。</w:t>
      </w:r>
    </w:p>
    <w:p>
      <w:pPr>
        <w:spacing w:before="110" w:line="292" w:lineRule="auto"/>
        <w:ind w:right="177"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6.7.8 承包人应对离场垃圾和所有车辆进行防遗洒</w:t>
      </w:r>
      <w:r>
        <w:rPr>
          <w:rFonts w:ascii="宋体" w:hAnsi="宋体" w:eastAsia="宋体" w:cs="宋体"/>
          <w:color w:val="auto"/>
          <w:spacing w:val="1"/>
          <w:sz w:val="21"/>
          <w:szCs w:val="21"/>
          <w:highlight w:val="none"/>
        </w:rPr>
        <w:t>和防污染公共道路的处理。承包人在运输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任何材料的过程中，应采取一切必要的措施，防止遗洒和污染公共道路； 一旦出现上述遗洒或污</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染现象， 承包人应立即采取措施进行清扫，并承担</w:t>
      </w:r>
      <w:r>
        <w:rPr>
          <w:rFonts w:ascii="宋体" w:hAnsi="宋体" w:eastAsia="宋体" w:cs="宋体"/>
          <w:color w:val="auto"/>
          <w:spacing w:val="-2"/>
          <w:sz w:val="21"/>
          <w:szCs w:val="21"/>
          <w:highlight w:val="none"/>
        </w:rPr>
        <w:t>所有费用。承包人在混凝土浇注、材料运输、</w:t>
      </w:r>
      <w:r>
        <w:rPr>
          <w:rFonts w:ascii="宋体" w:hAnsi="宋体" w:eastAsia="宋体" w:cs="宋体"/>
          <w:color w:val="auto"/>
          <w:sz w:val="21"/>
          <w:szCs w:val="21"/>
          <w:highlight w:val="none"/>
        </w:rPr>
        <w:t xml:space="preserve"> 材料装卸、现场清理等工作中应采取一切必要的措施防止影响公共交</w:t>
      </w:r>
      <w:r>
        <w:rPr>
          <w:rFonts w:ascii="宋体" w:hAnsi="宋体" w:eastAsia="宋体" w:cs="宋体"/>
          <w:color w:val="auto"/>
          <w:spacing w:val="-1"/>
          <w:sz w:val="21"/>
          <w:szCs w:val="21"/>
          <w:highlight w:val="none"/>
        </w:rPr>
        <w:t>通。</w:t>
      </w:r>
    </w:p>
    <w:p>
      <w:pPr>
        <w:spacing w:before="113" w:line="297" w:lineRule="auto"/>
        <w:ind w:left="1" w:right="171"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6.7.9 承包人应当制订成品保护措施计划，并提供</w:t>
      </w:r>
      <w:r>
        <w:rPr>
          <w:rFonts w:ascii="宋体" w:hAnsi="宋体" w:eastAsia="宋体" w:cs="宋体"/>
          <w:color w:val="auto"/>
          <w:spacing w:val="1"/>
          <w:sz w:val="21"/>
          <w:szCs w:val="21"/>
          <w:highlight w:val="none"/>
        </w:rPr>
        <w:t>必要的人员、材料和设备用于整个工程的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成品保护，包括对已完成的所有分包人和独立承包人（如果有）的工程或工</w:t>
      </w:r>
      <w:r>
        <w:rPr>
          <w:rFonts w:ascii="宋体" w:hAnsi="宋体" w:eastAsia="宋体" w:cs="宋体"/>
          <w:color w:val="auto"/>
          <w:spacing w:val="1"/>
          <w:sz w:val="21"/>
          <w:szCs w:val="21"/>
          <w:highlight w:val="none"/>
        </w:rPr>
        <w:t>作的保护，防止已完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工作遭受任何损坏或破坏。成品保护措施应当合理安排工序，并包</w:t>
      </w:r>
      <w:r>
        <w:rPr>
          <w:rFonts w:ascii="宋体" w:hAnsi="宋体" w:eastAsia="宋体" w:cs="宋体"/>
          <w:color w:val="auto"/>
          <w:spacing w:val="1"/>
          <w:sz w:val="21"/>
          <w:szCs w:val="21"/>
          <w:highlight w:val="none"/>
        </w:rPr>
        <w:t>括工作面移交制度和责任赔偿</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制度。成品保护措施计划最迟应当在任何专业分包人或独立承包人进场施工前不少于</w:t>
      </w:r>
      <w:r>
        <w:rPr>
          <w:rFonts w:ascii="宋体" w:hAnsi="宋体" w:eastAsia="宋体" w:cs="宋体"/>
          <w:color w:val="auto"/>
          <w:spacing w:val="-35"/>
          <w:sz w:val="21"/>
          <w:szCs w:val="21"/>
          <w:highlight w:val="none"/>
        </w:rPr>
        <w:t xml:space="preserve"> </w:t>
      </w:r>
      <w:r>
        <w:rPr>
          <w:rFonts w:ascii="宋体" w:hAnsi="宋体" w:eastAsia="宋体" w:cs="宋体"/>
          <w:color w:val="auto"/>
          <w:spacing w:val="-1"/>
          <w:sz w:val="21"/>
          <w:szCs w:val="21"/>
          <w:highlight w:val="none"/>
        </w:rPr>
        <w:t>28</w:t>
      </w:r>
      <w:r>
        <w:rPr>
          <w:rFonts w:ascii="宋体" w:hAnsi="宋体" w:eastAsia="宋体" w:cs="宋体"/>
          <w:color w:val="auto"/>
          <w:spacing w:val="-55"/>
          <w:sz w:val="21"/>
          <w:szCs w:val="21"/>
          <w:highlight w:val="none"/>
        </w:rPr>
        <w:t xml:space="preserve"> </w:t>
      </w:r>
      <w:r>
        <w:rPr>
          <w:rFonts w:ascii="宋体" w:hAnsi="宋体" w:eastAsia="宋体" w:cs="宋体"/>
          <w:color w:val="auto"/>
          <w:spacing w:val="-1"/>
          <w:sz w:val="21"/>
          <w:szCs w:val="21"/>
          <w:highlight w:val="none"/>
        </w:rPr>
        <w:t>天报监理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人审批。</w:t>
      </w:r>
    </w:p>
    <w:p>
      <w:pPr>
        <w:spacing w:before="108" w:line="221" w:lineRule="auto"/>
        <w:ind w:left="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6.7.10</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文明施工方面的其他要求如下：</w:t>
      </w:r>
    </w:p>
    <w:p>
      <w:pPr>
        <w:tabs>
          <w:tab w:val="left" w:pos="8079"/>
        </w:tabs>
        <w:spacing w:before="259" w:line="159" w:lineRule="auto"/>
        <w:ind w:left="729"/>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73" w:line="221" w:lineRule="auto"/>
        <w:ind w:left="2"/>
        <w:outlineLvl w:val="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6.8</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环境保护</w:t>
      </w:r>
    </w:p>
    <w:p>
      <w:pPr>
        <w:spacing w:before="111" w:line="285" w:lineRule="auto"/>
        <w:ind w:left="1" w:right="177"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6.8.1 在工程施工、完工及修补任何缺陷的过程中， 承包人应当始终遵守国家和工程所在地</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有关环境保护、水土保护和污染防治的法律、法规、规章、规范、</w:t>
      </w:r>
      <w:r>
        <w:rPr>
          <w:rFonts w:ascii="宋体" w:hAnsi="宋体" w:eastAsia="宋体" w:cs="宋体"/>
          <w:color w:val="auto"/>
          <w:spacing w:val="1"/>
          <w:sz w:val="21"/>
          <w:szCs w:val="21"/>
          <w:highlight w:val="none"/>
        </w:rPr>
        <w:t>标准和规程等，按照通用合同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条款第</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4.1.6</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项和第</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9.4</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款的约定履行其环</w:t>
      </w:r>
      <w:r>
        <w:rPr>
          <w:rFonts w:ascii="宋体" w:hAnsi="宋体" w:eastAsia="宋体" w:cs="宋体"/>
          <w:color w:val="auto"/>
          <w:spacing w:val="-2"/>
          <w:sz w:val="21"/>
          <w:szCs w:val="21"/>
          <w:highlight w:val="none"/>
        </w:rPr>
        <w:t>境与生态保护职责。</w:t>
      </w:r>
    </w:p>
    <w:p>
      <w:pPr>
        <w:spacing w:before="108" w:line="285" w:lineRule="auto"/>
        <w:ind w:right="177"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6.8.2 承包人应按合同约定和监理人指示，接受国家和地方环境保护行政主管</w:t>
      </w:r>
      <w:r>
        <w:rPr>
          <w:rFonts w:ascii="宋体" w:hAnsi="宋体" w:eastAsia="宋体" w:cs="宋体"/>
          <w:color w:val="auto"/>
          <w:sz w:val="21"/>
          <w:szCs w:val="21"/>
          <w:highlight w:val="none"/>
        </w:rPr>
        <w:t xml:space="preserve">部门的监督、 </w:t>
      </w:r>
      <w:r>
        <w:rPr>
          <w:rFonts w:ascii="宋体" w:hAnsi="宋体" w:eastAsia="宋体" w:cs="宋体"/>
          <w:color w:val="auto"/>
          <w:spacing w:val="2"/>
          <w:sz w:val="21"/>
          <w:szCs w:val="21"/>
          <w:highlight w:val="none"/>
        </w:rPr>
        <w:t>监测和检查。承包人应对其违反现行法律、法规、规章、规范、标准和</w:t>
      </w:r>
      <w:r>
        <w:rPr>
          <w:rFonts w:ascii="宋体" w:hAnsi="宋体" w:eastAsia="宋体" w:cs="宋体"/>
          <w:color w:val="auto"/>
          <w:spacing w:val="1"/>
          <w:sz w:val="21"/>
          <w:szCs w:val="21"/>
          <w:highlight w:val="none"/>
        </w:rPr>
        <w:t>规程等以及本合同约定所</w:t>
      </w:r>
      <w:r>
        <w:rPr>
          <w:rFonts w:ascii="宋体" w:hAnsi="宋体" w:eastAsia="宋体" w:cs="宋体"/>
          <w:color w:val="auto"/>
          <w:sz w:val="21"/>
          <w:szCs w:val="21"/>
          <w:highlight w:val="none"/>
        </w:rPr>
        <w:t xml:space="preserve"> 造成的环境污染、水土流失、人员伤害和财产损失等承担赔偿责</w:t>
      </w:r>
      <w:r>
        <w:rPr>
          <w:rFonts w:ascii="宋体" w:hAnsi="宋体" w:eastAsia="宋体" w:cs="宋体"/>
          <w:color w:val="auto"/>
          <w:spacing w:val="-1"/>
          <w:sz w:val="21"/>
          <w:szCs w:val="21"/>
          <w:highlight w:val="none"/>
        </w:rPr>
        <w:t>任。</w:t>
      </w:r>
    </w:p>
    <w:p>
      <w:pPr>
        <w:spacing w:before="110" w:line="284" w:lineRule="auto"/>
        <w:ind w:left="5" w:firstLine="41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6.8.3 承包人制订施工方案和组织措施时应当</w:t>
      </w:r>
      <w:r>
        <w:rPr>
          <w:rFonts w:ascii="宋体" w:hAnsi="宋体" w:eastAsia="宋体" w:cs="宋体"/>
          <w:color w:val="auto"/>
          <w:spacing w:val="-2"/>
          <w:sz w:val="21"/>
          <w:szCs w:val="21"/>
          <w:highlight w:val="none"/>
        </w:rPr>
        <w:t>同步考虑环境和资源保护， 包括水土资源保护、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噪声、振动和照明污染防治、固体废弃物处理、污水和废气处理、粉尘和扬尘控制、道路污染防  </w:t>
      </w:r>
      <w:r>
        <w:rPr>
          <w:rFonts w:ascii="宋体" w:hAnsi="宋体" w:eastAsia="宋体" w:cs="宋体"/>
          <w:color w:val="auto"/>
          <w:spacing w:val="-1"/>
          <w:sz w:val="21"/>
          <w:szCs w:val="21"/>
          <w:highlight w:val="none"/>
        </w:rPr>
        <w:t>治、卫生防疫、禁止有害材料、节能减排以及不可再生资源的循环使用等因素。</w:t>
      </w:r>
    </w:p>
    <w:p>
      <w:pPr>
        <w:spacing w:before="111" w:line="268" w:lineRule="auto"/>
        <w:ind w:right="173"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6.8.4 承包人应当做好施工场地（现场）范围内各项工程的开挖支护、截水、降水</w:t>
      </w:r>
      <w:r>
        <w:rPr>
          <w:rFonts w:ascii="宋体" w:hAnsi="宋体" w:eastAsia="宋体" w:cs="宋体"/>
          <w:color w:val="auto"/>
          <w:sz w:val="21"/>
          <w:szCs w:val="21"/>
          <w:highlight w:val="none"/>
        </w:rPr>
        <w:t xml:space="preserve">、灌浆、 </w:t>
      </w:r>
      <w:r>
        <w:rPr>
          <w:rFonts w:ascii="宋体" w:hAnsi="宋体" w:eastAsia="宋体" w:cs="宋体"/>
          <w:color w:val="auto"/>
          <w:spacing w:val="2"/>
          <w:sz w:val="21"/>
          <w:szCs w:val="21"/>
          <w:highlight w:val="none"/>
        </w:rPr>
        <w:t>衬砌、挡护结构及排水等工程防护措施。施工场地（现场）内所有边坡应当采</w:t>
      </w:r>
      <w:r>
        <w:rPr>
          <w:rFonts w:ascii="宋体" w:hAnsi="宋体" w:eastAsia="宋体" w:cs="宋体"/>
          <w:color w:val="auto"/>
          <w:spacing w:val="1"/>
          <w:sz w:val="21"/>
          <w:szCs w:val="21"/>
          <w:highlight w:val="none"/>
        </w:rPr>
        <w:t>取有效的水土流失</w:t>
      </w:r>
    </w:p>
    <w:p>
      <w:pPr>
        <w:spacing w:line="268" w:lineRule="auto"/>
        <w:rPr>
          <w:rFonts w:ascii="宋体" w:hAnsi="宋体" w:eastAsia="宋体" w:cs="宋体"/>
          <w:color w:val="auto"/>
          <w:sz w:val="21"/>
          <w:szCs w:val="21"/>
          <w:highlight w:val="none"/>
        </w:rPr>
        <w:sectPr>
          <w:footerReference r:id="rId117" w:type="default"/>
          <w:pgSz w:w="11907" w:h="16841"/>
          <w:pgMar w:top="400" w:right="1353" w:bottom="1143" w:left="1481"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68" w:line="285" w:lineRule="auto"/>
        <w:ind w:left="2" w:right="15" w:firstLine="12"/>
        <w:jc w:val="both"/>
        <w:rPr>
          <w:rFonts w:ascii="宋体" w:hAnsi="宋体" w:eastAsia="宋体" w:cs="宋体"/>
          <w:color w:val="auto"/>
          <w:sz w:val="21"/>
          <w:szCs w:val="21"/>
          <w:highlight w:val="none"/>
        </w:rPr>
      </w:pPr>
      <w:bookmarkStart w:id="388" w:name="bookmark428"/>
      <w:bookmarkEnd w:id="388"/>
      <w:r>
        <w:rPr>
          <w:rFonts w:ascii="宋体" w:hAnsi="宋体" w:eastAsia="宋体" w:cs="宋体"/>
          <w:color w:val="auto"/>
          <w:spacing w:val="-2"/>
          <w:sz w:val="21"/>
          <w:szCs w:val="21"/>
          <w:highlight w:val="none"/>
        </w:rPr>
        <w:t xml:space="preserve">防治和保持措施。承包人采用的降水方案应当充分考虑对地下水的保护和合理使用， 如果国家和  </w:t>
      </w:r>
      <w:r>
        <w:rPr>
          <w:rFonts w:ascii="宋体" w:hAnsi="宋体" w:eastAsia="宋体" w:cs="宋体"/>
          <w:color w:val="auto"/>
          <w:spacing w:val="1"/>
          <w:sz w:val="21"/>
          <w:szCs w:val="21"/>
          <w:highlight w:val="none"/>
        </w:rPr>
        <w:t>（或）地方人民政府有特别规定的，承包人应当遵守</w:t>
      </w:r>
      <w:r>
        <w:rPr>
          <w:rFonts w:ascii="宋体" w:hAnsi="宋体" w:eastAsia="宋体" w:cs="宋体"/>
          <w:color w:val="auto"/>
          <w:sz w:val="21"/>
          <w:szCs w:val="21"/>
          <w:highlight w:val="none"/>
        </w:rPr>
        <w:t xml:space="preserve">有关规定。承包人还应设置完善的排水系统， </w:t>
      </w:r>
      <w:r>
        <w:rPr>
          <w:rFonts w:ascii="宋体" w:hAnsi="宋体" w:eastAsia="宋体" w:cs="宋体"/>
          <w:color w:val="auto"/>
          <w:spacing w:val="-2"/>
          <w:sz w:val="21"/>
          <w:szCs w:val="21"/>
          <w:highlight w:val="none"/>
        </w:rPr>
        <w:t>保持施工场地（现场）始终处于良好的排水</w:t>
      </w:r>
      <w:r>
        <w:rPr>
          <w:rFonts w:ascii="宋体" w:hAnsi="宋体" w:eastAsia="宋体" w:cs="宋体"/>
          <w:color w:val="auto"/>
          <w:spacing w:val="-3"/>
          <w:sz w:val="21"/>
          <w:szCs w:val="21"/>
          <w:highlight w:val="none"/>
        </w:rPr>
        <w:t>状态， 防止降雨径流对施工场地（现场）的冲刷。</w:t>
      </w:r>
    </w:p>
    <w:p>
      <w:pPr>
        <w:spacing w:before="106" w:line="301" w:lineRule="auto"/>
        <w:ind w:left="2" w:right="16"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6.8.5 承包人应当确保其所提供的材料、</w:t>
      </w:r>
      <w:r>
        <w:rPr>
          <w:rFonts w:ascii="宋体" w:hAnsi="宋体" w:eastAsia="宋体" w:cs="宋体"/>
          <w:color w:val="auto"/>
          <w:sz w:val="21"/>
          <w:szCs w:val="21"/>
          <w:highlight w:val="none"/>
        </w:rPr>
        <w:t xml:space="preserve">工程设备、施工设备和其他材料都是绿色环保产品， </w:t>
      </w:r>
      <w:r>
        <w:rPr>
          <w:rFonts w:ascii="宋体" w:hAnsi="宋体" w:eastAsia="宋体" w:cs="宋体"/>
          <w:color w:val="auto"/>
          <w:spacing w:val="1"/>
          <w:sz w:val="21"/>
          <w:szCs w:val="21"/>
          <w:highlight w:val="none"/>
        </w:rPr>
        <w:t>列入国家强制认证产品名录的，还应当是通过国家强制认证的产品。承包人不得在任何临时和永</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久性工程中使用任何政府明令禁止使用的对人体有害的任何材料（如放射性材料、石棉制品等）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和方法，</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同时也不得在永久性工程中使用政府虽未明令禁止但会给居住或使用人带来不适</w:t>
      </w:r>
      <w:r>
        <w:rPr>
          <w:rFonts w:ascii="宋体" w:hAnsi="宋体" w:eastAsia="宋体" w:cs="宋体"/>
          <w:color w:val="auto"/>
          <w:spacing w:val="-3"/>
          <w:sz w:val="21"/>
          <w:szCs w:val="21"/>
          <w:highlight w:val="none"/>
        </w:rPr>
        <w:t xml:space="preserve">感觉或  </w:t>
      </w:r>
      <w:r>
        <w:rPr>
          <w:rFonts w:ascii="宋体" w:hAnsi="宋体" w:eastAsia="宋体" w:cs="宋体"/>
          <w:color w:val="auto"/>
          <w:spacing w:val="-1"/>
          <w:sz w:val="21"/>
          <w:szCs w:val="21"/>
          <w:highlight w:val="none"/>
        </w:rPr>
        <w:t>味觉的任何材料和添加剂等；承包人应在其施工环保措施计划</w:t>
      </w:r>
      <w:r>
        <w:rPr>
          <w:rFonts w:ascii="宋体" w:hAnsi="宋体" w:eastAsia="宋体" w:cs="宋体"/>
          <w:color w:val="auto"/>
          <w:spacing w:val="-2"/>
          <w:sz w:val="21"/>
          <w:szCs w:val="21"/>
          <w:highlight w:val="none"/>
        </w:rPr>
        <w:t xml:space="preserve">中明确防止误用的保证措施； 承包  </w:t>
      </w:r>
      <w:r>
        <w:rPr>
          <w:rFonts w:ascii="宋体" w:hAnsi="宋体" w:eastAsia="宋体" w:cs="宋体"/>
          <w:color w:val="auto"/>
          <w:spacing w:val="-1"/>
          <w:sz w:val="21"/>
          <w:szCs w:val="21"/>
          <w:highlight w:val="none"/>
        </w:rPr>
        <w:t>人违背此项约定的责任和后果全部由承包人承担。</w:t>
      </w:r>
    </w:p>
    <w:p>
      <w:pPr>
        <w:spacing w:before="107" w:line="285" w:lineRule="auto"/>
        <w:ind w:left="3" w:right="177" w:firstLine="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6.8.6 承包人应为防止进出场的车辆的遗洒和轮胎</w:t>
      </w:r>
      <w:r>
        <w:rPr>
          <w:rFonts w:ascii="宋体" w:hAnsi="宋体" w:eastAsia="宋体" w:cs="宋体"/>
          <w:color w:val="auto"/>
          <w:spacing w:val="1"/>
          <w:sz w:val="21"/>
          <w:szCs w:val="21"/>
          <w:highlight w:val="none"/>
        </w:rPr>
        <w:t>夹带物等污染周边和公共道路等行为制定</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并落实必要的措施，这类措施应至少包括在现场出入口设立冲刷池</w:t>
      </w:r>
      <w:r>
        <w:rPr>
          <w:rFonts w:ascii="宋体" w:hAnsi="宋体" w:eastAsia="宋体" w:cs="宋体"/>
          <w:color w:val="auto"/>
          <w:spacing w:val="1"/>
          <w:sz w:val="21"/>
          <w:szCs w:val="21"/>
          <w:highlight w:val="none"/>
        </w:rPr>
        <w:t>、对现场道路做硬化处理和采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用密闭车厢或者对车厢进行必要的覆盖等等。</w:t>
      </w:r>
    </w:p>
    <w:p>
      <w:pPr>
        <w:spacing w:before="110" w:line="292" w:lineRule="auto"/>
        <w:ind w:left="1"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6.8.7 承包人应当保证施工生产用水和生活用水符合国家有关标准的规定。承包</w:t>
      </w:r>
      <w:r>
        <w:rPr>
          <w:rFonts w:ascii="宋体" w:hAnsi="宋体" w:eastAsia="宋体" w:cs="宋体"/>
          <w:color w:val="auto"/>
          <w:sz w:val="21"/>
          <w:szCs w:val="21"/>
          <w:highlight w:val="none"/>
        </w:rPr>
        <w:t xml:space="preserve">人还应建设、 </w:t>
      </w:r>
      <w:r>
        <w:rPr>
          <w:rFonts w:ascii="宋体" w:hAnsi="宋体" w:eastAsia="宋体" w:cs="宋体"/>
          <w:color w:val="auto"/>
          <w:spacing w:val="3"/>
          <w:sz w:val="21"/>
          <w:szCs w:val="21"/>
          <w:highlight w:val="none"/>
        </w:rPr>
        <w:t>运行和维护施工生产和生活污水收集和处理系统（包括排污口接入</w:t>
      </w:r>
      <w:r>
        <w:rPr>
          <w:rFonts w:ascii="宋体" w:hAnsi="宋体" w:eastAsia="宋体" w:cs="宋体"/>
          <w:color w:val="auto"/>
          <w:spacing w:val="-33"/>
          <w:sz w:val="21"/>
          <w:szCs w:val="21"/>
          <w:highlight w:val="none"/>
        </w:rPr>
        <w:t>），</w:t>
      </w:r>
      <w:r>
        <w:rPr>
          <w:rFonts w:ascii="宋体" w:hAnsi="宋体" w:eastAsia="宋体" w:cs="宋体"/>
          <w:color w:val="auto"/>
          <w:spacing w:val="3"/>
          <w:sz w:val="21"/>
          <w:szCs w:val="21"/>
          <w:highlight w:val="none"/>
        </w:rPr>
        <w:t xml:space="preserve">建立符合排放标准的临时  </w:t>
      </w:r>
      <w:r>
        <w:rPr>
          <w:rFonts w:ascii="宋体" w:hAnsi="宋体" w:eastAsia="宋体" w:cs="宋体"/>
          <w:color w:val="auto"/>
          <w:spacing w:val="1"/>
          <w:sz w:val="21"/>
          <w:szCs w:val="21"/>
          <w:highlight w:val="none"/>
        </w:rPr>
        <w:t xml:space="preserve">沉淀池和化粪池等，不得将未处理的污水直接或间接排放或造成地表水体、地下水体或生产和生  </w:t>
      </w:r>
      <w:r>
        <w:rPr>
          <w:rFonts w:ascii="宋体" w:hAnsi="宋体" w:eastAsia="宋体" w:cs="宋体"/>
          <w:color w:val="auto"/>
          <w:spacing w:val="-3"/>
          <w:sz w:val="21"/>
          <w:szCs w:val="21"/>
          <w:highlight w:val="none"/>
        </w:rPr>
        <w:t>活供水系统的污染。</w:t>
      </w:r>
    </w:p>
    <w:p>
      <w:pPr>
        <w:spacing w:before="111" w:line="297" w:lineRule="auto"/>
        <w:ind w:right="175" w:firstLine="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6.8.8 承包人应当采取有效措施，建立相应的过滤</w:t>
      </w:r>
      <w:r>
        <w:rPr>
          <w:rFonts w:ascii="宋体" w:hAnsi="宋体" w:eastAsia="宋体" w:cs="宋体"/>
          <w:color w:val="auto"/>
          <w:spacing w:val="1"/>
          <w:sz w:val="21"/>
          <w:szCs w:val="21"/>
          <w:highlight w:val="none"/>
        </w:rPr>
        <w:t>、分离、分解或沉淀等处理系统，不得让</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有害物质（如燃料、油料、化学品、酸等，以及超过剂量的有害气体和尘埃、污水、泥土或水、 </w:t>
      </w:r>
      <w:r>
        <w:rPr>
          <w:rFonts w:ascii="宋体" w:hAnsi="宋体" w:eastAsia="宋体" w:cs="宋体"/>
          <w:color w:val="auto"/>
          <w:spacing w:val="2"/>
          <w:sz w:val="21"/>
          <w:szCs w:val="21"/>
          <w:highlight w:val="none"/>
        </w:rPr>
        <w:t>弃渣等）污染施工场地（现场）及其周边环境。承包人施工工序、工作时间安</w:t>
      </w:r>
      <w:r>
        <w:rPr>
          <w:rFonts w:ascii="宋体" w:hAnsi="宋体" w:eastAsia="宋体" w:cs="宋体"/>
          <w:color w:val="auto"/>
          <w:spacing w:val="1"/>
          <w:sz w:val="21"/>
          <w:szCs w:val="21"/>
          <w:highlight w:val="none"/>
        </w:rPr>
        <w:t>排和施工设备的配</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置应当充分考虑降低噪声和照明等对施工场地 （现场）周边生产和生活的影响，并满足国家和</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地方政府有关规定的要求。</w:t>
      </w:r>
    </w:p>
    <w:p>
      <w:pPr>
        <w:spacing w:before="110" w:line="221"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6.8.9</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环境保护方面的其他要求如下：</w:t>
      </w:r>
    </w:p>
    <w:p>
      <w:pPr>
        <w:pStyle w:val="2"/>
        <w:spacing w:line="281" w:lineRule="auto"/>
        <w:rPr>
          <w:color w:val="auto"/>
          <w:highlight w:val="none"/>
        </w:rPr>
      </w:pPr>
    </w:p>
    <w:p>
      <w:pPr>
        <w:tabs>
          <w:tab w:val="left" w:pos="8080"/>
        </w:tabs>
        <w:spacing w:before="26" w:line="159" w:lineRule="auto"/>
        <w:ind w:left="73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246" w:line="220" w:lineRule="auto"/>
        <w:ind w:left="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6.9</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施工环保措施计划</w:t>
      </w:r>
    </w:p>
    <w:p>
      <w:pPr>
        <w:spacing w:before="177" w:line="269" w:lineRule="auto"/>
        <w:ind w:left="1" w:right="171"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6.9.1 通用合同条款第 9.4.2 项约定的施工环保措施计划是承包人阐明环保方针和拟采用的</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rPr>
        <w:t>环保措施及方法等的文件，其内容应包括但</w:t>
      </w:r>
      <w:r>
        <w:rPr>
          <w:rFonts w:ascii="宋体" w:hAnsi="宋体" w:eastAsia="宋体" w:cs="宋体"/>
          <w:color w:val="auto"/>
          <w:spacing w:val="-1"/>
          <w:sz w:val="21"/>
          <w:szCs w:val="21"/>
          <w:highlight w:val="none"/>
        </w:rPr>
        <w:t>不限于：</w:t>
      </w:r>
    </w:p>
    <w:p>
      <w:pPr>
        <w:spacing w:before="109" w:line="36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（1）承包人生活区（如果有）的生活用水和生活污水处理措施；</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（2）施工生产废水处理措施；</w:t>
      </w:r>
    </w:p>
    <w:p>
      <w:pPr>
        <w:spacing w:before="109" w:line="36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（3）施工扬尘和废气的处理措施；</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（4）施工噪声和光污染控制措施；</w:t>
      </w:r>
    </w:p>
    <w:p>
      <w:pPr>
        <w:spacing w:before="109"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（5）节能减排措施；</w:t>
      </w:r>
    </w:p>
    <w:p>
      <w:pPr>
        <w:spacing w:before="109" w:line="36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（6）不可再生资源循环利用措施；</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（7）固体废弃物处理措施；</w:t>
      </w:r>
    </w:p>
    <w:p>
      <w:pPr>
        <w:spacing w:before="110" w:line="360" w:lineRule="exact"/>
        <w:ind w:left="427"/>
        <w:rPr>
          <w:rFonts w:ascii="宋体" w:hAnsi="宋体" w:eastAsia="宋体" w:cs="宋体"/>
          <w:color w:val="auto"/>
          <w:sz w:val="21"/>
          <w:szCs w:val="21"/>
          <w:highlight w:val="none"/>
        </w:rPr>
      </w:pPr>
      <w:r>
        <w:rPr>
          <w:rFonts w:ascii="宋体" w:hAnsi="宋体" w:eastAsia="宋体" w:cs="宋体"/>
          <w:color w:val="auto"/>
          <w:spacing w:val="-3"/>
          <w:position w:val="11"/>
          <w:sz w:val="21"/>
          <w:szCs w:val="21"/>
          <w:highlight w:val="none"/>
        </w:rPr>
        <w:t>（8）人群健康保护和卫生防疫措施；</w:t>
      </w:r>
    </w:p>
    <w:p>
      <w:pPr>
        <w:spacing w:before="1" w:line="219"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（9）防止误用有害材料的保证措施；</w:t>
      </w:r>
    </w:p>
    <w:p>
      <w:pPr>
        <w:spacing w:before="109"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（10）施工边坡工程的水土流失保护措施；</w:t>
      </w:r>
    </w:p>
    <w:p>
      <w:pPr>
        <w:spacing w:line="221" w:lineRule="auto"/>
        <w:rPr>
          <w:rFonts w:ascii="宋体" w:hAnsi="宋体" w:eastAsia="宋体" w:cs="宋体"/>
          <w:color w:val="auto"/>
          <w:sz w:val="21"/>
          <w:szCs w:val="21"/>
          <w:highlight w:val="none"/>
        </w:rPr>
        <w:sectPr>
          <w:footerReference r:id="rId118" w:type="default"/>
          <w:pgSz w:w="11907" w:h="16841"/>
          <w:pgMar w:top="400" w:right="1353" w:bottom="1143" w:left="1480"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spacing w:before="68"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（11）道路污染防治措施；</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（12）完工后场地清理及其植被（如果有）</w:t>
      </w:r>
      <w:r>
        <w:rPr>
          <w:rFonts w:ascii="宋体" w:hAnsi="宋体" w:eastAsia="宋体" w:cs="宋体"/>
          <w:color w:val="auto"/>
          <w:spacing w:val="-1"/>
          <w:sz w:val="21"/>
          <w:szCs w:val="21"/>
          <w:highlight w:val="none"/>
        </w:rPr>
        <w:t>恢复的规划和措施；</w:t>
      </w:r>
    </w:p>
    <w:p>
      <w:pPr>
        <w:spacing w:before="138" w:line="221"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（13）其他：</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14" w:line="269" w:lineRule="auto"/>
        <w:ind w:left="14" w:right="155" w:firstLine="40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6.9.2 施工环保措施计划应当在专用合同条款第 9.4 款约定的期限内报送监理人。承包人应</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当严格执行经监理人批准的施工环保措施计划，并及时补充</w:t>
      </w:r>
      <w:r>
        <w:rPr>
          <w:rFonts w:ascii="宋体" w:hAnsi="宋体" w:eastAsia="宋体" w:cs="宋体"/>
          <w:color w:val="auto"/>
          <w:spacing w:val="-1"/>
          <w:sz w:val="21"/>
          <w:szCs w:val="21"/>
          <w:highlight w:val="none"/>
        </w:rPr>
        <w:t>、修订和完善施工环保措施计划。</w:t>
      </w:r>
    </w:p>
    <w:p>
      <w:pPr>
        <w:spacing w:before="81" w:line="219" w:lineRule="auto"/>
        <w:ind w:left="2"/>
        <w:rPr>
          <w:rFonts w:ascii="黑体" w:hAnsi="黑体" w:eastAsia="黑体" w:cs="黑体"/>
          <w:color w:val="auto"/>
          <w:sz w:val="28"/>
          <w:szCs w:val="28"/>
          <w:highlight w:val="none"/>
        </w:rPr>
      </w:pPr>
      <w:bookmarkStart w:id="389" w:name="bookmark430"/>
      <w:bookmarkEnd w:id="389"/>
      <w:bookmarkStart w:id="390" w:name="bookmark429"/>
      <w:bookmarkEnd w:id="390"/>
      <w:r>
        <w:rPr>
          <w:rFonts w:ascii="Times New Roman" w:hAnsi="Times New Roman" w:eastAsia="Times New Roman" w:cs="Times New Roman"/>
          <w:color w:val="auto"/>
          <w:spacing w:val="-2"/>
          <w:sz w:val="28"/>
          <w:szCs w:val="28"/>
          <w:highlight w:val="none"/>
        </w:rPr>
        <w:t>7.</w:t>
      </w:r>
      <w:r>
        <w:rPr>
          <w:rFonts w:ascii="黑体" w:hAnsi="黑体" w:eastAsia="黑体" w:cs="黑体"/>
          <w:color w:val="auto"/>
          <w:spacing w:val="-2"/>
          <w:sz w:val="28"/>
          <w:szCs w:val="28"/>
          <w:highlight w:val="none"/>
        </w:rPr>
        <w:t>治安保卫</w:t>
      </w:r>
    </w:p>
    <w:p>
      <w:pPr>
        <w:spacing w:before="93" w:line="285" w:lineRule="auto"/>
        <w:ind w:left="3" w:right="153" w:firstLine="42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7.1</w:t>
      </w:r>
      <w:r>
        <w:rPr>
          <w:rFonts w:ascii="宋体" w:hAnsi="宋体" w:eastAsia="宋体" w:cs="宋体"/>
          <w:color w:val="auto"/>
          <w:spacing w:val="-35"/>
          <w:sz w:val="21"/>
          <w:szCs w:val="21"/>
          <w:highlight w:val="none"/>
        </w:rPr>
        <w:t xml:space="preserve"> </w:t>
      </w:r>
      <w:r>
        <w:rPr>
          <w:rFonts w:ascii="宋体" w:hAnsi="宋体" w:eastAsia="宋体" w:cs="宋体"/>
          <w:color w:val="auto"/>
          <w:spacing w:val="-1"/>
          <w:sz w:val="21"/>
          <w:szCs w:val="21"/>
          <w:highlight w:val="none"/>
        </w:rPr>
        <w:t>承包人应为施工场地（现场）提供</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24</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小时的保安保卫服务，配备足够的保安人员和保安</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设备，防止未经批准的任何人进入现场， 控制人员、材料</w:t>
      </w:r>
      <w:r>
        <w:rPr>
          <w:rFonts w:ascii="宋体" w:hAnsi="宋体" w:eastAsia="宋体" w:cs="宋体"/>
          <w:color w:val="auto"/>
          <w:spacing w:val="-4"/>
          <w:sz w:val="21"/>
          <w:szCs w:val="21"/>
          <w:highlight w:val="none"/>
        </w:rPr>
        <w:t>和设备等的进出场， 防止现场材料、设</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备或其他任何物品的失窃，禁止任何现场内的打架斗殴事件。</w:t>
      </w:r>
    </w:p>
    <w:p>
      <w:pPr>
        <w:spacing w:before="108" w:line="285" w:lineRule="auto"/>
        <w:ind w:right="159"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7.2 承包人的保安人员应是训练有素的专业保安人员</w:t>
      </w:r>
      <w:r>
        <w:rPr>
          <w:rFonts w:ascii="宋体" w:hAnsi="宋体" w:eastAsia="宋体" w:cs="宋体"/>
          <w:color w:val="auto"/>
          <w:spacing w:val="1"/>
          <w:sz w:val="21"/>
          <w:szCs w:val="21"/>
          <w:highlight w:val="none"/>
        </w:rPr>
        <w:t>，承包人可以雇佣专业保安公司负责现</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场保安和保卫；保安保卫制度除规范现场出入大门控制外，还应规定定</w:t>
      </w:r>
      <w:r>
        <w:rPr>
          <w:rFonts w:ascii="宋体" w:hAnsi="宋体" w:eastAsia="宋体" w:cs="宋体"/>
          <w:color w:val="auto"/>
          <w:spacing w:val="6"/>
          <w:sz w:val="21"/>
          <w:szCs w:val="21"/>
          <w:highlight w:val="none"/>
        </w:rPr>
        <w:t>时和不定时的施工场地</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（现场）周边和全现场的保安巡逻。</w:t>
      </w:r>
    </w:p>
    <w:p>
      <w:pPr>
        <w:spacing w:before="107" w:line="285" w:lineRule="auto"/>
        <w:ind w:right="155" w:firstLine="425"/>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7.3 承包人应制定并实施严格的施工场地（现场）出入制度并报监理人审批； 车辆的出入须</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有出入审批制度，并有指定的专人负责管理；人员进出现</w:t>
      </w:r>
      <w:r>
        <w:rPr>
          <w:rFonts w:ascii="宋体" w:hAnsi="宋体" w:eastAsia="宋体" w:cs="宋体"/>
          <w:color w:val="auto"/>
          <w:spacing w:val="-2"/>
          <w:sz w:val="21"/>
          <w:szCs w:val="21"/>
          <w:highlight w:val="none"/>
        </w:rPr>
        <w:t>场应有出入证，</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出入证须以经过监理人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批准的格式印制。</w:t>
      </w:r>
    </w:p>
    <w:p>
      <w:pPr>
        <w:spacing w:before="111" w:line="292" w:lineRule="auto"/>
        <w:ind w:right="158" w:firstLine="425"/>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7.4 承包人应确保任何未经监理人同意的参观人员进入现场； 承包人应准备足够数量的专门</w:t>
      </w:r>
      <w:r>
        <w:rPr>
          <w:rFonts w:ascii="宋体" w:hAnsi="宋体" w:eastAsia="宋体" w:cs="宋体"/>
          <w:color w:val="auto"/>
          <w:spacing w:val="5"/>
          <w:sz w:val="21"/>
          <w:szCs w:val="21"/>
          <w:highlight w:val="none"/>
        </w:rPr>
        <w:t xml:space="preserve"> </w:t>
      </w:r>
      <w:r>
        <w:rPr>
          <w:rFonts w:ascii="宋体" w:hAnsi="宋体" w:eastAsia="宋体" w:cs="宋体"/>
          <w:color w:val="auto"/>
          <w:spacing w:val="2"/>
          <w:sz w:val="21"/>
          <w:szCs w:val="21"/>
          <w:highlight w:val="none"/>
        </w:rPr>
        <w:t>用于参观人员的安全帽并带明显标志，承包人同时应准备一个参观人员</w:t>
      </w:r>
      <w:r>
        <w:rPr>
          <w:rFonts w:ascii="宋体" w:hAnsi="宋体" w:eastAsia="宋体" w:cs="宋体"/>
          <w:color w:val="auto"/>
          <w:spacing w:val="1"/>
          <w:sz w:val="21"/>
          <w:szCs w:val="21"/>
          <w:highlight w:val="none"/>
        </w:rPr>
        <w:t>登记簿用于记录所有参观</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现场人员的姓名、参观目的和参观时间等内容； 承包人应确保每个参观现场的人员了解和遵守现</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场的安全管理规章制度，</w:t>
      </w:r>
      <w:r>
        <w:rPr>
          <w:rFonts w:ascii="宋体" w:hAnsi="宋体" w:eastAsia="宋体" w:cs="宋体"/>
          <w:color w:val="auto"/>
          <w:spacing w:val="-24"/>
          <w:sz w:val="21"/>
          <w:szCs w:val="21"/>
          <w:highlight w:val="none"/>
        </w:rPr>
        <w:t xml:space="preserve"> </w:t>
      </w:r>
      <w:r>
        <w:rPr>
          <w:rFonts w:ascii="宋体" w:hAnsi="宋体" w:eastAsia="宋体" w:cs="宋体"/>
          <w:color w:val="auto"/>
          <w:spacing w:val="-2"/>
          <w:sz w:val="21"/>
          <w:szCs w:val="21"/>
          <w:highlight w:val="none"/>
        </w:rPr>
        <w:t>佩带安全帽，确保所有经发包人和监理人</w:t>
      </w:r>
      <w:r>
        <w:rPr>
          <w:rFonts w:ascii="宋体" w:hAnsi="宋体" w:eastAsia="宋体" w:cs="宋体"/>
          <w:color w:val="auto"/>
          <w:spacing w:val="-3"/>
          <w:sz w:val="21"/>
          <w:szCs w:val="21"/>
          <w:highlight w:val="none"/>
        </w:rPr>
        <w:t>批准的参观人员的人身安全。</w:t>
      </w:r>
    </w:p>
    <w:p>
      <w:pPr>
        <w:spacing w:before="111" w:line="292" w:lineRule="auto"/>
        <w:ind w:right="156"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7.5 承包人应为施工场地（现场）提供和维护符合建设行</w:t>
      </w:r>
      <w:r>
        <w:rPr>
          <w:rFonts w:ascii="宋体" w:hAnsi="宋体" w:eastAsia="宋体" w:cs="宋体"/>
          <w:color w:val="auto"/>
          <w:spacing w:val="1"/>
          <w:sz w:val="21"/>
          <w:szCs w:val="21"/>
          <w:highlight w:val="none"/>
        </w:rPr>
        <w:t>政主管部门和市容管理部门规定的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临时围墙和其他安全维护， 并在工程进度需要时，进行必要的改造。围墙和大门的表面维护应考</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虑定期的修补和重新刷漆， 并应保证所有的乱涂乱画或招贴广告随时被清理。临时围墙和出入大</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门考虑必要的照明， 照明系统要满足现场安全保卫和美观的</w:t>
      </w:r>
      <w:r>
        <w:rPr>
          <w:rFonts w:ascii="宋体" w:hAnsi="宋体" w:eastAsia="宋体" w:cs="宋体"/>
          <w:color w:val="auto"/>
          <w:spacing w:val="-5"/>
          <w:sz w:val="21"/>
          <w:szCs w:val="21"/>
          <w:highlight w:val="none"/>
        </w:rPr>
        <w:t>要求。</w:t>
      </w:r>
    </w:p>
    <w:p>
      <w:pPr>
        <w:spacing w:before="108" w:line="293" w:lineRule="auto"/>
        <w:ind w:left="1" w:right="152" w:firstLine="424"/>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7.6 承包人应当保证发包人支付的工程款项仅用于本</w:t>
      </w:r>
      <w:r>
        <w:rPr>
          <w:rFonts w:ascii="宋体" w:hAnsi="宋体" w:eastAsia="宋体" w:cs="宋体"/>
          <w:color w:val="auto"/>
          <w:spacing w:val="1"/>
          <w:sz w:val="21"/>
          <w:szCs w:val="21"/>
          <w:highlight w:val="none"/>
        </w:rPr>
        <w:t>合同目的，及时和足额地向所雇佣的人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员支付劳动报酬，并制定严格的工人工资支付保障措施，确保所有</w:t>
      </w:r>
      <w:r>
        <w:rPr>
          <w:rFonts w:ascii="宋体" w:hAnsi="宋体" w:eastAsia="宋体" w:cs="宋体"/>
          <w:color w:val="auto"/>
          <w:spacing w:val="1"/>
          <w:sz w:val="21"/>
          <w:szCs w:val="21"/>
          <w:highlight w:val="none"/>
        </w:rPr>
        <w:t>分包人及时支付所雇佣工人的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工资，有效防止影响社会安定的群体事件发生， 并保障发包人免于因承包人（包括其分包人）拖</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rPr>
        <w:t>欠工人工资而可能遭受的任何处罚、索赔、损失和</w:t>
      </w:r>
      <w:r>
        <w:rPr>
          <w:rFonts w:ascii="宋体" w:hAnsi="宋体" w:eastAsia="宋体" w:cs="宋体"/>
          <w:color w:val="auto"/>
          <w:spacing w:val="-1"/>
          <w:sz w:val="21"/>
          <w:szCs w:val="21"/>
          <w:highlight w:val="none"/>
        </w:rPr>
        <w:t>损害等。</w:t>
      </w:r>
    </w:p>
    <w:p>
      <w:pPr>
        <w:spacing w:before="109" w:line="221" w:lineRule="auto"/>
        <w:ind w:left="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7.7</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施工场地（现场）治安管理计划的要求：</w:t>
      </w:r>
    </w:p>
    <w:p>
      <w:pPr>
        <w:pStyle w:val="2"/>
        <w:spacing w:line="244" w:lineRule="auto"/>
        <w:rPr>
          <w:color w:val="auto"/>
          <w:highlight w:val="none"/>
        </w:rPr>
      </w:pPr>
    </w:p>
    <w:p>
      <w:pPr>
        <w:tabs>
          <w:tab w:val="left" w:pos="8182"/>
        </w:tabs>
        <w:spacing w:before="26" w:line="159" w:lineRule="auto"/>
        <w:ind w:left="94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9" w:line="221"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7.8</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突发治安事件紧急预案的要求：</w:t>
      </w:r>
    </w:p>
    <w:p>
      <w:pPr>
        <w:pStyle w:val="2"/>
        <w:spacing w:line="241" w:lineRule="auto"/>
        <w:rPr>
          <w:color w:val="auto"/>
          <w:highlight w:val="none"/>
        </w:rPr>
      </w:pPr>
    </w:p>
    <w:p>
      <w:pPr>
        <w:tabs>
          <w:tab w:val="left" w:pos="8182"/>
        </w:tabs>
        <w:spacing w:before="27" w:line="159" w:lineRule="auto"/>
        <w:ind w:left="94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60" w:line="221" w:lineRule="auto"/>
        <w:ind w:left="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7.9</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治安保卫方面的其他要求如下：</w:t>
      </w:r>
    </w:p>
    <w:p>
      <w:pPr>
        <w:pStyle w:val="2"/>
        <w:spacing w:line="243" w:lineRule="auto"/>
        <w:rPr>
          <w:color w:val="auto"/>
          <w:highlight w:val="none"/>
        </w:rPr>
      </w:pPr>
    </w:p>
    <w:p>
      <w:pPr>
        <w:tabs>
          <w:tab w:val="left" w:pos="8182"/>
        </w:tabs>
        <w:spacing w:before="27" w:line="159" w:lineRule="auto"/>
        <w:ind w:left="94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34" w:line="219" w:lineRule="auto"/>
        <w:ind w:left="9"/>
        <w:rPr>
          <w:rFonts w:ascii="黑体" w:hAnsi="黑体" w:eastAsia="黑体" w:cs="黑体"/>
          <w:color w:val="auto"/>
          <w:sz w:val="28"/>
          <w:szCs w:val="28"/>
          <w:highlight w:val="none"/>
        </w:rPr>
      </w:pPr>
      <w:r>
        <w:rPr>
          <w:rFonts w:ascii="Times New Roman" w:hAnsi="Times New Roman" w:eastAsia="Times New Roman" w:cs="Times New Roman"/>
          <w:color w:val="auto"/>
          <w:spacing w:val="-1"/>
          <w:sz w:val="28"/>
          <w:szCs w:val="28"/>
          <w:highlight w:val="none"/>
        </w:rPr>
        <w:t>8.</w:t>
      </w:r>
      <w:r>
        <w:rPr>
          <w:rFonts w:ascii="黑体" w:hAnsi="黑体" w:eastAsia="黑体" w:cs="黑体"/>
          <w:color w:val="auto"/>
          <w:spacing w:val="-1"/>
          <w:sz w:val="28"/>
          <w:szCs w:val="28"/>
          <w:highlight w:val="none"/>
        </w:rPr>
        <w:t>地上、地下设施和周边建筑物的临时保护</w:t>
      </w:r>
    </w:p>
    <w:p>
      <w:pPr>
        <w:spacing w:before="95" w:line="268" w:lineRule="auto"/>
        <w:ind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8.1 承包人应为施工场地及其周边现有的</w:t>
      </w:r>
      <w:r>
        <w:rPr>
          <w:rFonts w:ascii="宋体" w:hAnsi="宋体" w:eastAsia="宋体" w:cs="宋体"/>
          <w:color w:val="auto"/>
          <w:sz w:val="21"/>
          <w:szCs w:val="21"/>
          <w:highlight w:val="none"/>
        </w:rPr>
        <w:t xml:space="preserve">地上、地下设施和建筑物提供足够的临时保护设施， </w:t>
      </w:r>
      <w:r>
        <w:rPr>
          <w:rFonts w:ascii="宋体" w:hAnsi="宋体" w:eastAsia="宋体" w:cs="宋体"/>
          <w:color w:val="auto"/>
          <w:spacing w:val="-1"/>
          <w:sz w:val="21"/>
          <w:szCs w:val="21"/>
          <w:highlight w:val="none"/>
        </w:rPr>
        <w:t>确保施工过程中这些设施和建筑物不会受到干扰和破坏。</w:t>
      </w:r>
    </w:p>
    <w:p>
      <w:pPr>
        <w:spacing w:before="110" w:line="220" w:lineRule="auto"/>
        <w:ind w:left="421"/>
        <w:rPr>
          <w:rFonts w:ascii="宋体" w:hAnsi="宋体" w:eastAsia="宋体" w:cs="宋体"/>
          <w:color w:val="auto"/>
          <w:sz w:val="21"/>
          <w:szCs w:val="21"/>
          <w:highlight w:val="none"/>
        </w:rPr>
      </w:pPr>
      <w:r>
        <w:rPr>
          <w:rFonts w:ascii="宋体" w:hAnsi="宋体" w:eastAsia="宋体" w:cs="宋体"/>
          <w:color w:val="auto"/>
          <w:sz w:val="21"/>
          <w:szCs w:val="21"/>
          <w:highlight w:val="none"/>
        </w:rPr>
        <w:t>8.2 承包人应当制订现有设施临时保护方案和应急处理方</w:t>
      </w:r>
      <w:r>
        <w:rPr>
          <w:rFonts w:ascii="宋体" w:hAnsi="宋体" w:eastAsia="宋体" w:cs="宋体"/>
          <w:color w:val="auto"/>
          <w:spacing w:val="-1"/>
          <w:sz w:val="21"/>
          <w:szCs w:val="21"/>
          <w:highlight w:val="none"/>
        </w:rPr>
        <w:t>案， 并在本工程开工前至少提前 7</w:t>
      </w:r>
    </w:p>
    <w:p>
      <w:pPr>
        <w:spacing w:line="220" w:lineRule="auto"/>
        <w:rPr>
          <w:rFonts w:ascii="宋体" w:hAnsi="宋体" w:eastAsia="宋体" w:cs="宋体"/>
          <w:color w:val="auto"/>
          <w:sz w:val="21"/>
          <w:szCs w:val="21"/>
          <w:highlight w:val="none"/>
        </w:rPr>
        <w:sectPr>
          <w:footerReference r:id="rId119" w:type="default"/>
          <w:pgSz w:w="11907" w:h="16841"/>
          <w:pgMar w:top="400" w:right="1371" w:bottom="1143" w:left="1481"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68" w:line="285" w:lineRule="auto"/>
        <w:ind w:left="5" w:firstLine="4"/>
        <w:jc w:val="both"/>
        <w:rPr>
          <w:rFonts w:ascii="宋体" w:hAnsi="宋体" w:eastAsia="宋体" w:cs="宋体"/>
          <w:color w:val="auto"/>
          <w:sz w:val="21"/>
          <w:szCs w:val="21"/>
          <w:highlight w:val="none"/>
        </w:rPr>
      </w:pPr>
      <w:bookmarkStart w:id="391" w:name="bookmark431"/>
      <w:bookmarkEnd w:id="391"/>
      <w:r>
        <w:rPr>
          <w:rFonts w:ascii="宋体" w:hAnsi="宋体" w:eastAsia="宋体" w:cs="宋体"/>
          <w:color w:val="auto"/>
          <w:spacing w:val="-3"/>
          <w:sz w:val="21"/>
          <w:szCs w:val="21"/>
          <w:highlight w:val="none"/>
        </w:rPr>
        <w:t>天报送监理人，</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监理人应在收到现有设施临时保护方案后的 3 天内批复承包人。承包人应当严格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执行经监理人批准的保护方案，并保证在任何可能影响周边现有的地</w:t>
      </w:r>
      <w:r>
        <w:rPr>
          <w:rFonts w:ascii="宋体" w:hAnsi="宋体" w:eastAsia="宋体" w:cs="宋体"/>
          <w:color w:val="auto"/>
          <w:spacing w:val="1"/>
          <w:sz w:val="21"/>
          <w:szCs w:val="21"/>
          <w:highlight w:val="none"/>
        </w:rPr>
        <w:t>上、地下设施或周边建筑物</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的施工作业开始前，</w:t>
      </w:r>
      <w:r>
        <w:rPr>
          <w:rFonts w:ascii="宋体" w:hAnsi="宋体" w:eastAsia="宋体" w:cs="宋体"/>
          <w:color w:val="auto"/>
          <w:spacing w:val="-4"/>
          <w:sz w:val="21"/>
          <w:szCs w:val="21"/>
          <w:highlight w:val="none"/>
        </w:rPr>
        <w:t xml:space="preserve"> </w:t>
      </w:r>
      <w:r>
        <w:rPr>
          <w:rFonts w:ascii="宋体" w:hAnsi="宋体" w:eastAsia="宋体" w:cs="宋体"/>
          <w:color w:val="auto"/>
          <w:spacing w:val="-5"/>
          <w:sz w:val="21"/>
          <w:szCs w:val="21"/>
          <w:highlight w:val="none"/>
        </w:rPr>
        <w:t>相应的临时保护设施能够落实到位。</w:t>
      </w:r>
    </w:p>
    <w:p>
      <w:pPr>
        <w:spacing w:before="108" w:line="221"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8.3</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发包人特别提醒承包人注意以下地上、地下设施和周边建</w:t>
      </w:r>
      <w:r>
        <w:rPr>
          <w:rFonts w:ascii="宋体" w:hAnsi="宋体" w:eastAsia="宋体" w:cs="宋体"/>
          <w:color w:val="auto"/>
          <w:spacing w:val="-2"/>
          <w:sz w:val="21"/>
          <w:szCs w:val="21"/>
          <w:highlight w:val="none"/>
        </w:rPr>
        <w:t>筑物的保护：</w:t>
      </w:r>
    </w:p>
    <w:p>
      <w:pPr>
        <w:pStyle w:val="2"/>
        <w:spacing w:line="241" w:lineRule="auto"/>
        <w:rPr>
          <w:color w:val="auto"/>
          <w:highlight w:val="none"/>
        </w:rPr>
      </w:pPr>
    </w:p>
    <w:p>
      <w:pPr>
        <w:tabs>
          <w:tab w:val="left" w:pos="8187"/>
        </w:tabs>
        <w:spacing w:before="26" w:line="159" w:lineRule="auto"/>
        <w:ind w:left="945"/>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9" w:line="221"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8.4</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地上、地下设施和周边建筑物的临时保护的其他要求如下</w:t>
      </w:r>
    </w:p>
    <w:p>
      <w:pPr>
        <w:pStyle w:val="2"/>
        <w:spacing w:line="244" w:lineRule="auto"/>
        <w:rPr>
          <w:color w:val="auto"/>
          <w:highlight w:val="none"/>
        </w:rPr>
      </w:pPr>
    </w:p>
    <w:p>
      <w:pPr>
        <w:tabs>
          <w:tab w:val="left" w:pos="8187"/>
        </w:tabs>
        <w:spacing w:before="26" w:line="159" w:lineRule="auto"/>
        <w:ind w:left="945"/>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32" w:line="427" w:lineRule="exact"/>
        <w:ind w:left="8"/>
        <w:rPr>
          <w:rFonts w:ascii="黑体" w:hAnsi="黑体" w:eastAsia="黑体" w:cs="黑体"/>
          <w:color w:val="auto"/>
          <w:sz w:val="28"/>
          <w:szCs w:val="28"/>
          <w:highlight w:val="none"/>
        </w:rPr>
      </w:pPr>
      <w:r>
        <w:rPr>
          <w:rFonts w:ascii="Times New Roman" w:hAnsi="Times New Roman" w:eastAsia="Times New Roman" w:cs="Times New Roman"/>
          <w:color w:val="auto"/>
          <w:spacing w:val="-1"/>
          <w:position w:val="10"/>
          <w:sz w:val="28"/>
          <w:szCs w:val="28"/>
          <w:highlight w:val="none"/>
        </w:rPr>
        <w:t>9.</w:t>
      </w:r>
      <w:r>
        <w:rPr>
          <w:rFonts w:ascii="黑体" w:hAnsi="黑体" w:eastAsia="黑体" w:cs="黑体"/>
          <w:color w:val="auto"/>
          <w:spacing w:val="-1"/>
          <w:position w:val="10"/>
          <w:sz w:val="28"/>
          <w:szCs w:val="28"/>
          <w:highlight w:val="none"/>
        </w:rPr>
        <w:t>样品和材料代换</w:t>
      </w:r>
    </w:p>
    <w:p>
      <w:pPr>
        <w:spacing w:line="220" w:lineRule="auto"/>
        <w:ind w:left="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9.1</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样品</w:t>
      </w:r>
    </w:p>
    <w:p>
      <w:pPr>
        <w:spacing w:before="109" w:line="220" w:lineRule="auto"/>
        <w:ind w:left="426"/>
        <w:rPr>
          <w:color w:val="auto"/>
          <w:highlight w:val="none"/>
        </w:rPr>
      </w:pPr>
      <w:r>
        <w:rPr>
          <w:rFonts w:ascii="宋体" w:hAnsi="宋体" w:eastAsia="宋体" w:cs="宋体"/>
          <w:color w:val="auto"/>
          <w:spacing w:val="-1"/>
          <w:sz w:val="21"/>
          <w:szCs w:val="21"/>
          <w:highlight w:val="none"/>
        </w:rPr>
        <w:t>9.1.1</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本工程需要承包人提供样品的材料和工程设备如下：</w:t>
      </w:r>
    </w:p>
    <w:p>
      <w:pPr>
        <w:pStyle w:val="2"/>
        <w:spacing w:line="263" w:lineRule="auto"/>
        <w:rPr>
          <w:color w:val="auto"/>
          <w:highlight w:val="none"/>
        </w:rPr>
      </w:pPr>
    </w:p>
    <w:p>
      <w:pPr>
        <w:spacing w:before="69" w:line="46" w:lineRule="exact"/>
        <w:ind w:left="8216"/>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587375</wp:posOffset>
                </wp:positionH>
                <wp:positionV relativeFrom="paragraph">
                  <wp:posOffset>-43180</wp:posOffset>
                </wp:positionV>
                <wp:extent cx="4624705" cy="17907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624705" cy="179070"/>
                        </a:xfrm>
                        <a:prstGeom prst="rect">
                          <a:avLst/>
                        </a:prstGeom>
                        <a:noFill/>
                        <a:ln>
                          <a:noFill/>
                        </a:ln>
                      </wps:spPr>
                      <wps:txbx>
                        <w:txbxContent>
                          <w:p>
                            <w:pPr>
                              <w:pStyle w:val="2"/>
                              <w:tabs>
                                <w:tab w:val="left" w:pos="7262"/>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46.25pt;margin-top:-3.4pt;height:14.1pt;width:364.15pt;z-index:251675648;mso-width-relative:page;mso-height-relative:page;" filled="f" stroked="f" coordsize="21600,21600" o:gfxdata="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R1haPXAAAACAEAAA8AAAAAAAAAAQAgAAAAIgAAAGRycy9kb3ducmV2LnhtbFBL&#10;AQIUABQAAAAIAIdO4kBv9l44vgEAAHQDAAAOAAAAAAAAAAEAIAAAACYBAABkcnMvZTJvRG9jLnht&#10;bFBLBQYAAAAABgAGAFkBAABWBQAAAAA=&#10;">
                <v:fill on="f" focussize="0,0"/>
                <v:stroke on="f"/>
                <v:imagedata o:title=""/>
                <o:lock v:ext="edit" aspectratio="f"/>
                <v:textbox inset="0mm,0mm,0mm,0mm">
                  <w:txbxContent>
                    <w:p>
                      <w:pPr>
                        <w:pStyle w:val="2"/>
                        <w:tabs>
                          <w:tab w:val="left" w:pos="7262"/>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before="201" w:line="301" w:lineRule="auto"/>
        <w:ind w:left="7"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9.1.2</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对于本款第 9.1.1 项约定的材料和工程设备，承包人应按照专用合</w:t>
      </w:r>
      <w:r>
        <w:rPr>
          <w:rFonts w:ascii="宋体" w:hAnsi="宋体" w:eastAsia="宋体" w:cs="宋体"/>
          <w:color w:val="auto"/>
          <w:spacing w:val="-3"/>
          <w:sz w:val="21"/>
          <w:szCs w:val="21"/>
          <w:highlight w:val="none"/>
        </w:rPr>
        <w:t>同条款第 5.1.2 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约定的期限，向监理人提交样品并附上任何必要的说明书、生产（制造）许</w:t>
      </w:r>
      <w:r>
        <w:rPr>
          <w:rFonts w:ascii="宋体" w:hAnsi="宋体" w:eastAsia="宋体" w:cs="宋体"/>
          <w:color w:val="auto"/>
          <w:spacing w:val="1"/>
          <w:sz w:val="21"/>
          <w:szCs w:val="21"/>
          <w:highlight w:val="none"/>
        </w:rPr>
        <w:t>可证书、出厂合格证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明或者证书、出厂检测报告、性能介绍、使用说明等相关资料，同</w:t>
      </w:r>
      <w:r>
        <w:rPr>
          <w:rFonts w:ascii="宋体" w:hAnsi="宋体" w:eastAsia="宋体" w:cs="宋体"/>
          <w:color w:val="auto"/>
          <w:spacing w:val="1"/>
          <w:sz w:val="21"/>
          <w:szCs w:val="21"/>
          <w:highlight w:val="none"/>
        </w:rPr>
        <w:t>时注明材料和工程设备的供货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人及品种、规格、数量和供货时间等，以供检验和审批。样品送达</w:t>
      </w:r>
      <w:r>
        <w:rPr>
          <w:rFonts w:ascii="宋体" w:hAnsi="宋体" w:eastAsia="宋体" w:cs="宋体"/>
          <w:color w:val="auto"/>
          <w:spacing w:val="1"/>
          <w:sz w:val="21"/>
          <w:szCs w:val="21"/>
          <w:highlight w:val="none"/>
        </w:rPr>
        <w:t>的地点和样品的数量或尺寸应</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符合监理人和发包人的要求。除合同另有约定外，承包人在报送任</w:t>
      </w:r>
      <w:r>
        <w:rPr>
          <w:rFonts w:ascii="宋体" w:hAnsi="宋体" w:eastAsia="宋体" w:cs="宋体"/>
          <w:color w:val="auto"/>
          <w:spacing w:val="1"/>
          <w:sz w:val="21"/>
          <w:szCs w:val="21"/>
          <w:highlight w:val="none"/>
        </w:rPr>
        <w:t>何样品时应按监理人同意的格</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式填写并递交样品报送单。监理人应及时签收样品。</w:t>
      </w:r>
    </w:p>
    <w:p>
      <w:pPr>
        <w:spacing w:before="109" w:line="293" w:lineRule="auto"/>
        <w:ind w:left="4"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9.1.3</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rPr>
        <w:t>合同条款第</w:t>
      </w:r>
      <w:r>
        <w:rPr>
          <w:rFonts w:ascii="宋体" w:hAnsi="宋体" w:eastAsia="宋体" w:cs="宋体"/>
          <w:color w:val="auto"/>
          <w:spacing w:val="-19"/>
          <w:sz w:val="21"/>
          <w:szCs w:val="21"/>
          <w:highlight w:val="none"/>
        </w:rPr>
        <w:t xml:space="preserve"> </w:t>
      </w:r>
      <w:r>
        <w:rPr>
          <w:rFonts w:ascii="宋体" w:hAnsi="宋体" w:eastAsia="宋体" w:cs="宋体"/>
          <w:color w:val="auto"/>
          <w:spacing w:val="-1"/>
          <w:sz w:val="21"/>
          <w:szCs w:val="21"/>
          <w:highlight w:val="none"/>
        </w:rPr>
        <w:t>15.8.2</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rPr>
        <w:t>项约定的依法不需要招标的、以暂估价形式包括在工程量清单中的</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材料和工程设备，所附资料除本款第 9.1.2</w:t>
      </w:r>
      <w:r>
        <w:rPr>
          <w:rFonts w:ascii="宋体" w:hAnsi="宋体" w:eastAsia="宋体" w:cs="宋体"/>
          <w:color w:val="auto"/>
          <w:spacing w:val="-5"/>
          <w:sz w:val="21"/>
          <w:szCs w:val="21"/>
          <w:highlight w:val="none"/>
        </w:rPr>
        <w:t xml:space="preserve"> 项约定的内容外，</w:t>
      </w:r>
      <w:r>
        <w:rPr>
          <w:rFonts w:ascii="宋体" w:hAnsi="宋体" w:eastAsia="宋体" w:cs="宋体"/>
          <w:color w:val="auto"/>
          <w:spacing w:val="-23"/>
          <w:sz w:val="21"/>
          <w:szCs w:val="21"/>
          <w:highlight w:val="none"/>
        </w:rPr>
        <w:t xml:space="preserve"> </w:t>
      </w:r>
      <w:r>
        <w:rPr>
          <w:rFonts w:ascii="宋体" w:hAnsi="宋体" w:eastAsia="宋体" w:cs="宋体"/>
          <w:color w:val="auto"/>
          <w:spacing w:val="-5"/>
          <w:sz w:val="21"/>
          <w:szCs w:val="21"/>
          <w:highlight w:val="none"/>
        </w:rPr>
        <w:t>还应附上价格资料， 每一类材料设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备，至少应准备符合合同要求的三个产品，价格分高、中、低三档，以</w:t>
      </w:r>
      <w:r>
        <w:rPr>
          <w:rFonts w:ascii="宋体" w:hAnsi="宋体" w:eastAsia="宋体" w:cs="宋体"/>
          <w:color w:val="auto"/>
          <w:spacing w:val="1"/>
          <w:sz w:val="21"/>
          <w:szCs w:val="21"/>
          <w:highlight w:val="none"/>
        </w:rPr>
        <w:t>便监理人和发包人选择和</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批准。</w:t>
      </w:r>
    </w:p>
    <w:p>
      <w:pPr>
        <w:spacing w:before="104" w:line="301" w:lineRule="auto"/>
        <w:ind w:left="3"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9.1.4监理人应在收到承包人报送的样品后7天内转呈发包人并附上监理</w:t>
      </w:r>
      <w:r>
        <w:rPr>
          <w:rFonts w:ascii="宋体" w:hAnsi="宋体" w:eastAsia="宋体" w:cs="宋体"/>
          <w:color w:val="auto"/>
          <w:spacing w:val="1"/>
          <w:sz w:val="21"/>
          <w:szCs w:val="21"/>
          <w:highlight w:val="none"/>
        </w:rPr>
        <w:t>人的书面审批意见。</w:t>
      </w:r>
      <w:r>
        <w:rPr>
          <w:rFonts w:ascii="宋体" w:hAnsi="宋体" w:eastAsia="宋体" w:cs="宋体"/>
          <w:color w:val="auto"/>
          <w:sz w:val="21"/>
          <w:szCs w:val="21"/>
          <w:highlight w:val="none"/>
        </w:rPr>
        <w:t xml:space="preserve"> 发包人在收到通过监理人转交的样品以及监</w:t>
      </w:r>
      <w:r>
        <w:rPr>
          <w:rFonts w:ascii="宋体" w:hAnsi="宋体" w:eastAsia="宋体" w:cs="宋体"/>
          <w:color w:val="auto"/>
          <w:spacing w:val="-1"/>
          <w:sz w:val="21"/>
          <w:szCs w:val="21"/>
          <w:highlight w:val="none"/>
        </w:rPr>
        <w:t>理人的审批意见后 7 天内就此样品给出书面批复。监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理人应在收到样品后 21 天内通知承包人他相关样品所做出的决定或</w:t>
      </w:r>
      <w:r>
        <w:rPr>
          <w:rFonts w:ascii="宋体" w:hAnsi="宋体" w:eastAsia="宋体" w:cs="宋体"/>
          <w:color w:val="auto"/>
          <w:spacing w:val="1"/>
          <w:sz w:val="21"/>
          <w:szCs w:val="21"/>
          <w:highlight w:val="none"/>
        </w:rPr>
        <w:t>指示（同时抄送一份给发包</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人）。承包人应根据监理人的书面批复和指示相应地进行</w:t>
      </w:r>
      <w:r>
        <w:rPr>
          <w:rFonts w:ascii="宋体" w:hAnsi="宋体" w:eastAsia="宋体" w:cs="宋体"/>
          <w:color w:val="auto"/>
          <w:spacing w:val="1"/>
          <w:sz w:val="21"/>
          <w:szCs w:val="21"/>
          <w:highlight w:val="none"/>
        </w:rPr>
        <w:t>下一步工作。如果监理人未能在承包人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报送样品后</w:t>
      </w:r>
      <w:r>
        <w:rPr>
          <w:rFonts w:ascii="宋体" w:hAnsi="宋体" w:eastAsia="宋体" w:cs="宋体"/>
          <w:color w:val="auto"/>
          <w:spacing w:val="-56"/>
          <w:sz w:val="21"/>
          <w:szCs w:val="21"/>
          <w:highlight w:val="none"/>
        </w:rPr>
        <w:t xml:space="preserve"> </w:t>
      </w:r>
      <w:r>
        <w:rPr>
          <w:rFonts w:ascii="宋体" w:hAnsi="宋体" w:eastAsia="宋体" w:cs="宋体"/>
          <w:color w:val="auto"/>
          <w:spacing w:val="-2"/>
          <w:sz w:val="21"/>
          <w:szCs w:val="21"/>
          <w:highlight w:val="none"/>
        </w:rPr>
        <w:t>21</w:t>
      </w:r>
      <w:r>
        <w:rPr>
          <w:rFonts w:ascii="宋体" w:hAnsi="宋体" w:eastAsia="宋体" w:cs="宋体"/>
          <w:color w:val="auto"/>
          <w:spacing w:val="-52"/>
          <w:sz w:val="21"/>
          <w:szCs w:val="21"/>
          <w:highlight w:val="none"/>
        </w:rPr>
        <w:t xml:space="preserve"> </w:t>
      </w:r>
      <w:r>
        <w:rPr>
          <w:rFonts w:ascii="宋体" w:hAnsi="宋体" w:eastAsia="宋体" w:cs="宋体"/>
          <w:color w:val="auto"/>
          <w:spacing w:val="-2"/>
          <w:sz w:val="21"/>
          <w:szCs w:val="21"/>
          <w:highlight w:val="none"/>
        </w:rPr>
        <w:t>天内给出书面批复，承包人应就此通</w:t>
      </w:r>
      <w:r>
        <w:rPr>
          <w:rFonts w:ascii="宋体" w:hAnsi="宋体" w:eastAsia="宋体" w:cs="宋体"/>
          <w:color w:val="auto"/>
          <w:spacing w:val="-3"/>
          <w:sz w:val="21"/>
          <w:szCs w:val="21"/>
          <w:highlight w:val="none"/>
        </w:rPr>
        <w:t>知监理人，</w:t>
      </w:r>
      <w:r>
        <w:rPr>
          <w:rFonts w:ascii="宋体" w:hAnsi="宋体" w:eastAsia="宋体" w:cs="宋体"/>
          <w:color w:val="auto"/>
          <w:spacing w:val="-21"/>
          <w:sz w:val="21"/>
          <w:szCs w:val="21"/>
          <w:highlight w:val="none"/>
        </w:rPr>
        <w:t xml:space="preserve"> </w:t>
      </w:r>
      <w:r>
        <w:rPr>
          <w:rFonts w:ascii="宋体" w:hAnsi="宋体" w:eastAsia="宋体" w:cs="宋体"/>
          <w:color w:val="auto"/>
          <w:spacing w:val="-3"/>
          <w:sz w:val="21"/>
          <w:szCs w:val="21"/>
          <w:highlight w:val="none"/>
        </w:rPr>
        <w:t>要求尽快批复。如果发包人在收到</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此类通知后</w:t>
      </w:r>
      <w:r>
        <w:rPr>
          <w:rFonts w:ascii="宋体" w:hAnsi="宋体" w:eastAsia="宋体" w:cs="宋体"/>
          <w:color w:val="auto"/>
          <w:spacing w:val="-39"/>
          <w:sz w:val="21"/>
          <w:szCs w:val="21"/>
          <w:highlight w:val="none"/>
        </w:rPr>
        <w:t xml:space="preserve"> </w:t>
      </w:r>
      <w:r>
        <w:rPr>
          <w:rFonts w:ascii="宋体" w:hAnsi="宋体" w:eastAsia="宋体" w:cs="宋体"/>
          <w:color w:val="auto"/>
          <w:spacing w:val="-4"/>
          <w:sz w:val="21"/>
          <w:szCs w:val="21"/>
          <w:highlight w:val="none"/>
        </w:rPr>
        <w:t>7</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天内仍未对样品进行批复， 则视为</w:t>
      </w:r>
      <w:r>
        <w:rPr>
          <w:rFonts w:ascii="宋体" w:hAnsi="宋体" w:eastAsia="宋体" w:cs="宋体"/>
          <w:color w:val="auto"/>
          <w:spacing w:val="-5"/>
          <w:sz w:val="21"/>
          <w:szCs w:val="21"/>
          <w:highlight w:val="none"/>
        </w:rPr>
        <w:t>监理人和发包人已经批准。</w:t>
      </w:r>
    </w:p>
    <w:p>
      <w:pPr>
        <w:spacing w:before="108" w:line="269" w:lineRule="auto"/>
        <w:ind w:left="10" w:right="8" w:firstLine="4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9.1.5 得到批准后的样品由监理人负责存放。但承包</w:t>
      </w:r>
      <w:r>
        <w:rPr>
          <w:rFonts w:ascii="宋体" w:hAnsi="宋体" w:eastAsia="宋体" w:cs="宋体"/>
          <w:color w:val="auto"/>
          <w:spacing w:val="1"/>
          <w:sz w:val="21"/>
          <w:szCs w:val="21"/>
          <w:highlight w:val="none"/>
        </w:rPr>
        <w:t>人应为保存样品提供适当和固定的场所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并保持适当和良好的环境条件。</w:t>
      </w:r>
    </w:p>
    <w:p>
      <w:pPr>
        <w:spacing w:before="109" w:line="220" w:lineRule="auto"/>
        <w:ind w:left="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9.1.6</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提供样品和提供存放样品场所的费用由承包人承担。</w:t>
      </w:r>
    </w:p>
    <w:p>
      <w:pPr>
        <w:spacing w:before="241" w:line="220" w:lineRule="auto"/>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9.2</w:t>
      </w:r>
      <w:r>
        <w:rPr>
          <w:rFonts w:ascii="黑体" w:hAnsi="黑体" w:eastAsia="黑体" w:cs="黑体"/>
          <w:color w:val="auto"/>
          <w:spacing w:val="-48"/>
          <w:sz w:val="24"/>
          <w:szCs w:val="24"/>
          <w:highlight w:val="none"/>
        </w:rPr>
        <w:t xml:space="preserve"> </w:t>
      </w:r>
      <w:r>
        <w:rPr>
          <w:rFonts w:ascii="黑体" w:hAnsi="黑体" w:eastAsia="黑体" w:cs="黑体"/>
          <w:color w:val="auto"/>
          <w:spacing w:val="-2"/>
          <w:sz w:val="24"/>
          <w:szCs w:val="24"/>
          <w:highlight w:val="none"/>
        </w:rPr>
        <w:t>材料代换</w:t>
      </w:r>
    </w:p>
    <w:p>
      <w:pPr>
        <w:spacing w:before="229" w:line="220" w:lineRule="auto"/>
        <w:ind w:right="8"/>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9.2.1 如果任何后继法律、法规、规章、规范、标准</w:t>
      </w:r>
      <w:r>
        <w:rPr>
          <w:rFonts w:ascii="宋体" w:hAnsi="宋体" w:eastAsia="宋体" w:cs="宋体"/>
          <w:color w:val="auto"/>
          <w:spacing w:val="1"/>
          <w:sz w:val="21"/>
          <w:szCs w:val="21"/>
          <w:highlight w:val="none"/>
        </w:rPr>
        <w:t>和规程等等禁止使用合同中约定的材料</w:t>
      </w:r>
    </w:p>
    <w:p>
      <w:pPr>
        <w:spacing w:before="109" w:line="269" w:lineRule="auto"/>
        <w:ind w:left="6" w:right="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和工程设备，承包人应当按本款约定的程序使用其他替代品来实施</w:t>
      </w:r>
      <w:r>
        <w:rPr>
          <w:rFonts w:ascii="宋体" w:hAnsi="宋体" w:eastAsia="宋体" w:cs="宋体"/>
          <w:color w:val="auto"/>
          <w:spacing w:val="1"/>
          <w:sz w:val="21"/>
          <w:szCs w:val="21"/>
          <w:highlight w:val="none"/>
        </w:rPr>
        <w:t>工程或修补缺陷。监理人对使</w:t>
      </w:r>
      <w:r>
        <w:rPr>
          <w:rFonts w:ascii="宋体" w:hAnsi="宋体" w:eastAsia="宋体" w:cs="宋体"/>
          <w:color w:val="auto"/>
          <w:sz w:val="21"/>
          <w:szCs w:val="21"/>
          <w:highlight w:val="none"/>
        </w:rPr>
        <w:t xml:space="preserve"> 用替代品的批准以及承包人据此使用替代品不应</w:t>
      </w:r>
      <w:r>
        <w:rPr>
          <w:rFonts w:ascii="宋体" w:hAnsi="宋体" w:eastAsia="宋体" w:cs="宋体"/>
          <w:color w:val="auto"/>
          <w:spacing w:val="-1"/>
          <w:sz w:val="21"/>
          <w:szCs w:val="21"/>
          <w:highlight w:val="none"/>
        </w:rPr>
        <w:t>减免合同约定的承包人的任何责任和义务。</w:t>
      </w:r>
    </w:p>
    <w:p>
      <w:pPr>
        <w:spacing w:line="269" w:lineRule="auto"/>
        <w:rPr>
          <w:rFonts w:ascii="宋体" w:hAnsi="宋体" w:eastAsia="宋体" w:cs="宋体"/>
          <w:color w:val="auto"/>
          <w:sz w:val="21"/>
          <w:szCs w:val="21"/>
          <w:highlight w:val="none"/>
        </w:rPr>
        <w:sectPr>
          <w:footerReference r:id="rId120" w:type="default"/>
          <w:pgSz w:w="11907" w:h="16841"/>
          <w:pgMar w:top="400" w:right="1524" w:bottom="1143" w:left="1476"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spacing w:before="68" w:line="268" w:lineRule="auto"/>
        <w:ind w:left="5" w:right="148" w:firstLine="416"/>
        <w:rPr>
          <w:rFonts w:ascii="宋体" w:hAnsi="宋体" w:eastAsia="宋体" w:cs="宋体"/>
          <w:color w:val="auto"/>
          <w:sz w:val="21"/>
          <w:szCs w:val="21"/>
          <w:highlight w:val="none"/>
        </w:rPr>
      </w:pPr>
      <w:bookmarkStart w:id="392" w:name="bookmark432"/>
      <w:bookmarkEnd w:id="392"/>
      <w:r>
        <w:rPr>
          <w:rFonts w:ascii="宋体" w:hAnsi="宋体" w:eastAsia="宋体" w:cs="宋体"/>
          <w:color w:val="auto"/>
          <w:spacing w:val="-3"/>
          <w:sz w:val="21"/>
          <w:szCs w:val="21"/>
          <w:highlight w:val="none"/>
        </w:rPr>
        <w:t>9.2.2</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如果使用替代品，</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承包人应至少在被替代品按批准的进度计划用于永久工程前</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56</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天以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书面形式通知监理人并随此通知提交下列文件：</w:t>
      </w:r>
    </w:p>
    <w:p>
      <w:pPr>
        <w:spacing w:before="108" w:line="269" w:lineRule="auto"/>
        <w:ind w:right="158"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（1）拟被替代的合同约定的材料和工程设备的名称、数量、规格、型号、品牌、性能、价</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格及其他任何详细资料；</w:t>
      </w:r>
    </w:p>
    <w:p>
      <w:pPr>
        <w:spacing w:before="108" w:line="269" w:lineRule="auto"/>
        <w:ind w:left="1" w:right="158" w:firstLine="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（2）拟采用的替代品的名称、数量、规格、型号、品牌、性能、价格及其他任何必要的详</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细资料；</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（3）替代品使用的工程部位；</w:t>
      </w:r>
    </w:p>
    <w:p>
      <w:pPr>
        <w:spacing w:before="109"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（4）采用替代品的理由和原因说明；</w:t>
      </w:r>
    </w:p>
    <w:p>
      <w:pPr>
        <w:spacing w:before="110" w:line="221"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（5）替代品与合同中约定的产品之间的差异以及使用替代品后可能对工程产</w:t>
      </w:r>
      <w:r>
        <w:rPr>
          <w:rFonts w:ascii="宋体" w:hAnsi="宋体" w:eastAsia="宋体" w:cs="宋体"/>
          <w:color w:val="auto"/>
          <w:spacing w:val="2"/>
          <w:sz w:val="21"/>
          <w:szCs w:val="21"/>
          <w:highlight w:val="none"/>
        </w:rPr>
        <w:t>生的任何影响；</w:t>
      </w:r>
    </w:p>
    <w:p>
      <w:pPr>
        <w:spacing w:before="109" w:line="219"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（6）价格上的差异；</w:t>
      </w:r>
    </w:p>
    <w:p>
      <w:pPr>
        <w:spacing w:before="111"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（7）监理人为做出适当的决定而随时要求承包人提供的任何其他文件。</w:t>
      </w:r>
    </w:p>
    <w:p>
      <w:pPr>
        <w:spacing w:before="108" w:line="285" w:lineRule="auto"/>
        <w:ind w:right="148" w:firstLine="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监理人在收到此类通知及上述文件后，应在</w:t>
      </w:r>
      <w:r>
        <w:rPr>
          <w:rFonts w:ascii="宋体" w:hAnsi="宋体" w:eastAsia="宋体" w:cs="宋体"/>
          <w:color w:val="auto"/>
          <w:spacing w:val="-23"/>
          <w:sz w:val="21"/>
          <w:szCs w:val="21"/>
          <w:highlight w:val="none"/>
        </w:rPr>
        <w:t xml:space="preserve"> </w:t>
      </w:r>
      <w:r>
        <w:rPr>
          <w:rFonts w:ascii="宋体" w:hAnsi="宋体" w:eastAsia="宋体" w:cs="宋体"/>
          <w:color w:val="auto"/>
          <w:spacing w:val="-1"/>
          <w:sz w:val="21"/>
          <w:szCs w:val="21"/>
          <w:highlight w:val="none"/>
        </w:rPr>
        <w:t>28</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天内向承包人给出书面指示。如</w:t>
      </w:r>
      <w:r>
        <w:rPr>
          <w:rFonts w:ascii="宋体" w:hAnsi="宋体" w:eastAsia="宋体" w:cs="宋体"/>
          <w:color w:val="auto"/>
          <w:spacing w:val="-2"/>
          <w:sz w:val="21"/>
          <w:szCs w:val="21"/>
          <w:highlight w:val="none"/>
        </w:rPr>
        <w:t>果</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28</w:t>
      </w:r>
      <w:r>
        <w:rPr>
          <w:rFonts w:ascii="宋体" w:hAnsi="宋体" w:eastAsia="宋体" w:cs="宋体"/>
          <w:color w:val="auto"/>
          <w:spacing w:val="-21"/>
          <w:sz w:val="21"/>
          <w:szCs w:val="21"/>
          <w:highlight w:val="none"/>
        </w:rPr>
        <w:t xml:space="preserve"> </w:t>
      </w:r>
      <w:r>
        <w:rPr>
          <w:rFonts w:ascii="宋体" w:hAnsi="宋体" w:eastAsia="宋体" w:cs="宋体"/>
          <w:color w:val="auto"/>
          <w:spacing w:val="-2"/>
          <w:sz w:val="21"/>
          <w:szCs w:val="21"/>
          <w:highlight w:val="none"/>
        </w:rPr>
        <w:t>天内监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理人未给出书面指示， 应视为监理人和发包人已经批准使用上述替代品， 承包人可以</w:t>
      </w:r>
      <w:r>
        <w:rPr>
          <w:rFonts w:ascii="宋体" w:hAnsi="宋体" w:eastAsia="宋体" w:cs="宋体"/>
          <w:color w:val="auto"/>
          <w:spacing w:val="-4"/>
          <w:sz w:val="21"/>
          <w:szCs w:val="21"/>
          <w:highlight w:val="none"/>
        </w:rPr>
        <w:t>据此使用替</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代品。</w:t>
      </w:r>
    </w:p>
    <w:p>
      <w:pPr>
        <w:spacing w:before="109" w:line="220" w:lineRule="auto"/>
        <w:ind w:left="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9.2.3</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任何情况下， 替代品都应遵守本合同中对相关材料和工程设备的</w:t>
      </w:r>
      <w:r>
        <w:rPr>
          <w:rFonts w:ascii="宋体" w:hAnsi="宋体" w:eastAsia="宋体" w:cs="宋体"/>
          <w:color w:val="auto"/>
          <w:spacing w:val="-4"/>
          <w:sz w:val="21"/>
          <w:szCs w:val="21"/>
          <w:highlight w:val="none"/>
        </w:rPr>
        <w:t>要求。</w:t>
      </w:r>
    </w:p>
    <w:p>
      <w:pPr>
        <w:spacing w:before="110" w:line="268" w:lineRule="auto"/>
        <w:ind w:left="3" w:right="157"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9.2.4 如果承包人根据本条约定使用了替代品，监理</w:t>
      </w:r>
      <w:r>
        <w:rPr>
          <w:rFonts w:ascii="宋体" w:hAnsi="宋体" w:eastAsia="宋体" w:cs="宋体"/>
          <w:color w:val="auto"/>
          <w:spacing w:val="1"/>
          <w:sz w:val="21"/>
          <w:szCs w:val="21"/>
          <w:highlight w:val="none"/>
        </w:rPr>
        <w:t>人应与承包人适当协商之后并在合理的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期限内确定替代材料和工程设备与合同中约定的材料和工程设备之间的</w:t>
      </w:r>
      <w:r>
        <w:rPr>
          <w:rFonts w:ascii="宋体" w:hAnsi="宋体" w:eastAsia="宋体" w:cs="宋体"/>
          <w:color w:val="auto"/>
          <w:spacing w:val="-4"/>
          <w:sz w:val="21"/>
          <w:szCs w:val="21"/>
          <w:highlight w:val="none"/>
        </w:rPr>
        <w:t>价值差值， 并决定：</w:t>
      </w:r>
    </w:p>
    <w:p>
      <w:pPr>
        <w:spacing w:before="110" w:line="268" w:lineRule="auto"/>
        <w:ind w:left="3" w:right="158" w:firstLine="4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（1）如果替代材料和工程设备的价值高于合同中约定的材料和工程设备的价值，则将高出</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部分的价值追加到合同价格中并相应地通知承包人；</w:t>
      </w:r>
    </w:p>
    <w:p>
      <w:pPr>
        <w:spacing w:before="110" w:line="268" w:lineRule="auto"/>
        <w:ind w:right="160" w:firstLine="42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w:t>
      </w:r>
      <w:r>
        <w:rPr>
          <w:rFonts w:ascii="宋体" w:hAnsi="宋体" w:eastAsia="宋体" w:cs="宋体"/>
          <w:color w:val="auto"/>
          <w:spacing w:val="-58"/>
          <w:w w:val="97"/>
          <w:sz w:val="21"/>
          <w:szCs w:val="21"/>
          <w:highlight w:val="none"/>
        </w:rPr>
        <w:t>）（</w:t>
      </w:r>
      <w:r>
        <w:rPr>
          <w:rFonts w:ascii="宋体" w:hAnsi="宋体" w:eastAsia="宋体" w:cs="宋体"/>
          <w:color w:val="auto"/>
          <w:spacing w:val="5"/>
          <w:sz w:val="21"/>
          <w:szCs w:val="21"/>
          <w:highlight w:val="none"/>
        </w:rPr>
        <w:t>2）如果替代材料和工程设备的价值低于合同中约定的材料和工程</w:t>
      </w:r>
      <w:r>
        <w:rPr>
          <w:rFonts w:ascii="宋体" w:hAnsi="宋体" w:eastAsia="宋体" w:cs="宋体"/>
          <w:color w:val="auto"/>
          <w:spacing w:val="4"/>
          <w:sz w:val="21"/>
          <w:szCs w:val="21"/>
          <w:highlight w:val="none"/>
        </w:rPr>
        <w:t>设备的价值，则将</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节余部分的价值从合同价格中扣除并相应地通知承包人。</w:t>
      </w:r>
    </w:p>
    <w:p>
      <w:pPr>
        <w:spacing w:before="83" w:line="219" w:lineRule="auto"/>
        <w:ind w:left="25"/>
        <w:rPr>
          <w:rFonts w:ascii="黑体" w:hAnsi="黑体" w:eastAsia="黑体" w:cs="黑体"/>
          <w:color w:val="auto"/>
          <w:sz w:val="28"/>
          <w:szCs w:val="28"/>
          <w:highlight w:val="none"/>
        </w:rPr>
      </w:pPr>
      <w:r>
        <w:rPr>
          <w:rFonts w:ascii="Times New Roman" w:hAnsi="Times New Roman" w:eastAsia="Times New Roman" w:cs="Times New Roman"/>
          <w:color w:val="auto"/>
          <w:spacing w:val="-3"/>
          <w:sz w:val="28"/>
          <w:szCs w:val="28"/>
          <w:highlight w:val="none"/>
        </w:rPr>
        <w:t>10.</w:t>
      </w:r>
      <w:r>
        <w:rPr>
          <w:rFonts w:ascii="黑体" w:hAnsi="黑体" w:eastAsia="黑体" w:cs="黑体"/>
          <w:color w:val="auto"/>
          <w:spacing w:val="-3"/>
          <w:sz w:val="28"/>
          <w:szCs w:val="28"/>
          <w:highlight w:val="none"/>
        </w:rPr>
        <w:t>进口材料和工程设备</w:t>
      </w:r>
    </w:p>
    <w:p>
      <w:pPr>
        <w:spacing w:before="207" w:line="220" w:lineRule="auto"/>
        <w:ind w:left="16"/>
        <w:rPr>
          <w:color w:val="auto"/>
          <w:highlight w:val="none"/>
        </w:rPr>
      </w:pPr>
      <w:r>
        <w:rPr>
          <w:rFonts w:ascii="宋体" w:hAnsi="宋体" w:eastAsia="宋体" w:cs="宋体"/>
          <w:color w:val="auto"/>
          <w:spacing w:val="-3"/>
          <w:sz w:val="21"/>
          <w:szCs w:val="21"/>
          <w:highlight w:val="none"/>
        </w:rPr>
        <w:t>10.1</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本工程需要进口的材料和工程设备如下：</w:t>
      </w:r>
    </w:p>
    <w:p>
      <w:pPr>
        <w:pStyle w:val="2"/>
        <w:spacing w:line="272" w:lineRule="auto"/>
        <w:rPr>
          <w:color w:val="auto"/>
          <w:highlight w:val="none"/>
        </w:rPr>
      </w:pPr>
    </w:p>
    <w:p>
      <w:pPr>
        <w:spacing w:before="68" w:line="46" w:lineRule="exact"/>
        <w:ind w:left="8211"/>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-8890</wp:posOffset>
                </wp:positionH>
                <wp:positionV relativeFrom="paragraph">
                  <wp:posOffset>-43180</wp:posOffset>
                </wp:positionV>
                <wp:extent cx="5669280" cy="64706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669280" cy="647065"/>
                        </a:xfrm>
                        <a:prstGeom prst="rect">
                          <a:avLst/>
                        </a:prstGeom>
                        <a:noFill/>
                        <a:ln>
                          <a:noFill/>
                        </a:ln>
                      </wps:spPr>
                      <wps:txbx>
                        <w:txbxContent>
                          <w:p>
                            <w:pPr>
                              <w:pStyle w:val="2"/>
                              <w:tabs>
                                <w:tab w:val="left" w:pos="8195"/>
                              </w:tabs>
                              <w:spacing w:before="20" w:line="241" w:lineRule="exact"/>
                              <w:ind w:left="954"/>
                            </w:pPr>
                            <w:r>
                              <w:rPr>
                                <w:u w:val="single" w:color="auto"/>
                              </w:rPr>
                              <w:tab/>
                            </w:r>
                          </w:p>
                          <w:p>
                            <w:pPr>
                              <w:spacing w:before="124" w:line="269" w:lineRule="auto"/>
                              <w:ind w:left="20" w:right="20" w:firstLine="430"/>
                              <w:rPr>
                                <w:rFonts w:ascii="宋体" w:hAnsi="宋体" w:eastAsia="宋体" w:cs="宋体"/>
                                <w:sz w:val="21"/>
                                <w:szCs w:val="21"/>
                              </w:rPr>
                            </w:pPr>
                            <w:r>
                              <w:rPr>
                                <w:rFonts w:ascii="宋体" w:hAnsi="宋体" w:eastAsia="宋体" w:cs="宋体"/>
                                <w:spacing w:val="-1"/>
                                <w:sz w:val="21"/>
                                <w:szCs w:val="21"/>
                              </w:rPr>
                              <w:t>10.2 上述进口材料和工程设备采购、进口、报关、清关、商检、境内运输（</w:t>
                            </w:r>
                            <w:r>
                              <w:rPr>
                                <w:rFonts w:ascii="宋体" w:hAnsi="宋体" w:eastAsia="宋体" w:cs="宋体"/>
                                <w:spacing w:val="-2"/>
                                <w:sz w:val="21"/>
                                <w:szCs w:val="21"/>
                              </w:rPr>
                              <w:t>包括保险）、保</w:t>
                            </w:r>
                            <w:r>
                              <w:rPr>
                                <w:rFonts w:ascii="宋体" w:hAnsi="宋体" w:eastAsia="宋体" w:cs="宋体"/>
                                <w:sz w:val="21"/>
                                <w:szCs w:val="21"/>
                              </w:rPr>
                              <w:t xml:space="preserve"> </w:t>
                            </w:r>
                            <w:r>
                              <w:rPr>
                                <w:rFonts w:ascii="宋体" w:hAnsi="宋体" w:eastAsia="宋体" w:cs="宋体"/>
                                <w:spacing w:val="-1"/>
                                <w:sz w:val="21"/>
                                <w:szCs w:val="21"/>
                              </w:rPr>
                              <w:t>管的责任以及费用承担方式划分如下：</w:t>
                            </w:r>
                          </w:p>
                        </w:txbxContent>
                      </wps:txbx>
                      <wps:bodyPr lIns="0" tIns="0" rIns="0" bIns="0" upright="1"/>
                    </wps:wsp>
                  </a:graphicData>
                </a:graphic>
              </wp:anchor>
            </w:drawing>
          </mc:Choice>
          <mc:Fallback>
            <w:pict>
              <v:shape id="_x0000_s1026" o:spid="_x0000_s1026" o:spt="202" type="#_x0000_t202" style="position:absolute;left:0pt;margin-left:-0.7pt;margin-top:-3.4pt;height:50.95pt;width:446.4pt;z-index:251676672;mso-width-relative:page;mso-height-relative:page;" filled="f" stroked="f" coordsize="21600,21600" o:gfxdata="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PhFhNcAAAAIAQAADwAAAAAAAAABACAAAAAiAAAAZHJzL2Rvd25yZXYueG1sUEsB&#10;AhQAFAAAAAgAh07iQJyGzXC9AQAAdAMAAA4AAAAAAAAAAQAgAAAAJgEAAGRycy9lMm9Eb2MueG1s&#10;UEsFBgAAAAAGAAYAWQEAAFUFAAAAAA==&#10;">
                <v:fill on="f" focussize="0,0"/>
                <v:stroke on="f"/>
                <v:imagedata o:title=""/>
                <o:lock v:ext="edit" aspectratio="f"/>
                <v:textbox inset="0mm,0mm,0mm,0mm">
                  <w:txbxContent>
                    <w:p>
                      <w:pPr>
                        <w:pStyle w:val="2"/>
                        <w:tabs>
                          <w:tab w:val="left" w:pos="8195"/>
                        </w:tabs>
                        <w:spacing w:before="20" w:line="241" w:lineRule="exact"/>
                        <w:ind w:left="954"/>
                      </w:pPr>
                      <w:r>
                        <w:rPr>
                          <w:u w:val="single" w:color="auto"/>
                        </w:rPr>
                        <w:tab/>
                      </w:r>
                    </w:p>
                    <w:p>
                      <w:pPr>
                        <w:spacing w:before="124" w:line="269" w:lineRule="auto"/>
                        <w:ind w:left="20" w:right="20" w:firstLine="430"/>
                        <w:rPr>
                          <w:rFonts w:ascii="宋体" w:hAnsi="宋体" w:eastAsia="宋体" w:cs="宋体"/>
                          <w:sz w:val="21"/>
                          <w:szCs w:val="21"/>
                        </w:rPr>
                      </w:pPr>
                      <w:r>
                        <w:rPr>
                          <w:rFonts w:ascii="宋体" w:hAnsi="宋体" w:eastAsia="宋体" w:cs="宋体"/>
                          <w:spacing w:val="-1"/>
                          <w:sz w:val="21"/>
                          <w:szCs w:val="21"/>
                        </w:rPr>
                        <w:t>10.2 上述进口材料和工程设备采购、进口、报关、清关、商检、境内运输（</w:t>
                      </w:r>
                      <w:r>
                        <w:rPr>
                          <w:rFonts w:ascii="宋体" w:hAnsi="宋体" w:eastAsia="宋体" w:cs="宋体"/>
                          <w:spacing w:val="-2"/>
                          <w:sz w:val="21"/>
                          <w:szCs w:val="21"/>
                        </w:rPr>
                        <w:t>包括保险）、保</w:t>
                      </w:r>
                      <w:r>
                        <w:rPr>
                          <w:rFonts w:ascii="宋体" w:hAnsi="宋体" w:eastAsia="宋体" w:cs="宋体"/>
                          <w:sz w:val="21"/>
                          <w:szCs w:val="21"/>
                        </w:rPr>
                        <w:t xml:space="preserve"> </w:t>
                      </w:r>
                      <w:r>
                        <w:rPr>
                          <w:rFonts w:ascii="宋体" w:hAnsi="宋体" w:eastAsia="宋体" w:cs="宋体"/>
                          <w:spacing w:val="-1"/>
                          <w:sz w:val="21"/>
                          <w:szCs w:val="21"/>
                        </w:rPr>
                        <w:t>管的责任以及费用承担方式划分如下：</w:t>
                      </w:r>
                    </w:p>
                  </w:txbxContent>
                </v:textbox>
              </v:shape>
            </w:pict>
          </mc:Fallback>
        </mc:AlternateContent>
      </w:r>
      <w:r>
        <w:rPr>
          <w:rFonts w:ascii="宋体" w:hAnsi="宋体" w:eastAsia="宋体" w:cs="宋体"/>
          <w:color w:val="auto"/>
          <w:position w:val="-1"/>
          <w:sz w:val="21"/>
          <w:szCs w:val="21"/>
          <w:highlight w:val="none"/>
        </w:rPr>
        <w:t>。</w:t>
      </w: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spacing w:before="69" w:line="46" w:lineRule="exact"/>
        <w:ind w:left="8211"/>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584200</wp:posOffset>
                </wp:positionH>
                <wp:positionV relativeFrom="paragraph">
                  <wp:posOffset>-42545</wp:posOffset>
                </wp:positionV>
                <wp:extent cx="4624705" cy="17907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624705" cy="179070"/>
                        </a:xfrm>
                        <a:prstGeom prst="rect">
                          <a:avLst/>
                        </a:prstGeom>
                        <a:noFill/>
                        <a:ln>
                          <a:noFill/>
                        </a:ln>
                      </wps:spPr>
                      <wps:txbx>
                        <w:txbxContent>
                          <w:p>
                            <w:pPr>
                              <w:pStyle w:val="2"/>
                              <w:tabs>
                                <w:tab w:val="left" w:pos="7262"/>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46pt;margin-top:-3.35pt;height:14.1pt;width:364.15pt;z-index:251677696;mso-width-relative:page;mso-height-relative:page;" filled="f" stroked="f" coordsize="21600,21600" o:gfxdata="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Remr2AAAAAgBAAAPAAAAAAAAAAEAIAAAACIAAABkcnMvZG93bnJldi54bWxQ&#10;SwECFAAUAAAACACHTuJAUWsU5L4BAAB0AwAADgAAAAAAAAABACAAAAAnAQAAZHJzL2Uyb0RvYy54&#10;bWxQSwUGAAAAAAYABgBZAQAAVwUAAAAA&#10;">
                <v:fill on="f" focussize="0,0"/>
                <v:stroke on="f"/>
                <v:imagedata o:title=""/>
                <o:lock v:ext="edit" aspectratio="f"/>
                <v:textbox inset="0mm,0mm,0mm,0mm">
                  <w:txbxContent>
                    <w:p>
                      <w:pPr>
                        <w:pStyle w:val="2"/>
                        <w:tabs>
                          <w:tab w:val="left" w:pos="7262"/>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before="178" w:line="427" w:lineRule="exact"/>
        <w:ind w:left="25"/>
        <w:rPr>
          <w:rFonts w:ascii="黑体" w:hAnsi="黑体" w:eastAsia="黑体" w:cs="黑体"/>
          <w:color w:val="auto"/>
          <w:sz w:val="28"/>
          <w:szCs w:val="28"/>
          <w:highlight w:val="none"/>
        </w:rPr>
      </w:pPr>
      <w:r>
        <w:rPr>
          <w:rFonts w:ascii="Times New Roman" w:hAnsi="Times New Roman" w:eastAsia="Times New Roman" w:cs="Times New Roman"/>
          <w:color w:val="auto"/>
          <w:spacing w:val="-4"/>
          <w:position w:val="10"/>
          <w:sz w:val="28"/>
          <w:szCs w:val="28"/>
          <w:highlight w:val="none"/>
        </w:rPr>
        <w:t>11.</w:t>
      </w:r>
      <w:r>
        <w:rPr>
          <w:rFonts w:ascii="黑体" w:hAnsi="黑体" w:eastAsia="黑体" w:cs="黑体"/>
          <w:color w:val="auto"/>
          <w:spacing w:val="-4"/>
          <w:position w:val="10"/>
          <w:sz w:val="28"/>
          <w:szCs w:val="28"/>
          <w:highlight w:val="none"/>
        </w:rPr>
        <w:t>进度报告和进度例会</w:t>
      </w:r>
    </w:p>
    <w:p>
      <w:pPr>
        <w:spacing w:line="219" w:lineRule="auto"/>
        <w:ind w:left="43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11.1</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进度报告</w:t>
      </w:r>
    </w:p>
    <w:p>
      <w:pPr>
        <w:spacing w:before="109" w:line="293" w:lineRule="auto"/>
        <w:ind w:right="149" w:firstLine="43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11.1.1 施工过程中，</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承包人应向监理人指定的代表呈递一份每日的日进度报表、每周的周进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度报表和每月的月进度报表。除非监理人同意，</w:t>
      </w:r>
      <w:r>
        <w:rPr>
          <w:rFonts w:ascii="宋体" w:hAnsi="宋体" w:eastAsia="宋体" w:cs="宋体"/>
          <w:color w:val="auto"/>
          <w:spacing w:val="52"/>
          <w:sz w:val="21"/>
          <w:szCs w:val="21"/>
          <w:highlight w:val="none"/>
        </w:rPr>
        <w:t xml:space="preserve"> </w:t>
      </w:r>
      <w:r>
        <w:rPr>
          <w:rFonts w:ascii="宋体" w:hAnsi="宋体" w:eastAsia="宋体" w:cs="宋体"/>
          <w:color w:val="auto"/>
          <w:spacing w:val="-2"/>
          <w:sz w:val="21"/>
          <w:szCs w:val="21"/>
          <w:highlight w:val="none"/>
        </w:rPr>
        <w:t>日进度报表应在次日上午九点前递交，周进度报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表应在次周的周一上午九时前递交， 月进度报表应随合同条款第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17.3.2</w:t>
      </w:r>
      <w:r>
        <w:rPr>
          <w:rFonts w:ascii="宋体" w:hAnsi="宋体" w:eastAsia="宋体" w:cs="宋体"/>
          <w:color w:val="auto"/>
          <w:spacing w:val="-55"/>
          <w:sz w:val="21"/>
          <w:szCs w:val="21"/>
          <w:highlight w:val="none"/>
        </w:rPr>
        <w:t xml:space="preserve"> </w:t>
      </w:r>
      <w:r>
        <w:rPr>
          <w:rFonts w:ascii="宋体" w:hAnsi="宋体" w:eastAsia="宋体" w:cs="宋体"/>
          <w:color w:val="auto"/>
          <w:spacing w:val="-3"/>
          <w:sz w:val="21"/>
          <w:szCs w:val="21"/>
          <w:highlight w:val="none"/>
        </w:rPr>
        <w:t>项约定的进度付款</w:t>
      </w:r>
      <w:r>
        <w:rPr>
          <w:rFonts w:ascii="宋体" w:hAnsi="宋体" w:eastAsia="宋体" w:cs="宋体"/>
          <w:color w:val="auto"/>
          <w:spacing w:val="-4"/>
          <w:sz w:val="21"/>
          <w:szCs w:val="21"/>
          <w:highlight w:val="none"/>
        </w:rPr>
        <w:t>申请单</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一并递交。</w:t>
      </w:r>
    </w:p>
    <w:p>
      <w:pPr>
        <w:spacing w:line="293" w:lineRule="auto"/>
        <w:rPr>
          <w:rFonts w:ascii="宋体" w:hAnsi="宋体" w:eastAsia="宋体" w:cs="宋体"/>
          <w:color w:val="auto"/>
          <w:sz w:val="21"/>
          <w:szCs w:val="21"/>
          <w:highlight w:val="none"/>
        </w:rPr>
        <w:sectPr>
          <w:footerReference r:id="rId121" w:type="default"/>
          <w:pgSz w:w="11907" w:h="16841"/>
          <w:pgMar w:top="400" w:right="1375" w:bottom="1143" w:left="1481" w:header="0" w:footer="970"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spacing w:before="69" w:line="297" w:lineRule="auto"/>
        <w:ind w:firstLine="435"/>
        <w:rPr>
          <w:rFonts w:ascii="宋体" w:hAnsi="宋体" w:eastAsia="宋体" w:cs="宋体"/>
          <w:color w:val="auto"/>
          <w:sz w:val="21"/>
          <w:szCs w:val="21"/>
          <w:highlight w:val="none"/>
        </w:rPr>
      </w:pPr>
      <w:bookmarkStart w:id="393" w:name="bookmark433"/>
      <w:bookmarkEnd w:id="393"/>
      <w:r>
        <w:rPr>
          <w:rFonts w:ascii="宋体" w:hAnsi="宋体" w:eastAsia="宋体" w:cs="宋体"/>
          <w:color w:val="auto"/>
          <w:spacing w:val="-1"/>
          <w:sz w:val="21"/>
          <w:szCs w:val="21"/>
          <w:highlight w:val="none"/>
        </w:rPr>
        <w:t>11.1.2 日和周进度报表的内容应至少包括每日在现场工作的技术管理人员数量、各工种技术</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工人和非技术工人数量、后勤人员数量、参观现场的人员数量，包括</w:t>
      </w:r>
      <w:r>
        <w:rPr>
          <w:rFonts w:ascii="宋体" w:hAnsi="宋体" w:eastAsia="宋体" w:cs="宋体"/>
          <w:color w:val="auto"/>
          <w:spacing w:val="1"/>
          <w:sz w:val="21"/>
          <w:szCs w:val="21"/>
          <w:highlight w:val="none"/>
        </w:rPr>
        <w:t>分包人人员数量；还应包括</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所使用的各种主要机械设备和车辆的型号、数量和台班，工作的区段</w:t>
      </w:r>
      <w:r>
        <w:rPr>
          <w:rFonts w:ascii="宋体" w:hAnsi="宋体" w:eastAsia="宋体" w:cs="宋体"/>
          <w:color w:val="auto"/>
          <w:spacing w:val="1"/>
          <w:sz w:val="21"/>
          <w:szCs w:val="21"/>
          <w:highlight w:val="none"/>
        </w:rPr>
        <w:t>，以及工程进度情况、天气</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情况记录、停工、质量和安全事故等特别事项说明； 此外， 应附上每日进场材料、</w:t>
      </w:r>
      <w:r>
        <w:rPr>
          <w:rFonts w:ascii="宋体" w:hAnsi="宋体" w:eastAsia="宋体" w:cs="宋体"/>
          <w:color w:val="auto"/>
          <w:spacing w:val="-4"/>
          <w:sz w:val="21"/>
          <w:szCs w:val="21"/>
          <w:highlight w:val="none"/>
        </w:rPr>
        <w:t>物品或设备的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分类汇总表、用于次日或次周的工程进度计划等。</w:t>
      </w:r>
    </w:p>
    <w:p>
      <w:pPr>
        <w:spacing w:before="107" w:line="301" w:lineRule="auto"/>
        <w:ind w:right="5" w:firstLine="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11.1.3 月进度报表应当反映月完成工程量和累计完成工程量（包括永久工程和临时</w:t>
      </w:r>
      <w:r>
        <w:rPr>
          <w:rFonts w:ascii="宋体" w:hAnsi="宋体" w:eastAsia="宋体" w:cs="宋体"/>
          <w:color w:val="auto"/>
          <w:spacing w:val="-2"/>
          <w:sz w:val="21"/>
          <w:szCs w:val="21"/>
          <w:highlight w:val="none"/>
        </w:rPr>
        <w:t>工程）、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材料实际进货、消耗和库存量、现场施工设备</w:t>
      </w:r>
      <w:r>
        <w:rPr>
          <w:rFonts w:ascii="宋体" w:hAnsi="宋体" w:eastAsia="宋体" w:cs="宋体"/>
          <w:color w:val="auto"/>
          <w:spacing w:val="1"/>
          <w:sz w:val="21"/>
          <w:szCs w:val="21"/>
          <w:highlight w:val="none"/>
        </w:rPr>
        <w:t>的投运数量和运行状况、工程设备的到货情况、劳</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动力数量（本月及预计未来三个月劳动力的数量）、当前影响施工</w:t>
      </w:r>
      <w:r>
        <w:rPr>
          <w:rFonts w:ascii="宋体" w:hAnsi="宋体" w:eastAsia="宋体" w:cs="宋体"/>
          <w:color w:val="auto"/>
          <w:spacing w:val="1"/>
          <w:sz w:val="21"/>
          <w:szCs w:val="21"/>
          <w:highlight w:val="none"/>
        </w:rPr>
        <w:t>进度计划的因素和采取的改进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措施、进度计划调整及其说明、质量事故和质量缺陷处理纪录、质量状</w:t>
      </w:r>
      <w:r>
        <w:rPr>
          <w:rFonts w:ascii="宋体" w:hAnsi="宋体" w:eastAsia="宋体" w:cs="宋体"/>
          <w:color w:val="auto"/>
          <w:spacing w:val="1"/>
          <w:sz w:val="21"/>
          <w:szCs w:val="21"/>
          <w:highlight w:val="none"/>
        </w:rPr>
        <w:t>况评价、安全施工措施计</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划实施情况、安全事故以及人员伤亡和财产损失情况（如果有）、环境</w:t>
      </w:r>
      <w:r>
        <w:rPr>
          <w:rFonts w:ascii="宋体" w:hAnsi="宋体" w:eastAsia="宋体" w:cs="宋体"/>
          <w:color w:val="auto"/>
          <w:spacing w:val="1"/>
          <w:sz w:val="21"/>
          <w:szCs w:val="21"/>
          <w:highlight w:val="none"/>
        </w:rPr>
        <w:t>保护措施实施和文明施工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措施实施情况。</w:t>
      </w:r>
    </w:p>
    <w:p>
      <w:pPr>
        <w:spacing w:before="106" w:line="285" w:lineRule="auto"/>
        <w:ind w:left="2" w:firstLine="4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11.1.4 月进度报告还应附有一组充分显示工程形象进度的定点摄影照片。照片应当在经监理</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人批准的不同位置定期拍摄，每张照片都应标上相应的拍摄日期和</w:t>
      </w:r>
      <w:r>
        <w:rPr>
          <w:rFonts w:ascii="宋体" w:hAnsi="宋体" w:eastAsia="宋体" w:cs="宋体"/>
          <w:color w:val="auto"/>
          <w:spacing w:val="1"/>
          <w:sz w:val="21"/>
          <w:szCs w:val="21"/>
          <w:highlight w:val="none"/>
        </w:rPr>
        <w:t>简要文字说明，且应用经发包</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人和监理人批准的标准或格式装裱后呈交。</w:t>
      </w:r>
    </w:p>
    <w:p>
      <w:pPr>
        <w:spacing w:before="108" w:line="269" w:lineRule="auto"/>
        <w:ind w:firstLine="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11.1.5 各个进度报表的格式和内容应经过监理人的审批。进度报表应如实填写，由承包人授</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权代表签名，并报监理人的指定代表签名确认后再行分</w:t>
      </w:r>
      <w:r>
        <w:rPr>
          <w:rFonts w:ascii="宋体" w:hAnsi="宋体" w:eastAsia="宋体" w:cs="宋体"/>
          <w:color w:val="auto"/>
          <w:spacing w:val="-1"/>
          <w:sz w:val="21"/>
          <w:szCs w:val="21"/>
          <w:highlight w:val="none"/>
        </w:rPr>
        <w:t>发。</w:t>
      </w:r>
    </w:p>
    <w:p>
      <w:pPr>
        <w:spacing w:before="109" w:line="268" w:lineRule="auto"/>
        <w:ind w:left="18" w:firstLine="4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11.1.6 如果监理人认为必要，进度报告和进度照片应同时以存储在磁盘或光盘中的数据文件</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的形式递交给发包人和监理人。数据文件采用</w:t>
      </w:r>
      <w:r>
        <w:rPr>
          <w:rFonts w:ascii="宋体" w:hAnsi="宋体" w:eastAsia="宋体" w:cs="宋体"/>
          <w:color w:val="auto"/>
          <w:spacing w:val="-1"/>
          <w:sz w:val="21"/>
          <w:szCs w:val="21"/>
          <w:highlight w:val="none"/>
        </w:rPr>
        <w:t>的应用软件及其版本应经过监理人的审批。</w:t>
      </w:r>
    </w:p>
    <w:p>
      <w:pPr>
        <w:spacing w:before="110" w:line="219"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11.1.7</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有关进度报告的其他要求：</w:t>
      </w:r>
    </w:p>
    <w:p>
      <w:pPr>
        <w:pStyle w:val="2"/>
        <w:spacing w:line="250" w:lineRule="auto"/>
        <w:rPr>
          <w:color w:val="auto"/>
          <w:highlight w:val="none"/>
        </w:rPr>
      </w:pPr>
    </w:p>
    <w:p>
      <w:pPr>
        <w:tabs>
          <w:tab w:val="left" w:pos="8182"/>
        </w:tabs>
        <w:spacing w:before="26" w:line="159" w:lineRule="auto"/>
        <w:ind w:left="94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73" w:line="219" w:lineRule="auto"/>
        <w:ind w:left="14"/>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11.2</w:t>
      </w:r>
      <w:r>
        <w:rPr>
          <w:rFonts w:ascii="黑体" w:hAnsi="黑体" w:eastAsia="黑体" w:cs="黑体"/>
          <w:color w:val="auto"/>
          <w:spacing w:val="-49"/>
          <w:sz w:val="24"/>
          <w:szCs w:val="24"/>
          <w:highlight w:val="none"/>
        </w:rPr>
        <w:t xml:space="preserve"> </w:t>
      </w:r>
      <w:r>
        <w:rPr>
          <w:rFonts w:ascii="黑体" w:hAnsi="黑体" w:eastAsia="黑体" w:cs="黑体"/>
          <w:color w:val="auto"/>
          <w:spacing w:val="-4"/>
          <w:sz w:val="24"/>
          <w:szCs w:val="24"/>
          <w:highlight w:val="none"/>
        </w:rPr>
        <w:t>进度例会</w:t>
      </w:r>
    </w:p>
    <w:p>
      <w:pPr>
        <w:spacing w:before="113" w:line="284" w:lineRule="auto"/>
        <w:ind w:left="3" w:firstLine="4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11.2.1 监理人将主持召开有发包人、承包人、独立承包人和主要分包人等与本工程建设有关</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各方出席的每周一次的进度例会。必要时，监理人可随时召集所</w:t>
      </w:r>
      <w:r>
        <w:rPr>
          <w:rFonts w:ascii="宋体" w:hAnsi="宋体" w:eastAsia="宋体" w:cs="宋体"/>
          <w:color w:val="auto"/>
          <w:spacing w:val="1"/>
          <w:sz w:val="21"/>
          <w:szCs w:val="21"/>
          <w:highlight w:val="none"/>
        </w:rPr>
        <w:t>有上述各方或其中部分单位参加</w:t>
      </w:r>
      <w:r>
        <w:rPr>
          <w:rFonts w:ascii="宋体" w:hAnsi="宋体" w:eastAsia="宋体" w:cs="宋体"/>
          <w:color w:val="auto"/>
          <w:sz w:val="21"/>
          <w:szCs w:val="21"/>
          <w:highlight w:val="none"/>
        </w:rPr>
        <w:t xml:space="preserve"> 的会议。承包人应保证能代表其当场作出决定的高级管理人员</w:t>
      </w:r>
      <w:r>
        <w:rPr>
          <w:rFonts w:ascii="宋体" w:hAnsi="宋体" w:eastAsia="宋体" w:cs="宋体"/>
          <w:color w:val="auto"/>
          <w:spacing w:val="-1"/>
          <w:sz w:val="21"/>
          <w:szCs w:val="21"/>
          <w:highlight w:val="none"/>
        </w:rPr>
        <w:t>出席会议。</w:t>
      </w:r>
    </w:p>
    <w:p>
      <w:pPr>
        <w:spacing w:before="111" w:line="268" w:lineRule="auto"/>
        <w:ind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11.2.2</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进度例会的内容将涉及合同管理、进度协调和工程管理的各个方面， 由监理人准备的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会议议题将随会议通知在会议召开前至少</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24</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小时发给各参会方。</w:t>
      </w:r>
    </w:p>
    <w:p>
      <w:pPr>
        <w:spacing w:before="108" w:line="303" w:lineRule="auto"/>
        <w:ind w:firstLine="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11.2.3 监理人应当做好会议记录，并在会议结束时由与会各方签字确认。监理人应根据会议</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记录整理出会议纪要，并在相应会议后</w:t>
      </w:r>
      <w:r>
        <w:rPr>
          <w:rFonts w:ascii="宋体" w:hAnsi="宋体" w:eastAsia="宋体" w:cs="宋体"/>
          <w:color w:val="auto"/>
          <w:spacing w:val="-35"/>
          <w:sz w:val="21"/>
          <w:szCs w:val="21"/>
          <w:highlight w:val="none"/>
        </w:rPr>
        <w:t xml:space="preserve"> </w:t>
      </w:r>
      <w:r>
        <w:rPr>
          <w:rFonts w:ascii="宋体" w:hAnsi="宋体" w:eastAsia="宋体" w:cs="宋体"/>
          <w:color w:val="auto"/>
          <w:spacing w:val="-1"/>
          <w:sz w:val="21"/>
          <w:szCs w:val="21"/>
          <w:highlight w:val="none"/>
        </w:rPr>
        <w:t>24</w:t>
      </w:r>
      <w:r>
        <w:rPr>
          <w:rFonts w:ascii="宋体" w:hAnsi="宋体" w:eastAsia="宋体" w:cs="宋体"/>
          <w:color w:val="auto"/>
          <w:spacing w:val="-53"/>
          <w:sz w:val="21"/>
          <w:szCs w:val="21"/>
          <w:highlight w:val="none"/>
        </w:rPr>
        <w:t xml:space="preserve"> </w:t>
      </w:r>
      <w:r>
        <w:rPr>
          <w:rFonts w:ascii="宋体" w:hAnsi="宋体" w:eastAsia="宋体" w:cs="宋体"/>
          <w:color w:val="auto"/>
          <w:spacing w:val="-1"/>
          <w:sz w:val="21"/>
          <w:szCs w:val="21"/>
          <w:highlight w:val="none"/>
        </w:rPr>
        <w:t>小时内分发给出席会议的各方。会议纪要应当如实反映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会议记录的内容，包括任何决定、存在的问题、责任方、有关工作的时</w:t>
      </w:r>
      <w:r>
        <w:rPr>
          <w:rFonts w:ascii="宋体" w:hAnsi="宋体" w:eastAsia="宋体" w:cs="宋体"/>
          <w:color w:val="auto"/>
          <w:spacing w:val="1"/>
          <w:sz w:val="21"/>
          <w:szCs w:val="21"/>
          <w:highlight w:val="none"/>
        </w:rPr>
        <w:t>间目标等等。各方在收到</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会议纪要后</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24</w:t>
      </w:r>
      <w:r>
        <w:rPr>
          <w:rFonts w:ascii="宋体" w:hAnsi="宋体" w:eastAsia="宋体" w:cs="宋体"/>
          <w:color w:val="auto"/>
          <w:spacing w:val="-50"/>
          <w:sz w:val="21"/>
          <w:szCs w:val="21"/>
          <w:highlight w:val="none"/>
        </w:rPr>
        <w:t xml:space="preserve"> </w:t>
      </w:r>
      <w:r>
        <w:rPr>
          <w:rFonts w:ascii="宋体" w:hAnsi="宋体" w:eastAsia="宋体" w:cs="宋体"/>
          <w:color w:val="auto"/>
          <w:spacing w:val="-5"/>
          <w:sz w:val="21"/>
          <w:szCs w:val="21"/>
          <w:highlight w:val="none"/>
        </w:rPr>
        <w:t>小时内给予签字确认， 如有任何异议，应将有关异议以书面形</w:t>
      </w:r>
      <w:r>
        <w:rPr>
          <w:rFonts w:ascii="宋体" w:hAnsi="宋体" w:eastAsia="宋体" w:cs="宋体"/>
          <w:color w:val="auto"/>
          <w:spacing w:val="-6"/>
          <w:sz w:val="21"/>
          <w:szCs w:val="21"/>
          <w:highlight w:val="none"/>
        </w:rPr>
        <w:t>式通知监理人， 由监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理人与有异议一方或各方共同核对会议记录，有异议的一方或者各方对</w:t>
      </w:r>
      <w:r>
        <w:rPr>
          <w:rFonts w:ascii="宋体" w:hAnsi="宋体" w:eastAsia="宋体" w:cs="宋体"/>
          <w:color w:val="auto"/>
          <w:spacing w:val="1"/>
          <w:sz w:val="21"/>
          <w:szCs w:val="21"/>
          <w:highlight w:val="none"/>
        </w:rPr>
        <w:t>与会议记录内容一致的会</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议纪要必须给予签字确认， 否则监理人可以用会议记录作为会议纪要。经参会各方签字认可的会</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议纪要对各方有合同约束力。</w:t>
      </w:r>
    </w:p>
    <w:p>
      <w:pPr>
        <w:spacing w:before="110" w:line="220"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11.2.4</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有关进度例会的其他要求：</w:t>
      </w:r>
    </w:p>
    <w:p>
      <w:pPr>
        <w:pStyle w:val="2"/>
        <w:spacing w:line="249" w:lineRule="auto"/>
        <w:rPr>
          <w:color w:val="auto"/>
          <w:highlight w:val="none"/>
        </w:rPr>
      </w:pPr>
    </w:p>
    <w:p>
      <w:pPr>
        <w:tabs>
          <w:tab w:val="left" w:pos="8182"/>
        </w:tabs>
        <w:spacing w:before="26" w:line="159" w:lineRule="auto"/>
        <w:ind w:left="94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36" w:line="219" w:lineRule="auto"/>
        <w:ind w:left="25"/>
        <w:rPr>
          <w:rFonts w:ascii="黑体" w:hAnsi="黑体" w:eastAsia="黑体" w:cs="黑体"/>
          <w:color w:val="auto"/>
          <w:sz w:val="28"/>
          <w:szCs w:val="28"/>
          <w:highlight w:val="none"/>
        </w:rPr>
      </w:pPr>
      <w:r>
        <w:rPr>
          <w:rFonts w:ascii="Times New Roman" w:hAnsi="Times New Roman" w:eastAsia="Times New Roman" w:cs="Times New Roman"/>
          <w:color w:val="auto"/>
          <w:spacing w:val="-4"/>
          <w:sz w:val="28"/>
          <w:szCs w:val="28"/>
          <w:highlight w:val="none"/>
        </w:rPr>
        <w:t>12.</w:t>
      </w:r>
      <w:r>
        <w:rPr>
          <w:rFonts w:ascii="黑体" w:hAnsi="黑体" w:eastAsia="黑体" w:cs="黑体"/>
          <w:color w:val="auto"/>
          <w:spacing w:val="-4"/>
          <w:sz w:val="28"/>
          <w:szCs w:val="28"/>
          <w:highlight w:val="none"/>
        </w:rPr>
        <w:t>试验和检验</w:t>
      </w:r>
    </w:p>
    <w:p>
      <w:pPr>
        <w:spacing w:before="95" w:line="221"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12.1 承包人应当按照工程施工验收规范和标准的规定和通用合同条款第 14 条的约定，</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对用</w:t>
      </w:r>
    </w:p>
    <w:p>
      <w:pPr>
        <w:spacing w:line="221" w:lineRule="auto"/>
        <w:rPr>
          <w:rFonts w:ascii="宋体" w:hAnsi="宋体" w:eastAsia="宋体" w:cs="宋体"/>
          <w:color w:val="auto"/>
          <w:sz w:val="21"/>
          <w:szCs w:val="21"/>
          <w:highlight w:val="none"/>
        </w:rPr>
        <w:sectPr>
          <w:footerReference r:id="rId122" w:type="default"/>
          <w:pgSz w:w="11907" w:h="16841"/>
          <w:pgMar w:top="400" w:right="1524" w:bottom="1143" w:left="1481" w:header="0" w:footer="970"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spacing w:before="69" w:line="220" w:lineRule="auto"/>
        <w:ind w:left="4"/>
        <w:rPr>
          <w:rFonts w:ascii="宋体" w:hAnsi="宋体" w:eastAsia="宋体" w:cs="宋体"/>
          <w:color w:val="auto"/>
          <w:sz w:val="21"/>
          <w:szCs w:val="21"/>
          <w:highlight w:val="none"/>
        </w:rPr>
      </w:pPr>
      <w:bookmarkStart w:id="394" w:name="bookmark434"/>
      <w:bookmarkEnd w:id="394"/>
      <w:r>
        <w:rPr>
          <w:rFonts w:ascii="宋体" w:hAnsi="宋体" w:eastAsia="宋体" w:cs="宋体"/>
          <w:color w:val="auto"/>
          <w:sz w:val="21"/>
          <w:szCs w:val="21"/>
          <w:highlight w:val="none"/>
        </w:rPr>
        <w:t>于永久工程的主要材料、半成品、成品、建筑构配件、工程设备等进行试</w:t>
      </w:r>
      <w:r>
        <w:rPr>
          <w:rFonts w:ascii="宋体" w:hAnsi="宋体" w:eastAsia="宋体" w:cs="宋体"/>
          <w:color w:val="auto"/>
          <w:spacing w:val="-1"/>
          <w:sz w:val="21"/>
          <w:szCs w:val="21"/>
          <w:highlight w:val="none"/>
        </w:rPr>
        <w:t>验和检验。</w:t>
      </w:r>
    </w:p>
    <w:p>
      <w:pPr>
        <w:spacing w:before="109" w:line="220"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12.2</w:t>
      </w:r>
      <w:r>
        <w:rPr>
          <w:rFonts w:ascii="宋体" w:hAnsi="宋体" w:eastAsia="宋体" w:cs="宋体"/>
          <w:color w:val="auto"/>
          <w:spacing w:val="-32"/>
          <w:sz w:val="21"/>
          <w:szCs w:val="21"/>
          <w:highlight w:val="none"/>
        </w:rPr>
        <w:t xml:space="preserve"> </w:t>
      </w:r>
      <w:r>
        <w:rPr>
          <w:rFonts w:ascii="宋体" w:hAnsi="宋体" w:eastAsia="宋体" w:cs="宋体"/>
          <w:color w:val="auto"/>
          <w:spacing w:val="-2"/>
          <w:sz w:val="21"/>
          <w:szCs w:val="21"/>
          <w:highlight w:val="none"/>
        </w:rPr>
        <w:t>本工程需要承包人进行试验和检验的材料、工程设备和工艺如下：</w:t>
      </w:r>
    </w:p>
    <w:p>
      <w:pPr>
        <w:tabs>
          <w:tab w:val="left" w:pos="8602"/>
        </w:tabs>
        <w:spacing w:before="246" w:line="159" w:lineRule="auto"/>
        <w:ind w:left="136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4" w:line="220" w:lineRule="auto"/>
        <w:ind w:left="4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监理人可以根据工程需要，指示承包人进行其他现场材料和工艺的试验和检验。</w:t>
      </w:r>
    </w:p>
    <w:p>
      <w:pPr>
        <w:spacing w:before="109" w:line="220"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12.3</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本工程需要由监理人和承包人共同进行试验和检验的材料</w:t>
      </w:r>
      <w:r>
        <w:rPr>
          <w:rFonts w:ascii="宋体" w:hAnsi="宋体" w:eastAsia="宋体" w:cs="宋体"/>
          <w:color w:val="auto"/>
          <w:spacing w:val="-2"/>
          <w:sz w:val="21"/>
          <w:szCs w:val="21"/>
          <w:highlight w:val="none"/>
        </w:rPr>
        <w:t>、工程设备和工艺如下：</w:t>
      </w:r>
    </w:p>
    <w:p>
      <w:pPr>
        <w:pStyle w:val="2"/>
        <w:spacing w:line="304" w:lineRule="auto"/>
        <w:rPr>
          <w:color w:val="auto"/>
          <w:highlight w:val="none"/>
        </w:rPr>
      </w:pPr>
    </w:p>
    <w:p>
      <w:pPr>
        <w:pStyle w:val="2"/>
        <w:spacing w:line="304" w:lineRule="auto"/>
        <w:rPr>
          <w:color w:val="auto"/>
          <w:highlight w:val="none"/>
        </w:rPr>
      </w:pPr>
    </w:p>
    <w:p>
      <w:pPr>
        <w:spacing w:before="69" w:line="46" w:lineRule="exact"/>
        <w:ind w:left="8211"/>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-12700</wp:posOffset>
                </wp:positionH>
                <wp:positionV relativeFrom="paragraph">
                  <wp:posOffset>-43180</wp:posOffset>
                </wp:positionV>
                <wp:extent cx="5789930" cy="706310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789930" cy="7063105"/>
                        </a:xfrm>
                        <a:prstGeom prst="rect">
                          <a:avLst/>
                        </a:prstGeom>
                        <a:noFill/>
                        <a:ln>
                          <a:noFill/>
                        </a:ln>
                      </wps:spPr>
                      <wps:txbx>
                        <w:txbxContent>
                          <w:p>
                            <w:pPr>
                              <w:pStyle w:val="2"/>
                              <w:tabs>
                                <w:tab w:val="left" w:pos="8202"/>
                              </w:tabs>
                              <w:spacing w:before="20" w:line="241" w:lineRule="exact"/>
                              <w:ind w:left="960"/>
                            </w:pPr>
                            <w:r>
                              <w:rPr>
                                <w:u w:val="single" w:color="auto"/>
                              </w:rPr>
                              <w:tab/>
                            </w:r>
                          </w:p>
                          <w:p>
                            <w:pPr>
                              <w:spacing w:before="110" w:line="269" w:lineRule="auto"/>
                              <w:ind w:left="24" w:right="36" w:firstLine="432"/>
                              <w:rPr>
                                <w:rFonts w:ascii="宋体" w:hAnsi="宋体" w:eastAsia="宋体" w:cs="宋体"/>
                                <w:sz w:val="21"/>
                                <w:szCs w:val="21"/>
                              </w:rPr>
                            </w:pPr>
                            <w:r>
                              <w:rPr>
                                <w:rFonts w:ascii="宋体" w:hAnsi="宋体" w:eastAsia="宋体" w:cs="宋体"/>
                                <w:spacing w:val="-2"/>
                                <w:sz w:val="21"/>
                                <w:szCs w:val="21"/>
                              </w:rPr>
                              <w:t>12.4 本条上述约定需要进行检验的材料、工程设备和工艺在经过检验并获得监理人批</w:t>
                            </w:r>
                            <w:r>
                              <w:rPr>
                                <w:rFonts w:ascii="宋体" w:hAnsi="宋体" w:eastAsia="宋体" w:cs="宋体"/>
                                <w:spacing w:val="-3"/>
                                <w:sz w:val="21"/>
                                <w:szCs w:val="21"/>
                              </w:rPr>
                              <w:t>准以前，</w:t>
                            </w:r>
                            <w:r>
                              <w:rPr>
                                <w:rFonts w:ascii="宋体" w:hAnsi="宋体" w:eastAsia="宋体" w:cs="宋体"/>
                                <w:sz w:val="21"/>
                                <w:szCs w:val="21"/>
                              </w:rPr>
                              <w:t xml:space="preserve"> </w:t>
                            </w:r>
                            <w:r>
                              <w:rPr>
                                <w:rFonts w:ascii="宋体" w:hAnsi="宋体" w:eastAsia="宋体" w:cs="宋体"/>
                                <w:spacing w:val="-3"/>
                                <w:sz w:val="21"/>
                                <w:szCs w:val="21"/>
                              </w:rPr>
                              <w:t>不得用于任何永久工程。</w:t>
                            </w:r>
                          </w:p>
                          <w:p>
                            <w:pPr>
                              <w:spacing w:before="110" w:line="292" w:lineRule="auto"/>
                              <w:ind w:left="22" w:right="197" w:firstLine="433"/>
                              <w:rPr>
                                <w:rFonts w:ascii="宋体" w:hAnsi="宋体" w:eastAsia="宋体" w:cs="宋体"/>
                                <w:sz w:val="21"/>
                                <w:szCs w:val="21"/>
                              </w:rPr>
                            </w:pPr>
                            <w:r>
                              <w:rPr>
                                <w:rFonts w:ascii="宋体" w:hAnsi="宋体" w:eastAsia="宋体" w:cs="宋体"/>
                                <w:spacing w:val="-1"/>
                                <w:sz w:val="21"/>
                                <w:szCs w:val="21"/>
                              </w:rPr>
                              <w:t>12.5 承包人应为任何材料、工程设备和工艺的检查、检测和检验提供劳务、电力、燃料、备</w:t>
                            </w:r>
                            <w:r>
                              <w:rPr>
                                <w:rFonts w:ascii="宋体" w:hAnsi="宋体" w:eastAsia="宋体" w:cs="宋体"/>
                                <w:sz w:val="21"/>
                                <w:szCs w:val="21"/>
                              </w:rPr>
                              <w:t xml:space="preserve"> </w:t>
                            </w:r>
                            <w:r>
                              <w:rPr>
                                <w:rFonts w:ascii="宋体" w:hAnsi="宋体" w:eastAsia="宋体" w:cs="宋体"/>
                                <w:spacing w:val="2"/>
                                <w:sz w:val="21"/>
                                <w:szCs w:val="21"/>
                              </w:rPr>
                              <w:t>用品、设备和仪器以及必要的协助。监理人及其任何授权人员应能</w:t>
                            </w:r>
                            <w:r>
                              <w:rPr>
                                <w:rFonts w:ascii="宋体" w:hAnsi="宋体" w:eastAsia="宋体" w:cs="宋体"/>
                                <w:spacing w:val="1"/>
                                <w:sz w:val="21"/>
                                <w:szCs w:val="21"/>
                              </w:rPr>
                              <w:t>够在任何时候进入现场及正在</w:t>
                            </w:r>
                            <w:r>
                              <w:rPr>
                                <w:rFonts w:ascii="宋体" w:hAnsi="宋体" w:eastAsia="宋体" w:cs="宋体"/>
                                <w:sz w:val="21"/>
                                <w:szCs w:val="21"/>
                              </w:rPr>
                              <w:t xml:space="preserve"> </w:t>
                            </w:r>
                            <w:r>
                              <w:rPr>
                                <w:rFonts w:ascii="宋体" w:hAnsi="宋体" w:eastAsia="宋体" w:cs="宋体"/>
                                <w:spacing w:val="2"/>
                                <w:sz w:val="21"/>
                                <w:szCs w:val="21"/>
                              </w:rPr>
                              <w:t>为工程制造、装配、准备材料和（或）工程设备的车间和场所进行任何</w:t>
                            </w:r>
                            <w:r>
                              <w:rPr>
                                <w:rFonts w:ascii="宋体" w:hAnsi="宋体" w:eastAsia="宋体" w:cs="宋体"/>
                                <w:spacing w:val="1"/>
                                <w:sz w:val="21"/>
                                <w:szCs w:val="21"/>
                              </w:rPr>
                              <w:t>必要的检查。无论这些车</w:t>
                            </w:r>
                            <w:r>
                              <w:rPr>
                                <w:rFonts w:ascii="宋体" w:hAnsi="宋体" w:eastAsia="宋体" w:cs="宋体"/>
                                <w:sz w:val="21"/>
                                <w:szCs w:val="21"/>
                              </w:rPr>
                              <w:t xml:space="preserve"> 间和场所是否属于承包人，承包人都应提供一切便利，</w:t>
                            </w:r>
                            <w:r>
                              <w:rPr>
                                <w:rFonts w:ascii="宋体" w:hAnsi="宋体" w:eastAsia="宋体" w:cs="宋体"/>
                                <w:spacing w:val="-1"/>
                                <w:sz w:val="21"/>
                                <w:szCs w:val="21"/>
                              </w:rPr>
                              <w:t>并协助其取得相应的权力和（或）许可。</w:t>
                            </w:r>
                          </w:p>
                          <w:p>
                            <w:pPr>
                              <w:spacing w:before="106" w:line="301" w:lineRule="auto"/>
                              <w:ind w:left="20" w:right="197" w:firstLine="435"/>
                              <w:rPr>
                                <w:rFonts w:ascii="宋体" w:hAnsi="宋体" w:eastAsia="宋体" w:cs="宋体"/>
                                <w:sz w:val="21"/>
                                <w:szCs w:val="21"/>
                              </w:rPr>
                            </w:pPr>
                            <w:r>
                              <w:rPr>
                                <w:rFonts w:ascii="宋体" w:hAnsi="宋体" w:eastAsia="宋体" w:cs="宋体"/>
                                <w:spacing w:val="-1"/>
                                <w:sz w:val="21"/>
                                <w:szCs w:val="21"/>
                              </w:rPr>
                              <w:t>12.6 如果检查、检测、检验或试验的结果表明，材料、工程设备和工艺有缺陷或不符合合同</w:t>
                            </w:r>
                            <w:r>
                              <w:rPr>
                                <w:rFonts w:ascii="宋体" w:hAnsi="宋体" w:eastAsia="宋体" w:cs="宋体"/>
                                <w:sz w:val="21"/>
                                <w:szCs w:val="21"/>
                              </w:rPr>
                              <w:t xml:space="preserve"> </w:t>
                            </w:r>
                            <w:r>
                              <w:rPr>
                                <w:rFonts w:ascii="宋体" w:hAnsi="宋体" w:eastAsia="宋体" w:cs="宋体"/>
                                <w:spacing w:val="-1"/>
                                <w:sz w:val="21"/>
                                <w:szCs w:val="21"/>
                              </w:rPr>
                              <w:t>约定，监理人和发包人可拒收此类材料、工程设备</w:t>
                            </w:r>
                            <w:r>
                              <w:rPr>
                                <w:rFonts w:ascii="宋体" w:hAnsi="宋体" w:eastAsia="宋体" w:cs="宋体"/>
                                <w:spacing w:val="-2"/>
                                <w:sz w:val="21"/>
                                <w:szCs w:val="21"/>
                              </w:rPr>
                              <w:t>和工艺， 并应立即通知承包人同时说明理由。</w:t>
                            </w:r>
                            <w:r>
                              <w:rPr>
                                <w:rFonts w:ascii="宋体" w:hAnsi="宋体" w:eastAsia="宋体" w:cs="宋体"/>
                                <w:sz w:val="21"/>
                                <w:szCs w:val="21"/>
                              </w:rPr>
                              <w:t xml:space="preserve"> </w:t>
                            </w:r>
                            <w:r>
                              <w:rPr>
                                <w:rFonts w:ascii="宋体" w:hAnsi="宋体" w:eastAsia="宋体" w:cs="宋体"/>
                                <w:spacing w:val="2"/>
                                <w:sz w:val="21"/>
                                <w:szCs w:val="21"/>
                              </w:rPr>
                              <w:t>承包人应立即修复上述缺陷并保证其符合合同约定。</w:t>
                            </w:r>
                            <w:r>
                              <w:rPr>
                                <w:rFonts w:ascii="宋体" w:hAnsi="宋体" w:eastAsia="宋体" w:cs="宋体"/>
                                <w:spacing w:val="1"/>
                                <w:sz w:val="21"/>
                                <w:szCs w:val="21"/>
                              </w:rPr>
                              <w:t>若监理人或发包人要求对此类工程设备、材</w:t>
                            </w:r>
                            <w:r>
                              <w:rPr>
                                <w:rFonts w:ascii="宋体" w:hAnsi="宋体" w:eastAsia="宋体" w:cs="宋体"/>
                                <w:sz w:val="21"/>
                                <w:szCs w:val="21"/>
                              </w:rPr>
                              <w:t xml:space="preserve"> </w:t>
                            </w:r>
                            <w:r>
                              <w:rPr>
                                <w:rFonts w:ascii="宋体" w:hAnsi="宋体" w:eastAsia="宋体" w:cs="宋体"/>
                                <w:spacing w:val="2"/>
                                <w:sz w:val="21"/>
                                <w:szCs w:val="21"/>
                              </w:rPr>
                              <w:t>料、设计或工艺重新进行检验，则此类检验应按相同条款和条件重新</w:t>
                            </w:r>
                            <w:r>
                              <w:rPr>
                                <w:rFonts w:ascii="宋体" w:hAnsi="宋体" w:eastAsia="宋体" w:cs="宋体"/>
                                <w:spacing w:val="1"/>
                                <w:sz w:val="21"/>
                                <w:szCs w:val="21"/>
                              </w:rPr>
                              <w:t>进行。如果此类拒收和重新</w:t>
                            </w:r>
                            <w:r>
                              <w:rPr>
                                <w:rFonts w:ascii="宋体" w:hAnsi="宋体" w:eastAsia="宋体" w:cs="宋体"/>
                                <w:sz w:val="21"/>
                                <w:szCs w:val="21"/>
                              </w:rPr>
                              <w:t xml:space="preserve"> </w:t>
                            </w:r>
                            <w:r>
                              <w:rPr>
                                <w:rFonts w:ascii="宋体" w:hAnsi="宋体" w:eastAsia="宋体" w:cs="宋体"/>
                                <w:spacing w:val="-3"/>
                                <w:sz w:val="21"/>
                                <w:szCs w:val="21"/>
                              </w:rPr>
                              <w:t>检验致使发包人产生了额外费用， 则此类费用应由承包人支付给发包人， 或从发包</w:t>
                            </w:r>
                            <w:r>
                              <w:rPr>
                                <w:rFonts w:ascii="宋体" w:hAnsi="宋体" w:eastAsia="宋体" w:cs="宋体"/>
                                <w:spacing w:val="-4"/>
                                <w:sz w:val="21"/>
                                <w:szCs w:val="21"/>
                              </w:rPr>
                              <w:t>人应支付给承</w:t>
                            </w:r>
                            <w:r>
                              <w:rPr>
                                <w:rFonts w:ascii="宋体" w:hAnsi="宋体" w:eastAsia="宋体" w:cs="宋体"/>
                                <w:sz w:val="21"/>
                                <w:szCs w:val="21"/>
                              </w:rPr>
                              <w:t xml:space="preserve"> </w:t>
                            </w:r>
                            <w:r>
                              <w:rPr>
                                <w:rFonts w:ascii="宋体" w:hAnsi="宋体" w:eastAsia="宋体" w:cs="宋体"/>
                                <w:spacing w:val="-3"/>
                                <w:sz w:val="21"/>
                                <w:szCs w:val="21"/>
                              </w:rPr>
                              <w:t>包人的款项中扣除。</w:t>
                            </w:r>
                          </w:p>
                          <w:p>
                            <w:pPr>
                              <w:spacing w:before="108" w:line="269" w:lineRule="auto"/>
                              <w:ind w:left="25" w:right="36" w:firstLine="430"/>
                              <w:rPr>
                                <w:rFonts w:ascii="宋体" w:hAnsi="宋体" w:eastAsia="宋体" w:cs="宋体"/>
                                <w:sz w:val="21"/>
                                <w:szCs w:val="21"/>
                              </w:rPr>
                            </w:pPr>
                            <w:r>
                              <w:rPr>
                                <w:rFonts w:ascii="宋体" w:hAnsi="宋体" w:eastAsia="宋体" w:cs="宋体"/>
                                <w:spacing w:val="-2"/>
                                <w:sz w:val="21"/>
                                <w:szCs w:val="21"/>
                              </w:rPr>
                              <w:t>12.7 承包人应在监理人的监督下，对涉及结构安全的试块、试件以及有关材料进行现</w:t>
                            </w:r>
                            <w:r>
                              <w:rPr>
                                <w:rFonts w:ascii="宋体" w:hAnsi="宋体" w:eastAsia="宋体" w:cs="宋体"/>
                                <w:spacing w:val="-3"/>
                                <w:sz w:val="21"/>
                                <w:szCs w:val="21"/>
                              </w:rPr>
                              <w:t>场取样，</w:t>
                            </w:r>
                            <w:r>
                              <w:rPr>
                                <w:rFonts w:ascii="宋体" w:hAnsi="宋体" w:eastAsia="宋体" w:cs="宋体"/>
                                <w:sz w:val="21"/>
                                <w:szCs w:val="21"/>
                              </w:rPr>
                              <w:t xml:space="preserve"> </w:t>
                            </w:r>
                            <w:r>
                              <w:rPr>
                                <w:rFonts w:ascii="宋体" w:hAnsi="宋体" w:eastAsia="宋体" w:cs="宋体"/>
                                <w:spacing w:val="-1"/>
                                <w:sz w:val="21"/>
                                <w:szCs w:val="21"/>
                              </w:rPr>
                              <w:t>并送</w:t>
                            </w:r>
                            <w:r>
                              <w:rPr>
                                <w:rFonts w:ascii="宋体" w:hAnsi="宋体" w:eastAsia="宋体" w:cs="宋体"/>
                                <w:spacing w:val="-1"/>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1"/>
                                <w:sz w:val="21"/>
                                <w:szCs w:val="21"/>
                              </w:rPr>
                              <w:t>质量检测单位进行检测。</w:t>
                            </w:r>
                          </w:p>
                          <w:p>
                            <w:pPr>
                              <w:spacing w:before="109" w:line="252" w:lineRule="auto"/>
                              <w:ind w:left="45" w:right="20" w:firstLine="411"/>
                              <w:rPr>
                                <w:rFonts w:ascii="黑体" w:hAnsi="黑体" w:eastAsia="黑体" w:cs="黑体"/>
                                <w:sz w:val="28"/>
                                <w:szCs w:val="28"/>
                              </w:rPr>
                            </w:pPr>
                            <w:r>
                              <w:rPr>
                                <w:rFonts w:ascii="宋体" w:hAnsi="宋体" w:eastAsia="宋体" w:cs="宋体"/>
                                <w:spacing w:val="-4"/>
                                <w:sz w:val="21"/>
                                <w:szCs w:val="21"/>
                              </w:rPr>
                              <w:t>12.8 除合同另有约定外， 承包人应负担本合同项下的所有材料、工程设备和工艺检验的费用。</w:t>
                            </w:r>
                            <w:r>
                              <w:rPr>
                                <w:rFonts w:ascii="宋体" w:hAnsi="宋体" w:eastAsia="宋体" w:cs="宋体"/>
                                <w:sz w:val="21"/>
                                <w:szCs w:val="21"/>
                              </w:rPr>
                              <w:t xml:space="preserve"> </w:t>
                            </w:r>
                            <w:r>
                              <w:rPr>
                                <w:rFonts w:ascii="Times New Roman" w:hAnsi="Times New Roman" w:eastAsia="Times New Roman" w:cs="Times New Roman"/>
                                <w:spacing w:val="-5"/>
                                <w:sz w:val="28"/>
                                <w:szCs w:val="28"/>
                              </w:rPr>
                              <w:t>13.</w:t>
                            </w:r>
                            <w:r>
                              <w:rPr>
                                <w:rFonts w:ascii="黑体" w:hAnsi="黑体" w:eastAsia="黑体" w:cs="黑体"/>
                                <w:spacing w:val="-5"/>
                                <w:sz w:val="28"/>
                                <w:szCs w:val="28"/>
                              </w:rPr>
                              <w:t>计日工</w:t>
                            </w:r>
                          </w:p>
                          <w:p>
                            <w:pPr>
                              <w:spacing w:before="88" w:line="293" w:lineRule="auto"/>
                              <w:ind w:left="22" w:right="197" w:firstLine="433"/>
                              <w:rPr>
                                <w:rFonts w:ascii="宋体" w:hAnsi="宋体" w:eastAsia="宋体" w:cs="宋体"/>
                                <w:sz w:val="21"/>
                                <w:szCs w:val="21"/>
                              </w:rPr>
                            </w:pPr>
                            <w:r>
                              <w:rPr>
                                <w:rFonts w:ascii="宋体" w:hAnsi="宋体" w:eastAsia="宋体" w:cs="宋体"/>
                                <w:spacing w:val="-1"/>
                                <w:sz w:val="21"/>
                                <w:szCs w:val="21"/>
                              </w:rPr>
                              <w:t>13.1 通用合同条款第 15.7 款约定的计日工，一般适用于合同约定之外的或者因变更而产生</w:t>
                            </w:r>
                            <w:r>
                              <w:rPr>
                                <w:rFonts w:ascii="宋体" w:hAnsi="宋体" w:eastAsia="宋体" w:cs="宋体"/>
                                <w:spacing w:val="4"/>
                                <w:sz w:val="21"/>
                                <w:szCs w:val="21"/>
                              </w:rPr>
                              <w:t xml:space="preserve"> </w:t>
                            </w:r>
                            <w:r>
                              <w:rPr>
                                <w:rFonts w:ascii="宋体" w:hAnsi="宋体" w:eastAsia="宋体" w:cs="宋体"/>
                                <w:spacing w:val="2"/>
                                <w:sz w:val="21"/>
                                <w:szCs w:val="21"/>
                              </w:rPr>
                              <w:t>的、工程量清单中没有设立相应子目或者即便有相应子目但因工作</w:t>
                            </w:r>
                            <w:r>
                              <w:rPr>
                                <w:rFonts w:ascii="宋体" w:hAnsi="宋体" w:eastAsia="宋体" w:cs="宋体"/>
                                <w:spacing w:val="1"/>
                                <w:sz w:val="21"/>
                                <w:szCs w:val="21"/>
                              </w:rPr>
                              <w:t>条件发生变化而无法适用的额</w:t>
                            </w:r>
                            <w:r>
                              <w:rPr>
                                <w:rFonts w:ascii="宋体" w:hAnsi="宋体" w:eastAsia="宋体" w:cs="宋体"/>
                                <w:sz w:val="21"/>
                                <w:szCs w:val="21"/>
                              </w:rPr>
                              <w:t xml:space="preserve"> </w:t>
                            </w:r>
                            <w:r>
                              <w:rPr>
                                <w:rFonts w:ascii="宋体" w:hAnsi="宋体" w:eastAsia="宋体" w:cs="宋体"/>
                                <w:spacing w:val="-1"/>
                                <w:sz w:val="21"/>
                                <w:szCs w:val="21"/>
                              </w:rPr>
                              <w:t>外工作， 尤其是那些时间不允许事先商定价格的额外工作。计日工在发包人认为必要时，由监理</w:t>
                            </w:r>
                            <w:r>
                              <w:rPr>
                                <w:rFonts w:ascii="宋体" w:hAnsi="宋体" w:eastAsia="宋体" w:cs="宋体"/>
                                <w:spacing w:val="9"/>
                                <w:sz w:val="21"/>
                                <w:szCs w:val="21"/>
                              </w:rPr>
                              <w:t xml:space="preserve"> </w:t>
                            </w:r>
                            <w:r>
                              <w:rPr>
                                <w:rFonts w:ascii="宋体" w:hAnsi="宋体" w:eastAsia="宋体" w:cs="宋体"/>
                                <w:spacing w:val="-2"/>
                                <w:sz w:val="21"/>
                                <w:szCs w:val="21"/>
                              </w:rPr>
                              <w:t>人按通用合同条款第</w:t>
                            </w:r>
                            <w:r>
                              <w:rPr>
                                <w:rFonts w:ascii="宋体" w:hAnsi="宋体" w:eastAsia="宋体" w:cs="宋体"/>
                                <w:spacing w:val="-23"/>
                                <w:sz w:val="21"/>
                                <w:szCs w:val="21"/>
                              </w:rPr>
                              <w:t xml:space="preserve"> </w:t>
                            </w:r>
                            <w:r>
                              <w:rPr>
                                <w:rFonts w:ascii="宋体" w:hAnsi="宋体" w:eastAsia="宋体" w:cs="宋体"/>
                                <w:spacing w:val="-2"/>
                                <w:sz w:val="21"/>
                                <w:szCs w:val="21"/>
                              </w:rPr>
                              <w:t>15.7.1</w:t>
                            </w:r>
                            <w:r>
                              <w:rPr>
                                <w:rFonts w:ascii="宋体" w:hAnsi="宋体" w:eastAsia="宋体" w:cs="宋体"/>
                                <w:spacing w:val="-40"/>
                                <w:sz w:val="21"/>
                                <w:szCs w:val="21"/>
                              </w:rPr>
                              <w:t xml:space="preserve"> </w:t>
                            </w:r>
                            <w:r>
                              <w:rPr>
                                <w:rFonts w:ascii="宋体" w:hAnsi="宋体" w:eastAsia="宋体" w:cs="宋体"/>
                                <w:spacing w:val="-2"/>
                                <w:sz w:val="21"/>
                                <w:szCs w:val="21"/>
                              </w:rPr>
                              <w:t>项约定通知承包人实施。</w:t>
                            </w:r>
                          </w:p>
                          <w:p>
                            <w:pPr>
                              <w:spacing w:before="108" w:line="285" w:lineRule="auto"/>
                              <w:ind w:left="26" w:right="196" w:firstLine="429"/>
                              <w:rPr>
                                <w:rFonts w:ascii="宋体" w:hAnsi="宋体" w:eastAsia="宋体" w:cs="宋体"/>
                                <w:sz w:val="21"/>
                                <w:szCs w:val="21"/>
                              </w:rPr>
                            </w:pPr>
                            <w:r>
                              <w:rPr>
                                <w:rFonts w:ascii="宋体" w:hAnsi="宋体" w:eastAsia="宋体" w:cs="宋体"/>
                                <w:spacing w:val="-4"/>
                                <w:sz w:val="21"/>
                                <w:szCs w:val="21"/>
                              </w:rPr>
                              <w:t>13.2</w:t>
                            </w:r>
                            <w:r>
                              <w:rPr>
                                <w:rFonts w:ascii="宋体" w:hAnsi="宋体" w:eastAsia="宋体" w:cs="宋体"/>
                                <w:spacing w:val="-40"/>
                                <w:sz w:val="21"/>
                                <w:szCs w:val="21"/>
                              </w:rPr>
                              <w:t xml:space="preserve"> </w:t>
                            </w:r>
                            <w:r>
                              <w:rPr>
                                <w:rFonts w:ascii="宋体" w:hAnsi="宋体" w:eastAsia="宋体" w:cs="宋体"/>
                                <w:spacing w:val="-4"/>
                                <w:sz w:val="21"/>
                                <w:szCs w:val="21"/>
                              </w:rPr>
                              <w:t>在工程实际开工后</w:t>
                            </w:r>
                            <w:r>
                              <w:rPr>
                                <w:rFonts w:ascii="宋体" w:hAnsi="宋体" w:eastAsia="宋体" w:cs="宋体"/>
                                <w:spacing w:val="-26"/>
                                <w:sz w:val="21"/>
                                <w:szCs w:val="21"/>
                              </w:rPr>
                              <w:t xml:space="preserve"> </w:t>
                            </w:r>
                            <w:r>
                              <w:rPr>
                                <w:rFonts w:ascii="宋体" w:hAnsi="宋体" w:eastAsia="宋体" w:cs="宋体"/>
                                <w:spacing w:val="-4"/>
                                <w:sz w:val="21"/>
                                <w:szCs w:val="21"/>
                              </w:rPr>
                              <w:t>14</w:t>
                            </w:r>
                            <w:r>
                              <w:rPr>
                                <w:rFonts w:ascii="宋体" w:hAnsi="宋体" w:eastAsia="宋体" w:cs="宋体"/>
                                <w:spacing w:val="-35"/>
                                <w:sz w:val="21"/>
                                <w:szCs w:val="21"/>
                              </w:rPr>
                              <w:t xml:space="preserve"> </w:t>
                            </w:r>
                            <w:r>
                              <w:rPr>
                                <w:rFonts w:ascii="宋体" w:hAnsi="宋体" w:eastAsia="宋体" w:cs="宋体"/>
                                <w:spacing w:val="-4"/>
                                <w:sz w:val="21"/>
                                <w:szCs w:val="21"/>
                              </w:rPr>
                              <w:t>天内， 承包人应当按通用合同条款</w:t>
                            </w:r>
                            <w:r>
                              <w:rPr>
                                <w:rFonts w:ascii="宋体" w:hAnsi="宋体" w:eastAsia="宋体" w:cs="宋体"/>
                                <w:spacing w:val="-5"/>
                                <w:sz w:val="21"/>
                                <w:szCs w:val="21"/>
                              </w:rPr>
                              <w:t>第</w:t>
                            </w:r>
                            <w:r>
                              <w:rPr>
                                <w:rFonts w:ascii="宋体" w:hAnsi="宋体" w:eastAsia="宋体" w:cs="宋体"/>
                                <w:spacing w:val="-23"/>
                                <w:sz w:val="21"/>
                                <w:szCs w:val="21"/>
                              </w:rPr>
                              <w:t xml:space="preserve"> </w:t>
                            </w:r>
                            <w:r>
                              <w:rPr>
                                <w:rFonts w:ascii="宋体" w:hAnsi="宋体" w:eastAsia="宋体" w:cs="宋体"/>
                                <w:spacing w:val="-5"/>
                                <w:sz w:val="21"/>
                                <w:szCs w:val="21"/>
                              </w:rPr>
                              <w:t>15.7.2</w:t>
                            </w:r>
                            <w:r>
                              <w:rPr>
                                <w:rFonts w:ascii="宋体" w:hAnsi="宋体" w:eastAsia="宋体" w:cs="宋体"/>
                                <w:spacing w:val="-36"/>
                                <w:sz w:val="21"/>
                                <w:szCs w:val="21"/>
                              </w:rPr>
                              <w:t xml:space="preserve"> </w:t>
                            </w:r>
                            <w:r>
                              <w:rPr>
                                <w:rFonts w:ascii="宋体" w:hAnsi="宋体" w:eastAsia="宋体" w:cs="宋体"/>
                                <w:spacing w:val="-5"/>
                                <w:sz w:val="21"/>
                                <w:szCs w:val="21"/>
                              </w:rPr>
                              <w:t>项约定的计日工报表</w:t>
                            </w:r>
                            <w:r>
                              <w:rPr>
                                <w:rFonts w:ascii="宋体" w:hAnsi="宋体" w:eastAsia="宋体" w:cs="宋体"/>
                                <w:sz w:val="21"/>
                                <w:szCs w:val="21"/>
                              </w:rPr>
                              <w:t xml:space="preserve"> </w:t>
                            </w:r>
                            <w:r>
                              <w:rPr>
                                <w:rFonts w:ascii="宋体" w:hAnsi="宋体" w:eastAsia="宋体" w:cs="宋体"/>
                                <w:spacing w:val="-5"/>
                                <w:sz w:val="21"/>
                                <w:szCs w:val="21"/>
                              </w:rPr>
                              <w:t>内容， 准备一份计日工日报表的格式，报送监理人审批， 监理人应当在收</w:t>
                            </w:r>
                            <w:r>
                              <w:rPr>
                                <w:rFonts w:ascii="宋体" w:hAnsi="宋体" w:eastAsia="宋体" w:cs="宋体"/>
                                <w:spacing w:val="-6"/>
                                <w:sz w:val="21"/>
                                <w:szCs w:val="21"/>
                              </w:rPr>
                              <w:t>到之日后 7 天内给予批</w:t>
                            </w:r>
                            <w:r>
                              <w:rPr>
                                <w:rFonts w:ascii="宋体" w:hAnsi="宋体" w:eastAsia="宋体" w:cs="宋体"/>
                                <w:sz w:val="21"/>
                                <w:szCs w:val="21"/>
                              </w:rPr>
                              <w:t xml:space="preserve"> </w:t>
                            </w:r>
                            <w:r>
                              <w:rPr>
                                <w:rFonts w:ascii="宋体" w:hAnsi="宋体" w:eastAsia="宋体" w:cs="宋体"/>
                                <w:spacing w:val="-3"/>
                                <w:sz w:val="21"/>
                                <w:szCs w:val="21"/>
                              </w:rPr>
                              <w:t>复或提出修改意见。</w:t>
                            </w:r>
                          </w:p>
                          <w:p>
                            <w:pPr>
                              <w:spacing w:before="108" w:line="285" w:lineRule="auto"/>
                              <w:ind w:left="21" w:right="197" w:firstLine="434"/>
                              <w:rPr>
                                <w:rFonts w:ascii="宋体" w:hAnsi="宋体" w:eastAsia="宋体" w:cs="宋体"/>
                                <w:sz w:val="21"/>
                                <w:szCs w:val="21"/>
                              </w:rPr>
                            </w:pPr>
                            <w:r>
                              <w:rPr>
                                <w:rFonts w:ascii="宋体" w:hAnsi="宋体" w:eastAsia="宋体" w:cs="宋体"/>
                                <w:spacing w:val="-1"/>
                                <w:sz w:val="21"/>
                                <w:szCs w:val="21"/>
                              </w:rPr>
                              <w:t>13.3 按计日工实施相关变更的过程中，承包人应当按经监理人批准的计日工日报表格式，每</w:t>
                            </w:r>
                            <w:r>
                              <w:rPr>
                                <w:rFonts w:ascii="宋体" w:hAnsi="宋体" w:eastAsia="宋体" w:cs="宋体"/>
                                <w:sz w:val="21"/>
                                <w:szCs w:val="21"/>
                              </w:rPr>
                              <w:t xml:space="preserve"> </w:t>
                            </w:r>
                            <w:r>
                              <w:rPr>
                                <w:rFonts w:ascii="宋体" w:hAnsi="宋体" w:eastAsia="宋体" w:cs="宋体"/>
                                <w:spacing w:val="-5"/>
                                <w:sz w:val="21"/>
                                <w:szCs w:val="21"/>
                              </w:rPr>
                              <w:t>天提交计日工报表和有关凭证， 报送监理人审批，</w:t>
                            </w:r>
                            <w:r>
                              <w:rPr>
                                <w:rFonts w:ascii="宋体" w:hAnsi="宋体" w:eastAsia="宋体" w:cs="宋体"/>
                                <w:spacing w:val="-17"/>
                                <w:sz w:val="21"/>
                                <w:szCs w:val="21"/>
                              </w:rPr>
                              <w:t xml:space="preserve"> </w:t>
                            </w:r>
                            <w:r>
                              <w:rPr>
                                <w:rFonts w:ascii="宋体" w:hAnsi="宋体" w:eastAsia="宋体" w:cs="宋体"/>
                                <w:spacing w:val="-5"/>
                                <w:sz w:val="21"/>
                                <w:szCs w:val="21"/>
                              </w:rPr>
                              <w:t>监理人应当在收到相关报表和凭证后</w:t>
                            </w:r>
                            <w:r>
                              <w:rPr>
                                <w:rFonts w:ascii="宋体" w:hAnsi="宋体" w:eastAsia="宋体" w:cs="宋体"/>
                                <w:spacing w:val="-55"/>
                                <w:sz w:val="21"/>
                                <w:szCs w:val="21"/>
                              </w:rPr>
                              <w:t xml:space="preserve"> </w:t>
                            </w:r>
                            <w:r>
                              <w:rPr>
                                <w:rFonts w:ascii="宋体" w:hAnsi="宋体" w:eastAsia="宋体" w:cs="宋体"/>
                                <w:spacing w:val="-5"/>
                                <w:sz w:val="21"/>
                                <w:szCs w:val="21"/>
                              </w:rPr>
                              <w:t>24</w:t>
                            </w:r>
                            <w:r>
                              <w:rPr>
                                <w:rFonts w:ascii="宋体" w:hAnsi="宋体" w:eastAsia="宋体" w:cs="宋体"/>
                                <w:spacing w:val="-51"/>
                                <w:sz w:val="21"/>
                                <w:szCs w:val="21"/>
                              </w:rPr>
                              <w:t xml:space="preserve"> </w:t>
                            </w:r>
                            <w:r>
                              <w:rPr>
                                <w:rFonts w:ascii="宋体" w:hAnsi="宋体" w:eastAsia="宋体" w:cs="宋体"/>
                                <w:spacing w:val="-5"/>
                                <w:sz w:val="21"/>
                                <w:szCs w:val="21"/>
                              </w:rPr>
                              <w:t>小时内</w:t>
                            </w:r>
                            <w:r>
                              <w:rPr>
                                <w:rFonts w:ascii="宋体" w:hAnsi="宋体" w:eastAsia="宋体" w:cs="宋体"/>
                                <w:sz w:val="21"/>
                                <w:szCs w:val="21"/>
                              </w:rPr>
                              <w:t xml:space="preserve"> </w:t>
                            </w:r>
                            <w:r>
                              <w:rPr>
                                <w:rFonts w:ascii="宋体" w:hAnsi="宋体" w:eastAsia="宋体" w:cs="宋体"/>
                                <w:spacing w:val="-5"/>
                                <w:sz w:val="21"/>
                                <w:szCs w:val="21"/>
                              </w:rPr>
                              <w:t>给予批复。</w:t>
                            </w:r>
                          </w:p>
                          <w:p>
                            <w:pPr>
                              <w:spacing w:before="107" w:line="285" w:lineRule="auto"/>
                              <w:ind w:left="20" w:right="197" w:firstLine="436"/>
                              <w:rPr>
                                <w:rFonts w:ascii="宋体" w:hAnsi="宋体" w:eastAsia="宋体" w:cs="宋体"/>
                                <w:sz w:val="21"/>
                                <w:szCs w:val="21"/>
                              </w:rPr>
                            </w:pPr>
                            <w:r>
                              <w:rPr>
                                <w:rFonts w:ascii="宋体" w:hAnsi="宋体" w:eastAsia="宋体" w:cs="宋体"/>
                                <w:spacing w:val="-5"/>
                                <w:sz w:val="21"/>
                                <w:szCs w:val="21"/>
                              </w:rPr>
                              <w:t>13.4</w:t>
                            </w:r>
                            <w:r>
                              <w:rPr>
                                <w:rFonts w:ascii="宋体" w:hAnsi="宋体" w:eastAsia="宋体" w:cs="宋体"/>
                                <w:spacing w:val="-22"/>
                                <w:sz w:val="21"/>
                                <w:szCs w:val="21"/>
                              </w:rPr>
                              <w:t xml:space="preserve"> </w:t>
                            </w:r>
                            <w:r>
                              <w:rPr>
                                <w:rFonts w:ascii="宋体" w:hAnsi="宋体" w:eastAsia="宋体" w:cs="宋体"/>
                                <w:spacing w:val="-5"/>
                                <w:sz w:val="21"/>
                                <w:szCs w:val="21"/>
                              </w:rPr>
                              <w:t>计日工劳务按工日（8</w:t>
                            </w:r>
                            <w:r>
                              <w:rPr>
                                <w:rFonts w:ascii="宋体" w:hAnsi="宋体" w:eastAsia="宋体" w:cs="宋体"/>
                                <w:spacing w:val="-31"/>
                                <w:sz w:val="21"/>
                                <w:szCs w:val="21"/>
                              </w:rPr>
                              <w:t xml:space="preserve"> </w:t>
                            </w:r>
                            <w:r>
                              <w:rPr>
                                <w:rFonts w:ascii="宋体" w:hAnsi="宋体" w:eastAsia="宋体" w:cs="宋体"/>
                                <w:spacing w:val="-5"/>
                                <w:sz w:val="21"/>
                                <w:szCs w:val="21"/>
                              </w:rPr>
                              <w:t>小时）计量，单次</w:t>
                            </w:r>
                            <w:r>
                              <w:rPr>
                                <w:rFonts w:ascii="宋体" w:hAnsi="宋体" w:eastAsia="宋体" w:cs="宋体"/>
                                <w:spacing w:val="-38"/>
                                <w:sz w:val="21"/>
                                <w:szCs w:val="21"/>
                              </w:rPr>
                              <w:t xml:space="preserve"> </w:t>
                            </w:r>
                            <w:r>
                              <w:rPr>
                                <w:rFonts w:ascii="宋体" w:hAnsi="宋体" w:eastAsia="宋体" w:cs="宋体"/>
                                <w:spacing w:val="-5"/>
                                <w:sz w:val="21"/>
                                <w:szCs w:val="21"/>
                              </w:rPr>
                              <w:t>4</w:t>
                            </w:r>
                            <w:r>
                              <w:rPr>
                                <w:rFonts w:ascii="宋体" w:hAnsi="宋体" w:eastAsia="宋体" w:cs="宋体"/>
                                <w:spacing w:val="-31"/>
                                <w:sz w:val="21"/>
                                <w:szCs w:val="21"/>
                              </w:rPr>
                              <w:t xml:space="preserve"> </w:t>
                            </w:r>
                            <w:r>
                              <w:rPr>
                                <w:rFonts w:ascii="宋体" w:hAnsi="宋体" w:eastAsia="宋体" w:cs="宋体"/>
                                <w:spacing w:val="-5"/>
                                <w:sz w:val="21"/>
                                <w:szCs w:val="21"/>
                              </w:rPr>
                              <w:t>小时以内按</w:t>
                            </w:r>
                            <w:r>
                              <w:rPr>
                                <w:rFonts w:ascii="宋体" w:hAnsi="宋体" w:eastAsia="宋体" w:cs="宋体"/>
                                <w:spacing w:val="-35"/>
                                <w:sz w:val="21"/>
                                <w:szCs w:val="21"/>
                              </w:rPr>
                              <w:t xml:space="preserve"> </w:t>
                            </w:r>
                            <w:r>
                              <w:rPr>
                                <w:rFonts w:ascii="宋体" w:hAnsi="宋体" w:eastAsia="宋体" w:cs="宋体"/>
                                <w:spacing w:val="-5"/>
                                <w:sz w:val="21"/>
                                <w:szCs w:val="21"/>
                              </w:rPr>
                              <w:t>0.5</w:t>
                            </w:r>
                            <w:r>
                              <w:rPr>
                                <w:rFonts w:ascii="宋体" w:hAnsi="宋体" w:eastAsia="宋体" w:cs="宋体"/>
                                <w:spacing w:val="-39"/>
                                <w:sz w:val="21"/>
                                <w:szCs w:val="21"/>
                              </w:rPr>
                              <w:t xml:space="preserve"> </w:t>
                            </w:r>
                            <w:r>
                              <w:rPr>
                                <w:rFonts w:ascii="宋体" w:hAnsi="宋体" w:eastAsia="宋体" w:cs="宋体"/>
                                <w:spacing w:val="-5"/>
                                <w:sz w:val="21"/>
                                <w:szCs w:val="21"/>
                              </w:rPr>
                              <w:t>个工日，</w:t>
                            </w:r>
                            <w:r>
                              <w:rPr>
                                <w:rFonts w:ascii="宋体" w:hAnsi="宋体" w:eastAsia="宋体" w:cs="宋体"/>
                                <w:spacing w:val="-21"/>
                                <w:sz w:val="21"/>
                                <w:szCs w:val="21"/>
                              </w:rPr>
                              <w:t xml:space="preserve"> </w:t>
                            </w:r>
                            <w:r>
                              <w:rPr>
                                <w:rFonts w:ascii="宋体" w:hAnsi="宋体" w:eastAsia="宋体" w:cs="宋体"/>
                                <w:spacing w:val="-5"/>
                                <w:sz w:val="21"/>
                                <w:szCs w:val="21"/>
                              </w:rPr>
                              <w:t>单次</w:t>
                            </w:r>
                            <w:r>
                              <w:rPr>
                                <w:rFonts w:ascii="宋体" w:hAnsi="宋体" w:eastAsia="宋体" w:cs="宋体"/>
                                <w:spacing w:val="-37"/>
                                <w:sz w:val="21"/>
                                <w:szCs w:val="21"/>
                              </w:rPr>
                              <w:t xml:space="preserve"> </w:t>
                            </w:r>
                            <w:r>
                              <w:rPr>
                                <w:rFonts w:ascii="宋体" w:hAnsi="宋体" w:eastAsia="宋体" w:cs="宋体"/>
                                <w:spacing w:val="-5"/>
                                <w:sz w:val="21"/>
                                <w:szCs w:val="21"/>
                              </w:rPr>
                              <w:t>4</w:t>
                            </w:r>
                            <w:r>
                              <w:rPr>
                                <w:rFonts w:ascii="宋体" w:hAnsi="宋体" w:eastAsia="宋体" w:cs="宋体"/>
                                <w:spacing w:val="-31"/>
                                <w:sz w:val="21"/>
                                <w:szCs w:val="21"/>
                              </w:rPr>
                              <w:t xml:space="preserve"> </w:t>
                            </w:r>
                            <w:r>
                              <w:rPr>
                                <w:rFonts w:ascii="宋体" w:hAnsi="宋体" w:eastAsia="宋体" w:cs="宋体"/>
                                <w:spacing w:val="-5"/>
                                <w:sz w:val="21"/>
                                <w:szCs w:val="21"/>
                              </w:rPr>
                              <w:t>小时至</w:t>
                            </w:r>
                            <w:r>
                              <w:rPr>
                                <w:rFonts w:ascii="宋体" w:hAnsi="宋体" w:eastAsia="宋体" w:cs="宋体"/>
                                <w:spacing w:val="-36"/>
                                <w:sz w:val="21"/>
                                <w:szCs w:val="21"/>
                              </w:rPr>
                              <w:t xml:space="preserve"> </w:t>
                            </w:r>
                            <w:r>
                              <w:rPr>
                                <w:rFonts w:ascii="宋体" w:hAnsi="宋体" w:eastAsia="宋体" w:cs="宋体"/>
                                <w:spacing w:val="-5"/>
                                <w:sz w:val="21"/>
                                <w:szCs w:val="21"/>
                              </w:rPr>
                              <w:t>8</w:t>
                            </w:r>
                            <w:r>
                              <w:rPr>
                                <w:rFonts w:ascii="宋体" w:hAnsi="宋体" w:eastAsia="宋体" w:cs="宋体"/>
                                <w:spacing w:val="-34"/>
                                <w:sz w:val="21"/>
                                <w:szCs w:val="21"/>
                              </w:rPr>
                              <w:t xml:space="preserve"> </w:t>
                            </w:r>
                            <w:r>
                              <w:rPr>
                                <w:rFonts w:ascii="宋体" w:hAnsi="宋体" w:eastAsia="宋体" w:cs="宋体"/>
                                <w:spacing w:val="-5"/>
                                <w:sz w:val="21"/>
                                <w:szCs w:val="21"/>
                              </w:rPr>
                              <w:t>小</w:t>
                            </w:r>
                            <w:r>
                              <w:rPr>
                                <w:rFonts w:ascii="宋体" w:hAnsi="宋体" w:eastAsia="宋体" w:cs="宋体"/>
                                <w:sz w:val="21"/>
                                <w:szCs w:val="21"/>
                              </w:rPr>
                              <w:t xml:space="preserve"> </w:t>
                            </w:r>
                            <w:r>
                              <w:rPr>
                                <w:rFonts w:ascii="宋体" w:hAnsi="宋体" w:eastAsia="宋体" w:cs="宋体"/>
                                <w:spacing w:val="-2"/>
                                <w:sz w:val="21"/>
                                <w:szCs w:val="21"/>
                              </w:rPr>
                              <w:t>时按 1 个工日，</w:t>
                            </w:r>
                            <w:r>
                              <w:rPr>
                                <w:rFonts w:ascii="宋体" w:hAnsi="宋体" w:eastAsia="宋体" w:cs="宋体"/>
                                <w:spacing w:val="-23"/>
                                <w:sz w:val="21"/>
                                <w:szCs w:val="21"/>
                              </w:rPr>
                              <w:t xml:space="preserve"> </w:t>
                            </w:r>
                            <w:r>
                              <w:rPr>
                                <w:rFonts w:ascii="宋体" w:hAnsi="宋体" w:eastAsia="宋体" w:cs="宋体"/>
                                <w:spacing w:val="-2"/>
                                <w:sz w:val="21"/>
                                <w:szCs w:val="21"/>
                              </w:rPr>
                              <w:t>加班时间按照国家劳动法律法规的</w:t>
                            </w:r>
                            <w:r>
                              <w:rPr>
                                <w:rFonts w:ascii="宋体" w:hAnsi="宋体" w:eastAsia="宋体" w:cs="宋体"/>
                                <w:spacing w:val="-3"/>
                                <w:sz w:val="21"/>
                                <w:szCs w:val="21"/>
                              </w:rPr>
                              <w:t>规定办理。实施计日工的劳务人员仅应包括直</w:t>
                            </w:r>
                            <w:r>
                              <w:rPr>
                                <w:rFonts w:ascii="宋体" w:hAnsi="宋体" w:eastAsia="宋体" w:cs="宋体"/>
                                <w:sz w:val="21"/>
                                <w:szCs w:val="21"/>
                              </w:rPr>
                              <w:t xml:space="preserve"> 接从事计日工工作的工人和班组长（如果有</w:t>
                            </w:r>
                            <w:r>
                              <w:rPr>
                                <w:rFonts w:ascii="宋体" w:hAnsi="宋体" w:eastAsia="宋体" w:cs="宋体"/>
                                <w:spacing w:val="-53"/>
                                <w:w w:val="97"/>
                                <w:sz w:val="21"/>
                                <w:szCs w:val="21"/>
                              </w:rPr>
                              <w:t>），</w:t>
                            </w:r>
                            <w:r>
                              <w:rPr>
                                <w:rFonts w:ascii="宋体" w:hAnsi="宋体" w:eastAsia="宋体" w:cs="宋体"/>
                                <w:sz w:val="21"/>
                                <w:szCs w:val="21"/>
                              </w:rPr>
                              <w:t>不应包括工长及其</w:t>
                            </w:r>
                            <w:r>
                              <w:rPr>
                                <w:rFonts w:ascii="宋体" w:hAnsi="宋体" w:eastAsia="宋体" w:cs="宋体"/>
                                <w:spacing w:val="-1"/>
                                <w:sz w:val="21"/>
                                <w:szCs w:val="21"/>
                              </w:rPr>
                              <w:t>以上管理人员。</w:t>
                            </w:r>
                          </w:p>
                          <w:p>
                            <w:pPr>
                              <w:spacing w:before="109" w:line="219" w:lineRule="auto"/>
                              <w:ind w:left="456"/>
                              <w:rPr>
                                <w:rFonts w:ascii="宋体" w:hAnsi="宋体" w:eastAsia="宋体" w:cs="宋体"/>
                                <w:sz w:val="21"/>
                                <w:szCs w:val="21"/>
                              </w:rPr>
                            </w:pPr>
                            <w:r>
                              <w:rPr>
                                <w:rFonts w:ascii="宋体" w:hAnsi="宋体" w:eastAsia="宋体" w:cs="宋体"/>
                                <w:spacing w:val="-1"/>
                                <w:sz w:val="21"/>
                                <w:szCs w:val="21"/>
                              </w:rPr>
                              <w:t>13.5 已标价工程量清单计日工材料表中未列出的材料，实际发生于计日工时，其价格按照经</w:t>
                            </w:r>
                          </w:p>
                        </w:txbxContent>
                      </wps:txbx>
                      <wps:bodyPr lIns="0" tIns="0" rIns="0" bIns="0" upright="1"/>
                    </wps:wsp>
                  </a:graphicData>
                </a:graphic>
              </wp:anchor>
            </w:drawing>
          </mc:Choice>
          <mc:Fallback>
            <w:pict>
              <v:shape id="_x0000_s1026" o:spid="_x0000_s1026" o:spt="202" type="#_x0000_t202" style="position:absolute;left:0pt;margin-left:-1pt;margin-top:-3.4pt;height:556.15pt;width:455.9pt;z-index:251678720;mso-width-relative:page;mso-height-relative:page;" filled="f" stroked="f" coordsize="21600,21600" o:gfxdata="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hcIfYAAAACgEAAA8AAAAAAAAAAQAgAAAAIgAAAGRycy9kb3ducmV2LnhtbFBL&#10;AQIUABQAAAAIAIdO4kDrgKdDvQEAAHUDAAAOAAAAAAAAAAEAIAAAACcBAABkcnMvZTJvRG9jLnht&#10;bFBLBQYAAAAABgAGAFkBAABWBQAAAAA=&#10;">
                <v:fill on="f" focussize="0,0"/>
                <v:stroke on="f"/>
                <v:imagedata o:title=""/>
                <o:lock v:ext="edit" aspectratio="f"/>
                <v:textbox inset="0mm,0mm,0mm,0mm">
                  <w:txbxContent>
                    <w:p>
                      <w:pPr>
                        <w:pStyle w:val="2"/>
                        <w:tabs>
                          <w:tab w:val="left" w:pos="8202"/>
                        </w:tabs>
                        <w:spacing w:before="20" w:line="241" w:lineRule="exact"/>
                        <w:ind w:left="960"/>
                      </w:pPr>
                      <w:r>
                        <w:rPr>
                          <w:u w:val="single" w:color="auto"/>
                        </w:rPr>
                        <w:tab/>
                      </w:r>
                    </w:p>
                    <w:p>
                      <w:pPr>
                        <w:spacing w:before="110" w:line="269" w:lineRule="auto"/>
                        <w:ind w:left="24" w:right="36" w:firstLine="432"/>
                        <w:rPr>
                          <w:rFonts w:ascii="宋体" w:hAnsi="宋体" w:eastAsia="宋体" w:cs="宋体"/>
                          <w:sz w:val="21"/>
                          <w:szCs w:val="21"/>
                        </w:rPr>
                      </w:pPr>
                      <w:r>
                        <w:rPr>
                          <w:rFonts w:ascii="宋体" w:hAnsi="宋体" w:eastAsia="宋体" w:cs="宋体"/>
                          <w:spacing w:val="-2"/>
                          <w:sz w:val="21"/>
                          <w:szCs w:val="21"/>
                        </w:rPr>
                        <w:t>12.4 本条上述约定需要进行检验的材料、工程设备和工艺在经过检验并获得监理人批</w:t>
                      </w:r>
                      <w:r>
                        <w:rPr>
                          <w:rFonts w:ascii="宋体" w:hAnsi="宋体" w:eastAsia="宋体" w:cs="宋体"/>
                          <w:spacing w:val="-3"/>
                          <w:sz w:val="21"/>
                          <w:szCs w:val="21"/>
                        </w:rPr>
                        <w:t>准以前，</w:t>
                      </w:r>
                      <w:r>
                        <w:rPr>
                          <w:rFonts w:ascii="宋体" w:hAnsi="宋体" w:eastAsia="宋体" w:cs="宋体"/>
                          <w:sz w:val="21"/>
                          <w:szCs w:val="21"/>
                        </w:rPr>
                        <w:t xml:space="preserve"> </w:t>
                      </w:r>
                      <w:r>
                        <w:rPr>
                          <w:rFonts w:ascii="宋体" w:hAnsi="宋体" w:eastAsia="宋体" w:cs="宋体"/>
                          <w:spacing w:val="-3"/>
                          <w:sz w:val="21"/>
                          <w:szCs w:val="21"/>
                        </w:rPr>
                        <w:t>不得用于任何永久工程。</w:t>
                      </w:r>
                    </w:p>
                    <w:p>
                      <w:pPr>
                        <w:spacing w:before="110" w:line="292" w:lineRule="auto"/>
                        <w:ind w:left="22" w:right="197" w:firstLine="433"/>
                        <w:rPr>
                          <w:rFonts w:ascii="宋体" w:hAnsi="宋体" w:eastAsia="宋体" w:cs="宋体"/>
                          <w:sz w:val="21"/>
                          <w:szCs w:val="21"/>
                        </w:rPr>
                      </w:pPr>
                      <w:r>
                        <w:rPr>
                          <w:rFonts w:ascii="宋体" w:hAnsi="宋体" w:eastAsia="宋体" w:cs="宋体"/>
                          <w:spacing w:val="-1"/>
                          <w:sz w:val="21"/>
                          <w:szCs w:val="21"/>
                        </w:rPr>
                        <w:t>12.5 承包人应为任何材料、工程设备和工艺的检查、检测和检验提供劳务、电力、燃料、备</w:t>
                      </w:r>
                      <w:r>
                        <w:rPr>
                          <w:rFonts w:ascii="宋体" w:hAnsi="宋体" w:eastAsia="宋体" w:cs="宋体"/>
                          <w:sz w:val="21"/>
                          <w:szCs w:val="21"/>
                        </w:rPr>
                        <w:t xml:space="preserve"> </w:t>
                      </w:r>
                      <w:r>
                        <w:rPr>
                          <w:rFonts w:ascii="宋体" w:hAnsi="宋体" w:eastAsia="宋体" w:cs="宋体"/>
                          <w:spacing w:val="2"/>
                          <w:sz w:val="21"/>
                          <w:szCs w:val="21"/>
                        </w:rPr>
                        <w:t>用品、设备和仪器以及必要的协助。监理人及其任何授权人员应能</w:t>
                      </w:r>
                      <w:r>
                        <w:rPr>
                          <w:rFonts w:ascii="宋体" w:hAnsi="宋体" w:eastAsia="宋体" w:cs="宋体"/>
                          <w:spacing w:val="1"/>
                          <w:sz w:val="21"/>
                          <w:szCs w:val="21"/>
                        </w:rPr>
                        <w:t>够在任何时候进入现场及正在</w:t>
                      </w:r>
                      <w:r>
                        <w:rPr>
                          <w:rFonts w:ascii="宋体" w:hAnsi="宋体" w:eastAsia="宋体" w:cs="宋体"/>
                          <w:sz w:val="21"/>
                          <w:szCs w:val="21"/>
                        </w:rPr>
                        <w:t xml:space="preserve"> </w:t>
                      </w:r>
                      <w:r>
                        <w:rPr>
                          <w:rFonts w:ascii="宋体" w:hAnsi="宋体" w:eastAsia="宋体" w:cs="宋体"/>
                          <w:spacing w:val="2"/>
                          <w:sz w:val="21"/>
                          <w:szCs w:val="21"/>
                        </w:rPr>
                        <w:t>为工程制造、装配、准备材料和（或）工程设备的车间和场所进行任何</w:t>
                      </w:r>
                      <w:r>
                        <w:rPr>
                          <w:rFonts w:ascii="宋体" w:hAnsi="宋体" w:eastAsia="宋体" w:cs="宋体"/>
                          <w:spacing w:val="1"/>
                          <w:sz w:val="21"/>
                          <w:szCs w:val="21"/>
                        </w:rPr>
                        <w:t>必要的检查。无论这些车</w:t>
                      </w:r>
                      <w:r>
                        <w:rPr>
                          <w:rFonts w:ascii="宋体" w:hAnsi="宋体" w:eastAsia="宋体" w:cs="宋体"/>
                          <w:sz w:val="21"/>
                          <w:szCs w:val="21"/>
                        </w:rPr>
                        <w:t xml:space="preserve"> 间和场所是否属于承包人，承包人都应提供一切便利，</w:t>
                      </w:r>
                      <w:r>
                        <w:rPr>
                          <w:rFonts w:ascii="宋体" w:hAnsi="宋体" w:eastAsia="宋体" w:cs="宋体"/>
                          <w:spacing w:val="-1"/>
                          <w:sz w:val="21"/>
                          <w:szCs w:val="21"/>
                        </w:rPr>
                        <w:t>并协助其取得相应的权力和（或）许可。</w:t>
                      </w:r>
                    </w:p>
                    <w:p>
                      <w:pPr>
                        <w:spacing w:before="106" w:line="301" w:lineRule="auto"/>
                        <w:ind w:left="20" w:right="197" w:firstLine="435"/>
                        <w:rPr>
                          <w:rFonts w:ascii="宋体" w:hAnsi="宋体" w:eastAsia="宋体" w:cs="宋体"/>
                          <w:sz w:val="21"/>
                          <w:szCs w:val="21"/>
                        </w:rPr>
                      </w:pPr>
                      <w:r>
                        <w:rPr>
                          <w:rFonts w:ascii="宋体" w:hAnsi="宋体" w:eastAsia="宋体" w:cs="宋体"/>
                          <w:spacing w:val="-1"/>
                          <w:sz w:val="21"/>
                          <w:szCs w:val="21"/>
                        </w:rPr>
                        <w:t>12.6 如果检查、检测、检验或试验的结果表明，材料、工程设备和工艺有缺陷或不符合合同</w:t>
                      </w:r>
                      <w:r>
                        <w:rPr>
                          <w:rFonts w:ascii="宋体" w:hAnsi="宋体" w:eastAsia="宋体" w:cs="宋体"/>
                          <w:sz w:val="21"/>
                          <w:szCs w:val="21"/>
                        </w:rPr>
                        <w:t xml:space="preserve"> </w:t>
                      </w:r>
                      <w:r>
                        <w:rPr>
                          <w:rFonts w:ascii="宋体" w:hAnsi="宋体" w:eastAsia="宋体" w:cs="宋体"/>
                          <w:spacing w:val="-1"/>
                          <w:sz w:val="21"/>
                          <w:szCs w:val="21"/>
                        </w:rPr>
                        <w:t>约定，监理人和发包人可拒收此类材料、工程设备</w:t>
                      </w:r>
                      <w:r>
                        <w:rPr>
                          <w:rFonts w:ascii="宋体" w:hAnsi="宋体" w:eastAsia="宋体" w:cs="宋体"/>
                          <w:spacing w:val="-2"/>
                          <w:sz w:val="21"/>
                          <w:szCs w:val="21"/>
                        </w:rPr>
                        <w:t>和工艺， 并应立即通知承包人同时说明理由。</w:t>
                      </w:r>
                      <w:r>
                        <w:rPr>
                          <w:rFonts w:ascii="宋体" w:hAnsi="宋体" w:eastAsia="宋体" w:cs="宋体"/>
                          <w:sz w:val="21"/>
                          <w:szCs w:val="21"/>
                        </w:rPr>
                        <w:t xml:space="preserve"> </w:t>
                      </w:r>
                      <w:r>
                        <w:rPr>
                          <w:rFonts w:ascii="宋体" w:hAnsi="宋体" w:eastAsia="宋体" w:cs="宋体"/>
                          <w:spacing w:val="2"/>
                          <w:sz w:val="21"/>
                          <w:szCs w:val="21"/>
                        </w:rPr>
                        <w:t>承包人应立即修复上述缺陷并保证其符合合同约定。</w:t>
                      </w:r>
                      <w:r>
                        <w:rPr>
                          <w:rFonts w:ascii="宋体" w:hAnsi="宋体" w:eastAsia="宋体" w:cs="宋体"/>
                          <w:spacing w:val="1"/>
                          <w:sz w:val="21"/>
                          <w:szCs w:val="21"/>
                        </w:rPr>
                        <w:t>若监理人或发包人要求对此类工程设备、材</w:t>
                      </w:r>
                      <w:r>
                        <w:rPr>
                          <w:rFonts w:ascii="宋体" w:hAnsi="宋体" w:eastAsia="宋体" w:cs="宋体"/>
                          <w:sz w:val="21"/>
                          <w:szCs w:val="21"/>
                        </w:rPr>
                        <w:t xml:space="preserve"> </w:t>
                      </w:r>
                      <w:r>
                        <w:rPr>
                          <w:rFonts w:ascii="宋体" w:hAnsi="宋体" w:eastAsia="宋体" w:cs="宋体"/>
                          <w:spacing w:val="2"/>
                          <w:sz w:val="21"/>
                          <w:szCs w:val="21"/>
                        </w:rPr>
                        <w:t>料、设计或工艺重新进行检验，则此类检验应按相同条款和条件重新</w:t>
                      </w:r>
                      <w:r>
                        <w:rPr>
                          <w:rFonts w:ascii="宋体" w:hAnsi="宋体" w:eastAsia="宋体" w:cs="宋体"/>
                          <w:spacing w:val="1"/>
                          <w:sz w:val="21"/>
                          <w:szCs w:val="21"/>
                        </w:rPr>
                        <w:t>进行。如果此类拒收和重新</w:t>
                      </w:r>
                      <w:r>
                        <w:rPr>
                          <w:rFonts w:ascii="宋体" w:hAnsi="宋体" w:eastAsia="宋体" w:cs="宋体"/>
                          <w:sz w:val="21"/>
                          <w:szCs w:val="21"/>
                        </w:rPr>
                        <w:t xml:space="preserve"> </w:t>
                      </w:r>
                      <w:r>
                        <w:rPr>
                          <w:rFonts w:ascii="宋体" w:hAnsi="宋体" w:eastAsia="宋体" w:cs="宋体"/>
                          <w:spacing w:val="-3"/>
                          <w:sz w:val="21"/>
                          <w:szCs w:val="21"/>
                        </w:rPr>
                        <w:t>检验致使发包人产生了额外费用， 则此类费用应由承包人支付给发包人， 或从发包</w:t>
                      </w:r>
                      <w:r>
                        <w:rPr>
                          <w:rFonts w:ascii="宋体" w:hAnsi="宋体" w:eastAsia="宋体" w:cs="宋体"/>
                          <w:spacing w:val="-4"/>
                          <w:sz w:val="21"/>
                          <w:szCs w:val="21"/>
                        </w:rPr>
                        <w:t>人应支付给承</w:t>
                      </w:r>
                      <w:r>
                        <w:rPr>
                          <w:rFonts w:ascii="宋体" w:hAnsi="宋体" w:eastAsia="宋体" w:cs="宋体"/>
                          <w:sz w:val="21"/>
                          <w:szCs w:val="21"/>
                        </w:rPr>
                        <w:t xml:space="preserve"> </w:t>
                      </w:r>
                      <w:r>
                        <w:rPr>
                          <w:rFonts w:ascii="宋体" w:hAnsi="宋体" w:eastAsia="宋体" w:cs="宋体"/>
                          <w:spacing w:val="-3"/>
                          <w:sz w:val="21"/>
                          <w:szCs w:val="21"/>
                        </w:rPr>
                        <w:t>包人的款项中扣除。</w:t>
                      </w:r>
                    </w:p>
                    <w:p>
                      <w:pPr>
                        <w:spacing w:before="108" w:line="269" w:lineRule="auto"/>
                        <w:ind w:left="25" w:right="36" w:firstLine="430"/>
                        <w:rPr>
                          <w:rFonts w:ascii="宋体" w:hAnsi="宋体" w:eastAsia="宋体" w:cs="宋体"/>
                          <w:sz w:val="21"/>
                          <w:szCs w:val="21"/>
                        </w:rPr>
                      </w:pPr>
                      <w:r>
                        <w:rPr>
                          <w:rFonts w:ascii="宋体" w:hAnsi="宋体" w:eastAsia="宋体" w:cs="宋体"/>
                          <w:spacing w:val="-2"/>
                          <w:sz w:val="21"/>
                          <w:szCs w:val="21"/>
                        </w:rPr>
                        <w:t>12.7 承包人应在监理人的监督下，对涉及结构安全的试块、试件以及有关材料进行现</w:t>
                      </w:r>
                      <w:r>
                        <w:rPr>
                          <w:rFonts w:ascii="宋体" w:hAnsi="宋体" w:eastAsia="宋体" w:cs="宋体"/>
                          <w:spacing w:val="-3"/>
                          <w:sz w:val="21"/>
                          <w:szCs w:val="21"/>
                        </w:rPr>
                        <w:t>场取样，</w:t>
                      </w:r>
                      <w:r>
                        <w:rPr>
                          <w:rFonts w:ascii="宋体" w:hAnsi="宋体" w:eastAsia="宋体" w:cs="宋体"/>
                          <w:sz w:val="21"/>
                          <w:szCs w:val="21"/>
                        </w:rPr>
                        <w:t xml:space="preserve"> </w:t>
                      </w:r>
                      <w:r>
                        <w:rPr>
                          <w:rFonts w:ascii="宋体" w:hAnsi="宋体" w:eastAsia="宋体" w:cs="宋体"/>
                          <w:spacing w:val="-1"/>
                          <w:sz w:val="21"/>
                          <w:szCs w:val="21"/>
                        </w:rPr>
                        <w:t>并送</w:t>
                      </w:r>
                      <w:r>
                        <w:rPr>
                          <w:rFonts w:ascii="宋体" w:hAnsi="宋体" w:eastAsia="宋体" w:cs="宋体"/>
                          <w:spacing w:val="-1"/>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1"/>
                          <w:sz w:val="21"/>
                          <w:szCs w:val="21"/>
                        </w:rPr>
                        <w:t>质量检测单位进行检测。</w:t>
                      </w:r>
                    </w:p>
                    <w:p>
                      <w:pPr>
                        <w:spacing w:before="109" w:line="252" w:lineRule="auto"/>
                        <w:ind w:left="45" w:right="20" w:firstLine="411"/>
                        <w:rPr>
                          <w:rFonts w:ascii="黑体" w:hAnsi="黑体" w:eastAsia="黑体" w:cs="黑体"/>
                          <w:sz w:val="28"/>
                          <w:szCs w:val="28"/>
                        </w:rPr>
                      </w:pPr>
                      <w:r>
                        <w:rPr>
                          <w:rFonts w:ascii="宋体" w:hAnsi="宋体" w:eastAsia="宋体" w:cs="宋体"/>
                          <w:spacing w:val="-4"/>
                          <w:sz w:val="21"/>
                          <w:szCs w:val="21"/>
                        </w:rPr>
                        <w:t>12.8 除合同另有约定外， 承包人应负担本合同项下的所有材料、工程设备和工艺检验的费用。</w:t>
                      </w:r>
                      <w:r>
                        <w:rPr>
                          <w:rFonts w:ascii="宋体" w:hAnsi="宋体" w:eastAsia="宋体" w:cs="宋体"/>
                          <w:sz w:val="21"/>
                          <w:szCs w:val="21"/>
                        </w:rPr>
                        <w:t xml:space="preserve"> </w:t>
                      </w:r>
                      <w:r>
                        <w:rPr>
                          <w:rFonts w:ascii="Times New Roman" w:hAnsi="Times New Roman" w:eastAsia="Times New Roman" w:cs="Times New Roman"/>
                          <w:spacing w:val="-5"/>
                          <w:sz w:val="28"/>
                          <w:szCs w:val="28"/>
                        </w:rPr>
                        <w:t>13.</w:t>
                      </w:r>
                      <w:r>
                        <w:rPr>
                          <w:rFonts w:ascii="黑体" w:hAnsi="黑体" w:eastAsia="黑体" w:cs="黑体"/>
                          <w:spacing w:val="-5"/>
                          <w:sz w:val="28"/>
                          <w:szCs w:val="28"/>
                        </w:rPr>
                        <w:t>计日工</w:t>
                      </w:r>
                    </w:p>
                    <w:p>
                      <w:pPr>
                        <w:spacing w:before="88" w:line="293" w:lineRule="auto"/>
                        <w:ind w:left="22" w:right="197" w:firstLine="433"/>
                        <w:rPr>
                          <w:rFonts w:ascii="宋体" w:hAnsi="宋体" w:eastAsia="宋体" w:cs="宋体"/>
                          <w:sz w:val="21"/>
                          <w:szCs w:val="21"/>
                        </w:rPr>
                      </w:pPr>
                      <w:r>
                        <w:rPr>
                          <w:rFonts w:ascii="宋体" w:hAnsi="宋体" w:eastAsia="宋体" w:cs="宋体"/>
                          <w:spacing w:val="-1"/>
                          <w:sz w:val="21"/>
                          <w:szCs w:val="21"/>
                        </w:rPr>
                        <w:t>13.1 通用合同条款第 15.7 款约定的计日工，一般适用于合同约定之外的或者因变更而产生</w:t>
                      </w:r>
                      <w:r>
                        <w:rPr>
                          <w:rFonts w:ascii="宋体" w:hAnsi="宋体" w:eastAsia="宋体" w:cs="宋体"/>
                          <w:spacing w:val="4"/>
                          <w:sz w:val="21"/>
                          <w:szCs w:val="21"/>
                        </w:rPr>
                        <w:t xml:space="preserve"> </w:t>
                      </w:r>
                      <w:r>
                        <w:rPr>
                          <w:rFonts w:ascii="宋体" w:hAnsi="宋体" w:eastAsia="宋体" w:cs="宋体"/>
                          <w:spacing w:val="2"/>
                          <w:sz w:val="21"/>
                          <w:szCs w:val="21"/>
                        </w:rPr>
                        <w:t>的、工程量清单中没有设立相应子目或者即便有相应子目但因工作</w:t>
                      </w:r>
                      <w:r>
                        <w:rPr>
                          <w:rFonts w:ascii="宋体" w:hAnsi="宋体" w:eastAsia="宋体" w:cs="宋体"/>
                          <w:spacing w:val="1"/>
                          <w:sz w:val="21"/>
                          <w:szCs w:val="21"/>
                        </w:rPr>
                        <w:t>条件发生变化而无法适用的额</w:t>
                      </w:r>
                      <w:r>
                        <w:rPr>
                          <w:rFonts w:ascii="宋体" w:hAnsi="宋体" w:eastAsia="宋体" w:cs="宋体"/>
                          <w:sz w:val="21"/>
                          <w:szCs w:val="21"/>
                        </w:rPr>
                        <w:t xml:space="preserve"> </w:t>
                      </w:r>
                      <w:r>
                        <w:rPr>
                          <w:rFonts w:ascii="宋体" w:hAnsi="宋体" w:eastAsia="宋体" w:cs="宋体"/>
                          <w:spacing w:val="-1"/>
                          <w:sz w:val="21"/>
                          <w:szCs w:val="21"/>
                        </w:rPr>
                        <w:t>外工作， 尤其是那些时间不允许事先商定价格的额外工作。计日工在发包人认为必要时，由监理</w:t>
                      </w:r>
                      <w:r>
                        <w:rPr>
                          <w:rFonts w:ascii="宋体" w:hAnsi="宋体" w:eastAsia="宋体" w:cs="宋体"/>
                          <w:spacing w:val="9"/>
                          <w:sz w:val="21"/>
                          <w:szCs w:val="21"/>
                        </w:rPr>
                        <w:t xml:space="preserve"> </w:t>
                      </w:r>
                      <w:r>
                        <w:rPr>
                          <w:rFonts w:ascii="宋体" w:hAnsi="宋体" w:eastAsia="宋体" w:cs="宋体"/>
                          <w:spacing w:val="-2"/>
                          <w:sz w:val="21"/>
                          <w:szCs w:val="21"/>
                        </w:rPr>
                        <w:t>人按通用合同条款第</w:t>
                      </w:r>
                      <w:r>
                        <w:rPr>
                          <w:rFonts w:ascii="宋体" w:hAnsi="宋体" w:eastAsia="宋体" w:cs="宋体"/>
                          <w:spacing w:val="-23"/>
                          <w:sz w:val="21"/>
                          <w:szCs w:val="21"/>
                        </w:rPr>
                        <w:t xml:space="preserve"> </w:t>
                      </w:r>
                      <w:r>
                        <w:rPr>
                          <w:rFonts w:ascii="宋体" w:hAnsi="宋体" w:eastAsia="宋体" w:cs="宋体"/>
                          <w:spacing w:val="-2"/>
                          <w:sz w:val="21"/>
                          <w:szCs w:val="21"/>
                        </w:rPr>
                        <w:t>15.7.1</w:t>
                      </w:r>
                      <w:r>
                        <w:rPr>
                          <w:rFonts w:ascii="宋体" w:hAnsi="宋体" w:eastAsia="宋体" w:cs="宋体"/>
                          <w:spacing w:val="-40"/>
                          <w:sz w:val="21"/>
                          <w:szCs w:val="21"/>
                        </w:rPr>
                        <w:t xml:space="preserve"> </w:t>
                      </w:r>
                      <w:r>
                        <w:rPr>
                          <w:rFonts w:ascii="宋体" w:hAnsi="宋体" w:eastAsia="宋体" w:cs="宋体"/>
                          <w:spacing w:val="-2"/>
                          <w:sz w:val="21"/>
                          <w:szCs w:val="21"/>
                        </w:rPr>
                        <w:t>项约定通知承包人实施。</w:t>
                      </w:r>
                    </w:p>
                    <w:p>
                      <w:pPr>
                        <w:spacing w:before="108" w:line="285" w:lineRule="auto"/>
                        <w:ind w:left="26" w:right="196" w:firstLine="429"/>
                        <w:rPr>
                          <w:rFonts w:ascii="宋体" w:hAnsi="宋体" w:eastAsia="宋体" w:cs="宋体"/>
                          <w:sz w:val="21"/>
                          <w:szCs w:val="21"/>
                        </w:rPr>
                      </w:pPr>
                      <w:r>
                        <w:rPr>
                          <w:rFonts w:ascii="宋体" w:hAnsi="宋体" w:eastAsia="宋体" w:cs="宋体"/>
                          <w:spacing w:val="-4"/>
                          <w:sz w:val="21"/>
                          <w:szCs w:val="21"/>
                        </w:rPr>
                        <w:t>13.2</w:t>
                      </w:r>
                      <w:r>
                        <w:rPr>
                          <w:rFonts w:ascii="宋体" w:hAnsi="宋体" w:eastAsia="宋体" w:cs="宋体"/>
                          <w:spacing w:val="-40"/>
                          <w:sz w:val="21"/>
                          <w:szCs w:val="21"/>
                        </w:rPr>
                        <w:t xml:space="preserve"> </w:t>
                      </w:r>
                      <w:r>
                        <w:rPr>
                          <w:rFonts w:ascii="宋体" w:hAnsi="宋体" w:eastAsia="宋体" w:cs="宋体"/>
                          <w:spacing w:val="-4"/>
                          <w:sz w:val="21"/>
                          <w:szCs w:val="21"/>
                        </w:rPr>
                        <w:t>在工程实际开工后</w:t>
                      </w:r>
                      <w:r>
                        <w:rPr>
                          <w:rFonts w:ascii="宋体" w:hAnsi="宋体" w:eastAsia="宋体" w:cs="宋体"/>
                          <w:spacing w:val="-26"/>
                          <w:sz w:val="21"/>
                          <w:szCs w:val="21"/>
                        </w:rPr>
                        <w:t xml:space="preserve"> </w:t>
                      </w:r>
                      <w:r>
                        <w:rPr>
                          <w:rFonts w:ascii="宋体" w:hAnsi="宋体" w:eastAsia="宋体" w:cs="宋体"/>
                          <w:spacing w:val="-4"/>
                          <w:sz w:val="21"/>
                          <w:szCs w:val="21"/>
                        </w:rPr>
                        <w:t>14</w:t>
                      </w:r>
                      <w:r>
                        <w:rPr>
                          <w:rFonts w:ascii="宋体" w:hAnsi="宋体" w:eastAsia="宋体" w:cs="宋体"/>
                          <w:spacing w:val="-35"/>
                          <w:sz w:val="21"/>
                          <w:szCs w:val="21"/>
                        </w:rPr>
                        <w:t xml:space="preserve"> </w:t>
                      </w:r>
                      <w:r>
                        <w:rPr>
                          <w:rFonts w:ascii="宋体" w:hAnsi="宋体" w:eastAsia="宋体" w:cs="宋体"/>
                          <w:spacing w:val="-4"/>
                          <w:sz w:val="21"/>
                          <w:szCs w:val="21"/>
                        </w:rPr>
                        <w:t>天内， 承包人应当按通用合同条款</w:t>
                      </w:r>
                      <w:r>
                        <w:rPr>
                          <w:rFonts w:ascii="宋体" w:hAnsi="宋体" w:eastAsia="宋体" w:cs="宋体"/>
                          <w:spacing w:val="-5"/>
                          <w:sz w:val="21"/>
                          <w:szCs w:val="21"/>
                        </w:rPr>
                        <w:t>第</w:t>
                      </w:r>
                      <w:r>
                        <w:rPr>
                          <w:rFonts w:ascii="宋体" w:hAnsi="宋体" w:eastAsia="宋体" w:cs="宋体"/>
                          <w:spacing w:val="-23"/>
                          <w:sz w:val="21"/>
                          <w:szCs w:val="21"/>
                        </w:rPr>
                        <w:t xml:space="preserve"> </w:t>
                      </w:r>
                      <w:r>
                        <w:rPr>
                          <w:rFonts w:ascii="宋体" w:hAnsi="宋体" w:eastAsia="宋体" w:cs="宋体"/>
                          <w:spacing w:val="-5"/>
                          <w:sz w:val="21"/>
                          <w:szCs w:val="21"/>
                        </w:rPr>
                        <w:t>15.7.2</w:t>
                      </w:r>
                      <w:r>
                        <w:rPr>
                          <w:rFonts w:ascii="宋体" w:hAnsi="宋体" w:eastAsia="宋体" w:cs="宋体"/>
                          <w:spacing w:val="-36"/>
                          <w:sz w:val="21"/>
                          <w:szCs w:val="21"/>
                        </w:rPr>
                        <w:t xml:space="preserve"> </w:t>
                      </w:r>
                      <w:r>
                        <w:rPr>
                          <w:rFonts w:ascii="宋体" w:hAnsi="宋体" w:eastAsia="宋体" w:cs="宋体"/>
                          <w:spacing w:val="-5"/>
                          <w:sz w:val="21"/>
                          <w:szCs w:val="21"/>
                        </w:rPr>
                        <w:t>项约定的计日工报表</w:t>
                      </w:r>
                      <w:r>
                        <w:rPr>
                          <w:rFonts w:ascii="宋体" w:hAnsi="宋体" w:eastAsia="宋体" w:cs="宋体"/>
                          <w:sz w:val="21"/>
                          <w:szCs w:val="21"/>
                        </w:rPr>
                        <w:t xml:space="preserve"> </w:t>
                      </w:r>
                      <w:r>
                        <w:rPr>
                          <w:rFonts w:ascii="宋体" w:hAnsi="宋体" w:eastAsia="宋体" w:cs="宋体"/>
                          <w:spacing w:val="-5"/>
                          <w:sz w:val="21"/>
                          <w:szCs w:val="21"/>
                        </w:rPr>
                        <w:t>内容， 准备一份计日工日报表的格式，报送监理人审批， 监理人应当在收</w:t>
                      </w:r>
                      <w:r>
                        <w:rPr>
                          <w:rFonts w:ascii="宋体" w:hAnsi="宋体" w:eastAsia="宋体" w:cs="宋体"/>
                          <w:spacing w:val="-6"/>
                          <w:sz w:val="21"/>
                          <w:szCs w:val="21"/>
                        </w:rPr>
                        <w:t>到之日后 7 天内给予批</w:t>
                      </w:r>
                      <w:r>
                        <w:rPr>
                          <w:rFonts w:ascii="宋体" w:hAnsi="宋体" w:eastAsia="宋体" w:cs="宋体"/>
                          <w:sz w:val="21"/>
                          <w:szCs w:val="21"/>
                        </w:rPr>
                        <w:t xml:space="preserve"> </w:t>
                      </w:r>
                      <w:r>
                        <w:rPr>
                          <w:rFonts w:ascii="宋体" w:hAnsi="宋体" w:eastAsia="宋体" w:cs="宋体"/>
                          <w:spacing w:val="-3"/>
                          <w:sz w:val="21"/>
                          <w:szCs w:val="21"/>
                        </w:rPr>
                        <w:t>复或提出修改意见。</w:t>
                      </w:r>
                    </w:p>
                    <w:p>
                      <w:pPr>
                        <w:spacing w:before="108" w:line="285" w:lineRule="auto"/>
                        <w:ind w:left="21" w:right="197" w:firstLine="434"/>
                        <w:rPr>
                          <w:rFonts w:ascii="宋体" w:hAnsi="宋体" w:eastAsia="宋体" w:cs="宋体"/>
                          <w:sz w:val="21"/>
                          <w:szCs w:val="21"/>
                        </w:rPr>
                      </w:pPr>
                      <w:r>
                        <w:rPr>
                          <w:rFonts w:ascii="宋体" w:hAnsi="宋体" w:eastAsia="宋体" w:cs="宋体"/>
                          <w:spacing w:val="-1"/>
                          <w:sz w:val="21"/>
                          <w:szCs w:val="21"/>
                        </w:rPr>
                        <w:t>13.3 按计日工实施相关变更的过程中，承包人应当按经监理人批准的计日工日报表格式，每</w:t>
                      </w:r>
                      <w:r>
                        <w:rPr>
                          <w:rFonts w:ascii="宋体" w:hAnsi="宋体" w:eastAsia="宋体" w:cs="宋体"/>
                          <w:sz w:val="21"/>
                          <w:szCs w:val="21"/>
                        </w:rPr>
                        <w:t xml:space="preserve"> </w:t>
                      </w:r>
                      <w:r>
                        <w:rPr>
                          <w:rFonts w:ascii="宋体" w:hAnsi="宋体" w:eastAsia="宋体" w:cs="宋体"/>
                          <w:spacing w:val="-5"/>
                          <w:sz w:val="21"/>
                          <w:szCs w:val="21"/>
                        </w:rPr>
                        <w:t>天提交计日工报表和有关凭证， 报送监理人审批，</w:t>
                      </w:r>
                      <w:r>
                        <w:rPr>
                          <w:rFonts w:ascii="宋体" w:hAnsi="宋体" w:eastAsia="宋体" w:cs="宋体"/>
                          <w:spacing w:val="-17"/>
                          <w:sz w:val="21"/>
                          <w:szCs w:val="21"/>
                        </w:rPr>
                        <w:t xml:space="preserve"> </w:t>
                      </w:r>
                      <w:r>
                        <w:rPr>
                          <w:rFonts w:ascii="宋体" w:hAnsi="宋体" w:eastAsia="宋体" w:cs="宋体"/>
                          <w:spacing w:val="-5"/>
                          <w:sz w:val="21"/>
                          <w:szCs w:val="21"/>
                        </w:rPr>
                        <w:t>监理人应当在收到相关报表和凭证后</w:t>
                      </w:r>
                      <w:r>
                        <w:rPr>
                          <w:rFonts w:ascii="宋体" w:hAnsi="宋体" w:eastAsia="宋体" w:cs="宋体"/>
                          <w:spacing w:val="-55"/>
                          <w:sz w:val="21"/>
                          <w:szCs w:val="21"/>
                        </w:rPr>
                        <w:t xml:space="preserve"> </w:t>
                      </w:r>
                      <w:r>
                        <w:rPr>
                          <w:rFonts w:ascii="宋体" w:hAnsi="宋体" w:eastAsia="宋体" w:cs="宋体"/>
                          <w:spacing w:val="-5"/>
                          <w:sz w:val="21"/>
                          <w:szCs w:val="21"/>
                        </w:rPr>
                        <w:t>24</w:t>
                      </w:r>
                      <w:r>
                        <w:rPr>
                          <w:rFonts w:ascii="宋体" w:hAnsi="宋体" w:eastAsia="宋体" w:cs="宋体"/>
                          <w:spacing w:val="-51"/>
                          <w:sz w:val="21"/>
                          <w:szCs w:val="21"/>
                        </w:rPr>
                        <w:t xml:space="preserve"> </w:t>
                      </w:r>
                      <w:r>
                        <w:rPr>
                          <w:rFonts w:ascii="宋体" w:hAnsi="宋体" w:eastAsia="宋体" w:cs="宋体"/>
                          <w:spacing w:val="-5"/>
                          <w:sz w:val="21"/>
                          <w:szCs w:val="21"/>
                        </w:rPr>
                        <w:t>小时内</w:t>
                      </w:r>
                      <w:r>
                        <w:rPr>
                          <w:rFonts w:ascii="宋体" w:hAnsi="宋体" w:eastAsia="宋体" w:cs="宋体"/>
                          <w:sz w:val="21"/>
                          <w:szCs w:val="21"/>
                        </w:rPr>
                        <w:t xml:space="preserve"> </w:t>
                      </w:r>
                      <w:r>
                        <w:rPr>
                          <w:rFonts w:ascii="宋体" w:hAnsi="宋体" w:eastAsia="宋体" w:cs="宋体"/>
                          <w:spacing w:val="-5"/>
                          <w:sz w:val="21"/>
                          <w:szCs w:val="21"/>
                        </w:rPr>
                        <w:t>给予批复。</w:t>
                      </w:r>
                    </w:p>
                    <w:p>
                      <w:pPr>
                        <w:spacing w:before="107" w:line="285" w:lineRule="auto"/>
                        <w:ind w:left="20" w:right="197" w:firstLine="436"/>
                        <w:rPr>
                          <w:rFonts w:ascii="宋体" w:hAnsi="宋体" w:eastAsia="宋体" w:cs="宋体"/>
                          <w:sz w:val="21"/>
                          <w:szCs w:val="21"/>
                        </w:rPr>
                      </w:pPr>
                      <w:r>
                        <w:rPr>
                          <w:rFonts w:ascii="宋体" w:hAnsi="宋体" w:eastAsia="宋体" w:cs="宋体"/>
                          <w:spacing w:val="-5"/>
                          <w:sz w:val="21"/>
                          <w:szCs w:val="21"/>
                        </w:rPr>
                        <w:t>13.4</w:t>
                      </w:r>
                      <w:r>
                        <w:rPr>
                          <w:rFonts w:ascii="宋体" w:hAnsi="宋体" w:eastAsia="宋体" w:cs="宋体"/>
                          <w:spacing w:val="-22"/>
                          <w:sz w:val="21"/>
                          <w:szCs w:val="21"/>
                        </w:rPr>
                        <w:t xml:space="preserve"> </w:t>
                      </w:r>
                      <w:r>
                        <w:rPr>
                          <w:rFonts w:ascii="宋体" w:hAnsi="宋体" w:eastAsia="宋体" w:cs="宋体"/>
                          <w:spacing w:val="-5"/>
                          <w:sz w:val="21"/>
                          <w:szCs w:val="21"/>
                        </w:rPr>
                        <w:t>计日工劳务按工日（8</w:t>
                      </w:r>
                      <w:r>
                        <w:rPr>
                          <w:rFonts w:ascii="宋体" w:hAnsi="宋体" w:eastAsia="宋体" w:cs="宋体"/>
                          <w:spacing w:val="-31"/>
                          <w:sz w:val="21"/>
                          <w:szCs w:val="21"/>
                        </w:rPr>
                        <w:t xml:space="preserve"> </w:t>
                      </w:r>
                      <w:r>
                        <w:rPr>
                          <w:rFonts w:ascii="宋体" w:hAnsi="宋体" w:eastAsia="宋体" w:cs="宋体"/>
                          <w:spacing w:val="-5"/>
                          <w:sz w:val="21"/>
                          <w:szCs w:val="21"/>
                        </w:rPr>
                        <w:t>小时）计量，单次</w:t>
                      </w:r>
                      <w:r>
                        <w:rPr>
                          <w:rFonts w:ascii="宋体" w:hAnsi="宋体" w:eastAsia="宋体" w:cs="宋体"/>
                          <w:spacing w:val="-38"/>
                          <w:sz w:val="21"/>
                          <w:szCs w:val="21"/>
                        </w:rPr>
                        <w:t xml:space="preserve"> </w:t>
                      </w:r>
                      <w:r>
                        <w:rPr>
                          <w:rFonts w:ascii="宋体" w:hAnsi="宋体" w:eastAsia="宋体" w:cs="宋体"/>
                          <w:spacing w:val="-5"/>
                          <w:sz w:val="21"/>
                          <w:szCs w:val="21"/>
                        </w:rPr>
                        <w:t>4</w:t>
                      </w:r>
                      <w:r>
                        <w:rPr>
                          <w:rFonts w:ascii="宋体" w:hAnsi="宋体" w:eastAsia="宋体" w:cs="宋体"/>
                          <w:spacing w:val="-31"/>
                          <w:sz w:val="21"/>
                          <w:szCs w:val="21"/>
                        </w:rPr>
                        <w:t xml:space="preserve"> </w:t>
                      </w:r>
                      <w:r>
                        <w:rPr>
                          <w:rFonts w:ascii="宋体" w:hAnsi="宋体" w:eastAsia="宋体" w:cs="宋体"/>
                          <w:spacing w:val="-5"/>
                          <w:sz w:val="21"/>
                          <w:szCs w:val="21"/>
                        </w:rPr>
                        <w:t>小时以内按</w:t>
                      </w:r>
                      <w:r>
                        <w:rPr>
                          <w:rFonts w:ascii="宋体" w:hAnsi="宋体" w:eastAsia="宋体" w:cs="宋体"/>
                          <w:spacing w:val="-35"/>
                          <w:sz w:val="21"/>
                          <w:szCs w:val="21"/>
                        </w:rPr>
                        <w:t xml:space="preserve"> </w:t>
                      </w:r>
                      <w:r>
                        <w:rPr>
                          <w:rFonts w:ascii="宋体" w:hAnsi="宋体" w:eastAsia="宋体" w:cs="宋体"/>
                          <w:spacing w:val="-5"/>
                          <w:sz w:val="21"/>
                          <w:szCs w:val="21"/>
                        </w:rPr>
                        <w:t>0.5</w:t>
                      </w:r>
                      <w:r>
                        <w:rPr>
                          <w:rFonts w:ascii="宋体" w:hAnsi="宋体" w:eastAsia="宋体" w:cs="宋体"/>
                          <w:spacing w:val="-39"/>
                          <w:sz w:val="21"/>
                          <w:szCs w:val="21"/>
                        </w:rPr>
                        <w:t xml:space="preserve"> </w:t>
                      </w:r>
                      <w:r>
                        <w:rPr>
                          <w:rFonts w:ascii="宋体" w:hAnsi="宋体" w:eastAsia="宋体" w:cs="宋体"/>
                          <w:spacing w:val="-5"/>
                          <w:sz w:val="21"/>
                          <w:szCs w:val="21"/>
                        </w:rPr>
                        <w:t>个工日，</w:t>
                      </w:r>
                      <w:r>
                        <w:rPr>
                          <w:rFonts w:ascii="宋体" w:hAnsi="宋体" w:eastAsia="宋体" w:cs="宋体"/>
                          <w:spacing w:val="-21"/>
                          <w:sz w:val="21"/>
                          <w:szCs w:val="21"/>
                        </w:rPr>
                        <w:t xml:space="preserve"> </w:t>
                      </w:r>
                      <w:r>
                        <w:rPr>
                          <w:rFonts w:ascii="宋体" w:hAnsi="宋体" w:eastAsia="宋体" w:cs="宋体"/>
                          <w:spacing w:val="-5"/>
                          <w:sz w:val="21"/>
                          <w:szCs w:val="21"/>
                        </w:rPr>
                        <w:t>单次</w:t>
                      </w:r>
                      <w:r>
                        <w:rPr>
                          <w:rFonts w:ascii="宋体" w:hAnsi="宋体" w:eastAsia="宋体" w:cs="宋体"/>
                          <w:spacing w:val="-37"/>
                          <w:sz w:val="21"/>
                          <w:szCs w:val="21"/>
                        </w:rPr>
                        <w:t xml:space="preserve"> </w:t>
                      </w:r>
                      <w:r>
                        <w:rPr>
                          <w:rFonts w:ascii="宋体" w:hAnsi="宋体" w:eastAsia="宋体" w:cs="宋体"/>
                          <w:spacing w:val="-5"/>
                          <w:sz w:val="21"/>
                          <w:szCs w:val="21"/>
                        </w:rPr>
                        <w:t>4</w:t>
                      </w:r>
                      <w:r>
                        <w:rPr>
                          <w:rFonts w:ascii="宋体" w:hAnsi="宋体" w:eastAsia="宋体" w:cs="宋体"/>
                          <w:spacing w:val="-31"/>
                          <w:sz w:val="21"/>
                          <w:szCs w:val="21"/>
                        </w:rPr>
                        <w:t xml:space="preserve"> </w:t>
                      </w:r>
                      <w:r>
                        <w:rPr>
                          <w:rFonts w:ascii="宋体" w:hAnsi="宋体" w:eastAsia="宋体" w:cs="宋体"/>
                          <w:spacing w:val="-5"/>
                          <w:sz w:val="21"/>
                          <w:szCs w:val="21"/>
                        </w:rPr>
                        <w:t>小时至</w:t>
                      </w:r>
                      <w:r>
                        <w:rPr>
                          <w:rFonts w:ascii="宋体" w:hAnsi="宋体" w:eastAsia="宋体" w:cs="宋体"/>
                          <w:spacing w:val="-36"/>
                          <w:sz w:val="21"/>
                          <w:szCs w:val="21"/>
                        </w:rPr>
                        <w:t xml:space="preserve"> </w:t>
                      </w:r>
                      <w:r>
                        <w:rPr>
                          <w:rFonts w:ascii="宋体" w:hAnsi="宋体" w:eastAsia="宋体" w:cs="宋体"/>
                          <w:spacing w:val="-5"/>
                          <w:sz w:val="21"/>
                          <w:szCs w:val="21"/>
                        </w:rPr>
                        <w:t>8</w:t>
                      </w:r>
                      <w:r>
                        <w:rPr>
                          <w:rFonts w:ascii="宋体" w:hAnsi="宋体" w:eastAsia="宋体" w:cs="宋体"/>
                          <w:spacing w:val="-34"/>
                          <w:sz w:val="21"/>
                          <w:szCs w:val="21"/>
                        </w:rPr>
                        <w:t xml:space="preserve"> </w:t>
                      </w:r>
                      <w:r>
                        <w:rPr>
                          <w:rFonts w:ascii="宋体" w:hAnsi="宋体" w:eastAsia="宋体" w:cs="宋体"/>
                          <w:spacing w:val="-5"/>
                          <w:sz w:val="21"/>
                          <w:szCs w:val="21"/>
                        </w:rPr>
                        <w:t>小</w:t>
                      </w:r>
                      <w:r>
                        <w:rPr>
                          <w:rFonts w:ascii="宋体" w:hAnsi="宋体" w:eastAsia="宋体" w:cs="宋体"/>
                          <w:sz w:val="21"/>
                          <w:szCs w:val="21"/>
                        </w:rPr>
                        <w:t xml:space="preserve"> </w:t>
                      </w:r>
                      <w:r>
                        <w:rPr>
                          <w:rFonts w:ascii="宋体" w:hAnsi="宋体" w:eastAsia="宋体" w:cs="宋体"/>
                          <w:spacing w:val="-2"/>
                          <w:sz w:val="21"/>
                          <w:szCs w:val="21"/>
                        </w:rPr>
                        <w:t>时按 1 个工日，</w:t>
                      </w:r>
                      <w:r>
                        <w:rPr>
                          <w:rFonts w:ascii="宋体" w:hAnsi="宋体" w:eastAsia="宋体" w:cs="宋体"/>
                          <w:spacing w:val="-23"/>
                          <w:sz w:val="21"/>
                          <w:szCs w:val="21"/>
                        </w:rPr>
                        <w:t xml:space="preserve"> </w:t>
                      </w:r>
                      <w:r>
                        <w:rPr>
                          <w:rFonts w:ascii="宋体" w:hAnsi="宋体" w:eastAsia="宋体" w:cs="宋体"/>
                          <w:spacing w:val="-2"/>
                          <w:sz w:val="21"/>
                          <w:szCs w:val="21"/>
                        </w:rPr>
                        <w:t>加班时间按照国家劳动法律法规的</w:t>
                      </w:r>
                      <w:r>
                        <w:rPr>
                          <w:rFonts w:ascii="宋体" w:hAnsi="宋体" w:eastAsia="宋体" w:cs="宋体"/>
                          <w:spacing w:val="-3"/>
                          <w:sz w:val="21"/>
                          <w:szCs w:val="21"/>
                        </w:rPr>
                        <w:t>规定办理。实施计日工的劳务人员仅应包括直</w:t>
                      </w:r>
                      <w:r>
                        <w:rPr>
                          <w:rFonts w:ascii="宋体" w:hAnsi="宋体" w:eastAsia="宋体" w:cs="宋体"/>
                          <w:sz w:val="21"/>
                          <w:szCs w:val="21"/>
                        </w:rPr>
                        <w:t xml:space="preserve"> 接从事计日工工作的工人和班组长（如果有</w:t>
                      </w:r>
                      <w:r>
                        <w:rPr>
                          <w:rFonts w:ascii="宋体" w:hAnsi="宋体" w:eastAsia="宋体" w:cs="宋体"/>
                          <w:spacing w:val="-53"/>
                          <w:w w:val="97"/>
                          <w:sz w:val="21"/>
                          <w:szCs w:val="21"/>
                        </w:rPr>
                        <w:t>），</w:t>
                      </w:r>
                      <w:r>
                        <w:rPr>
                          <w:rFonts w:ascii="宋体" w:hAnsi="宋体" w:eastAsia="宋体" w:cs="宋体"/>
                          <w:sz w:val="21"/>
                          <w:szCs w:val="21"/>
                        </w:rPr>
                        <w:t>不应包括工长及其</w:t>
                      </w:r>
                      <w:r>
                        <w:rPr>
                          <w:rFonts w:ascii="宋体" w:hAnsi="宋体" w:eastAsia="宋体" w:cs="宋体"/>
                          <w:spacing w:val="-1"/>
                          <w:sz w:val="21"/>
                          <w:szCs w:val="21"/>
                        </w:rPr>
                        <w:t>以上管理人员。</w:t>
                      </w:r>
                    </w:p>
                    <w:p>
                      <w:pPr>
                        <w:spacing w:before="109" w:line="219" w:lineRule="auto"/>
                        <w:ind w:left="456"/>
                        <w:rPr>
                          <w:rFonts w:ascii="宋体" w:hAnsi="宋体" w:eastAsia="宋体" w:cs="宋体"/>
                          <w:sz w:val="21"/>
                          <w:szCs w:val="21"/>
                        </w:rPr>
                      </w:pPr>
                      <w:r>
                        <w:rPr>
                          <w:rFonts w:ascii="宋体" w:hAnsi="宋体" w:eastAsia="宋体" w:cs="宋体"/>
                          <w:spacing w:val="-1"/>
                          <w:sz w:val="21"/>
                          <w:szCs w:val="21"/>
                        </w:rPr>
                        <w:t>13.5 已标价工程量清单计日工材料表中未列出的材料，实际发生于计日工时，其价格按照经</w:t>
                      </w:r>
                    </w:p>
                  </w:txbxContent>
                </v:textbox>
              </v:shape>
            </w:pict>
          </mc:Fallback>
        </mc:AlternateContent>
      </w:r>
      <w:r>
        <w:rPr>
          <w:rFonts w:ascii="宋体" w:hAnsi="宋体" w:eastAsia="宋体" w:cs="宋体"/>
          <w:color w:val="auto"/>
          <w:position w:val="-1"/>
          <w:sz w:val="21"/>
          <w:szCs w:val="21"/>
          <w:highlight w:val="none"/>
        </w:rPr>
        <w:t>。</w:t>
      </w:r>
    </w:p>
    <w:p>
      <w:pPr>
        <w:spacing w:line="46" w:lineRule="exact"/>
        <w:rPr>
          <w:rFonts w:ascii="宋体" w:hAnsi="宋体" w:eastAsia="宋体" w:cs="宋体"/>
          <w:color w:val="auto"/>
          <w:sz w:val="21"/>
          <w:szCs w:val="21"/>
          <w:highlight w:val="none"/>
        </w:rPr>
        <w:sectPr>
          <w:footerReference r:id="rId123" w:type="default"/>
          <w:pgSz w:w="11907" w:h="16841"/>
          <w:pgMar w:top="400" w:right="1347" w:bottom="1143" w:left="1481"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spacing w:before="68" w:line="285" w:lineRule="auto"/>
        <w:ind w:left="2"/>
        <w:jc w:val="both"/>
        <w:rPr>
          <w:rFonts w:ascii="宋体" w:hAnsi="宋体" w:eastAsia="宋体" w:cs="宋体"/>
          <w:color w:val="auto"/>
          <w:sz w:val="21"/>
          <w:szCs w:val="21"/>
          <w:highlight w:val="none"/>
        </w:rPr>
      </w:pPr>
      <w:bookmarkStart w:id="395" w:name="bookmark435"/>
      <w:bookmarkEnd w:id="395"/>
      <w:r>
        <w:rPr>
          <w:rFonts w:ascii="宋体" w:hAnsi="宋体" w:eastAsia="宋体" w:cs="宋体"/>
          <w:color w:val="auto"/>
          <w:spacing w:val="2"/>
          <w:sz w:val="21"/>
          <w:szCs w:val="21"/>
          <w:highlight w:val="none"/>
        </w:rPr>
        <w:t>监理人事先审批的材料运到现场的价格和有关材料采购的发票票面价格（运到现</w:t>
      </w:r>
      <w:r>
        <w:rPr>
          <w:rFonts w:ascii="宋体" w:hAnsi="宋体" w:eastAsia="宋体" w:cs="宋体"/>
          <w:color w:val="auto"/>
          <w:spacing w:val="1"/>
          <w:sz w:val="21"/>
          <w:szCs w:val="21"/>
          <w:highlight w:val="none"/>
        </w:rPr>
        <w:t>场价）中的较低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者结算， 另计一个在计日工材料表中填写的包括承包人企业管理费、利润在内的一个固定百分比，</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规费和税金另计。</w:t>
      </w:r>
    </w:p>
    <w:p>
      <w:pPr>
        <w:spacing w:before="108" w:line="284" w:lineRule="auto"/>
        <w:ind w:right="155" w:firstLine="43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13.6</w:t>
      </w:r>
      <w:r>
        <w:rPr>
          <w:rFonts w:ascii="宋体" w:hAnsi="宋体" w:eastAsia="宋体" w:cs="宋体"/>
          <w:color w:val="auto"/>
          <w:spacing w:val="-49"/>
          <w:sz w:val="21"/>
          <w:szCs w:val="21"/>
          <w:highlight w:val="none"/>
        </w:rPr>
        <w:t xml:space="preserve"> </w:t>
      </w:r>
      <w:r>
        <w:rPr>
          <w:rFonts w:ascii="宋体" w:hAnsi="宋体" w:eastAsia="宋体" w:cs="宋体"/>
          <w:color w:val="auto"/>
          <w:spacing w:val="-3"/>
          <w:sz w:val="21"/>
          <w:szCs w:val="21"/>
          <w:highlight w:val="none"/>
        </w:rPr>
        <w:t>施工机械按台班计量（8</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小时</w:t>
      </w:r>
      <w:r>
        <w:rPr>
          <w:rFonts w:ascii="宋体" w:hAnsi="宋体" w:eastAsia="宋体" w:cs="宋体"/>
          <w:color w:val="auto"/>
          <w:spacing w:val="-51"/>
          <w:sz w:val="21"/>
          <w:szCs w:val="21"/>
          <w:highlight w:val="none"/>
        </w:rPr>
        <w:t>），</w:t>
      </w:r>
      <w:r>
        <w:rPr>
          <w:rFonts w:ascii="宋体" w:hAnsi="宋体" w:eastAsia="宋体" w:cs="宋体"/>
          <w:color w:val="auto"/>
          <w:spacing w:val="-3"/>
          <w:sz w:val="21"/>
          <w:szCs w:val="21"/>
          <w:highlight w:val="none"/>
        </w:rPr>
        <w:t>单次</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4</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小时以内按</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rPr>
        <w:t>0.5</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个台班，单次</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4</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小时至</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8</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小时按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1 个台班，操作人员加班时间按照国家劳动法律法规的规定办</w:t>
      </w:r>
      <w:r>
        <w:rPr>
          <w:rFonts w:ascii="宋体" w:hAnsi="宋体" w:eastAsia="宋体" w:cs="宋体"/>
          <w:color w:val="auto"/>
          <w:spacing w:val="1"/>
          <w:sz w:val="21"/>
          <w:szCs w:val="21"/>
          <w:highlight w:val="none"/>
        </w:rPr>
        <w:t>理。计日工如果需要使用场外施工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机械， 台班费用和进出场费用按市场平均价格，由承包人事后报监理人审</w:t>
      </w:r>
      <w:r>
        <w:rPr>
          <w:rFonts w:ascii="宋体" w:hAnsi="宋体" w:eastAsia="宋体" w:cs="宋体"/>
          <w:color w:val="auto"/>
          <w:spacing w:val="-4"/>
          <w:sz w:val="21"/>
          <w:szCs w:val="21"/>
          <w:highlight w:val="none"/>
        </w:rPr>
        <w:t>批。</w:t>
      </w:r>
    </w:p>
    <w:p>
      <w:pPr>
        <w:spacing w:before="111" w:line="221" w:lineRule="auto"/>
        <w:ind w:left="4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13.7</w:t>
      </w:r>
      <w:r>
        <w:rPr>
          <w:rFonts w:ascii="宋体" w:hAnsi="宋体" w:eastAsia="宋体" w:cs="宋体"/>
          <w:color w:val="auto"/>
          <w:spacing w:val="-41"/>
          <w:sz w:val="21"/>
          <w:szCs w:val="21"/>
          <w:highlight w:val="none"/>
        </w:rPr>
        <w:t xml:space="preserve"> </w:t>
      </w:r>
      <w:r>
        <w:rPr>
          <w:rFonts w:ascii="宋体" w:hAnsi="宋体" w:eastAsia="宋体" w:cs="宋体"/>
          <w:color w:val="auto"/>
          <w:spacing w:val="-4"/>
          <w:sz w:val="21"/>
          <w:szCs w:val="21"/>
          <w:highlight w:val="none"/>
        </w:rPr>
        <w:t>关于计日工的其他约定：</w:t>
      </w:r>
    </w:p>
    <w:p>
      <w:pPr>
        <w:pStyle w:val="2"/>
        <w:spacing w:line="248" w:lineRule="auto"/>
        <w:rPr>
          <w:color w:val="auto"/>
          <w:highlight w:val="none"/>
        </w:rPr>
      </w:pPr>
    </w:p>
    <w:p>
      <w:pPr>
        <w:tabs>
          <w:tab w:val="left" w:pos="8182"/>
        </w:tabs>
        <w:spacing w:before="26" w:line="159" w:lineRule="auto"/>
        <w:ind w:left="941"/>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39" w:line="433" w:lineRule="exact"/>
        <w:ind w:left="26"/>
        <w:rPr>
          <w:rFonts w:ascii="黑体" w:hAnsi="黑体" w:eastAsia="黑体" w:cs="黑体"/>
          <w:color w:val="auto"/>
          <w:sz w:val="28"/>
          <w:szCs w:val="28"/>
          <w:highlight w:val="none"/>
        </w:rPr>
      </w:pPr>
      <w:r>
        <w:rPr>
          <w:rFonts w:ascii="Times New Roman" w:hAnsi="Times New Roman" w:eastAsia="Times New Roman" w:cs="Times New Roman"/>
          <w:color w:val="auto"/>
          <w:spacing w:val="-4"/>
          <w:position w:val="11"/>
          <w:sz w:val="28"/>
          <w:szCs w:val="28"/>
          <w:highlight w:val="none"/>
        </w:rPr>
        <w:t>14.</w:t>
      </w:r>
      <w:r>
        <w:rPr>
          <w:rFonts w:ascii="黑体" w:hAnsi="黑体" w:eastAsia="黑体" w:cs="黑体"/>
          <w:color w:val="auto"/>
          <w:spacing w:val="-4"/>
          <w:position w:val="11"/>
          <w:sz w:val="28"/>
          <w:szCs w:val="28"/>
          <w:highlight w:val="none"/>
        </w:rPr>
        <w:t>计量与支付</w:t>
      </w:r>
    </w:p>
    <w:p>
      <w:pPr>
        <w:spacing w:line="219" w:lineRule="auto"/>
        <w:ind w:left="15"/>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14.1</w:t>
      </w:r>
      <w:r>
        <w:rPr>
          <w:rFonts w:ascii="黑体" w:hAnsi="黑体" w:eastAsia="黑体" w:cs="黑体"/>
          <w:color w:val="auto"/>
          <w:spacing w:val="-45"/>
          <w:sz w:val="24"/>
          <w:szCs w:val="24"/>
          <w:highlight w:val="none"/>
        </w:rPr>
        <w:t xml:space="preserve"> </w:t>
      </w:r>
      <w:r>
        <w:rPr>
          <w:rFonts w:ascii="黑体" w:hAnsi="黑体" w:eastAsia="黑体" w:cs="黑体"/>
          <w:color w:val="auto"/>
          <w:spacing w:val="-4"/>
          <w:sz w:val="24"/>
          <w:szCs w:val="24"/>
          <w:highlight w:val="none"/>
        </w:rPr>
        <w:t>付款申请单</w:t>
      </w:r>
    </w:p>
    <w:p>
      <w:pPr>
        <w:spacing w:before="107" w:line="285" w:lineRule="auto"/>
        <w:ind w:left="1" w:right="157" w:firstLine="43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14.1.1</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在工程实际开工后</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14</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天内，承包人应当按照合同条款第</w:t>
      </w:r>
      <w:r>
        <w:rPr>
          <w:rFonts w:ascii="宋体" w:hAnsi="宋体" w:eastAsia="宋体" w:cs="宋体"/>
          <w:color w:val="auto"/>
          <w:spacing w:val="-23"/>
          <w:sz w:val="21"/>
          <w:szCs w:val="21"/>
          <w:highlight w:val="none"/>
        </w:rPr>
        <w:t xml:space="preserve"> </w:t>
      </w:r>
      <w:r>
        <w:rPr>
          <w:rFonts w:ascii="宋体" w:hAnsi="宋体" w:eastAsia="宋体" w:cs="宋体"/>
          <w:color w:val="auto"/>
          <w:spacing w:val="-2"/>
          <w:sz w:val="21"/>
          <w:szCs w:val="21"/>
          <w:highlight w:val="none"/>
        </w:rPr>
        <w:t>17</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条的约定，准备一份已完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工程量报表、进度付款申请单和计量文件的格式等报送监理人，监理</w:t>
      </w:r>
      <w:r>
        <w:rPr>
          <w:rFonts w:ascii="宋体" w:hAnsi="宋体" w:eastAsia="宋体" w:cs="宋体"/>
          <w:color w:val="auto"/>
          <w:spacing w:val="1"/>
          <w:sz w:val="21"/>
          <w:szCs w:val="21"/>
          <w:highlight w:val="none"/>
        </w:rPr>
        <w:t>人应当在收到承包人报送的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格式后</w:t>
      </w:r>
      <w:r>
        <w:rPr>
          <w:rFonts w:ascii="宋体" w:hAnsi="宋体" w:eastAsia="宋体" w:cs="宋体"/>
          <w:color w:val="auto"/>
          <w:spacing w:val="-32"/>
          <w:sz w:val="21"/>
          <w:szCs w:val="21"/>
          <w:highlight w:val="none"/>
        </w:rPr>
        <w:t xml:space="preserve"> </w:t>
      </w:r>
      <w:r>
        <w:rPr>
          <w:rFonts w:ascii="宋体" w:hAnsi="宋体" w:eastAsia="宋体" w:cs="宋体"/>
          <w:color w:val="auto"/>
          <w:spacing w:val="-2"/>
          <w:sz w:val="21"/>
          <w:szCs w:val="21"/>
          <w:highlight w:val="none"/>
        </w:rPr>
        <w:t>7</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天内给予批复或者提出修改意见。</w:t>
      </w:r>
    </w:p>
    <w:p>
      <w:pPr>
        <w:spacing w:before="111" w:line="297" w:lineRule="auto"/>
        <w:ind w:right="157" w:firstLine="437"/>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14.1.2</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根据合同条款第</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17.1</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款和第</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17.3</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款，承包人应当在合同约定的每个付款周期末，对</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当期完成的各项工程量进行计量和计价， 并按照第</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17.3.2</w:t>
      </w:r>
      <w:r>
        <w:rPr>
          <w:rFonts w:ascii="宋体" w:hAnsi="宋体" w:eastAsia="宋体" w:cs="宋体"/>
          <w:color w:val="auto"/>
          <w:spacing w:val="-55"/>
          <w:sz w:val="21"/>
          <w:szCs w:val="21"/>
          <w:highlight w:val="none"/>
        </w:rPr>
        <w:t xml:space="preserve"> </w:t>
      </w:r>
      <w:r>
        <w:rPr>
          <w:rFonts w:ascii="宋体" w:hAnsi="宋体" w:eastAsia="宋体" w:cs="宋体"/>
          <w:color w:val="auto"/>
          <w:spacing w:val="-3"/>
          <w:sz w:val="21"/>
          <w:szCs w:val="21"/>
          <w:highlight w:val="none"/>
        </w:rPr>
        <w:t>项的约定，对当期应增加和扣减的</w:t>
      </w:r>
      <w:r>
        <w:rPr>
          <w:rFonts w:ascii="宋体" w:hAnsi="宋体" w:eastAsia="宋体" w:cs="宋体"/>
          <w:color w:val="auto"/>
          <w:spacing w:val="-4"/>
          <w:sz w:val="21"/>
          <w:szCs w:val="21"/>
          <w:highlight w:val="none"/>
        </w:rPr>
        <w:t>各类</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款项进行梳理和汇总， 按经监理人批准的格式和专用合同条款约定的份数和内容准备并向监理人</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递交进度付款申请单， 并将进度付款申请单连同已完工程量报表、有关计量资料以及能够证明其</w:t>
      </w:r>
      <w:r>
        <w:rPr>
          <w:rFonts w:ascii="宋体" w:hAnsi="宋体" w:eastAsia="宋体" w:cs="宋体"/>
          <w:color w:val="auto"/>
          <w:spacing w:val="12"/>
          <w:sz w:val="21"/>
          <w:szCs w:val="21"/>
          <w:highlight w:val="none"/>
        </w:rPr>
        <w:t xml:space="preserve"> </w:t>
      </w:r>
      <w:r>
        <w:rPr>
          <w:rFonts w:ascii="宋体" w:hAnsi="宋体" w:eastAsia="宋体" w:cs="宋体"/>
          <w:color w:val="auto"/>
          <w:sz w:val="21"/>
          <w:szCs w:val="21"/>
          <w:highlight w:val="none"/>
        </w:rPr>
        <w:t>进度付款申请单中所索要款项符合合同约定的各个支持性文件同时报送监理人审批。</w:t>
      </w:r>
    </w:p>
    <w:p>
      <w:pPr>
        <w:spacing w:before="110" w:line="292" w:lineRule="auto"/>
        <w:ind w:right="155" w:firstLine="436"/>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14.1.3 竣工付款申诅单的内容按专用合同条款第 17.5.1（1）</w:t>
      </w:r>
      <w:r>
        <w:rPr>
          <w:rFonts w:ascii="宋体" w:hAnsi="宋体" w:eastAsia="宋体" w:cs="宋体"/>
          <w:color w:val="auto"/>
          <w:spacing w:val="-52"/>
          <w:sz w:val="21"/>
          <w:szCs w:val="21"/>
          <w:highlight w:val="none"/>
        </w:rPr>
        <w:t xml:space="preserve"> </w:t>
      </w:r>
      <w:r>
        <w:rPr>
          <w:rFonts w:ascii="宋体" w:hAnsi="宋体" w:eastAsia="宋体" w:cs="宋体"/>
          <w:color w:val="auto"/>
          <w:spacing w:val="-2"/>
          <w:sz w:val="21"/>
          <w:szCs w:val="21"/>
          <w:highlight w:val="none"/>
        </w:rPr>
        <w:t>目的约定。采用单价合同形式</w:t>
      </w:r>
      <w:r>
        <w:rPr>
          <w:rFonts w:ascii="宋体" w:hAnsi="宋体" w:eastAsia="宋体" w:cs="宋体"/>
          <w:color w:val="auto"/>
          <w:sz w:val="21"/>
          <w:szCs w:val="21"/>
          <w:highlight w:val="none"/>
        </w:rPr>
        <w:t xml:space="preserve"> 的，竣工付款申请单应当附上按通用合同条款第</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rPr>
        <w:t>17.1.4（5）</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目确定的结算工程</w:t>
      </w:r>
      <w:r>
        <w:rPr>
          <w:rFonts w:ascii="宋体" w:hAnsi="宋体" w:eastAsia="宋体" w:cs="宋体"/>
          <w:color w:val="auto"/>
          <w:spacing w:val="-1"/>
          <w:sz w:val="21"/>
          <w:szCs w:val="21"/>
          <w:highlight w:val="none"/>
        </w:rPr>
        <w:t>量和最近一欠进</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度付款和竣工付款之间完成的各子目的工程量计量文件。采用总价合同</w:t>
      </w:r>
      <w:r>
        <w:rPr>
          <w:rFonts w:ascii="宋体" w:hAnsi="宋体" w:eastAsia="宋体" w:cs="宋体"/>
          <w:color w:val="auto"/>
          <w:spacing w:val="1"/>
          <w:sz w:val="21"/>
          <w:szCs w:val="21"/>
          <w:highlight w:val="none"/>
        </w:rPr>
        <w:t>形式的，签约合同价所基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于的工程量就是相应的竣工结算工程量，</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但是，变更应按合同约定进</w:t>
      </w:r>
      <w:r>
        <w:rPr>
          <w:rFonts w:ascii="宋体" w:hAnsi="宋体" w:eastAsia="宋体" w:cs="宋体"/>
          <w:color w:val="auto"/>
          <w:spacing w:val="-3"/>
          <w:sz w:val="21"/>
          <w:szCs w:val="21"/>
          <w:highlight w:val="none"/>
        </w:rPr>
        <w:t>行计量和计价。</w:t>
      </w:r>
    </w:p>
    <w:p>
      <w:pPr>
        <w:spacing w:before="111" w:line="360" w:lineRule="exact"/>
        <w:ind w:left="43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14.1.4</w:t>
      </w:r>
      <w:r>
        <w:rPr>
          <w:rFonts w:ascii="宋体" w:hAnsi="宋体" w:eastAsia="宋体" w:cs="宋体"/>
          <w:color w:val="auto"/>
          <w:spacing w:val="-43"/>
          <w:position w:val="11"/>
          <w:sz w:val="21"/>
          <w:szCs w:val="21"/>
          <w:highlight w:val="none"/>
        </w:rPr>
        <w:t xml:space="preserve"> </w:t>
      </w:r>
      <w:r>
        <w:rPr>
          <w:rFonts w:ascii="宋体" w:hAnsi="宋体" w:eastAsia="宋体" w:cs="宋体"/>
          <w:color w:val="auto"/>
          <w:spacing w:val="-2"/>
          <w:position w:val="11"/>
          <w:sz w:val="21"/>
          <w:szCs w:val="21"/>
          <w:highlight w:val="none"/>
        </w:rPr>
        <w:t>竣工结算总价（合同价格）应当按</w:t>
      </w:r>
      <w:r>
        <w:rPr>
          <w:rFonts w:ascii="宋体" w:hAnsi="宋体" w:eastAsia="宋体" w:cs="宋体"/>
          <w:color w:val="auto"/>
          <w:spacing w:val="-3"/>
          <w:position w:val="11"/>
          <w:sz w:val="21"/>
          <w:szCs w:val="21"/>
          <w:highlight w:val="none"/>
        </w:rPr>
        <w:t>以下内容梳理：</w:t>
      </w:r>
    </w:p>
    <w:p>
      <w:pPr>
        <w:spacing w:line="219" w:lineRule="auto"/>
        <w:ind w:left="42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（1）签约合同价；</w:t>
      </w:r>
    </w:p>
    <w:p>
      <w:pPr>
        <w:spacing w:before="111" w:line="360" w:lineRule="exact"/>
        <w:ind w:left="427"/>
        <w:rPr>
          <w:rFonts w:ascii="宋体" w:hAnsi="宋体" w:eastAsia="宋体" w:cs="宋体"/>
          <w:color w:val="auto"/>
          <w:sz w:val="21"/>
          <w:szCs w:val="21"/>
          <w:highlight w:val="none"/>
        </w:rPr>
      </w:pPr>
      <w:r>
        <w:rPr>
          <w:rFonts w:ascii="宋体" w:hAnsi="宋体" w:eastAsia="宋体" w:cs="宋体"/>
          <w:color w:val="auto"/>
          <w:spacing w:val="-4"/>
          <w:position w:val="11"/>
          <w:sz w:val="21"/>
          <w:szCs w:val="21"/>
          <w:highlight w:val="none"/>
        </w:rPr>
        <w:t>（2）应当扣减的项目；</w:t>
      </w:r>
    </w:p>
    <w:p>
      <w:pPr>
        <w:spacing w:before="1" w:line="220" w:lineRule="auto"/>
        <w:ind w:left="43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1）所有暂列金额；</w:t>
      </w:r>
    </w:p>
    <w:p>
      <w:pPr>
        <w:spacing w:before="109" w:line="219" w:lineRule="auto"/>
        <w:ind w:left="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2）所有暂估价；</w:t>
      </w:r>
    </w:p>
    <w:p>
      <w:pPr>
        <w:spacing w:before="110" w:line="221" w:lineRule="auto"/>
        <w:ind w:left="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3）根据合同条款第</w:t>
      </w:r>
      <w:r>
        <w:rPr>
          <w:rFonts w:ascii="宋体" w:hAnsi="宋体" w:eastAsia="宋体" w:cs="宋体"/>
          <w:color w:val="auto"/>
          <w:spacing w:val="-12"/>
          <w:sz w:val="21"/>
          <w:szCs w:val="21"/>
          <w:highlight w:val="none"/>
        </w:rPr>
        <w:t xml:space="preserve"> </w:t>
      </w:r>
      <w:r>
        <w:rPr>
          <w:rFonts w:ascii="宋体" w:hAnsi="宋体" w:eastAsia="宋体" w:cs="宋体"/>
          <w:color w:val="auto"/>
          <w:spacing w:val="-4"/>
          <w:sz w:val="21"/>
          <w:szCs w:val="21"/>
          <w:highlight w:val="none"/>
        </w:rPr>
        <w:t>15</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条应扣减的变更金额；</w:t>
      </w:r>
    </w:p>
    <w:p>
      <w:pPr>
        <w:spacing w:before="109" w:line="360" w:lineRule="exact"/>
        <w:ind w:left="420"/>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4）根据合同条款第</w:t>
      </w:r>
      <w:r>
        <w:rPr>
          <w:rFonts w:ascii="宋体" w:hAnsi="宋体" w:eastAsia="宋体" w:cs="宋体"/>
          <w:color w:val="auto"/>
          <w:spacing w:val="-30"/>
          <w:position w:val="11"/>
          <w:sz w:val="21"/>
          <w:szCs w:val="21"/>
          <w:highlight w:val="none"/>
        </w:rPr>
        <w:t xml:space="preserve"> </w:t>
      </w:r>
      <w:r>
        <w:rPr>
          <w:rFonts w:ascii="宋体" w:hAnsi="宋体" w:eastAsia="宋体" w:cs="宋体"/>
          <w:color w:val="auto"/>
          <w:spacing w:val="-2"/>
          <w:position w:val="11"/>
          <w:sz w:val="21"/>
          <w:szCs w:val="21"/>
          <w:highlight w:val="none"/>
        </w:rPr>
        <w:t>16</w:t>
      </w:r>
      <w:r>
        <w:rPr>
          <w:rFonts w:ascii="宋体" w:hAnsi="宋体" w:eastAsia="宋体" w:cs="宋体"/>
          <w:color w:val="auto"/>
          <w:spacing w:val="-43"/>
          <w:position w:val="11"/>
          <w:sz w:val="21"/>
          <w:szCs w:val="21"/>
          <w:highlight w:val="none"/>
        </w:rPr>
        <w:t xml:space="preserve"> </w:t>
      </w:r>
      <w:r>
        <w:rPr>
          <w:rFonts w:ascii="宋体" w:hAnsi="宋体" w:eastAsia="宋体" w:cs="宋体"/>
          <w:color w:val="auto"/>
          <w:spacing w:val="-2"/>
          <w:position w:val="11"/>
          <w:sz w:val="21"/>
          <w:szCs w:val="21"/>
          <w:highlight w:val="none"/>
        </w:rPr>
        <w:t>条应扣减的价格调整（下调部分</w:t>
      </w:r>
      <w:r>
        <w:rPr>
          <w:rFonts w:ascii="宋体" w:hAnsi="宋体" w:eastAsia="宋体" w:cs="宋体"/>
          <w:color w:val="auto"/>
          <w:spacing w:val="-52"/>
          <w:position w:val="11"/>
          <w:sz w:val="21"/>
          <w:szCs w:val="21"/>
          <w:highlight w:val="none"/>
        </w:rPr>
        <w:t>）；</w:t>
      </w:r>
    </w:p>
    <w:p>
      <w:pPr>
        <w:spacing w:before="1" w:line="220" w:lineRule="auto"/>
        <w:ind w:left="4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5）根据合同条款第</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23.4</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款应扣减的发包人索赔金额；</w:t>
      </w:r>
    </w:p>
    <w:p>
      <w:pPr>
        <w:spacing w:before="109" w:line="219"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6）甩项工程的合同价值（如果有</w:t>
      </w:r>
      <w:r>
        <w:rPr>
          <w:rFonts w:ascii="宋体" w:hAnsi="宋体" w:eastAsia="宋体" w:cs="宋体"/>
          <w:color w:val="auto"/>
          <w:spacing w:val="-57"/>
          <w:sz w:val="21"/>
          <w:szCs w:val="21"/>
          <w:highlight w:val="none"/>
        </w:rPr>
        <w:t>）；</w:t>
      </w:r>
    </w:p>
    <w:p>
      <w:pPr>
        <w:spacing w:before="111" w:line="360" w:lineRule="exact"/>
        <w:ind w:left="426"/>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7）根据合同约定发包人应扣减的其他金额。</w:t>
      </w:r>
    </w:p>
    <w:p>
      <w:pPr>
        <w:spacing w:line="221" w:lineRule="auto"/>
        <w:ind w:left="4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（3）应当增加的项目；</w:t>
      </w:r>
    </w:p>
    <w:p>
      <w:pPr>
        <w:spacing w:before="109" w:line="360" w:lineRule="exact"/>
        <w:ind w:left="43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1）实际发生的暂列金额（包括计日工</w:t>
      </w:r>
      <w:r>
        <w:rPr>
          <w:rFonts w:ascii="宋体" w:hAnsi="宋体" w:eastAsia="宋体" w:cs="宋体"/>
          <w:color w:val="auto"/>
          <w:spacing w:val="-55"/>
          <w:position w:val="11"/>
          <w:sz w:val="21"/>
          <w:szCs w:val="21"/>
          <w:highlight w:val="none"/>
        </w:rPr>
        <w:t>）；</w:t>
      </w:r>
    </w:p>
    <w:p>
      <w:pPr>
        <w:spacing w:line="219" w:lineRule="auto"/>
        <w:ind w:left="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2）实际发生的暂估价；</w:t>
      </w:r>
    </w:p>
    <w:p>
      <w:pPr>
        <w:spacing w:before="110" w:line="221" w:lineRule="auto"/>
        <w:ind w:left="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3）根据合同条款第</w:t>
      </w:r>
      <w:r>
        <w:rPr>
          <w:rFonts w:ascii="宋体" w:hAnsi="宋体" w:eastAsia="宋体" w:cs="宋体"/>
          <w:color w:val="auto"/>
          <w:spacing w:val="-12"/>
          <w:sz w:val="21"/>
          <w:szCs w:val="21"/>
          <w:highlight w:val="none"/>
        </w:rPr>
        <w:t xml:space="preserve"> </w:t>
      </w:r>
      <w:r>
        <w:rPr>
          <w:rFonts w:ascii="宋体" w:hAnsi="宋体" w:eastAsia="宋体" w:cs="宋体"/>
          <w:color w:val="auto"/>
          <w:spacing w:val="-4"/>
          <w:sz w:val="21"/>
          <w:szCs w:val="21"/>
          <w:highlight w:val="none"/>
        </w:rPr>
        <w:t>15</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条应增加的变更金额；</w:t>
      </w:r>
    </w:p>
    <w:p>
      <w:pPr>
        <w:spacing w:before="110" w:line="219" w:lineRule="auto"/>
        <w:ind w:left="4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4）根据合同条款第</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16</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条应增加的价格调整（上调部分</w:t>
      </w:r>
      <w:r>
        <w:rPr>
          <w:rFonts w:ascii="宋体" w:hAnsi="宋体" w:eastAsia="宋体" w:cs="宋体"/>
          <w:color w:val="auto"/>
          <w:spacing w:val="-52"/>
          <w:sz w:val="21"/>
          <w:szCs w:val="21"/>
          <w:highlight w:val="none"/>
        </w:rPr>
        <w:t>）；</w:t>
      </w:r>
    </w:p>
    <w:p>
      <w:pPr>
        <w:spacing w:line="219" w:lineRule="auto"/>
        <w:rPr>
          <w:rFonts w:ascii="宋体" w:hAnsi="宋体" w:eastAsia="宋体" w:cs="宋体"/>
          <w:color w:val="auto"/>
          <w:sz w:val="21"/>
          <w:szCs w:val="21"/>
          <w:highlight w:val="none"/>
        </w:rPr>
        <w:sectPr>
          <w:footerReference r:id="rId124" w:type="default"/>
          <w:pgSz w:w="11907" w:h="16841"/>
          <w:pgMar w:top="400" w:right="1369" w:bottom="1143" w:left="1480" w:header="0" w:footer="970"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spacing w:before="68" w:line="360" w:lineRule="exact"/>
        <w:ind w:left="425"/>
        <w:rPr>
          <w:rFonts w:ascii="宋体" w:hAnsi="宋体" w:eastAsia="宋体" w:cs="宋体"/>
          <w:color w:val="auto"/>
          <w:sz w:val="21"/>
          <w:szCs w:val="21"/>
          <w:highlight w:val="none"/>
        </w:rPr>
      </w:pPr>
      <w:bookmarkStart w:id="396" w:name="bookmark436"/>
      <w:bookmarkEnd w:id="396"/>
      <w:r>
        <w:rPr>
          <w:rFonts w:ascii="宋体" w:hAnsi="宋体" w:eastAsia="宋体" w:cs="宋体"/>
          <w:color w:val="auto"/>
          <w:spacing w:val="-2"/>
          <w:position w:val="11"/>
          <w:sz w:val="21"/>
          <w:szCs w:val="21"/>
          <w:highlight w:val="none"/>
        </w:rPr>
        <w:t>5）根据合同条款第</w:t>
      </w:r>
      <w:r>
        <w:rPr>
          <w:rFonts w:ascii="宋体" w:hAnsi="宋体" w:eastAsia="宋体" w:cs="宋体"/>
          <w:color w:val="auto"/>
          <w:spacing w:val="-41"/>
          <w:position w:val="11"/>
          <w:sz w:val="21"/>
          <w:szCs w:val="21"/>
          <w:highlight w:val="none"/>
        </w:rPr>
        <w:t xml:space="preserve"> </w:t>
      </w:r>
      <w:r>
        <w:rPr>
          <w:rFonts w:ascii="宋体" w:hAnsi="宋体" w:eastAsia="宋体" w:cs="宋体"/>
          <w:color w:val="auto"/>
          <w:spacing w:val="-2"/>
          <w:position w:val="11"/>
          <w:sz w:val="21"/>
          <w:szCs w:val="21"/>
          <w:highlight w:val="none"/>
        </w:rPr>
        <w:t>23.2</w:t>
      </w:r>
      <w:r>
        <w:rPr>
          <w:rFonts w:ascii="宋体" w:hAnsi="宋体" w:eastAsia="宋体" w:cs="宋体"/>
          <w:color w:val="auto"/>
          <w:spacing w:val="-45"/>
          <w:position w:val="11"/>
          <w:sz w:val="21"/>
          <w:szCs w:val="21"/>
          <w:highlight w:val="none"/>
        </w:rPr>
        <w:t xml:space="preserve"> </w:t>
      </w:r>
      <w:r>
        <w:rPr>
          <w:rFonts w:ascii="宋体" w:hAnsi="宋体" w:eastAsia="宋体" w:cs="宋体"/>
          <w:color w:val="auto"/>
          <w:spacing w:val="-2"/>
          <w:position w:val="11"/>
          <w:sz w:val="21"/>
          <w:szCs w:val="21"/>
          <w:highlight w:val="none"/>
        </w:rPr>
        <w:t>款应增加的承包人索赔金额；</w:t>
      </w:r>
    </w:p>
    <w:p>
      <w:pPr>
        <w:spacing w:line="220" w:lineRule="auto"/>
        <w:ind w:left="4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6）根据合同约定承包人应当得到的其他金</w:t>
      </w:r>
      <w:r>
        <w:rPr>
          <w:rFonts w:ascii="宋体" w:hAnsi="宋体" w:eastAsia="宋体" w:cs="宋体"/>
          <w:color w:val="auto"/>
          <w:spacing w:val="-2"/>
          <w:sz w:val="21"/>
          <w:szCs w:val="21"/>
          <w:highlight w:val="none"/>
        </w:rPr>
        <w:t>额。</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（4）规费和税金差额部分。</w:t>
      </w:r>
    </w:p>
    <w:p>
      <w:pPr>
        <w:spacing w:before="109" w:line="360" w:lineRule="exact"/>
        <w:ind w:left="437"/>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14.1.5   最终结清申请单的应付金额应当按下列内容梳理：</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（1）按合同约定扣留的质量保证金；</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（2）应当扣除的金额：</w:t>
      </w:r>
    </w:p>
    <w:p>
      <w:pPr>
        <w:spacing w:before="110" w:line="360" w:lineRule="exact"/>
        <w:ind w:left="437"/>
        <w:rPr>
          <w:rFonts w:ascii="宋体" w:hAnsi="宋体" w:eastAsia="宋体" w:cs="宋体"/>
          <w:color w:val="auto"/>
          <w:sz w:val="21"/>
          <w:szCs w:val="21"/>
          <w:highlight w:val="none"/>
        </w:rPr>
      </w:pPr>
      <w:r>
        <w:rPr>
          <w:rFonts w:ascii="宋体" w:hAnsi="宋体" w:eastAsia="宋体" w:cs="宋体"/>
          <w:color w:val="auto"/>
          <w:spacing w:val="-3"/>
          <w:position w:val="11"/>
          <w:sz w:val="21"/>
          <w:szCs w:val="21"/>
          <w:highlight w:val="none"/>
        </w:rPr>
        <w:t>1）按通用合同条款</w:t>
      </w:r>
      <w:r>
        <w:rPr>
          <w:rFonts w:ascii="宋体" w:hAnsi="宋体" w:eastAsia="宋体" w:cs="宋体"/>
          <w:color w:val="auto"/>
          <w:spacing w:val="-30"/>
          <w:position w:val="11"/>
          <w:sz w:val="21"/>
          <w:szCs w:val="21"/>
          <w:highlight w:val="none"/>
        </w:rPr>
        <w:t xml:space="preserve"> </w:t>
      </w:r>
      <w:r>
        <w:rPr>
          <w:rFonts w:ascii="宋体" w:hAnsi="宋体" w:eastAsia="宋体" w:cs="宋体"/>
          <w:color w:val="auto"/>
          <w:spacing w:val="-3"/>
          <w:position w:val="11"/>
          <w:sz w:val="21"/>
          <w:szCs w:val="21"/>
          <w:highlight w:val="none"/>
        </w:rPr>
        <w:t>17.4.3</w:t>
      </w:r>
      <w:r>
        <w:rPr>
          <w:rFonts w:ascii="宋体" w:hAnsi="宋体" w:eastAsia="宋体" w:cs="宋体"/>
          <w:color w:val="auto"/>
          <w:spacing w:val="-41"/>
          <w:position w:val="11"/>
          <w:sz w:val="21"/>
          <w:szCs w:val="21"/>
          <w:highlight w:val="none"/>
        </w:rPr>
        <w:t xml:space="preserve"> </w:t>
      </w:r>
      <w:r>
        <w:rPr>
          <w:rFonts w:ascii="宋体" w:hAnsi="宋体" w:eastAsia="宋体" w:cs="宋体"/>
          <w:color w:val="auto"/>
          <w:spacing w:val="-3"/>
          <w:position w:val="11"/>
          <w:sz w:val="21"/>
          <w:szCs w:val="21"/>
          <w:highlight w:val="none"/>
        </w:rPr>
        <w:t>项约定扣留的质量保证金；</w:t>
      </w:r>
    </w:p>
    <w:p>
      <w:pPr>
        <w:spacing w:line="220" w:lineRule="auto"/>
        <w:ind w:left="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2）按通用合同条款</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19.2.4</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项约定扣除的质量保证金；</w:t>
      </w:r>
    </w:p>
    <w:p>
      <w:pPr>
        <w:spacing w:before="109" w:line="269" w:lineRule="auto"/>
        <w:ind w:left="420" w:right="1600" w:firstLine="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3）根据合同条款第</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23.4</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款应扣减的缺陷责任期内发生的发包人索赔</w:t>
      </w:r>
      <w:r>
        <w:rPr>
          <w:rFonts w:ascii="宋体" w:hAnsi="宋体" w:eastAsia="宋体" w:cs="宋体"/>
          <w:color w:val="auto"/>
          <w:spacing w:val="-3"/>
          <w:sz w:val="21"/>
          <w:szCs w:val="21"/>
          <w:highlight w:val="none"/>
        </w:rPr>
        <w:t>金额；</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4）根据合同约定应扣减的其他金额。</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（3）应当增加的金额：</w:t>
      </w:r>
    </w:p>
    <w:p>
      <w:pPr>
        <w:spacing w:before="110" w:line="219" w:lineRule="auto"/>
        <w:ind w:left="43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1）已完且符合合同约定的甩项工程的价值；</w:t>
      </w:r>
    </w:p>
    <w:p>
      <w:pPr>
        <w:spacing w:before="109" w:line="269" w:lineRule="auto"/>
        <w:ind w:left="425" w:right="971" w:hanging="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2）按通用合同条款</w:t>
      </w:r>
      <w:r>
        <w:rPr>
          <w:rFonts w:ascii="宋体" w:hAnsi="宋体" w:eastAsia="宋体" w:cs="宋体"/>
          <w:color w:val="auto"/>
          <w:spacing w:val="-30"/>
          <w:sz w:val="21"/>
          <w:szCs w:val="21"/>
          <w:highlight w:val="none"/>
        </w:rPr>
        <w:t xml:space="preserve"> </w:t>
      </w:r>
      <w:r>
        <w:rPr>
          <w:rFonts w:ascii="宋体" w:hAnsi="宋体" w:eastAsia="宋体" w:cs="宋体"/>
          <w:color w:val="auto"/>
          <w:spacing w:val="-2"/>
          <w:sz w:val="21"/>
          <w:szCs w:val="21"/>
          <w:highlight w:val="none"/>
        </w:rPr>
        <w:t>19.2.3</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项约定由承包人修复的发包</w:t>
      </w:r>
      <w:r>
        <w:rPr>
          <w:rFonts w:ascii="宋体" w:hAnsi="宋体" w:eastAsia="宋体" w:cs="宋体"/>
          <w:color w:val="auto"/>
          <w:spacing w:val="-3"/>
          <w:sz w:val="21"/>
          <w:szCs w:val="21"/>
          <w:highlight w:val="none"/>
        </w:rPr>
        <w:t>人原因造成的缺陷的价值；</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3）根据合同条款第</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23.2</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款应增加的缺陷责任</w:t>
      </w:r>
      <w:r>
        <w:rPr>
          <w:rFonts w:ascii="宋体" w:hAnsi="宋体" w:eastAsia="宋体" w:cs="宋体"/>
          <w:color w:val="auto"/>
          <w:spacing w:val="-2"/>
          <w:sz w:val="21"/>
          <w:szCs w:val="21"/>
          <w:highlight w:val="none"/>
        </w:rPr>
        <w:t>期内发生的承包人索赔金额；</w:t>
      </w:r>
    </w:p>
    <w:p>
      <w:pPr>
        <w:spacing w:before="109" w:line="221" w:lineRule="auto"/>
        <w:ind w:left="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4）根据合同约定承包人应当得到的其他金额。</w:t>
      </w:r>
    </w:p>
    <w:p>
      <w:pPr>
        <w:spacing w:before="109" w:line="221" w:lineRule="auto"/>
        <w:ind w:left="424"/>
        <w:rPr>
          <w:rFonts w:ascii="宋体" w:hAnsi="宋体" w:eastAsia="宋体" w:cs="宋体"/>
          <w:color w:val="auto"/>
          <w:sz w:val="21"/>
          <w:szCs w:val="21"/>
          <w:highlight w:val="none"/>
        </w:rPr>
      </w:pPr>
      <w:r>
        <w:rPr>
          <w:rFonts w:ascii="宋体" w:hAnsi="宋体" w:eastAsia="宋体" w:cs="宋体"/>
          <w:color w:val="auto"/>
          <w:sz w:val="21"/>
          <w:szCs w:val="21"/>
          <w:highlight w:val="none"/>
        </w:rPr>
        <w:t>最终结清应当由发包人和承包人按照“多退少补”的</w:t>
      </w:r>
      <w:r>
        <w:rPr>
          <w:rFonts w:ascii="宋体" w:hAnsi="宋体" w:eastAsia="宋体" w:cs="宋体"/>
          <w:color w:val="auto"/>
          <w:spacing w:val="-1"/>
          <w:sz w:val="21"/>
          <w:szCs w:val="21"/>
          <w:highlight w:val="none"/>
        </w:rPr>
        <w:t>原则办理。</w:t>
      </w:r>
    </w:p>
    <w:p>
      <w:pPr>
        <w:spacing w:before="109" w:line="268" w:lineRule="auto"/>
        <w:ind w:left="1" w:firstLine="4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14.1.6 竣工付款申请单和最终结清申请单应当比照进度付款申请单的格式准备，并提供相关</w:t>
      </w:r>
      <w:r>
        <w:rPr>
          <w:rFonts w:ascii="宋体" w:hAnsi="宋体" w:eastAsia="宋体" w:cs="宋体"/>
          <w:color w:val="auto"/>
          <w:spacing w:val="1"/>
          <w:sz w:val="21"/>
          <w:szCs w:val="21"/>
          <w:highlight w:val="none"/>
        </w:rPr>
        <w:t xml:space="preserve"> </w:t>
      </w:r>
      <w:r>
        <w:rPr>
          <w:rFonts w:ascii="宋体" w:hAnsi="宋体" w:eastAsia="宋体" w:cs="宋体"/>
          <w:color w:val="auto"/>
          <w:spacing w:val="-5"/>
          <w:sz w:val="21"/>
          <w:szCs w:val="21"/>
          <w:highlight w:val="none"/>
        </w:rPr>
        <w:t>证明材料。</w:t>
      </w:r>
    </w:p>
    <w:p>
      <w:pPr>
        <w:spacing w:before="229" w:line="220" w:lineRule="auto"/>
        <w:ind w:left="15"/>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14.2</w:t>
      </w:r>
      <w:r>
        <w:rPr>
          <w:rFonts w:ascii="黑体" w:hAnsi="黑体" w:eastAsia="黑体" w:cs="黑体"/>
          <w:color w:val="auto"/>
          <w:spacing w:val="-48"/>
          <w:sz w:val="24"/>
          <w:szCs w:val="24"/>
          <w:highlight w:val="none"/>
        </w:rPr>
        <w:t xml:space="preserve"> </w:t>
      </w:r>
      <w:r>
        <w:rPr>
          <w:rFonts w:ascii="黑体" w:hAnsi="黑体" w:eastAsia="黑体" w:cs="黑体"/>
          <w:color w:val="auto"/>
          <w:spacing w:val="-4"/>
          <w:sz w:val="24"/>
          <w:szCs w:val="24"/>
          <w:highlight w:val="none"/>
        </w:rPr>
        <w:t>其他约定</w:t>
      </w:r>
    </w:p>
    <w:p>
      <w:pPr>
        <w:spacing w:before="188" w:line="221" w:lineRule="auto"/>
        <w:ind w:left="42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其他约定内容：</w:t>
      </w:r>
    </w:p>
    <w:p>
      <w:pPr>
        <w:pStyle w:val="2"/>
        <w:spacing w:line="289" w:lineRule="auto"/>
        <w:rPr>
          <w:color w:val="auto"/>
          <w:highlight w:val="none"/>
        </w:rPr>
      </w:pPr>
    </w:p>
    <w:p>
      <w:pPr>
        <w:tabs>
          <w:tab w:val="left" w:pos="8182"/>
        </w:tabs>
        <w:spacing w:before="26" w:line="159" w:lineRule="auto"/>
        <w:ind w:left="941"/>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46" w:line="464" w:lineRule="exact"/>
        <w:ind w:left="26"/>
        <w:rPr>
          <w:rFonts w:ascii="黑体" w:hAnsi="黑体" w:eastAsia="黑体" w:cs="黑体"/>
          <w:color w:val="auto"/>
          <w:sz w:val="28"/>
          <w:szCs w:val="28"/>
          <w:highlight w:val="none"/>
        </w:rPr>
      </w:pPr>
      <w:r>
        <w:rPr>
          <w:rFonts w:ascii="Times New Roman" w:hAnsi="Times New Roman" w:eastAsia="Times New Roman" w:cs="Times New Roman"/>
          <w:color w:val="auto"/>
          <w:spacing w:val="-3"/>
          <w:position w:val="13"/>
          <w:sz w:val="28"/>
          <w:szCs w:val="28"/>
          <w:highlight w:val="none"/>
        </w:rPr>
        <w:t>15.</w:t>
      </w:r>
      <w:r>
        <w:rPr>
          <w:rFonts w:ascii="黑体" w:hAnsi="黑体" w:eastAsia="黑体" w:cs="黑体"/>
          <w:color w:val="auto"/>
          <w:spacing w:val="-3"/>
          <w:position w:val="13"/>
          <w:sz w:val="28"/>
          <w:szCs w:val="28"/>
          <w:highlight w:val="none"/>
        </w:rPr>
        <w:t>竣工验收和工程移交</w:t>
      </w:r>
    </w:p>
    <w:p>
      <w:pPr>
        <w:spacing w:before="1" w:line="218" w:lineRule="auto"/>
        <w:ind w:left="1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15.1</w:t>
      </w:r>
      <w:r>
        <w:rPr>
          <w:rFonts w:ascii="黑体" w:hAnsi="黑体" w:eastAsia="黑体" w:cs="黑体"/>
          <w:color w:val="auto"/>
          <w:spacing w:val="-46"/>
          <w:sz w:val="24"/>
          <w:szCs w:val="24"/>
          <w:highlight w:val="none"/>
        </w:rPr>
        <w:t xml:space="preserve"> </w:t>
      </w:r>
      <w:r>
        <w:rPr>
          <w:rFonts w:ascii="黑体" w:hAnsi="黑体" w:eastAsia="黑体" w:cs="黑体"/>
          <w:color w:val="auto"/>
          <w:spacing w:val="-3"/>
          <w:sz w:val="24"/>
          <w:szCs w:val="24"/>
          <w:highlight w:val="none"/>
        </w:rPr>
        <w:t>竣工验收前的清理</w:t>
      </w:r>
    </w:p>
    <w:p>
      <w:pPr>
        <w:spacing w:before="115" w:line="269" w:lineRule="auto"/>
        <w:ind w:firstLine="43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15.1.1 在向监理人提交竣工验收申请报告前，</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承包人应当完成竣工验收前的清理工作，</w:t>
      </w:r>
      <w:r>
        <w:rPr>
          <w:rFonts w:ascii="宋体" w:hAnsi="宋体" w:eastAsia="宋体" w:cs="宋体"/>
          <w:color w:val="auto"/>
          <w:spacing w:val="-23"/>
          <w:sz w:val="21"/>
          <w:szCs w:val="21"/>
          <w:highlight w:val="none"/>
        </w:rPr>
        <w:t xml:space="preserve"> </w:t>
      </w:r>
      <w:r>
        <w:rPr>
          <w:rFonts w:ascii="宋体" w:hAnsi="宋体" w:eastAsia="宋体" w:cs="宋体"/>
          <w:color w:val="auto"/>
          <w:spacing w:val="-5"/>
          <w:sz w:val="21"/>
          <w:szCs w:val="21"/>
          <w:highlight w:val="none"/>
        </w:rPr>
        <w:t>包括</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但不限于：</w:t>
      </w:r>
    </w:p>
    <w:p>
      <w:pPr>
        <w:spacing w:before="109" w:line="360" w:lineRule="exact"/>
        <w:ind w:left="42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（1）从永久工程内清除所有剩余材料、杂物、垃圾等等；</w:t>
      </w:r>
    </w:p>
    <w:p>
      <w:pPr>
        <w:spacing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（2）清洗工程的所有地面、墙面、楼面、路面等表面；</w:t>
      </w:r>
    </w:p>
    <w:p>
      <w:pPr>
        <w:spacing w:before="109" w:line="220"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（3）清洗和擦洗所有玻璃、磁砖、石材和所有金属面；</w:t>
      </w:r>
    </w:p>
    <w:p>
      <w:pPr>
        <w:spacing w:before="110" w:line="36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（4）修缮所有损坏、清除所有污迹、替换所</w:t>
      </w:r>
      <w:r>
        <w:rPr>
          <w:rFonts w:ascii="宋体" w:hAnsi="宋体" w:eastAsia="宋体" w:cs="宋体"/>
          <w:color w:val="auto"/>
          <w:spacing w:val="-2"/>
          <w:position w:val="11"/>
          <w:sz w:val="21"/>
          <w:szCs w:val="21"/>
          <w:highlight w:val="none"/>
        </w:rPr>
        <w:t>有需更换的材料；</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（5）所有表面完成约定的装修和装饰；</w:t>
      </w:r>
    </w:p>
    <w:p>
      <w:pPr>
        <w:spacing w:before="109" w:line="36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（6）检查和调试所有的门、窗、抽屉等以确保他们开启的顺畅；</w:t>
      </w:r>
    </w:p>
    <w:p>
      <w:pPr>
        <w:spacing w:before="1"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（7）检查和调试所有的五金件并上油；</w:t>
      </w:r>
    </w:p>
    <w:p>
      <w:pPr>
        <w:spacing w:before="108" w:line="269" w:lineRule="auto"/>
        <w:ind w:left="427" w:right="107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（8）检查、测试和确保所有服务系统、设施和设备达到良好的运行状态和效果；</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（9）所有钥匙（如果有）贴上标签并固定到钥匙排上随时可以交给监理人。</w:t>
      </w:r>
    </w:p>
    <w:p>
      <w:pPr>
        <w:spacing w:before="109" w:line="221" w:lineRule="auto"/>
        <w:ind w:left="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15.1.2</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清理工作所需费用由承包人承担。</w:t>
      </w:r>
    </w:p>
    <w:p>
      <w:pPr>
        <w:spacing w:before="207" w:line="218" w:lineRule="auto"/>
        <w:ind w:left="1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15.2</w:t>
      </w:r>
      <w:r>
        <w:rPr>
          <w:rFonts w:ascii="黑体" w:hAnsi="黑体" w:eastAsia="黑体" w:cs="黑体"/>
          <w:color w:val="auto"/>
          <w:spacing w:val="-46"/>
          <w:sz w:val="24"/>
          <w:szCs w:val="24"/>
          <w:highlight w:val="none"/>
        </w:rPr>
        <w:t xml:space="preserve"> </w:t>
      </w:r>
      <w:r>
        <w:rPr>
          <w:rFonts w:ascii="黑体" w:hAnsi="黑体" w:eastAsia="黑体" w:cs="黑体"/>
          <w:color w:val="auto"/>
          <w:spacing w:val="-3"/>
          <w:sz w:val="24"/>
          <w:szCs w:val="24"/>
          <w:highlight w:val="none"/>
        </w:rPr>
        <w:t>竣工验收申请报告</w:t>
      </w:r>
    </w:p>
    <w:p>
      <w:pPr>
        <w:spacing w:line="218" w:lineRule="auto"/>
        <w:rPr>
          <w:rFonts w:ascii="黑体" w:hAnsi="黑体" w:eastAsia="黑体" w:cs="黑体"/>
          <w:color w:val="auto"/>
          <w:sz w:val="24"/>
          <w:szCs w:val="24"/>
          <w:highlight w:val="none"/>
        </w:rPr>
        <w:sectPr>
          <w:footerReference r:id="rId125" w:type="default"/>
          <w:pgSz w:w="11907" w:h="16841"/>
          <w:pgMar w:top="400" w:right="1524" w:bottom="1143" w:left="1480" w:header="0" w:footer="969" w:gutter="0"/>
          <w:pgNumType w:fmt="numberInDash"/>
          <w:cols w:space="720" w:num="1"/>
        </w:sectPr>
      </w:pPr>
    </w:p>
    <w:p>
      <w:pPr>
        <w:pStyle w:val="2"/>
        <w:spacing w:line="266" w:lineRule="auto"/>
        <w:rPr>
          <w:color w:val="auto"/>
          <w:highlight w:val="none"/>
        </w:rPr>
      </w:pPr>
    </w:p>
    <w:p>
      <w:pPr>
        <w:pStyle w:val="2"/>
        <w:spacing w:line="266" w:lineRule="auto"/>
        <w:rPr>
          <w:color w:val="auto"/>
          <w:highlight w:val="none"/>
        </w:rPr>
      </w:pPr>
    </w:p>
    <w:p>
      <w:pPr>
        <w:pStyle w:val="2"/>
        <w:spacing w:line="266" w:lineRule="auto"/>
        <w:rPr>
          <w:color w:val="auto"/>
          <w:highlight w:val="none"/>
        </w:rPr>
      </w:pPr>
    </w:p>
    <w:p>
      <w:pPr>
        <w:pStyle w:val="2"/>
        <w:spacing w:line="267" w:lineRule="auto"/>
        <w:rPr>
          <w:color w:val="auto"/>
          <w:highlight w:val="none"/>
        </w:rPr>
      </w:pPr>
    </w:p>
    <w:p>
      <w:pPr>
        <w:pStyle w:val="2"/>
        <w:spacing w:line="267" w:lineRule="auto"/>
        <w:rPr>
          <w:color w:val="auto"/>
          <w:highlight w:val="none"/>
        </w:rPr>
      </w:pPr>
    </w:p>
    <w:p>
      <w:pPr>
        <w:spacing w:before="68" w:line="297" w:lineRule="auto"/>
        <w:ind w:right="21" w:firstLine="436"/>
        <w:rPr>
          <w:rFonts w:ascii="宋体" w:hAnsi="宋体" w:eastAsia="宋体" w:cs="宋体"/>
          <w:color w:val="auto"/>
          <w:sz w:val="21"/>
          <w:szCs w:val="21"/>
          <w:highlight w:val="none"/>
        </w:rPr>
      </w:pPr>
      <w:bookmarkStart w:id="397" w:name="bookmark437"/>
      <w:bookmarkEnd w:id="397"/>
      <w:r>
        <w:rPr>
          <w:rFonts w:ascii="宋体" w:hAnsi="宋体" w:eastAsia="宋体" w:cs="宋体"/>
          <w:color w:val="auto"/>
          <w:spacing w:val="-3"/>
          <w:sz w:val="21"/>
          <w:szCs w:val="21"/>
          <w:highlight w:val="none"/>
        </w:rPr>
        <w:t>15.2.1 竣工验收申请报告，也称竣工验收报</w:t>
      </w:r>
      <w:r>
        <w:rPr>
          <w:rFonts w:ascii="宋体" w:hAnsi="宋体" w:eastAsia="宋体" w:cs="宋体"/>
          <w:color w:val="auto"/>
          <w:spacing w:val="-4"/>
          <w:sz w:val="21"/>
          <w:szCs w:val="21"/>
          <w:highlight w:val="none"/>
        </w:rPr>
        <w:t>告，是承包人完成合同约定的工作内容后，</w:t>
      </w:r>
      <w:r>
        <w:rPr>
          <w:rFonts w:ascii="宋体" w:hAnsi="宋体" w:eastAsia="宋体" w:cs="宋体"/>
          <w:color w:val="auto"/>
          <w:spacing w:val="-21"/>
          <w:sz w:val="21"/>
          <w:szCs w:val="21"/>
          <w:highlight w:val="none"/>
        </w:rPr>
        <w:t xml:space="preserve"> </w:t>
      </w:r>
      <w:r>
        <w:rPr>
          <w:rFonts w:ascii="宋体" w:hAnsi="宋体" w:eastAsia="宋体" w:cs="宋体"/>
          <w:color w:val="auto"/>
          <w:spacing w:val="-4"/>
          <w:sz w:val="21"/>
          <w:szCs w:val="21"/>
          <w:highlight w:val="none"/>
        </w:rPr>
        <w:t xml:space="preserve">按照  </w:t>
      </w:r>
      <w:r>
        <w:rPr>
          <w:rFonts w:ascii="宋体" w:hAnsi="宋体" w:eastAsia="宋体" w:cs="宋体"/>
          <w:color w:val="auto"/>
          <w:spacing w:val="-2"/>
          <w:sz w:val="21"/>
          <w:szCs w:val="21"/>
          <w:highlight w:val="none"/>
        </w:rPr>
        <w:t>国家有关施工质量验收标准的规定，经其自行检查， 证明已经完成合同工作内容并符合合同约定，</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 xml:space="preserve">达到竣工验收标准，而向监理人或发包人提交的请求发包人组织进行合同工程竣工验收的一份书  </w:t>
      </w:r>
      <w:r>
        <w:rPr>
          <w:rFonts w:ascii="宋体" w:hAnsi="宋体" w:eastAsia="宋体" w:cs="宋体"/>
          <w:color w:val="auto"/>
          <w:spacing w:val="-1"/>
          <w:sz w:val="21"/>
          <w:szCs w:val="21"/>
          <w:highlight w:val="none"/>
        </w:rPr>
        <w:t>面申请函，合同约定的竣工验收资料和其他文件一般作为竣工验收</w:t>
      </w:r>
      <w:r>
        <w:rPr>
          <w:rFonts w:ascii="宋体" w:hAnsi="宋体" w:eastAsia="宋体" w:cs="宋体"/>
          <w:color w:val="auto"/>
          <w:spacing w:val="-2"/>
          <w:sz w:val="21"/>
          <w:szCs w:val="21"/>
          <w:highlight w:val="none"/>
        </w:rPr>
        <w:t xml:space="preserve">申请报告的附件， 是竣工验收  </w:t>
      </w:r>
      <w:r>
        <w:rPr>
          <w:rFonts w:ascii="宋体" w:hAnsi="宋体" w:eastAsia="宋体" w:cs="宋体"/>
          <w:color w:val="auto"/>
          <w:spacing w:val="-1"/>
          <w:sz w:val="21"/>
          <w:szCs w:val="21"/>
          <w:highlight w:val="none"/>
        </w:rPr>
        <w:t>申请报告的组成部分。</w:t>
      </w:r>
    </w:p>
    <w:p>
      <w:pPr>
        <w:spacing w:before="110" w:line="284" w:lineRule="auto"/>
        <w:ind w:left="4" w:firstLine="43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15.2.2 竣工验收申请报告一般应当包括工程概况说明，承包范围， 分包工程情况， 主要</w:t>
      </w:r>
      <w:r>
        <w:rPr>
          <w:rFonts w:ascii="宋体" w:hAnsi="宋体" w:eastAsia="宋体" w:cs="宋体"/>
          <w:color w:val="auto"/>
          <w:spacing w:val="-7"/>
          <w:sz w:val="21"/>
          <w:szCs w:val="21"/>
          <w:highlight w:val="none"/>
        </w:rPr>
        <w:t>材料、</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设备供应情况， 采用的主要施工方法，新材料、新技术和新工艺采用情况，自检质量情况等的说  明。竣工验收申请报告的格式和应当包括的内容应事先经过监理人的审批。</w:t>
      </w:r>
    </w:p>
    <w:p>
      <w:pPr>
        <w:spacing w:before="111" w:line="219"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15.2.3</w:t>
      </w:r>
      <w:r>
        <w:rPr>
          <w:rFonts w:ascii="宋体" w:hAnsi="宋体" w:eastAsia="宋体" w:cs="宋体"/>
          <w:color w:val="auto"/>
          <w:spacing w:val="-38"/>
          <w:sz w:val="21"/>
          <w:szCs w:val="21"/>
          <w:highlight w:val="none"/>
        </w:rPr>
        <w:t xml:space="preserve"> </w:t>
      </w:r>
      <w:r>
        <w:rPr>
          <w:rFonts w:ascii="宋体" w:hAnsi="宋体" w:eastAsia="宋体" w:cs="宋体"/>
          <w:color w:val="auto"/>
          <w:spacing w:val="-2"/>
          <w:sz w:val="21"/>
          <w:szCs w:val="21"/>
          <w:highlight w:val="none"/>
        </w:rPr>
        <w:t>竣工验收申请报告应当按通用合同条款第</w:t>
      </w:r>
      <w:r>
        <w:rPr>
          <w:rFonts w:ascii="宋体" w:hAnsi="宋体" w:eastAsia="宋体" w:cs="宋体"/>
          <w:color w:val="auto"/>
          <w:spacing w:val="-28"/>
          <w:sz w:val="21"/>
          <w:szCs w:val="21"/>
          <w:highlight w:val="none"/>
        </w:rPr>
        <w:t xml:space="preserve"> </w:t>
      </w:r>
      <w:r>
        <w:rPr>
          <w:rFonts w:ascii="宋体" w:hAnsi="宋体" w:eastAsia="宋体" w:cs="宋体"/>
          <w:color w:val="auto"/>
          <w:spacing w:val="-2"/>
          <w:sz w:val="21"/>
          <w:szCs w:val="21"/>
          <w:highlight w:val="none"/>
        </w:rPr>
        <w:t>18.2</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款附上下列内容：</w:t>
      </w:r>
    </w:p>
    <w:p>
      <w:pPr>
        <w:spacing w:before="109" w:line="285" w:lineRule="auto"/>
        <w:ind w:right="180" w:firstLine="42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（1）承包人的自行检查和评定记录文件，即除监理人同意列入缺陷责任</w:t>
      </w:r>
      <w:r>
        <w:rPr>
          <w:rFonts w:ascii="宋体" w:hAnsi="宋体" w:eastAsia="宋体" w:cs="宋体"/>
          <w:color w:val="auto"/>
          <w:spacing w:val="9"/>
          <w:sz w:val="21"/>
          <w:szCs w:val="21"/>
          <w:highlight w:val="none"/>
        </w:rPr>
        <w:t>期内完成的尾工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（甩项）工程和缺陷修补工作外， 合同范围内的全部单位工程以及有关工作， 包括合同</w:t>
      </w:r>
      <w:r>
        <w:rPr>
          <w:rFonts w:ascii="宋体" w:hAnsi="宋体" w:eastAsia="宋体" w:cs="宋体"/>
          <w:color w:val="auto"/>
          <w:spacing w:val="-4"/>
          <w:sz w:val="21"/>
          <w:szCs w:val="21"/>
          <w:highlight w:val="none"/>
        </w:rPr>
        <w:t>要求的试</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验、试运行以及检验和验收均已完成，并符合合同要求；</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（2）按专用合同条款第</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18.2（2）</w:t>
      </w:r>
      <w:r>
        <w:rPr>
          <w:rFonts w:ascii="宋体" w:hAnsi="宋体" w:eastAsia="宋体" w:cs="宋体"/>
          <w:color w:val="auto"/>
          <w:spacing w:val="-56"/>
          <w:sz w:val="21"/>
          <w:szCs w:val="21"/>
          <w:highlight w:val="none"/>
        </w:rPr>
        <w:t xml:space="preserve"> </w:t>
      </w:r>
      <w:r>
        <w:rPr>
          <w:rFonts w:ascii="宋体" w:hAnsi="宋体" w:eastAsia="宋体" w:cs="宋体"/>
          <w:color w:val="auto"/>
          <w:spacing w:val="-2"/>
          <w:sz w:val="21"/>
          <w:szCs w:val="21"/>
          <w:highlight w:val="none"/>
        </w:rPr>
        <w:t>目约定的内容和份数整理的符合要求的竣工资料；</w:t>
      </w:r>
    </w:p>
    <w:p>
      <w:pPr>
        <w:spacing w:before="110" w:line="269" w:lineRule="auto"/>
        <w:ind w:left="24" w:right="179" w:firstLine="40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（3）按监理人的要求编制了在缺陷责任期内完成的尾工（甩项）工程和缺陷修补工作清单</w:t>
      </w:r>
      <w:r>
        <w:rPr>
          <w:rFonts w:ascii="宋体" w:hAnsi="宋体" w:eastAsia="宋体" w:cs="宋体"/>
          <w:color w:val="auto"/>
          <w:spacing w:val="14"/>
          <w:sz w:val="21"/>
          <w:szCs w:val="21"/>
          <w:highlight w:val="none"/>
        </w:rPr>
        <w:t xml:space="preserve"> </w:t>
      </w:r>
      <w:r>
        <w:rPr>
          <w:rFonts w:ascii="宋体" w:hAnsi="宋体" w:eastAsia="宋体" w:cs="宋体"/>
          <w:color w:val="auto"/>
          <w:spacing w:val="-6"/>
          <w:sz w:val="21"/>
          <w:szCs w:val="21"/>
          <w:highlight w:val="none"/>
        </w:rPr>
        <w:t>以及相应施工计划；</w:t>
      </w:r>
    </w:p>
    <w:p>
      <w:pPr>
        <w:spacing w:before="107" w:line="220"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（4）监理人要求在竣工验收前应完成的其他</w:t>
      </w:r>
      <w:r>
        <w:rPr>
          <w:rFonts w:ascii="宋体" w:hAnsi="宋体" w:eastAsia="宋体" w:cs="宋体"/>
          <w:color w:val="auto"/>
          <w:spacing w:val="-2"/>
          <w:sz w:val="21"/>
          <w:szCs w:val="21"/>
          <w:highlight w:val="none"/>
        </w:rPr>
        <w:t>工作的证明材料；</w:t>
      </w:r>
    </w:p>
    <w:p>
      <w:pPr>
        <w:spacing w:before="110"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（5）监理人要求提交的竣工验收资料清单；</w:t>
      </w:r>
    </w:p>
    <w:p>
      <w:pPr>
        <w:spacing w:before="108" w:line="221" w:lineRule="auto"/>
        <w:ind w:left="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（6）通用合同条款第</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18.4.1</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项约定的单位工程竣工验收成果和结</w:t>
      </w:r>
      <w:r>
        <w:rPr>
          <w:rFonts w:ascii="宋体" w:hAnsi="宋体" w:eastAsia="宋体" w:cs="宋体"/>
          <w:color w:val="auto"/>
          <w:spacing w:val="-2"/>
          <w:sz w:val="21"/>
          <w:szCs w:val="21"/>
          <w:highlight w:val="none"/>
        </w:rPr>
        <w:t>论文件（如果有</w:t>
      </w:r>
      <w:r>
        <w:rPr>
          <w:rFonts w:ascii="宋体" w:hAnsi="宋体" w:eastAsia="宋体" w:cs="宋体"/>
          <w:color w:val="auto"/>
          <w:spacing w:val="-54"/>
          <w:w w:val="97"/>
          <w:sz w:val="21"/>
          <w:szCs w:val="21"/>
          <w:highlight w:val="none"/>
        </w:rPr>
        <w:t>）；</w:t>
      </w:r>
    </w:p>
    <w:p>
      <w:pPr>
        <w:spacing w:before="109" w:line="420" w:lineRule="exact"/>
        <w:ind w:left="427"/>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（7）专用合同条款第</w:t>
      </w:r>
      <w:r>
        <w:rPr>
          <w:rFonts w:ascii="宋体" w:hAnsi="宋体" w:eastAsia="宋体" w:cs="宋体"/>
          <w:color w:val="auto"/>
          <w:spacing w:val="-28"/>
          <w:position w:val="15"/>
          <w:sz w:val="21"/>
          <w:szCs w:val="21"/>
          <w:highlight w:val="none"/>
        </w:rPr>
        <w:t xml:space="preserve"> </w:t>
      </w:r>
      <w:r>
        <w:rPr>
          <w:rFonts w:ascii="宋体" w:hAnsi="宋体" w:eastAsia="宋体" w:cs="宋体"/>
          <w:color w:val="auto"/>
          <w:spacing w:val="-1"/>
          <w:position w:val="15"/>
          <w:sz w:val="21"/>
          <w:szCs w:val="21"/>
          <w:highlight w:val="none"/>
        </w:rPr>
        <w:t>19.7</w:t>
      </w:r>
      <w:r>
        <w:rPr>
          <w:rFonts w:ascii="宋体" w:hAnsi="宋体" w:eastAsia="宋体" w:cs="宋体"/>
          <w:color w:val="auto"/>
          <w:spacing w:val="-43"/>
          <w:position w:val="15"/>
          <w:sz w:val="21"/>
          <w:szCs w:val="21"/>
          <w:highlight w:val="none"/>
        </w:rPr>
        <w:t xml:space="preserve"> </w:t>
      </w:r>
      <w:r>
        <w:rPr>
          <w:rFonts w:ascii="宋体" w:hAnsi="宋体" w:eastAsia="宋体" w:cs="宋体"/>
          <w:color w:val="auto"/>
          <w:spacing w:val="-1"/>
          <w:position w:val="15"/>
          <w:sz w:val="21"/>
          <w:szCs w:val="21"/>
          <w:highlight w:val="none"/>
        </w:rPr>
        <w:t>款约定的质量保修书（此</w:t>
      </w:r>
      <w:r>
        <w:rPr>
          <w:rFonts w:ascii="宋体" w:hAnsi="宋体" w:eastAsia="宋体" w:cs="宋体"/>
          <w:color w:val="auto"/>
          <w:spacing w:val="-2"/>
          <w:position w:val="15"/>
          <w:sz w:val="21"/>
          <w:szCs w:val="21"/>
          <w:highlight w:val="none"/>
        </w:rPr>
        <w:t>前已经提交的不再提交</w:t>
      </w:r>
      <w:r>
        <w:rPr>
          <w:rFonts w:ascii="宋体" w:hAnsi="宋体" w:eastAsia="宋体" w:cs="宋体"/>
          <w:color w:val="auto"/>
          <w:spacing w:val="-54"/>
          <w:w w:val="97"/>
          <w:position w:val="15"/>
          <w:sz w:val="21"/>
          <w:szCs w:val="21"/>
          <w:highlight w:val="none"/>
        </w:rPr>
        <w:t>）；</w:t>
      </w:r>
    </w:p>
    <w:p>
      <w:pPr>
        <w:spacing w:before="1" w:line="221" w:lineRule="auto"/>
        <w:ind w:left="427"/>
        <w:rPr>
          <w:rFonts w:ascii="宋体" w:hAnsi="宋体" w:eastAsia="宋体" w:cs="宋体"/>
          <w:color w:val="auto"/>
          <w:sz w:val="21"/>
          <w:szCs w:val="21"/>
          <w:highlight w:val="none"/>
        </w:rPr>
      </w:pPr>
      <w:r>
        <w:rPr>
          <w:rFonts w:ascii="宋体" w:hAnsi="宋体" w:eastAsia="宋体" w:cs="宋体"/>
          <w:color w:val="auto"/>
          <w:sz w:val="21"/>
          <w:szCs w:val="21"/>
          <w:highlight w:val="none"/>
        </w:rPr>
        <w:t>（8）其他：</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spacing w:before="160" w:line="218" w:lineRule="auto"/>
        <w:ind w:left="14"/>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15.3</w:t>
      </w:r>
      <w:r>
        <w:rPr>
          <w:rFonts w:ascii="黑体" w:hAnsi="黑体" w:eastAsia="黑体" w:cs="黑体"/>
          <w:color w:val="auto"/>
          <w:spacing w:val="-49"/>
          <w:sz w:val="24"/>
          <w:szCs w:val="24"/>
          <w:highlight w:val="none"/>
        </w:rPr>
        <w:t xml:space="preserve"> </w:t>
      </w:r>
      <w:r>
        <w:rPr>
          <w:rFonts w:ascii="黑体" w:hAnsi="黑体" w:eastAsia="黑体" w:cs="黑体"/>
          <w:color w:val="auto"/>
          <w:spacing w:val="-4"/>
          <w:sz w:val="24"/>
          <w:szCs w:val="24"/>
          <w:highlight w:val="none"/>
        </w:rPr>
        <w:t>竣工清场</w:t>
      </w:r>
    </w:p>
    <w:p>
      <w:pPr>
        <w:spacing w:before="116" w:line="269" w:lineRule="auto"/>
        <w:ind w:right="177"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15.3.1监理人颁发（出具）工程接收证书后，</w:t>
      </w:r>
      <w:r>
        <w:rPr>
          <w:rFonts w:ascii="宋体" w:hAnsi="宋体" w:eastAsia="宋体" w:cs="宋体"/>
          <w:color w:val="auto"/>
          <w:spacing w:val="-22"/>
          <w:sz w:val="21"/>
          <w:szCs w:val="21"/>
          <w:highlight w:val="none"/>
        </w:rPr>
        <w:t xml:space="preserve"> </w:t>
      </w:r>
      <w:r>
        <w:rPr>
          <w:rFonts w:ascii="宋体" w:hAnsi="宋体" w:eastAsia="宋体" w:cs="宋体"/>
          <w:color w:val="auto"/>
          <w:sz w:val="21"/>
          <w:szCs w:val="21"/>
          <w:highlight w:val="none"/>
        </w:rPr>
        <w:t>承</w:t>
      </w:r>
      <w:r>
        <w:rPr>
          <w:rFonts w:ascii="宋体" w:hAnsi="宋体" w:eastAsia="宋体" w:cs="宋体"/>
          <w:color w:val="auto"/>
          <w:spacing w:val="-1"/>
          <w:sz w:val="21"/>
          <w:szCs w:val="21"/>
          <w:highlight w:val="none"/>
        </w:rPr>
        <w:t>包人应在56天内按以下要求对施工场地（现</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场）进行清理：</w:t>
      </w:r>
    </w:p>
    <w:p>
      <w:pPr>
        <w:spacing w:before="107" w:line="221" w:lineRule="auto"/>
        <w:ind w:left="4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（1）从施工场地（现场）清除所有杂物和垃圾等；</w:t>
      </w:r>
    </w:p>
    <w:p>
      <w:pPr>
        <w:spacing w:before="110" w:line="268" w:lineRule="auto"/>
        <w:ind w:left="1" w:right="186" w:firstLine="4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（2）从施工场地现场拆除所有的临时工程和临时设施并恢复地面原状，但经监理人批准的</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护坡桩、锚杆、塔吊基础和无法拆除的埋入式模板等无法拆除的临时设施除外；</w:t>
      </w:r>
    </w:p>
    <w:p>
      <w:pPr>
        <w:spacing w:before="110" w:line="269" w:lineRule="auto"/>
        <w:ind w:left="5" w:right="182" w:firstLine="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（3）撤离所有承包人施工设备和剩余材料（经监理人同意需在缺陷责任期内继续使用的除</w:t>
      </w:r>
      <w:r>
        <w:rPr>
          <w:rFonts w:ascii="宋体" w:hAnsi="宋体" w:eastAsia="宋体" w:cs="宋体"/>
          <w:color w:val="auto"/>
          <w:spacing w:val="12"/>
          <w:sz w:val="21"/>
          <w:szCs w:val="21"/>
          <w:highlight w:val="none"/>
        </w:rPr>
        <w:t xml:space="preserve"> </w:t>
      </w:r>
      <w:r>
        <w:rPr>
          <w:rFonts w:ascii="宋体" w:hAnsi="宋体" w:eastAsia="宋体" w:cs="宋体"/>
          <w:color w:val="auto"/>
          <w:spacing w:val="-12"/>
          <w:sz w:val="21"/>
          <w:szCs w:val="21"/>
          <w:highlight w:val="none"/>
        </w:rPr>
        <w:t>外</w:t>
      </w:r>
      <w:r>
        <w:rPr>
          <w:rFonts w:ascii="宋体" w:hAnsi="宋体" w:eastAsia="宋体" w:cs="宋体"/>
          <w:color w:val="auto"/>
          <w:spacing w:val="-54"/>
          <w:w w:val="97"/>
          <w:sz w:val="21"/>
          <w:szCs w:val="21"/>
          <w:highlight w:val="none"/>
        </w:rPr>
        <w:t>）；</w:t>
      </w:r>
    </w:p>
    <w:p>
      <w:pPr>
        <w:spacing w:before="108" w:line="334" w:lineRule="exact"/>
        <w:ind w:left="427"/>
        <w:rPr>
          <w:rFonts w:ascii="宋体" w:hAnsi="宋体" w:eastAsia="宋体" w:cs="宋体"/>
          <w:color w:val="auto"/>
          <w:sz w:val="21"/>
          <w:szCs w:val="21"/>
          <w:highlight w:val="none"/>
        </w:rPr>
      </w:pPr>
      <w:r>
        <w:rPr>
          <w:rFonts w:ascii="宋体" w:hAnsi="宋体" w:eastAsia="宋体" w:cs="宋体"/>
          <w:color w:val="auto"/>
          <w:spacing w:val="-1"/>
          <w:position w:val="9"/>
          <w:sz w:val="21"/>
          <w:szCs w:val="21"/>
          <w:highlight w:val="none"/>
        </w:rPr>
        <w:t>（4）监理人指示的其他清场工作。</w:t>
      </w:r>
    </w:p>
    <w:p>
      <w:pPr>
        <w:spacing w:before="108" w:line="334" w:lineRule="exact"/>
        <w:ind w:left="427"/>
        <w:rPr>
          <w:rFonts w:ascii="黑体" w:hAnsi="黑体" w:eastAsia="黑体" w:cs="黑体"/>
          <w:color w:val="auto"/>
          <w:spacing w:val="-5"/>
          <w:sz w:val="28"/>
          <w:szCs w:val="28"/>
          <w:highlight w:val="none"/>
        </w:rPr>
      </w:pPr>
      <w:r>
        <w:rPr>
          <w:rFonts w:ascii="Times New Roman" w:hAnsi="Times New Roman" w:eastAsia="Times New Roman" w:cs="Times New Roman"/>
          <w:color w:val="auto"/>
          <w:spacing w:val="-5"/>
          <w:sz w:val="28"/>
          <w:szCs w:val="28"/>
          <w:highlight w:val="none"/>
        </w:rPr>
        <w:t>16.</w:t>
      </w:r>
      <w:r>
        <w:rPr>
          <w:rFonts w:ascii="黑体" w:hAnsi="黑体" w:eastAsia="黑体" w:cs="黑体"/>
          <w:color w:val="auto"/>
          <w:spacing w:val="-5"/>
          <w:sz w:val="28"/>
          <w:szCs w:val="28"/>
          <w:highlight w:val="none"/>
        </w:rPr>
        <w:t>其他要求</w:t>
      </w:r>
    </w:p>
    <w:p>
      <w:pPr>
        <w:spacing w:before="108" w:line="334" w:lineRule="exact"/>
        <w:ind w:left="427"/>
        <w:rPr>
          <w:rFonts w:ascii="宋体" w:hAnsi="宋体" w:eastAsia="宋体" w:cs="宋体"/>
          <w:color w:val="auto"/>
          <w:spacing w:val="-1"/>
          <w:position w:val="9"/>
          <w:sz w:val="21"/>
          <w:szCs w:val="21"/>
          <w:highlight w:val="none"/>
        </w:rPr>
      </w:pPr>
      <w:r>
        <w:rPr>
          <w:rFonts w:hint="eastAsia" w:ascii="宋体" w:hAnsi="宋体" w:eastAsia="宋体" w:cs="宋体"/>
          <w:color w:val="auto"/>
          <w:spacing w:val="-1"/>
          <w:position w:val="9"/>
          <w:sz w:val="21"/>
          <w:szCs w:val="21"/>
          <w:highlight w:val="none"/>
          <w:lang w:val="en-US" w:eastAsia="zh-CN"/>
        </w:rPr>
        <w:t>16.1</w:t>
      </w:r>
      <w:r>
        <w:rPr>
          <w:rFonts w:ascii="宋体" w:hAnsi="宋体" w:eastAsia="宋体" w:cs="宋体"/>
          <w:color w:val="auto"/>
          <w:spacing w:val="-1"/>
          <w:position w:val="9"/>
          <w:sz w:val="21"/>
          <w:szCs w:val="21"/>
          <w:highlight w:val="none"/>
        </w:rPr>
        <w:t>工程承包范围和说明</w:t>
      </w:r>
    </w:p>
    <w:p>
      <w:pPr>
        <w:spacing w:before="108" w:line="334" w:lineRule="exact"/>
        <w:ind w:left="427"/>
        <w:rPr>
          <w:rFonts w:hint="eastAsia" w:ascii="宋体" w:hAnsi="宋体" w:eastAsia="宋体" w:cs="宋体"/>
          <w:color w:val="auto"/>
          <w:spacing w:val="-1"/>
          <w:position w:val="9"/>
          <w:sz w:val="21"/>
          <w:szCs w:val="21"/>
          <w:highlight w:val="none"/>
        </w:rPr>
      </w:pPr>
      <w:r>
        <w:rPr>
          <w:rFonts w:hint="eastAsia" w:ascii="宋体" w:hAnsi="宋体" w:eastAsia="宋体" w:cs="宋体"/>
          <w:color w:val="auto"/>
          <w:spacing w:val="-1"/>
          <w:position w:val="9"/>
          <w:sz w:val="21"/>
          <w:szCs w:val="21"/>
          <w:highlight w:val="none"/>
          <w:lang w:val="en-US" w:eastAsia="zh-CN"/>
        </w:rPr>
        <w:t>（1）</w:t>
      </w:r>
      <w:r>
        <w:rPr>
          <w:rFonts w:hint="eastAsia" w:ascii="宋体" w:hAnsi="宋体" w:eastAsia="宋体" w:cs="宋体"/>
          <w:color w:val="auto"/>
          <w:spacing w:val="-1"/>
          <w:position w:val="9"/>
          <w:sz w:val="21"/>
          <w:szCs w:val="21"/>
          <w:highlight w:val="none"/>
        </w:rPr>
        <w:t>以下给出的工程承包范围和说明描述只是概括的，不应认为是全面的、无缺的，承包人应研究其它文件，完全了解工程的实际范围；</w:t>
      </w:r>
    </w:p>
    <w:p>
      <w:pPr>
        <w:spacing w:before="108" w:line="334" w:lineRule="exact"/>
        <w:ind w:left="427"/>
        <w:rPr>
          <w:rFonts w:hint="eastAsia" w:ascii="宋体" w:hAnsi="宋体" w:eastAsia="宋体" w:cs="宋体"/>
          <w:color w:val="auto"/>
          <w:spacing w:val="-1"/>
          <w:position w:val="9"/>
          <w:sz w:val="21"/>
          <w:szCs w:val="21"/>
          <w:highlight w:val="none"/>
        </w:rPr>
      </w:pPr>
      <w:r>
        <w:rPr>
          <w:rFonts w:hint="eastAsia" w:ascii="宋体" w:hAnsi="宋体" w:eastAsia="宋体" w:cs="宋体"/>
          <w:color w:val="auto"/>
          <w:spacing w:val="-1"/>
          <w:position w:val="9"/>
          <w:sz w:val="21"/>
          <w:szCs w:val="21"/>
          <w:highlight w:val="none"/>
          <w:lang w:val="en-US" w:eastAsia="zh-CN"/>
        </w:rPr>
        <w:t>（2）</w:t>
      </w:r>
      <w:r>
        <w:rPr>
          <w:rFonts w:hint="eastAsia" w:ascii="宋体" w:hAnsi="宋体" w:eastAsia="宋体" w:cs="宋体"/>
          <w:color w:val="auto"/>
          <w:spacing w:val="-1"/>
          <w:position w:val="9"/>
          <w:sz w:val="21"/>
          <w:szCs w:val="21"/>
          <w:highlight w:val="none"/>
        </w:rPr>
        <w:t>承包人被认为已详细阅读过构成本工程合同文件的其它有关文件和了解工程的内容；</w:t>
      </w:r>
    </w:p>
    <w:p>
      <w:pPr>
        <w:spacing w:before="108" w:line="334" w:lineRule="exact"/>
        <w:ind w:left="427"/>
        <w:rPr>
          <w:rFonts w:hint="eastAsia" w:ascii="宋体" w:hAnsi="宋体" w:eastAsia="宋体" w:cs="宋体"/>
          <w:color w:val="auto"/>
          <w:spacing w:val="-1"/>
          <w:position w:val="9"/>
          <w:sz w:val="21"/>
          <w:szCs w:val="21"/>
          <w:highlight w:val="none"/>
        </w:rPr>
      </w:pPr>
      <w:r>
        <w:rPr>
          <w:rFonts w:hint="eastAsia" w:ascii="宋体" w:hAnsi="宋体" w:eastAsia="宋体" w:cs="宋体"/>
          <w:color w:val="auto"/>
          <w:spacing w:val="-1"/>
          <w:position w:val="9"/>
          <w:sz w:val="21"/>
          <w:szCs w:val="21"/>
          <w:highlight w:val="none"/>
          <w:lang w:eastAsia="zh-CN"/>
        </w:rPr>
        <w:t>（</w:t>
      </w:r>
      <w:r>
        <w:rPr>
          <w:rFonts w:hint="eastAsia" w:ascii="宋体" w:hAnsi="宋体" w:eastAsia="宋体" w:cs="宋体"/>
          <w:color w:val="auto"/>
          <w:spacing w:val="-1"/>
          <w:position w:val="9"/>
          <w:sz w:val="21"/>
          <w:szCs w:val="21"/>
          <w:highlight w:val="none"/>
          <w:lang w:val="en-US" w:eastAsia="zh-CN"/>
        </w:rPr>
        <w:t>3</w:t>
      </w:r>
      <w:r>
        <w:rPr>
          <w:rFonts w:hint="eastAsia" w:ascii="宋体" w:hAnsi="宋体" w:eastAsia="宋体" w:cs="宋体"/>
          <w:color w:val="auto"/>
          <w:spacing w:val="-1"/>
          <w:position w:val="9"/>
          <w:sz w:val="21"/>
          <w:szCs w:val="21"/>
          <w:highlight w:val="none"/>
          <w:lang w:eastAsia="zh-CN"/>
        </w:rPr>
        <w:t>）</w:t>
      </w:r>
      <w:r>
        <w:rPr>
          <w:rFonts w:hint="eastAsia" w:ascii="宋体" w:hAnsi="宋体" w:eastAsia="宋体" w:cs="宋体"/>
          <w:color w:val="auto"/>
          <w:spacing w:val="-1"/>
          <w:position w:val="9"/>
          <w:sz w:val="21"/>
          <w:szCs w:val="21"/>
          <w:highlight w:val="none"/>
        </w:rPr>
        <w:t>本工程承包方式为：包工包料，所采购材料必须经招标人认可并经监理单位认证后方可采购和使用。</w:t>
      </w:r>
    </w:p>
    <w:p>
      <w:pPr>
        <w:spacing w:before="108" w:line="334" w:lineRule="exact"/>
        <w:ind w:left="427"/>
        <w:rPr>
          <w:rFonts w:hint="eastAsia" w:ascii="宋体" w:hAnsi="宋体" w:eastAsia="宋体" w:cs="宋体"/>
          <w:color w:val="auto"/>
          <w:spacing w:val="-1"/>
          <w:position w:val="9"/>
          <w:sz w:val="21"/>
          <w:szCs w:val="21"/>
          <w:highlight w:val="none"/>
        </w:rPr>
      </w:pPr>
      <w:r>
        <w:rPr>
          <w:rFonts w:hint="eastAsia" w:ascii="宋体" w:hAnsi="宋体" w:eastAsia="宋体" w:cs="宋体"/>
          <w:color w:val="auto"/>
          <w:spacing w:val="-1"/>
          <w:position w:val="9"/>
          <w:sz w:val="21"/>
          <w:szCs w:val="21"/>
          <w:highlight w:val="none"/>
          <w:lang w:eastAsia="zh-CN"/>
        </w:rPr>
        <w:t>（</w:t>
      </w:r>
      <w:r>
        <w:rPr>
          <w:rFonts w:hint="eastAsia" w:ascii="宋体" w:hAnsi="宋体" w:eastAsia="宋体" w:cs="宋体"/>
          <w:color w:val="auto"/>
          <w:spacing w:val="-1"/>
          <w:position w:val="9"/>
          <w:sz w:val="21"/>
          <w:szCs w:val="21"/>
          <w:highlight w:val="none"/>
          <w:lang w:val="en-US" w:eastAsia="zh-CN"/>
        </w:rPr>
        <w:t>4</w:t>
      </w:r>
      <w:r>
        <w:rPr>
          <w:rFonts w:hint="eastAsia" w:ascii="宋体" w:hAnsi="宋体" w:eastAsia="宋体" w:cs="宋体"/>
          <w:color w:val="auto"/>
          <w:spacing w:val="-1"/>
          <w:position w:val="9"/>
          <w:sz w:val="21"/>
          <w:szCs w:val="21"/>
          <w:highlight w:val="none"/>
          <w:lang w:eastAsia="zh-CN"/>
        </w:rPr>
        <w:t>）</w:t>
      </w:r>
      <w:r>
        <w:rPr>
          <w:rFonts w:hint="eastAsia" w:ascii="宋体" w:hAnsi="宋体" w:eastAsia="宋体" w:cs="宋体"/>
          <w:color w:val="auto"/>
          <w:spacing w:val="-1"/>
          <w:position w:val="9"/>
          <w:sz w:val="21"/>
          <w:szCs w:val="21"/>
          <w:highlight w:val="none"/>
        </w:rPr>
        <w:t>质量要求：合格（达到《高标准农田建设通则》(GB/T20600-2014）、项目规划设计及图纸要求。）</w:t>
      </w:r>
    </w:p>
    <w:p>
      <w:pPr>
        <w:spacing w:before="108" w:line="334" w:lineRule="exact"/>
        <w:ind w:left="427"/>
        <w:rPr>
          <w:color w:val="auto"/>
          <w:highlight w:val="none"/>
        </w:rPr>
      </w:pPr>
      <w:r>
        <w:rPr>
          <w:rFonts w:hint="eastAsia" w:ascii="宋体" w:hAnsi="宋体" w:eastAsia="宋体" w:cs="宋体"/>
          <w:color w:val="auto"/>
          <w:spacing w:val="-1"/>
          <w:position w:val="9"/>
          <w:sz w:val="21"/>
          <w:szCs w:val="21"/>
          <w:highlight w:val="none"/>
          <w:lang w:val="en-US" w:eastAsia="zh-CN"/>
        </w:rPr>
        <w:t>16.2</w:t>
      </w:r>
      <w:r>
        <w:rPr>
          <w:rFonts w:hint="eastAsia" w:ascii="宋体" w:hAnsi="宋体" w:eastAsia="宋体" w:cs="宋体"/>
          <w:color w:val="auto"/>
          <w:spacing w:val="-1"/>
          <w:position w:val="9"/>
          <w:sz w:val="21"/>
          <w:szCs w:val="21"/>
          <w:highlight w:val="none"/>
        </w:rPr>
        <w:t>现场施工组织应充</w:t>
      </w:r>
      <w:r>
        <w:rPr>
          <w:rFonts w:ascii="宋体" w:hAnsi="宋体" w:eastAsia="宋体" w:cs="宋体"/>
          <w:color w:val="auto"/>
          <w:spacing w:val="-1"/>
          <w:position w:val="9"/>
          <w:sz w:val="21"/>
          <w:szCs w:val="21"/>
          <w:highlight w:val="none"/>
        </w:rPr>
        <w:t>分，在人员活动、材料堆放、施工时间安排上，按有关规定要</w:t>
      </w:r>
      <w:r>
        <w:rPr>
          <w:rFonts w:hint="eastAsia" w:ascii="宋体" w:hAnsi="宋体" w:eastAsia="宋体" w:cs="宋体"/>
          <w:color w:val="auto"/>
          <w:spacing w:val="-1"/>
          <w:position w:val="9"/>
          <w:sz w:val="21"/>
          <w:szCs w:val="21"/>
          <w:highlight w:val="none"/>
        </w:rPr>
        <w:t>求安排计划。</w:t>
      </w:r>
    </w:p>
    <w:p>
      <w:pPr>
        <w:spacing w:before="69" w:line="46" w:lineRule="exact"/>
        <w:ind w:left="8211"/>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584200</wp:posOffset>
                </wp:positionH>
                <wp:positionV relativeFrom="paragraph">
                  <wp:posOffset>-43180</wp:posOffset>
                </wp:positionV>
                <wp:extent cx="4624705" cy="1790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624705" cy="179070"/>
                        </a:xfrm>
                        <a:prstGeom prst="rect">
                          <a:avLst/>
                        </a:prstGeom>
                        <a:noFill/>
                        <a:ln>
                          <a:noFill/>
                        </a:ln>
                      </wps:spPr>
                      <wps:txbx>
                        <w:txbxContent>
                          <w:p>
                            <w:pPr>
                              <w:pStyle w:val="2"/>
                              <w:tabs>
                                <w:tab w:val="left" w:pos="7262"/>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46pt;margin-top:-3.4pt;height:14.1pt;width:364.15pt;z-index:251679744;mso-width-relative:page;mso-height-relative:page;" filled="f" stroked="f" coordsize="21600,21600" o:gfxdata="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dXG1DYAAAACAEAAA8AAAAAAAAAAQAgAAAAIgAAAGRycy9kb3ducmV2LnhtbFBL&#10;AQIUABQAAAAIAIdO4kAECwfCvQEAAHQDAAAOAAAAAAAAAAEAIAAAACcBAABkcnMvZTJvRG9jLnht&#10;bFBLBQYAAAAABgAGAFkBAABWBQAAAAA=&#10;">
                <v:fill on="f" focussize="0,0"/>
                <v:stroke on="f"/>
                <v:imagedata o:title=""/>
                <o:lock v:ext="edit" aspectratio="f"/>
                <v:textbox inset="0mm,0mm,0mm,0mm">
                  <w:txbxContent>
                    <w:p>
                      <w:pPr>
                        <w:pStyle w:val="2"/>
                        <w:tabs>
                          <w:tab w:val="left" w:pos="7262"/>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line="46" w:lineRule="exact"/>
        <w:rPr>
          <w:rFonts w:ascii="宋体" w:hAnsi="宋体" w:eastAsia="宋体" w:cs="宋体"/>
          <w:color w:val="auto"/>
          <w:sz w:val="21"/>
          <w:szCs w:val="21"/>
          <w:highlight w:val="none"/>
        </w:rPr>
        <w:sectPr>
          <w:footerReference r:id="rId126" w:type="default"/>
          <w:pgSz w:w="11907" w:h="16841"/>
          <w:pgMar w:top="400" w:right="1347" w:bottom="1143" w:left="1481" w:header="0" w:footer="969" w:gutter="0"/>
          <w:pgNumType w:fmt="numberInDash"/>
          <w:cols w:space="720" w:num="1"/>
        </w:sectPr>
      </w:pP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6" w:lineRule="auto"/>
        <w:rPr>
          <w:color w:val="auto"/>
          <w:highlight w:val="none"/>
        </w:rPr>
      </w:pPr>
    </w:p>
    <w:p>
      <w:pPr>
        <w:pStyle w:val="2"/>
        <w:spacing w:line="257" w:lineRule="auto"/>
        <w:rPr>
          <w:color w:val="auto"/>
          <w:highlight w:val="none"/>
        </w:rPr>
      </w:pPr>
    </w:p>
    <w:p>
      <w:pPr>
        <w:spacing w:before="91" w:line="219" w:lineRule="auto"/>
        <w:ind w:left="2641"/>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第二节  特殊技术标准和要求</w:t>
      </w:r>
    </w:p>
    <w:p>
      <w:pPr>
        <w:pStyle w:val="2"/>
        <w:spacing w:line="473" w:lineRule="auto"/>
        <w:rPr>
          <w:color w:val="auto"/>
          <w:highlight w:val="none"/>
        </w:rPr>
      </w:pPr>
    </w:p>
    <w:p>
      <w:pPr>
        <w:spacing w:before="91" w:line="219" w:lineRule="auto"/>
        <w:ind w:left="32"/>
        <w:rPr>
          <w:rFonts w:ascii="黑体" w:hAnsi="黑体" w:eastAsia="黑体" w:cs="黑体"/>
          <w:color w:val="auto"/>
          <w:sz w:val="28"/>
          <w:szCs w:val="28"/>
          <w:highlight w:val="none"/>
        </w:rPr>
      </w:pPr>
      <w:r>
        <w:rPr>
          <w:rFonts w:ascii="Times New Roman" w:hAnsi="Times New Roman" w:eastAsia="Times New Roman" w:cs="Times New Roman"/>
          <w:color w:val="auto"/>
          <w:spacing w:val="-6"/>
          <w:sz w:val="28"/>
          <w:szCs w:val="28"/>
          <w:highlight w:val="none"/>
        </w:rPr>
        <w:t>1</w:t>
      </w:r>
      <w:r>
        <w:rPr>
          <w:rFonts w:ascii="Times New Roman" w:hAnsi="Times New Roman" w:eastAsia="Times New Roman" w:cs="Times New Roman"/>
          <w:color w:val="auto"/>
          <w:spacing w:val="-23"/>
          <w:sz w:val="28"/>
          <w:szCs w:val="28"/>
          <w:highlight w:val="none"/>
        </w:rPr>
        <w:t xml:space="preserve"> </w:t>
      </w:r>
      <w:r>
        <w:rPr>
          <w:rFonts w:ascii="黑体" w:hAnsi="黑体" w:eastAsia="黑体" w:cs="黑体"/>
          <w:color w:val="auto"/>
          <w:spacing w:val="-6"/>
          <w:sz w:val="28"/>
          <w:szCs w:val="28"/>
          <w:highlight w:val="none"/>
        </w:rPr>
        <w:t>．材料和工程设备技术要求</w:t>
      </w:r>
    </w:p>
    <w:p>
      <w:pPr>
        <w:spacing w:before="206" w:line="220"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承包人自行施工范围内的部分材料和工程设备技术要求如下：</w:t>
      </w:r>
    </w:p>
    <w:p>
      <w:pPr>
        <w:pStyle w:val="2"/>
        <w:spacing w:line="359" w:lineRule="auto"/>
        <w:rPr>
          <w:color w:val="auto"/>
          <w:highlight w:val="none"/>
        </w:rPr>
      </w:pPr>
    </w:p>
    <w:p>
      <w:pPr>
        <w:tabs>
          <w:tab w:val="left" w:pos="7455"/>
        </w:tabs>
        <w:spacing w:before="26" w:line="159" w:lineRule="auto"/>
        <w:ind w:left="947"/>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295" w:line="440" w:lineRule="auto"/>
        <w:ind w:left="9" w:firstLine="42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上述材料和工程设备技术要求中如果出现了参考品牌或规格型号，</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其目的是为</w:t>
      </w:r>
      <w:r>
        <w:rPr>
          <w:rFonts w:ascii="宋体" w:hAnsi="宋体" w:eastAsia="宋体" w:cs="宋体"/>
          <w:color w:val="auto"/>
          <w:spacing w:val="-3"/>
          <w:sz w:val="21"/>
          <w:szCs w:val="21"/>
          <w:highlight w:val="none"/>
        </w:rPr>
        <w:t>了方便承包人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直观和准确地把握相应材料和工程设备的技术标</w:t>
      </w:r>
      <w:r>
        <w:rPr>
          <w:rFonts w:ascii="宋体" w:hAnsi="宋体" w:eastAsia="宋体" w:cs="宋体"/>
          <w:color w:val="auto"/>
          <w:spacing w:val="-3"/>
          <w:sz w:val="21"/>
          <w:szCs w:val="21"/>
          <w:highlight w:val="none"/>
        </w:rPr>
        <w:t>准，不具指定或唯一的意思表示， 承包人应当参</w:t>
      </w:r>
    </w:p>
    <w:p>
      <w:pPr>
        <w:spacing w:before="1" w:line="219" w:lineRule="auto"/>
        <w:ind w:left="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考所列品牌的材料和工程设备， 采购相当于或高于所列品牌技术标准的材料和工程设备。</w:t>
      </w:r>
    </w:p>
    <w:p>
      <w:pPr>
        <w:spacing w:before="249"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1.2</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承包人自行施工范围内的材料和工程设备选型允许的偏离如下：</w:t>
      </w:r>
    </w:p>
    <w:p>
      <w:pPr>
        <w:spacing w:line="30" w:lineRule="exact"/>
        <w:rPr>
          <w:color w:val="auto"/>
          <w:highlight w:val="none"/>
        </w:rPr>
      </w:pPr>
    </w:p>
    <w:tbl>
      <w:tblPr>
        <w:tblStyle w:val="9"/>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2118"/>
        <w:gridCol w:w="1744"/>
        <w:gridCol w:w="1744"/>
        <w:gridCol w:w="17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9" w:hRule="atLeast"/>
        </w:trPr>
        <w:tc>
          <w:tcPr>
            <w:tcW w:w="1372" w:type="dxa"/>
            <w:vAlign w:val="top"/>
          </w:tcPr>
          <w:p>
            <w:pPr>
              <w:spacing w:line="254" w:lineRule="auto"/>
              <w:rPr>
                <w:rFonts w:ascii="Arial"/>
                <w:color w:val="auto"/>
                <w:sz w:val="21"/>
                <w:highlight w:val="none"/>
              </w:rPr>
            </w:pPr>
          </w:p>
          <w:p>
            <w:pPr>
              <w:pStyle w:val="10"/>
              <w:spacing w:before="69" w:line="222" w:lineRule="auto"/>
              <w:ind w:left="479"/>
              <w:rPr>
                <w:color w:val="auto"/>
                <w:highlight w:val="none"/>
              </w:rPr>
            </w:pPr>
            <w:r>
              <w:rPr>
                <w:color w:val="auto"/>
                <w:spacing w:val="-2"/>
                <w:highlight w:val="none"/>
              </w:rPr>
              <w:t>序号</w:t>
            </w:r>
          </w:p>
        </w:tc>
        <w:tc>
          <w:tcPr>
            <w:tcW w:w="2118" w:type="dxa"/>
            <w:vAlign w:val="top"/>
          </w:tcPr>
          <w:p>
            <w:pPr>
              <w:pStyle w:val="10"/>
              <w:spacing w:before="187" w:line="232" w:lineRule="auto"/>
              <w:ind w:left="855" w:right="319" w:hanging="528"/>
              <w:rPr>
                <w:color w:val="auto"/>
                <w:highlight w:val="none"/>
              </w:rPr>
            </w:pPr>
            <w:r>
              <w:rPr>
                <w:color w:val="auto"/>
                <w:spacing w:val="-1"/>
                <w:highlight w:val="none"/>
              </w:rPr>
              <w:t>材料和工程设备</w:t>
            </w:r>
            <w:r>
              <w:rPr>
                <w:color w:val="auto"/>
                <w:spacing w:val="1"/>
                <w:highlight w:val="none"/>
              </w:rPr>
              <w:t xml:space="preserve"> </w:t>
            </w:r>
            <w:r>
              <w:rPr>
                <w:color w:val="auto"/>
                <w:spacing w:val="-3"/>
                <w:highlight w:val="none"/>
              </w:rPr>
              <w:t>名称</w:t>
            </w:r>
          </w:p>
        </w:tc>
        <w:tc>
          <w:tcPr>
            <w:tcW w:w="1744" w:type="dxa"/>
            <w:vAlign w:val="top"/>
          </w:tcPr>
          <w:p>
            <w:pPr>
              <w:spacing w:line="254" w:lineRule="auto"/>
              <w:rPr>
                <w:rFonts w:ascii="Arial"/>
                <w:color w:val="auto"/>
                <w:sz w:val="21"/>
                <w:highlight w:val="none"/>
              </w:rPr>
            </w:pPr>
          </w:p>
          <w:p>
            <w:pPr>
              <w:pStyle w:val="10"/>
              <w:spacing w:before="68" w:line="221" w:lineRule="auto"/>
              <w:ind w:left="460"/>
              <w:rPr>
                <w:color w:val="auto"/>
                <w:highlight w:val="none"/>
              </w:rPr>
            </w:pPr>
            <w:r>
              <w:rPr>
                <w:color w:val="auto"/>
                <w:spacing w:val="-2"/>
                <w:highlight w:val="none"/>
              </w:rPr>
              <w:t>技术指标</w:t>
            </w:r>
          </w:p>
        </w:tc>
        <w:tc>
          <w:tcPr>
            <w:tcW w:w="1744" w:type="dxa"/>
            <w:vAlign w:val="top"/>
          </w:tcPr>
          <w:p>
            <w:pPr>
              <w:spacing w:line="254" w:lineRule="auto"/>
              <w:rPr>
                <w:rFonts w:ascii="Arial"/>
                <w:color w:val="auto"/>
                <w:sz w:val="21"/>
                <w:highlight w:val="none"/>
              </w:rPr>
            </w:pPr>
          </w:p>
          <w:p>
            <w:pPr>
              <w:pStyle w:val="10"/>
              <w:spacing w:before="68" w:line="221" w:lineRule="auto"/>
              <w:ind w:left="256"/>
              <w:rPr>
                <w:color w:val="auto"/>
                <w:highlight w:val="none"/>
              </w:rPr>
            </w:pPr>
            <w:r>
              <w:rPr>
                <w:color w:val="auto"/>
                <w:spacing w:val="-2"/>
                <w:highlight w:val="none"/>
              </w:rPr>
              <w:t>允许偏离范围</w:t>
            </w:r>
          </w:p>
        </w:tc>
        <w:tc>
          <w:tcPr>
            <w:tcW w:w="1747" w:type="dxa"/>
            <w:vAlign w:val="top"/>
          </w:tcPr>
          <w:p>
            <w:pPr>
              <w:spacing w:line="254" w:lineRule="auto"/>
              <w:rPr>
                <w:rFonts w:ascii="Arial"/>
                <w:color w:val="auto"/>
                <w:sz w:val="21"/>
                <w:highlight w:val="none"/>
              </w:rPr>
            </w:pPr>
          </w:p>
          <w:p>
            <w:pPr>
              <w:pStyle w:val="10"/>
              <w:spacing w:before="69" w:line="222" w:lineRule="auto"/>
              <w:ind w:left="462"/>
              <w:rPr>
                <w:color w:val="auto"/>
                <w:highlight w:val="none"/>
              </w:rPr>
            </w:pPr>
            <w:r>
              <w:rPr>
                <w:color w:val="auto"/>
                <w:spacing w:val="-5"/>
                <w:highlight w:val="none"/>
              </w:rPr>
              <w:t>备</w:t>
            </w:r>
            <w:r>
              <w:rPr>
                <w:color w:val="auto"/>
                <w:spacing w:val="2"/>
                <w:highlight w:val="none"/>
              </w:rPr>
              <w:t xml:space="preserve">    </w:t>
            </w:r>
            <w:r>
              <w:rPr>
                <w:color w:val="auto"/>
                <w:spacing w:val="-5"/>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72" w:type="dxa"/>
            <w:vAlign w:val="top"/>
          </w:tcPr>
          <w:p>
            <w:pPr>
              <w:pStyle w:val="10"/>
              <w:spacing w:before="99" w:line="183" w:lineRule="auto"/>
              <w:ind w:left="654"/>
              <w:rPr>
                <w:color w:val="auto"/>
                <w:highlight w:val="none"/>
              </w:rPr>
            </w:pPr>
            <w:r>
              <w:rPr>
                <w:color w:val="auto"/>
                <w:highlight w:val="none"/>
              </w:rPr>
              <w:t>1</w:t>
            </w:r>
          </w:p>
        </w:tc>
        <w:tc>
          <w:tcPr>
            <w:tcW w:w="2118"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72" w:type="dxa"/>
            <w:vAlign w:val="top"/>
          </w:tcPr>
          <w:p>
            <w:pPr>
              <w:pStyle w:val="10"/>
              <w:spacing w:before="101" w:line="182" w:lineRule="auto"/>
              <w:ind w:left="641"/>
              <w:rPr>
                <w:color w:val="auto"/>
                <w:highlight w:val="none"/>
              </w:rPr>
            </w:pPr>
            <w:r>
              <w:rPr>
                <w:color w:val="auto"/>
                <w:highlight w:val="none"/>
              </w:rPr>
              <w:t>2</w:t>
            </w:r>
          </w:p>
        </w:tc>
        <w:tc>
          <w:tcPr>
            <w:tcW w:w="2118"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72" w:type="dxa"/>
            <w:vAlign w:val="top"/>
          </w:tcPr>
          <w:p>
            <w:pPr>
              <w:pStyle w:val="10"/>
              <w:spacing w:before="66" w:line="236" w:lineRule="auto"/>
              <w:ind w:left="494"/>
              <w:rPr>
                <w:color w:val="auto"/>
                <w:highlight w:val="none"/>
              </w:rPr>
            </w:pPr>
            <w:r>
              <w:rPr>
                <w:color w:val="auto"/>
                <w:spacing w:val="-5"/>
                <w:highlight w:val="none"/>
              </w:rPr>
              <w:t>……</w:t>
            </w:r>
          </w:p>
        </w:tc>
        <w:tc>
          <w:tcPr>
            <w:tcW w:w="2118"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7"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72" w:type="dxa"/>
            <w:vAlign w:val="top"/>
          </w:tcPr>
          <w:p>
            <w:pPr>
              <w:rPr>
                <w:rFonts w:ascii="Arial"/>
                <w:color w:val="auto"/>
                <w:sz w:val="21"/>
                <w:highlight w:val="none"/>
              </w:rPr>
            </w:pPr>
          </w:p>
        </w:tc>
        <w:tc>
          <w:tcPr>
            <w:tcW w:w="2118"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4" w:type="dxa"/>
            <w:vAlign w:val="top"/>
          </w:tcPr>
          <w:p>
            <w:pPr>
              <w:rPr>
                <w:rFonts w:ascii="Arial"/>
                <w:color w:val="auto"/>
                <w:sz w:val="21"/>
                <w:highlight w:val="none"/>
              </w:rPr>
            </w:pPr>
          </w:p>
        </w:tc>
        <w:tc>
          <w:tcPr>
            <w:tcW w:w="1747" w:type="dxa"/>
            <w:vAlign w:val="top"/>
          </w:tcPr>
          <w:p>
            <w:pPr>
              <w:rPr>
                <w:rFonts w:ascii="Arial"/>
                <w:color w:val="auto"/>
                <w:sz w:val="21"/>
                <w:highlight w:val="none"/>
              </w:rPr>
            </w:pPr>
          </w:p>
        </w:tc>
      </w:tr>
    </w:tbl>
    <w:p>
      <w:pPr>
        <w:spacing w:before="219"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1.3 本工程施工现场所用混凝土或砂浆的供应方式为</w:t>
      </w:r>
      <w:r>
        <w:rPr>
          <w:rFonts w:ascii="宋体" w:hAnsi="宋体" w:eastAsia="宋体" w:cs="宋体"/>
          <w:color w:val="auto"/>
          <w:spacing w:val="-9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w:t>
      </w:r>
    </w:p>
    <w:p>
      <w:pPr>
        <w:pStyle w:val="2"/>
        <w:spacing w:line="257" w:lineRule="auto"/>
        <w:rPr>
          <w:color w:val="auto"/>
          <w:highlight w:val="none"/>
        </w:rPr>
      </w:pPr>
    </w:p>
    <w:p>
      <w:pPr>
        <w:pStyle w:val="2"/>
        <w:spacing w:line="258" w:lineRule="auto"/>
        <w:rPr>
          <w:color w:val="auto"/>
          <w:highlight w:val="none"/>
        </w:rPr>
      </w:pPr>
    </w:p>
    <w:p>
      <w:pPr>
        <w:spacing w:before="92" w:line="219" w:lineRule="auto"/>
        <w:ind w:left="5"/>
        <w:rPr>
          <w:rFonts w:ascii="黑体" w:hAnsi="黑体" w:eastAsia="黑体" w:cs="黑体"/>
          <w:color w:val="auto"/>
          <w:sz w:val="28"/>
          <w:szCs w:val="28"/>
          <w:highlight w:val="none"/>
        </w:rPr>
      </w:pPr>
      <w:r>
        <w:rPr>
          <w:rFonts w:ascii="Times New Roman" w:hAnsi="Times New Roman" w:eastAsia="Times New Roman" w:cs="Times New Roman"/>
          <w:color w:val="auto"/>
          <w:spacing w:val="-6"/>
          <w:sz w:val="28"/>
          <w:szCs w:val="28"/>
          <w:highlight w:val="none"/>
        </w:rPr>
        <w:t>2</w:t>
      </w:r>
      <w:r>
        <w:rPr>
          <w:rFonts w:ascii="Times New Roman" w:hAnsi="Times New Roman" w:eastAsia="Times New Roman" w:cs="Times New Roman"/>
          <w:color w:val="auto"/>
          <w:spacing w:val="-27"/>
          <w:sz w:val="28"/>
          <w:szCs w:val="28"/>
          <w:highlight w:val="none"/>
        </w:rPr>
        <w:t xml:space="preserve"> </w:t>
      </w:r>
      <w:r>
        <w:rPr>
          <w:rFonts w:ascii="黑体" w:hAnsi="黑体" w:eastAsia="黑体" w:cs="黑体"/>
          <w:color w:val="auto"/>
          <w:spacing w:val="-6"/>
          <w:sz w:val="28"/>
          <w:szCs w:val="28"/>
          <w:highlight w:val="none"/>
        </w:rPr>
        <w:t>．特殊技术要求</w:t>
      </w:r>
    </w:p>
    <w:p>
      <w:pPr>
        <w:spacing w:before="206" w:line="220" w:lineRule="auto"/>
        <w:ind w:left="43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2.1 除合同约定的技术要求外， 本工程的特殊技术要求如下：</w:t>
      </w:r>
    </w:p>
    <w:p>
      <w:pPr>
        <w:pStyle w:val="2"/>
        <w:spacing w:line="357" w:lineRule="auto"/>
        <w:rPr>
          <w:color w:val="auto"/>
          <w:highlight w:val="none"/>
        </w:rPr>
      </w:pPr>
    </w:p>
    <w:p>
      <w:pPr>
        <w:tabs>
          <w:tab w:val="left" w:pos="7455"/>
        </w:tabs>
        <w:spacing w:before="27" w:line="159" w:lineRule="auto"/>
        <w:ind w:left="947"/>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5" w:line="219" w:lineRule="auto"/>
        <w:ind w:left="11"/>
        <w:rPr>
          <w:rFonts w:ascii="黑体" w:hAnsi="黑体" w:eastAsia="黑体" w:cs="黑体"/>
          <w:color w:val="auto"/>
          <w:sz w:val="28"/>
          <w:szCs w:val="28"/>
          <w:highlight w:val="none"/>
        </w:rPr>
      </w:pPr>
      <w:r>
        <w:rPr>
          <w:rFonts w:ascii="Times New Roman" w:hAnsi="Times New Roman" w:eastAsia="Times New Roman" w:cs="Times New Roman"/>
          <w:color w:val="auto"/>
          <w:spacing w:val="-4"/>
          <w:sz w:val="28"/>
          <w:szCs w:val="28"/>
          <w:highlight w:val="none"/>
        </w:rPr>
        <w:t>3</w:t>
      </w:r>
      <w:r>
        <w:rPr>
          <w:rFonts w:ascii="Times New Roman" w:hAnsi="Times New Roman" w:eastAsia="Times New Roman" w:cs="Times New Roman"/>
          <w:color w:val="auto"/>
          <w:spacing w:val="-27"/>
          <w:sz w:val="28"/>
          <w:szCs w:val="28"/>
          <w:highlight w:val="none"/>
        </w:rPr>
        <w:t xml:space="preserve"> </w:t>
      </w:r>
      <w:r>
        <w:rPr>
          <w:rFonts w:ascii="黑体" w:hAnsi="黑体" w:eastAsia="黑体" w:cs="黑体"/>
          <w:color w:val="auto"/>
          <w:spacing w:val="-4"/>
          <w:sz w:val="28"/>
          <w:szCs w:val="28"/>
          <w:highlight w:val="none"/>
        </w:rPr>
        <w:t>．新技术、新工艺和新材料</w:t>
      </w:r>
    </w:p>
    <w:p>
      <w:pPr>
        <w:spacing w:before="208" w:line="220" w:lineRule="auto"/>
        <w:ind w:left="432"/>
        <w:rPr>
          <w:rFonts w:ascii="宋体" w:hAnsi="宋体" w:eastAsia="宋体" w:cs="宋体"/>
          <w:color w:val="auto"/>
          <w:sz w:val="21"/>
          <w:szCs w:val="21"/>
          <w:highlight w:val="none"/>
        </w:rPr>
      </w:pPr>
      <w:r>
        <w:rPr>
          <w:rFonts w:ascii="宋体" w:hAnsi="宋体" w:eastAsia="宋体" w:cs="宋体"/>
          <w:color w:val="auto"/>
          <w:sz w:val="21"/>
          <w:szCs w:val="21"/>
          <w:highlight w:val="none"/>
        </w:rPr>
        <w:t>3.1 本工程涉及的新技术、新工艺和新材料及相应使用和</w:t>
      </w:r>
      <w:r>
        <w:rPr>
          <w:rFonts w:ascii="宋体" w:hAnsi="宋体" w:eastAsia="宋体" w:cs="宋体"/>
          <w:color w:val="auto"/>
          <w:spacing w:val="-1"/>
          <w:sz w:val="21"/>
          <w:szCs w:val="21"/>
          <w:highlight w:val="none"/>
        </w:rPr>
        <w:t>操作说明如下：</w:t>
      </w:r>
    </w:p>
    <w:p>
      <w:pPr>
        <w:pStyle w:val="2"/>
        <w:spacing w:line="359" w:lineRule="auto"/>
        <w:rPr>
          <w:color w:val="auto"/>
          <w:highlight w:val="none"/>
        </w:rPr>
      </w:pPr>
    </w:p>
    <w:p>
      <w:pPr>
        <w:tabs>
          <w:tab w:val="left" w:pos="7455"/>
        </w:tabs>
        <w:spacing w:before="26" w:line="159" w:lineRule="auto"/>
        <w:ind w:left="947"/>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pPr>
        <w:spacing w:before="156" w:line="219" w:lineRule="auto"/>
        <w:ind w:left="4"/>
        <w:rPr>
          <w:rFonts w:ascii="黑体" w:hAnsi="黑体" w:eastAsia="黑体" w:cs="黑体"/>
          <w:color w:val="auto"/>
          <w:sz w:val="28"/>
          <w:szCs w:val="28"/>
          <w:highlight w:val="none"/>
        </w:rPr>
      </w:pPr>
      <w:r>
        <w:rPr>
          <w:rFonts w:ascii="Times New Roman" w:hAnsi="Times New Roman" w:eastAsia="Times New Roman" w:cs="Times New Roman"/>
          <w:color w:val="auto"/>
          <w:spacing w:val="-4"/>
          <w:sz w:val="28"/>
          <w:szCs w:val="28"/>
          <w:highlight w:val="none"/>
        </w:rPr>
        <w:t>4</w:t>
      </w:r>
      <w:r>
        <w:rPr>
          <w:rFonts w:ascii="Times New Roman" w:hAnsi="Times New Roman" w:eastAsia="Times New Roman" w:cs="Times New Roman"/>
          <w:color w:val="auto"/>
          <w:spacing w:val="-20"/>
          <w:sz w:val="28"/>
          <w:szCs w:val="28"/>
          <w:highlight w:val="none"/>
        </w:rPr>
        <w:t xml:space="preserve"> </w:t>
      </w:r>
      <w:r>
        <w:rPr>
          <w:rFonts w:ascii="黑体" w:hAnsi="黑体" w:eastAsia="黑体" w:cs="黑体"/>
          <w:color w:val="auto"/>
          <w:spacing w:val="-4"/>
          <w:sz w:val="28"/>
          <w:szCs w:val="28"/>
          <w:highlight w:val="none"/>
        </w:rPr>
        <w:t>．其他特殊技术标准和要求</w:t>
      </w:r>
    </w:p>
    <w:p>
      <w:pPr>
        <w:pStyle w:val="2"/>
        <w:spacing w:line="273" w:lineRule="auto"/>
        <w:rPr>
          <w:color w:val="auto"/>
          <w:highlight w:val="none"/>
        </w:rPr>
      </w:pPr>
    </w:p>
    <w:p>
      <w:pPr>
        <w:spacing w:before="69" w:line="45" w:lineRule="exact"/>
        <w:ind w:left="7484"/>
        <w:rPr>
          <w:rFonts w:ascii="宋体" w:hAnsi="宋体" w:eastAsia="宋体" w:cs="宋体"/>
          <w:color w:val="auto"/>
          <w:sz w:val="21"/>
          <w:szCs w:val="21"/>
          <w:highlight w:val="none"/>
        </w:rPr>
      </w:pPr>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588645</wp:posOffset>
                </wp:positionH>
                <wp:positionV relativeFrom="paragraph">
                  <wp:posOffset>-43180</wp:posOffset>
                </wp:positionV>
                <wp:extent cx="4157980" cy="1790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157980" cy="179070"/>
                        </a:xfrm>
                        <a:prstGeom prst="rect">
                          <a:avLst/>
                        </a:prstGeom>
                        <a:noFill/>
                        <a:ln>
                          <a:noFill/>
                        </a:ln>
                      </wps:spPr>
                      <wps:txbx>
                        <w:txbxContent>
                          <w:p>
                            <w:pPr>
                              <w:pStyle w:val="2"/>
                              <w:tabs>
                                <w:tab w:val="left" w:pos="6527"/>
                              </w:tabs>
                              <w:spacing w:before="20" w:line="241" w:lineRule="exact"/>
                              <w:ind w:left="20"/>
                            </w:pPr>
                            <w:r>
                              <w:rPr>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46.35pt;margin-top:-3.4pt;height:14.1pt;width:327.4pt;z-index:251680768;mso-width-relative:page;mso-height-relative:page;" filled="f" stroked="f" coordsize="21600,21600" o:gfxdata="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03piLYAAAACAEAAA8AAAAAAAAAAQAgAAAAIgAAAGRycy9kb3ducmV2LnhtbFBL&#10;AQIUABQAAAAIAIdO4kAFVckTvQEAAHQDAAAOAAAAAAAAAAEAIAAAACcBAABkcnMvZTJvRG9jLnht&#10;bFBLBQYAAAAABgAGAFkBAABWBQAAAAA=&#10;">
                <v:fill on="f" focussize="0,0"/>
                <v:stroke on="f"/>
                <v:imagedata o:title=""/>
                <o:lock v:ext="edit" aspectratio="f"/>
                <v:textbox inset="0mm,0mm,0mm,0mm">
                  <w:txbxContent>
                    <w:p>
                      <w:pPr>
                        <w:pStyle w:val="2"/>
                        <w:tabs>
                          <w:tab w:val="left" w:pos="6527"/>
                        </w:tabs>
                        <w:spacing w:before="20" w:line="241" w:lineRule="exact"/>
                        <w:ind w:left="20"/>
                      </w:pPr>
                      <w:r>
                        <w:rPr>
                          <w:u w:val="single" w:color="auto"/>
                        </w:rPr>
                        <w:tab/>
                      </w:r>
                    </w:p>
                  </w:txbxContent>
                </v:textbox>
              </v:shape>
            </w:pict>
          </mc:Fallback>
        </mc:AlternateContent>
      </w:r>
      <w:r>
        <w:rPr>
          <w:rFonts w:ascii="宋体" w:hAnsi="宋体" w:eastAsia="宋体" w:cs="宋体"/>
          <w:color w:val="auto"/>
          <w:position w:val="-1"/>
          <w:sz w:val="21"/>
          <w:szCs w:val="21"/>
          <w:highlight w:val="none"/>
        </w:rPr>
        <w:t>。</w:t>
      </w:r>
    </w:p>
    <w:p>
      <w:pPr>
        <w:spacing w:line="45" w:lineRule="exact"/>
        <w:rPr>
          <w:rFonts w:ascii="宋体" w:hAnsi="宋体" w:eastAsia="宋体" w:cs="宋体"/>
          <w:color w:val="auto"/>
          <w:sz w:val="21"/>
          <w:szCs w:val="21"/>
          <w:highlight w:val="none"/>
        </w:rPr>
        <w:sectPr>
          <w:footerReference r:id="rId127" w:type="default"/>
          <w:pgSz w:w="11907" w:h="16841"/>
          <w:pgMar w:top="400" w:right="1603" w:bottom="1143" w:left="1474" w:header="0" w:footer="969" w:gutter="0"/>
          <w:pgNumType w:fmt="numberInDash"/>
          <w:cols w:space="720" w:num="1"/>
        </w:sectPr>
      </w:pPr>
    </w:p>
    <w:p>
      <w:pPr>
        <w:pStyle w:val="2"/>
        <w:spacing w:line="242"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spacing w:before="91" w:line="219" w:lineRule="auto"/>
        <w:ind w:left="1092"/>
        <w:rPr>
          <w:rFonts w:ascii="黑体" w:hAnsi="黑体" w:eastAsia="黑体" w:cs="黑体"/>
          <w:color w:val="auto"/>
          <w:sz w:val="28"/>
          <w:szCs w:val="28"/>
          <w:highlight w:val="none"/>
        </w:rPr>
      </w:pPr>
      <w:bookmarkStart w:id="398" w:name="bookmark438"/>
      <w:bookmarkEnd w:id="398"/>
      <w:r>
        <w:rPr>
          <w:rFonts w:ascii="黑体" w:hAnsi="黑体" w:eastAsia="黑体" w:cs="黑体"/>
          <w:color w:val="auto"/>
          <w:spacing w:val="-1"/>
          <w:sz w:val="28"/>
          <w:szCs w:val="28"/>
          <w:highlight w:val="none"/>
        </w:rPr>
        <w:t>第三节  适用的国家、行业以及地方规范、标准和规程</w:t>
      </w:r>
    </w:p>
    <w:p>
      <w:pPr>
        <w:pStyle w:val="2"/>
        <w:spacing w:line="283" w:lineRule="auto"/>
        <w:rPr>
          <w:color w:val="auto"/>
          <w:highlight w:val="none"/>
        </w:rPr>
      </w:pPr>
    </w:p>
    <w:p>
      <w:pPr>
        <w:pStyle w:val="2"/>
        <w:spacing w:line="283" w:lineRule="auto"/>
        <w:rPr>
          <w:color w:val="auto"/>
          <w:highlight w:val="none"/>
        </w:rPr>
      </w:pPr>
    </w:p>
    <w:p>
      <w:pPr>
        <w:pStyle w:val="2"/>
        <w:spacing w:line="283" w:lineRule="auto"/>
        <w:rPr>
          <w:color w:val="auto"/>
          <w:highlight w:val="none"/>
        </w:rPr>
      </w:pPr>
    </w:p>
    <w:p>
      <w:pPr>
        <w:pStyle w:val="2"/>
        <w:spacing w:line="284" w:lineRule="auto"/>
        <w:rPr>
          <w:color w:val="auto"/>
          <w:highlight w:val="none"/>
        </w:rPr>
      </w:pPr>
    </w:p>
    <w:p>
      <w:pPr>
        <w:spacing w:before="69" w:line="499" w:lineRule="exact"/>
        <w:ind w:right="23"/>
        <w:jc w:val="right"/>
        <w:rPr>
          <w:rFonts w:ascii="宋体" w:hAnsi="宋体" w:eastAsia="宋体" w:cs="宋体"/>
          <w:color w:val="auto"/>
          <w:sz w:val="21"/>
          <w:szCs w:val="21"/>
          <w:highlight w:val="none"/>
        </w:rPr>
      </w:pPr>
      <w:r>
        <w:rPr>
          <w:rFonts w:ascii="黑体" w:hAnsi="黑体" w:eastAsia="黑体" w:cs="黑体"/>
          <w:color w:val="auto"/>
          <w:spacing w:val="-3"/>
          <w:position w:val="22"/>
          <w:sz w:val="21"/>
          <w:szCs w:val="21"/>
          <w:highlight w:val="none"/>
          <w14:textOutline w14:w="3831" w14:cap="flat" w14:cmpd="sng">
            <w14:solidFill>
              <w14:srgbClr w14:val="000000"/>
            </w14:solidFill>
            <w14:prstDash w14:val="solid"/>
            <w14:miter w14:val="0"/>
          </w14:textOutline>
        </w:rPr>
        <w:t>说明：</w:t>
      </w:r>
      <w:r>
        <w:rPr>
          <w:rFonts w:ascii="黑体" w:hAnsi="黑体" w:eastAsia="黑体" w:cs="黑体"/>
          <w:color w:val="auto"/>
          <w:spacing w:val="-3"/>
          <w:position w:val="22"/>
          <w:sz w:val="21"/>
          <w:szCs w:val="21"/>
          <w:highlight w:val="none"/>
        </w:rPr>
        <w:t xml:space="preserve"> </w:t>
      </w:r>
      <w:r>
        <w:rPr>
          <w:rFonts w:ascii="宋体" w:hAnsi="宋体" w:eastAsia="宋体" w:cs="宋体"/>
          <w:color w:val="auto"/>
          <w:spacing w:val="-3"/>
          <w:position w:val="22"/>
          <w:sz w:val="21"/>
          <w:szCs w:val="21"/>
          <w:highlight w:val="none"/>
        </w:rPr>
        <w:t>本节内容只需列出规范、标准、规程等的名称、编号等内容。本节由招标人根据国</w:t>
      </w:r>
    </w:p>
    <w:p>
      <w:pPr>
        <w:spacing w:line="220" w:lineRule="auto"/>
        <w:rPr>
          <w:rFonts w:ascii="宋体" w:hAnsi="宋体" w:eastAsia="宋体" w:cs="宋体"/>
          <w:color w:val="auto"/>
          <w:sz w:val="21"/>
          <w:szCs w:val="21"/>
          <w:highlight w:val="none"/>
        </w:rPr>
      </w:pPr>
      <w:r>
        <w:rPr>
          <w:rFonts w:ascii="宋体" w:hAnsi="宋体" w:eastAsia="宋体" w:cs="宋体"/>
          <w:color w:val="auto"/>
          <w:sz w:val="21"/>
          <w:szCs w:val="21"/>
          <w:highlight w:val="none"/>
        </w:rPr>
        <w:t>家、行业和地方现行标准、规范和规程等，以及项目具体</w:t>
      </w:r>
      <w:r>
        <w:rPr>
          <w:rFonts w:ascii="宋体" w:hAnsi="宋体" w:eastAsia="宋体" w:cs="宋体"/>
          <w:color w:val="auto"/>
          <w:spacing w:val="-1"/>
          <w:sz w:val="21"/>
          <w:szCs w:val="21"/>
          <w:highlight w:val="none"/>
        </w:rPr>
        <w:t>情况摘录。</w:t>
      </w:r>
    </w:p>
    <w:p>
      <w:pPr>
        <w:spacing w:line="220" w:lineRule="auto"/>
        <w:rPr>
          <w:rFonts w:ascii="宋体" w:hAnsi="宋体" w:eastAsia="宋体" w:cs="宋体"/>
          <w:color w:val="auto"/>
          <w:sz w:val="21"/>
          <w:szCs w:val="21"/>
          <w:highlight w:val="none"/>
        </w:rPr>
        <w:sectPr>
          <w:footerReference r:id="rId128" w:type="default"/>
          <w:pgSz w:w="11907" w:h="16841"/>
          <w:pgMar w:top="400" w:right="1785" w:bottom="1143" w:left="1484" w:header="0" w:footer="969" w:gutter="0"/>
          <w:pgNumType w:fmt="numberInDash"/>
          <w:cols w:space="720" w:num="1"/>
        </w:sectPr>
      </w:pPr>
    </w:p>
    <w:p>
      <w:pPr>
        <w:pStyle w:val="2"/>
        <w:spacing w:line="281" w:lineRule="auto"/>
        <w:rPr>
          <w:color w:val="auto"/>
          <w:highlight w:val="none"/>
        </w:rPr>
      </w:pPr>
    </w:p>
    <w:p>
      <w:pPr>
        <w:pStyle w:val="2"/>
        <w:spacing w:line="282" w:lineRule="auto"/>
        <w:rPr>
          <w:color w:val="auto"/>
          <w:highlight w:val="none"/>
        </w:rPr>
      </w:pPr>
    </w:p>
    <w:p>
      <w:pPr>
        <w:pStyle w:val="2"/>
        <w:spacing w:line="282" w:lineRule="auto"/>
        <w:rPr>
          <w:color w:val="auto"/>
          <w:highlight w:val="none"/>
        </w:rPr>
      </w:pPr>
    </w:p>
    <w:p>
      <w:pPr>
        <w:pStyle w:val="2"/>
        <w:spacing w:line="282" w:lineRule="auto"/>
        <w:rPr>
          <w:color w:val="auto"/>
          <w:highlight w:val="none"/>
        </w:rPr>
      </w:pPr>
    </w:p>
    <w:p>
      <w:pPr>
        <w:pStyle w:val="2"/>
        <w:spacing w:line="282" w:lineRule="auto"/>
        <w:rPr>
          <w:color w:val="auto"/>
          <w:highlight w:val="none"/>
        </w:rPr>
      </w:pPr>
    </w:p>
    <w:p>
      <w:pPr>
        <w:spacing w:before="78" w:line="219" w:lineRule="auto"/>
        <w:ind w:left="10"/>
        <w:rPr>
          <w:rFonts w:ascii="黑体" w:hAnsi="黑体" w:eastAsia="黑体" w:cs="黑体"/>
          <w:color w:val="auto"/>
          <w:sz w:val="24"/>
          <w:szCs w:val="24"/>
          <w:highlight w:val="none"/>
        </w:rPr>
      </w:pPr>
      <w:bookmarkStart w:id="399" w:name="bookmark439"/>
      <w:bookmarkEnd w:id="399"/>
      <w:bookmarkStart w:id="400" w:name="bookmark440"/>
      <w:bookmarkEnd w:id="400"/>
      <w:r>
        <w:rPr>
          <w:rFonts w:ascii="黑体" w:hAnsi="黑体" w:eastAsia="黑体" w:cs="黑体"/>
          <w:color w:val="auto"/>
          <w:spacing w:val="-4"/>
          <w:sz w:val="24"/>
          <w:szCs w:val="24"/>
          <w:highlight w:val="none"/>
        </w:rPr>
        <w:t>附件</w:t>
      </w:r>
      <w:r>
        <w:rPr>
          <w:rFonts w:ascii="黑体" w:hAnsi="黑体" w:eastAsia="黑体" w:cs="黑体"/>
          <w:color w:val="auto"/>
          <w:spacing w:val="-52"/>
          <w:sz w:val="24"/>
          <w:szCs w:val="24"/>
          <w:highlight w:val="none"/>
        </w:rPr>
        <w:t xml:space="preserve"> </w:t>
      </w:r>
      <w:r>
        <w:rPr>
          <w:rFonts w:ascii="黑体" w:hAnsi="黑体" w:eastAsia="黑体" w:cs="黑体"/>
          <w:color w:val="auto"/>
          <w:spacing w:val="-4"/>
          <w:sz w:val="24"/>
          <w:szCs w:val="24"/>
          <w:highlight w:val="none"/>
        </w:rPr>
        <w:t>A：施工现场现状平面图</w:t>
      </w:r>
    </w:p>
    <w:p>
      <w:pPr>
        <w:pStyle w:val="2"/>
        <w:spacing w:line="323" w:lineRule="auto"/>
        <w:rPr>
          <w:color w:val="auto"/>
          <w:highlight w:val="none"/>
        </w:rPr>
      </w:pPr>
    </w:p>
    <w:p>
      <w:pPr>
        <w:pStyle w:val="2"/>
        <w:spacing w:line="324" w:lineRule="auto"/>
        <w:rPr>
          <w:color w:val="auto"/>
          <w:highlight w:val="none"/>
        </w:rPr>
      </w:pPr>
    </w:p>
    <w:p>
      <w:pPr>
        <w:spacing w:before="68" w:line="499" w:lineRule="exact"/>
        <w:jc w:val="right"/>
        <w:rPr>
          <w:rFonts w:ascii="宋体" w:hAnsi="宋体" w:eastAsia="宋体" w:cs="宋体"/>
          <w:color w:val="auto"/>
          <w:sz w:val="21"/>
          <w:szCs w:val="21"/>
          <w:highlight w:val="none"/>
        </w:rPr>
      </w:pPr>
      <w:r>
        <w:rPr>
          <w:rFonts w:ascii="黑体" w:hAnsi="黑体" w:eastAsia="黑体" w:cs="黑体"/>
          <w:color w:val="auto"/>
          <w:spacing w:val="-2"/>
          <w:position w:val="22"/>
          <w:sz w:val="21"/>
          <w:szCs w:val="21"/>
          <w:highlight w:val="none"/>
        </w:rPr>
        <w:t xml:space="preserve">说明： </w:t>
      </w:r>
      <w:r>
        <w:rPr>
          <w:rFonts w:ascii="宋体" w:hAnsi="宋体" w:eastAsia="宋体" w:cs="宋体"/>
          <w:color w:val="auto"/>
          <w:spacing w:val="-2"/>
          <w:position w:val="22"/>
          <w:sz w:val="21"/>
          <w:szCs w:val="21"/>
          <w:highlight w:val="none"/>
        </w:rPr>
        <w:t>该图由招标人准备，并作为招标文</w:t>
      </w:r>
      <w:r>
        <w:rPr>
          <w:rFonts w:ascii="宋体" w:hAnsi="宋体" w:eastAsia="宋体" w:cs="宋体"/>
          <w:color w:val="auto"/>
          <w:spacing w:val="-3"/>
          <w:position w:val="22"/>
          <w:sz w:val="21"/>
          <w:szCs w:val="21"/>
          <w:highlight w:val="none"/>
        </w:rPr>
        <w:t>件本章的组成内容提供给投标人。图中应当标示本章第</w:t>
      </w:r>
    </w:p>
    <w:p>
      <w:pPr>
        <w:spacing w:line="220"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一节第</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1.2.1</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项规定的内容，并做必要的文字说明。</w:t>
      </w:r>
    </w:p>
    <w:p>
      <w:pPr>
        <w:spacing w:line="220" w:lineRule="auto"/>
        <w:rPr>
          <w:rFonts w:ascii="宋体" w:hAnsi="宋体" w:eastAsia="宋体" w:cs="宋体"/>
          <w:color w:val="auto"/>
          <w:sz w:val="21"/>
          <w:szCs w:val="21"/>
          <w:highlight w:val="none"/>
        </w:rPr>
        <w:sectPr>
          <w:footerReference r:id="rId129" w:type="default"/>
          <w:pgSz w:w="11907" w:h="16841"/>
          <w:pgMar w:top="400" w:right="1603" w:bottom="1143" w:left="1485" w:header="0" w:footer="969" w:gutter="0"/>
          <w:pgNumType w:fmt="numberInDash"/>
          <w:cols w:space="720" w:num="1"/>
        </w:sect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2"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pStyle w:val="2"/>
        <w:spacing w:line="253" w:lineRule="auto"/>
        <w:rPr>
          <w:color w:val="auto"/>
          <w:highlight w:val="none"/>
        </w:rPr>
      </w:pPr>
    </w:p>
    <w:p>
      <w:pPr>
        <w:spacing w:before="156" w:line="219" w:lineRule="auto"/>
        <w:ind w:left="3436"/>
        <w:rPr>
          <w:rFonts w:ascii="黑体" w:hAnsi="黑体" w:eastAsia="黑体" w:cs="黑体"/>
          <w:color w:val="auto"/>
          <w:sz w:val="48"/>
          <w:szCs w:val="48"/>
          <w:highlight w:val="none"/>
        </w:rPr>
      </w:pPr>
      <w:bookmarkStart w:id="401" w:name="bookmark441"/>
      <w:bookmarkEnd w:id="401"/>
      <w:r>
        <w:rPr>
          <w:rFonts w:ascii="黑体" w:hAnsi="黑体" w:eastAsia="黑体" w:cs="黑体"/>
          <w:color w:val="auto"/>
          <w:spacing w:val="-5"/>
          <w:sz w:val="48"/>
          <w:szCs w:val="48"/>
          <w:highlight w:val="none"/>
        </w:rPr>
        <w:t>第四卷</w:t>
      </w:r>
    </w:p>
    <w:p>
      <w:pPr>
        <w:spacing w:line="219" w:lineRule="auto"/>
        <w:rPr>
          <w:rFonts w:ascii="黑体" w:hAnsi="黑体" w:eastAsia="黑体" w:cs="黑体"/>
          <w:color w:val="auto"/>
          <w:sz w:val="48"/>
          <w:szCs w:val="48"/>
          <w:highlight w:val="none"/>
        </w:rPr>
        <w:sectPr>
          <w:footerReference r:id="rId130" w:type="default"/>
          <w:pgSz w:w="11905" w:h="16843"/>
          <w:pgMar w:top="1769" w:right="1548" w:bottom="1003" w:left="1542" w:header="0" w:footer="828" w:gutter="0"/>
          <w:pgNumType w:fmt="numberInDash"/>
          <w:cols w:space="0" w:num="1"/>
          <w:rtlGutter w:val="0"/>
          <w:docGrid w:linePitch="0" w:charSpace="0"/>
        </w:sect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3"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pStyle w:val="2"/>
        <w:spacing w:line="244" w:lineRule="auto"/>
        <w:rPr>
          <w:color w:val="auto"/>
          <w:highlight w:val="none"/>
        </w:rPr>
      </w:pPr>
    </w:p>
    <w:p>
      <w:pPr>
        <w:spacing w:before="100" w:line="224" w:lineRule="auto"/>
        <w:ind w:left="2552"/>
        <w:rPr>
          <w:rFonts w:ascii="黑体" w:hAnsi="黑体" w:eastAsia="黑体" w:cs="黑体"/>
          <w:color w:val="auto"/>
          <w:sz w:val="31"/>
          <w:szCs w:val="31"/>
          <w:highlight w:val="none"/>
        </w:rPr>
      </w:pPr>
      <w:bookmarkStart w:id="402" w:name="bookmark442"/>
      <w:bookmarkEnd w:id="402"/>
      <w:r>
        <w:rPr>
          <w:rFonts w:ascii="黑体" w:hAnsi="黑体" w:eastAsia="黑体" w:cs="黑体"/>
          <w:color w:val="auto"/>
          <w:spacing w:val="7"/>
          <w:sz w:val="31"/>
          <w:szCs w:val="31"/>
          <w:highlight w:val="none"/>
        </w:rPr>
        <w:t>第八章  投标文件格式</w:t>
      </w:r>
    </w:p>
    <w:p>
      <w:pPr>
        <w:spacing w:line="224" w:lineRule="auto"/>
        <w:rPr>
          <w:rFonts w:ascii="黑体" w:hAnsi="黑体" w:eastAsia="黑体" w:cs="黑体"/>
          <w:color w:val="auto"/>
          <w:sz w:val="31"/>
          <w:szCs w:val="31"/>
          <w:highlight w:val="none"/>
        </w:rPr>
        <w:sectPr>
          <w:footerReference r:id="rId131" w:type="default"/>
          <w:pgSz w:w="11905" w:h="16843"/>
          <w:pgMar w:top="1769" w:right="1548" w:bottom="1003" w:left="1542" w:header="0" w:footer="828" w:gutter="0"/>
          <w:pgNumType w:fmt="numberInDash"/>
          <w:cols w:space="0" w:num="1"/>
          <w:rtlGutter w:val="0"/>
          <w:docGrid w:linePitch="0" w:charSpace="0"/>
        </w:sectPr>
      </w:pPr>
    </w:p>
    <w:p>
      <w:pPr>
        <w:pStyle w:val="2"/>
        <w:spacing w:line="254" w:lineRule="auto"/>
        <w:rPr>
          <w:color w:val="auto"/>
          <w:highlight w:val="none"/>
        </w:rPr>
      </w:pPr>
    </w:p>
    <w:p>
      <w:pPr>
        <w:pStyle w:val="2"/>
        <w:spacing w:line="254" w:lineRule="auto"/>
        <w:rPr>
          <w:color w:val="auto"/>
          <w:highlight w:val="none"/>
        </w:rPr>
      </w:pPr>
    </w:p>
    <w:p>
      <w:pPr>
        <w:pStyle w:val="2"/>
        <w:spacing w:line="254" w:lineRule="auto"/>
        <w:rPr>
          <w:rFonts w:hint="eastAsia" w:ascii="宋体" w:hAnsi="宋体" w:eastAsia="宋体" w:cs="宋体"/>
          <w:color w:val="auto"/>
          <w:highlight w:val="none"/>
        </w:rPr>
      </w:pPr>
    </w:p>
    <w:p>
      <w:pPr>
        <w:pStyle w:val="2"/>
        <w:spacing w:line="254" w:lineRule="auto"/>
        <w:rPr>
          <w:rFonts w:hint="eastAsia" w:ascii="宋体" w:hAnsi="宋体" w:eastAsia="宋体" w:cs="宋体"/>
          <w:color w:val="auto"/>
          <w:highlight w:val="none"/>
        </w:rPr>
      </w:pPr>
    </w:p>
    <w:p>
      <w:pPr>
        <w:pStyle w:val="2"/>
        <w:spacing w:line="254" w:lineRule="auto"/>
        <w:rPr>
          <w:rFonts w:hint="eastAsia" w:ascii="宋体" w:hAnsi="宋体" w:eastAsia="宋体" w:cs="宋体"/>
          <w:color w:val="auto"/>
          <w:highlight w:val="none"/>
        </w:rPr>
      </w:pPr>
    </w:p>
    <w:p>
      <w:pPr>
        <w:pStyle w:val="2"/>
        <w:spacing w:line="254" w:lineRule="auto"/>
        <w:rPr>
          <w:rFonts w:hint="eastAsia" w:ascii="宋体" w:hAnsi="宋体" w:eastAsia="宋体" w:cs="宋体"/>
          <w:color w:val="auto"/>
          <w:highlight w:val="none"/>
        </w:rPr>
      </w:pPr>
    </w:p>
    <w:p>
      <w:pPr>
        <w:pStyle w:val="2"/>
        <w:spacing w:line="254" w:lineRule="auto"/>
        <w:rPr>
          <w:rFonts w:hint="eastAsia" w:ascii="宋体" w:hAnsi="宋体" w:eastAsia="宋体" w:cs="宋体"/>
          <w:color w:val="auto"/>
          <w:highlight w:val="none"/>
        </w:rPr>
      </w:pPr>
    </w:p>
    <w:p>
      <w:pPr>
        <w:pStyle w:val="2"/>
        <w:spacing w:line="255" w:lineRule="auto"/>
        <w:rPr>
          <w:rFonts w:hint="eastAsia" w:ascii="宋体" w:hAnsi="宋体" w:eastAsia="宋体" w:cs="宋体"/>
          <w:color w:val="auto"/>
          <w:highlight w:val="none"/>
        </w:rPr>
      </w:pPr>
    </w:p>
    <w:p>
      <w:pPr>
        <w:pStyle w:val="2"/>
        <w:spacing w:line="255" w:lineRule="auto"/>
        <w:rPr>
          <w:rFonts w:hint="eastAsia" w:ascii="宋体" w:hAnsi="宋体" w:eastAsia="宋体" w:cs="宋体"/>
          <w:color w:val="auto"/>
          <w:highlight w:val="none"/>
        </w:rPr>
      </w:pPr>
    </w:p>
    <w:p>
      <w:pPr>
        <w:tabs>
          <w:tab w:val="left" w:pos="4010"/>
        </w:tabs>
        <w:spacing w:before="91" w:line="415" w:lineRule="auto"/>
        <w:ind w:left="1468"/>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color="auto"/>
        </w:rPr>
        <w:tab/>
      </w:r>
      <w:r>
        <w:rPr>
          <w:rFonts w:hint="eastAsia" w:ascii="宋体" w:hAnsi="宋体" w:eastAsia="宋体" w:cs="宋体"/>
          <w:color w:val="auto"/>
          <w:spacing w:val="-59"/>
          <w:sz w:val="28"/>
          <w:szCs w:val="28"/>
          <w:highlight w:val="none"/>
        </w:rPr>
        <w:t xml:space="preserve"> </w:t>
      </w:r>
      <w:r>
        <w:rPr>
          <w:rFonts w:hint="eastAsia" w:ascii="宋体" w:hAnsi="宋体" w:eastAsia="宋体" w:cs="宋体"/>
          <w:color w:val="auto"/>
          <w:spacing w:val="-8"/>
          <w:sz w:val="28"/>
          <w:szCs w:val="28"/>
          <w:highlight w:val="none"/>
        </w:rPr>
        <w:t>（标段名称）项目招标</w:t>
      </w:r>
    </w:p>
    <w:p>
      <w:pPr>
        <w:spacing w:before="1" w:line="222" w:lineRule="auto"/>
        <w:ind w:left="2613"/>
        <w:rPr>
          <w:rFonts w:hint="eastAsia" w:ascii="宋体" w:hAnsi="宋体" w:eastAsia="宋体" w:cs="宋体"/>
          <w:color w:val="auto"/>
          <w:sz w:val="43"/>
          <w:szCs w:val="43"/>
          <w:highlight w:val="none"/>
        </w:rPr>
      </w:pPr>
      <w:bookmarkStart w:id="403" w:name="bookmark443"/>
      <w:bookmarkEnd w:id="403"/>
      <w:r>
        <w:rPr>
          <w:rFonts w:hint="eastAsia" w:ascii="宋体" w:hAnsi="宋体" w:eastAsia="宋体" w:cs="宋体"/>
          <w:color w:val="auto"/>
          <w:spacing w:val="-5"/>
          <w:sz w:val="43"/>
          <w:szCs w:val="43"/>
          <w:highlight w:val="none"/>
        </w:rPr>
        <w:t>投</w:t>
      </w:r>
      <w:r>
        <w:rPr>
          <w:rFonts w:hint="eastAsia" w:ascii="宋体" w:hAnsi="宋体" w:eastAsia="宋体" w:cs="宋体"/>
          <w:color w:val="auto"/>
          <w:spacing w:val="11"/>
          <w:sz w:val="43"/>
          <w:szCs w:val="43"/>
          <w:highlight w:val="none"/>
        </w:rPr>
        <w:t xml:space="preserve">  </w:t>
      </w:r>
      <w:r>
        <w:rPr>
          <w:rFonts w:hint="eastAsia" w:ascii="宋体" w:hAnsi="宋体" w:eastAsia="宋体" w:cs="宋体"/>
          <w:color w:val="auto"/>
          <w:spacing w:val="-5"/>
          <w:sz w:val="43"/>
          <w:szCs w:val="43"/>
          <w:highlight w:val="none"/>
        </w:rPr>
        <w:t>标</w:t>
      </w:r>
      <w:r>
        <w:rPr>
          <w:rFonts w:hint="eastAsia" w:ascii="宋体" w:hAnsi="宋体" w:eastAsia="宋体" w:cs="宋体"/>
          <w:color w:val="auto"/>
          <w:spacing w:val="17"/>
          <w:sz w:val="43"/>
          <w:szCs w:val="43"/>
          <w:highlight w:val="none"/>
        </w:rPr>
        <w:t xml:space="preserve">  </w:t>
      </w:r>
      <w:r>
        <w:rPr>
          <w:rFonts w:hint="eastAsia" w:ascii="宋体" w:hAnsi="宋体" w:eastAsia="宋体" w:cs="宋体"/>
          <w:color w:val="auto"/>
          <w:spacing w:val="-5"/>
          <w:sz w:val="43"/>
          <w:szCs w:val="43"/>
          <w:highlight w:val="none"/>
        </w:rPr>
        <w:t>文</w:t>
      </w:r>
      <w:r>
        <w:rPr>
          <w:rFonts w:hint="eastAsia" w:ascii="宋体" w:hAnsi="宋体" w:eastAsia="宋体" w:cs="宋体"/>
          <w:color w:val="auto"/>
          <w:spacing w:val="11"/>
          <w:sz w:val="43"/>
          <w:szCs w:val="43"/>
          <w:highlight w:val="none"/>
        </w:rPr>
        <w:t xml:space="preserve">  </w:t>
      </w:r>
      <w:r>
        <w:rPr>
          <w:rFonts w:hint="eastAsia" w:ascii="宋体" w:hAnsi="宋体" w:eastAsia="宋体" w:cs="宋体"/>
          <w:color w:val="auto"/>
          <w:spacing w:val="-5"/>
          <w:sz w:val="43"/>
          <w:szCs w:val="43"/>
          <w:highlight w:val="none"/>
        </w:rPr>
        <w:t>件</w:t>
      </w:r>
    </w:p>
    <w:p>
      <w:pPr>
        <w:pStyle w:val="2"/>
        <w:spacing w:line="253" w:lineRule="auto"/>
        <w:rPr>
          <w:rFonts w:hint="eastAsia" w:ascii="宋体" w:hAnsi="宋体" w:eastAsia="宋体" w:cs="宋体"/>
          <w:color w:val="auto"/>
          <w:highlight w:val="none"/>
        </w:rPr>
      </w:pPr>
    </w:p>
    <w:p>
      <w:pPr>
        <w:pStyle w:val="2"/>
        <w:spacing w:line="253" w:lineRule="auto"/>
        <w:rPr>
          <w:rFonts w:hint="eastAsia" w:ascii="宋体" w:hAnsi="宋体" w:eastAsia="宋体" w:cs="宋体"/>
          <w:color w:val="auto"/>
          <w:highlight w:val="none"/>
        </w:rPr>
      </w:pPr>
    </w:p>
    <w:p>
      <w:pPr>
        <w:pStyle w:val="2"/>
        <w:spacing w:line="253" w:lineRule="auto"/>
        <w:rPr>
          <w:rFonts w:hint="eastAsia" w:ascii="宋体" w:hAnsi="宋体" w:eastAsia="宋体" w:cs="宋体"/>
          <w:color w:val="auto"/>
          <w:highlight w:val="none"/>
        </w:rPr>
      </w:pPr>
    </w:p>
    <w:p>
      <w:pPr>
        <w:spacing w:before="91" w:line="221" w:lineRule="auto"/>
        <w:ind w:left="1478"/>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项目编号</w:t>
      </w:r>
      <w:r>
        <w:rPr>
          <w:rFonts w:hint="eastAsia" w:ascii="宋体" w:hAnsi="宋体" w:eastAsia="宋体" w:cs="宋体"/>
          <w:color w:val="auto"/>
          <w:spacing w:val="-13"/>
          <w:sz w:val="28"/>
          <w:szCs w:val="28"/>
          <w:highlight w:val="none"/>
        </w:rPr>
        <w:t>：</w:t>
      </w:r>
      <w:r>
        <w:rPr>
          <w:rFonts w:hint="eastAsia" w:ascii="宋体" w:hAnsi="宋体" w:eastAsia="宋体" w:cs="宋体"/>
          <w:color w:val="auto"/>
          <w:spacing w:val="-115"/>
          <w:sz w:val="28"/>
          <w:szCs w:val="28"/>
          <w:highlight w:val="none"/>
        </w:rPr>
        <w:t xml:space="preserve"> </w:t>
      </w:r>
      <w:r>
        <w:rPr>
          <w:rFonts w:hint="eastAsia" w:ascii="宋体" w:hAnsi="宋体" w:eastAsia="宋体" w:cs="宋体"/>
          <w:color w:val="auto"/>
          <w:sz w:val="28"/>
          <w:szCs w:val="28"/>
          <w:highlight w:val="none"/>
          <w:u w:val="single" w:color="auto"/>
        </w:rPr>
        <w:t xml:space="preserve">                  </w:t>
      </w:r>
      <w:r>
        <w:rPr>
          <w:rFonts w:hint="eastAsia" w:ascii="宋体" w:hAnsi="宋体" w:eastAsia="宋体" w:cs="宋体"/>
          <w:color w:val="auto"/>
          <w:spacing w:val="-93"/>
          <w:sz w:val="28"/>
          <w:szCs w:val="28"/>
          <w:highlight w:val="none"/>
        </w:rPr>
        <w:t xml:space="preserve"> </w:t>
      </w:r>
      <w:r>
        <w:rPr>
          <w:rFonts w:hint="eastAsia" w:ascii="宋体" w:hAnsi="宋体" w:eastAsia="宋体" w:cs="宋体"/>
          <w:color w:val="auto"/>
          <w:spacing w:val="-13"/>
          <w:sz w:val="28"/>
          <w:szCs w:val="28"/>
          <w:highlight w:val="none"/>
        </w:rPr>
        <w:t>）</w:t>
      </w: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spacing w:before="91" w:line="219" w:lineRule="auto"/>
        <w:ind w:left="855"/>
        <w:rPr>
          <w:rFonts w:hint="eastAsia" w:ascii="宋体" w:hAnsi="宋体" w:eastAsia="宋体" w:cs="宋体"/>
          <w:color w:val="auto"/>
          <w:sz w:val="28"/>
          <w:szCs w:val="28"/>
          <w:highlight w:val="none"/>
        </w:rPr>
      </w:pPr>
      <w:r>
        <w:rPr>
          <w:rFonts w:hint="eastAsia" w:ascii="宋体" w:hAnsi="宋体" w:eastAsia="宋体" w:cs="宋体"/>
          <w:color w:val="auto"/>
          <w:spacing w:val="-25"/>
          <w:w w:val="98"/>
          <w:sz w:val="28"/>
          <w:szCs w:val="28"/>
          <w:highlight w:val="none"/>
        </w:rPr>
        <w:t>投标人</w:t>
      </w: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1"/>
          <w:sz w:val="28"/>
          <w:szCs w:val="28"/>
          <w:highlight w:val="none"/>
        </w:rPr>
        <w:t xml:space="preserve"> </w:t>
      </w:r>
      <w:r>
        <w:rPr>
          <w:rFonts w:hint="eastAsia" w:ascii="宋体" w:hAnsi="宋体" w:eastAsia="宋体" w:cs="宋体"/>
          <w:color w:val="auto"/>
          <w:sz w:val="28"/>
          <w:szCs w:val="28"/>
          <w:highlight w:val="none"/>
          <w:u w:val="single" w:color="auto"/>
        </w:rPr>
        <w:t xml:space="preserve">                           </w:t>
      </w:r>
      <w:r>
        <w:rPr>
          <w:rFonts w:hint="eastAsia" w:ascii="宋体" w:hAnsi="宋体" w:eastAsia="宋体" w:cs="宋体"/>
          <w:color w:val="auto"/>
          <w:spacing w:val="-57"/>
          <w:sz w:val="28"/>
          <w:szCs w:val="28"/>
          <w:highlight w:val="none"/>
        </w:rPr>
        <w:t xml:space="preserve"> </w:t>
      </w:r>
      <w:r>
        <w:rPr>
          <w:rFonts w:hint="eastAsia" w:ascii="宋体" w:hAnsi="宋体" w:eastAsia="宋体" w:cs="宋体"/>
          <w:color w:val="auto"/>
          <w:spacing w:val="8"/>
          <w:sz w:val="28"/>
          <w:szCs w:val="28"/>
          <w:highlight w:val="none"/>
        </w:rPr>
        <w:t>（</w:t>
      </w:r>
      <w:r>
        <w:rPr>
          <w:rFonts w:hint="eastAsia" w:ascii="宋体" w:hAnsi="宋体" w:eastAsia="宋体" w:cs="宋体"/>
          <w:color w:val="auto"/>
          <w:spacing w:val="-25"/>
          <w:w w:val="98"/>
          <w:sz w:val="28"/>
          <w:szCs w:val="28"/>
          <w:highlight w:val="none"/>
        </w:rPr>
        <w:t>盖单位章）</w:t>
      </w:r>
    </w:p>
    <w:p>
      <w:pPr>
        <w:spacing w:before="213" w:line="219" w:lineRule="auto"/>
        <w:ind w:left="860"/>
        <w:rPr>
          <w:rFonts w:hint="eastAsia" w:ascii="宋体" w:hAnsi="宋体" w:eastAsia="宋体" w:cs="宋体"/>
          <w:color w:val="auto"/>
          <w:sz w:val="28"/>
          <w:szCs w:val="28"/>
          <w:highlight w:val="none"/>
        </w:rPr>
      </w:pPr>
      <w:r>
        <w:rPr>
          <w:rFonts w:hint="eastAsia" w:ascii="宋体" w:hAnsi="宋体" w:eastAsia="宋体" w:cs="宋体"/>
          <w:color w:val="auto"/>
          <w:spacing w:val="-11"/>
          <w:sz w:val="28"/>
          <w:szCs w:val="28"/>
          <w:highlight w:val="none"/>
        </w:rPr>
        <w:t>法定代表人或授权委托人</w:t>
      </w:r>
      <w:r>
        <w:rPr>
          <w:rFonts w:hint="eastAsia" w:ascii="宋体" w:hAnsi="宋体" w:eastAsia="宋体" w:cs="宋体"/>
          <w:color w:val="auto"/>
          <w:spacing w:val="-15"/>
          <w:sz w:val="28"/>
          <w:szCs w:val="28"/>
          <w:highlight w:val="none"/>
        </w:rPr>
        <w:t>：</w:t>
      </w:r>
      <w:r>
        <w:rPr>
          <w:rFonts w:hint="eastAsia" w:ascii="宋体" w:hAnsi="宋体" w:eastAsia="宋体" w:cs="宋体"/>
          <w:color w:val="auto"/>
          <w:spacing w:val="2"/>
          <w:sz w:val="28"/>
          <w:szCs w:val="28"/>
          <w:highlight w:val="none"/>
        </w:rPr>
        <w:t xml:space="preserve"> </w:t>
      </w:r>
      <w:r>
        <w:rPr>
          <w:rFonts w:hint="eastAsia" w:ascii="宋体" w:hAnsi="宋体" w:eastAsia="宋体" w:cs="宋体"/>
          <w:color w:val="auto"/>
          <w:sz w:val="28"/>
          <w:szCs w:val="28"/>
          <w:highlight w:val="none"/>
          <w:u w:val="single" w:color="auto"/>
        </w:rPr>
        <w:t xml:space="preserve">               </w:t>
      </w:r>
      <w:r>
        <w:rPr>
          <w:rFonts w:hint="eastAsia" w:ascii="宋体" w:hAnsi="宋体" w:eastAsia="宋体" w:cs="宋体"/>
          <w:color w:val="auto"/>
          <w:spacing w:val="-15"/>
          <w:sz w:val="28"/>
          <w:szCs w:val="28"/>
          <w:highlight w:val="none"/>
        </w:rPr>
        <w:t>（</w:t>
      </w:r>
      <w:r>
        <w:rPr>
          <w:rFonts w:hint="eastAsia" w:ascii="宋体" w:hAnsi="宋体" w:eastAsia="宋体" w:cs="宋体"/>
          <w:color w:val="auto"/>
          <w:spacing w:val="-11"/>
          <w:sz w:val="28"/>
          <w:szCs w:val="28"/>
          <w:highlight w:val="none"/>
        </w:rPr>
        <w:t>签章）</w: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tabs>
          <w:tab w:val="left" w:pos="3370"/>
        </w:tabs>
        <w:spacing w:before="91" w:line="221" w:lineRule="auto"/>
        <w:ind w:left="2527"/>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color="auto"/>
        </w:rPr>
        <w:tab/>
      </w:r>
      <w:r>
        <w:rPr>
          <w:rFonts w:hint="eastAsia" w:ascii="宋体" w:hAnsi="宋体" w:eastAsia="宋体" w:cs="宋体"/>
          <w:color w:val="auto"/>
          <w:spacing w:val="-127"/>
          <w:sz w:val="28"/>
          <w:szCs w:val="28"/>
          <w:highlight w:val="none"/>
        </w:rPr>
        <w:t xml:space="preserve"> </w:t>
      </w:r>
      <w:r>
        <w:rPr>
          <w:rFonts w:hint="eastAsia" w:ascii="宋体" w:hAnsi="宋体" w:eastAsia="宋体" w:cs="宋体"/>
          <w:color w:val="auto"/>
          <w:spacing w:val="-10"/>
          <w:sz w:val="28"/>
          <w:szCs w:val="28"/>
          <w:highlight w:val="none"/>
        </w:rPr>
        <w:t>年</w:t>
      </w:r>
      <w:r>
        <w:rPr>
          <w:rFonts w:hint="eastAsia" w:ascii="宋体" w:hAnsi="宋体" w:eastAsia="宋体" w:cs="宋体"/>
          <w:color w:val="auto"/>
          <w:spacing w:val="27"/>
          <w:sz w:val="28"/>
          <w:szCs w:val="28"/>
          <w:highlight w:val="none"/>
          <w:u w:val="single" w:color="auto"/>
        </w:rPr>
        <w:t xml:space="preserve">     </w:t>
      </w:r>
      <w:r>
        <w:rPr>
          <w:rFonts w:hint="eastAsia" w:ascii="宋体" w:hAnsi="宋体" w:eastAsia="宋体" w:cs="宋体"/>
          <w:color w:val="auto"/>
          <w:spacing w:val="-120"/>
          <w:sz w:val="28"/>
          <w:szCs w:val="28"/>
          <w:highlight w:val="none"/>
        </w:rPr>
        <w:t xml:space="preserve"> </w:t>
      </w:r>
      <w:r>
        <w:rPr>
          <w:rFonts w:hint="eastAsia" w:ascii="宋体" w:hAnsi="宋体" w:eastAsia="宋体" w:cs="宋体"/>
          <w:color w:val="auto"/>
          <w:spacing w:val="-10"/>
          <w:sz w:val="28"/>
          <w:szCs w:val="28"/>
          <w:highlight w:val="none"/>
        </w:rPr>
        <w:t>月</w:t>
      </w:r>
      <w:r>
        <w:rPr>
          <w:rFonts w:hint="eastAsia" w:ascii="宋体" w:hAnsi="宋体" w:eastAsia="宋体" w:cs="宋体"/>
          <w:color w:val="auto"/>
          <w:sz w:val="28"/>
          <w:szCs w:val="28"/>
          <w:highlight w:val="none"/>
          <w:u w:val="single" w:color="auto"/>
        </w:rPr>
        <w:t xml:space="preserve">     </w:t>
      </w:r>
      <w:r>
        <w:rPr>
          <w:rFonts w:hint="eastAsia" w:ascii="宋体" w:hAnsi="宋体" w:eastAsia="宋体" w:cs="宋体"/>
          <w:color w:val="auto"/>
          <w:spacing w:val="-84"/>
          <w:sz w:val="28"/>
          <w:szCs w:val="28"/>
          <w:highlight w:val="none"/>
        </w:rPr>
        <w:t xml:space="preserve"> </w:t>
      </w:r>
      <w:r>
        <w:rPr>
          <w:rFonts w:hint="eastAsia" w:ascii="宋体" w:hAnsi="宋体" w:eastAsia="宋体" w:cs="宋体"/>
          <w:color w:val="auto"/>
          <w:spacing w:val="-10"/>
          <w:sz w:val="28"/>
          <w:szCs w:val="28"/>
          <w:highlight w:val="none"/>
        </w:rPr>
        <w:t>日</w:t>
      </w:r>
    </w:p>
    <w:p>
      <w:pPr>
        <w:spacing w:line="221" w:lineRule="auto"/>
        <w:rPr>
          <w:rFonts w:hint="eastAsia" w:ascii="宋体" w:hAnsi="宋体" w:eastAsia="宋体" w:cs="宋体"/>
          <w:color w:val="auto"/>
          <w:sz w:val="28"/>
          <w:szCs w:val="28"/>
          <w:highlight w:val="none"/>
        </w:rPr>
        <w:sectPr>
          <w:footerReference r:id="rId132" w:type="default"/>
          <w:pgSz w:w="11905" w:h="16843"/>
          <w:pgMar w:top="1769" w:right="1548" w:bottom="1003" w:left="1542" w:header="0" w:footer="828" w:gutter="0"/>
          <w:pgNumType w:fmt="numberInDash"/>
          <w:cols w:space="0" w:num="1"/>
          <w:rtlGutter w:val="0"/>
          <w:docGrid w:linePitch="0" w:charSpace="0"/>
        </w:sectPr>
      </w:pPr>
    </w:p>
    <w:p>
      <w:pPr>
        <w:pStyle w:val="2"/>
        <w:spacing w:line="256" w:lineRule="auto"/>
        <w:rPr>
          <w:rFonts w:hint="eastAsia" w:ascii="宋体" w:hAnsi="宋体" w:eastAsia="宋体" w:cs="宋体"/>
          <w:color w:val="auto"/>
          <w:highlight w:val="none"/>
        </w:rPr>
      </w:pPr>
    </w:p>
    <w:p>
      <w:pPr>
        <w:pStyle w:val="2"/>
        <w:spacing w:line="256" w:lineRule="auto"/>
        <w:rPr>
          <w:rFonts w:hint="eastAsia" w:ascii="宋体" w:hAnsi="宋体" w:eastAsia="宋体" w:cs="宋体"/>
          <w:color w:val="auto"/>
          <w:highlight w:val="none"/>
        </w:rPr>
      </w:pPr>
    </w:p>
    <w:p>
      <w:pPr>
        <w:pStyle w:val="2"/>
        <w:spacing w:line="256" w:lineRule="auto"/>
        <w:rPr>
          <w:rFonts w:hint="eastAsia" w:ascii="宋体" w:hAnsi="宋体" w:eastAsia="宋体" w:cs="宋体"/>
          <w:color w:val="auto"/>
          <w:highlight w:val="none"/>
        </w:rPr>
      </w:pPr>
    </w:p>
    <w:p>
      <w:pPr>
        <w:pStyle w:val="2"/>
        <w:spacing w:line="257" w:lineRule="auto"/>
        <w:rPr>
          <w:rFonts w:hint="eastAsia" w:ascii="宋体" w:hAnsi="宋体" w:eastAsia="宋体" w:cs="宋体"/>
          <w:color w:val="auto"/>
          <w:highlight w:val="none"/>
        </w:rPr>
      </w:pPr>
    </w:p>
    <w:p>
      <w:pPr>
        <w:spacing w:before="91" w:line="219" w:lineRule="auto"/>
        <w:ind w:left="3929"/>
        <w:rPr>
          <w:rFonts w:hint="eastAsia" w:ascii="宋体" w:hAnsi="宋体" w:eastAsia="宋体" w:cs="宋体"/>
          <w:color w:val="auto"/>
          <w:sz w:val="28"/>
          <w:szCs w:val="28"/>
          <w:highlight w:val="none"/>
        </w:rPr>
      </w:pPr>
      <w:bookmarkStart w:id="404" w:name="bookmark445"/>
      <w:bookmarkEnd w:id="404"/>
      <w:bookmarkStart w:id="405" w:name="bookmark446"/>
      <w:bookmarkEnd w:id="405"/>
      <w:bookmarkStart w:id="406" w:name="bookmark444"/>
      <w:bookmarkEnd w:id="406"/>
      <w:r>
        <w:rPr>
          <w:rFonts w:hint="eastAsia" w:ascii="宋体" w:hAnsi="宋体" w:eastAsia="宋体" w:cs="宋体"/>
          <w:color w:val="auto"/>
          <w:spacing w:val="-23"/>
          <w:sz w:val="28"/>
          <w:szCs w:val="28"/>
          <w:highlight w:val="none"/>
        </w:rPr>
        <w:t>目</w:t>
      </w:r>
      <w:r>
        <w:rPr>
          <w:rFonts w:hint="eastAsia" w:ascii="宋体" w:hAnsi="宋体" w:eastAsia="宋体" w:cs="宋体"/>
          <w:color w:val="auto"/>
          <w:spacing w:val="2"/>
          <w:sz w:val="28"/>
          <w:szCs w:val="28"/>
          <w:highlight w:val="none"/>
        </w:rPr>
        <w:t xml:space="preserve">    </w:t>
      </w:r>
      <w:r>
        <w:rPr>
          <w:rFonts w:hint="eastAsia" w:ascii="宋体" w:hAnsi="宋体" w:eastAsia="宋体" w:cs="宋体"/>
          <w:color w:val="auto"/>
          <w:spacing w:val="-23"/>
          <w:sz w:val="28"/>
          <w:szCs w:val="28"/>
          <w:highlight w:val="none"/>
        </w:rPr>
        <w:t>录</w:t>
      </w:r>
    </w:p>
    <w:p>
      <w:pPr>
        <w:pStyle w:val="2"/>
        <w:spacing w:line="271" w:lineRule="auto"/>
        <w:rPr>
          <w:rFonts w:hint="eastAsia" w:ascii="宋体" w:hAnsi="宋体" w:eastAsia="宋体" w:cs="宋体"/>
          <w:color w:val="auto"/>
          <w:highlight w:val="none"/>
        </w:rPr>
      </w:pPr>
    </w:p>
    <w:p>
      <w:pPr>
        <w:pStyle w:val="2"/>
        <w:spacing w:line="271" w:lineRule="auto"/>
        <w:rPr>
          <w:rFonts w:hint="eastAsia" w:ascii="宋体" w:hAnsi="宋体" w:eastAsia="宋体" w:cs="宋体"/>
          <w:color w:val="auto"/>
          <w:highlight w:val="none"/>
        </w:rPr>
      </w:pPr>
    </w:p>
    <w:p>
      <w:pPr>
        <w:pStyle w:val="2"/>
        <w:spacing w:line="271" w:lineRule="auto"/>
        <w:rPr>
          <w:rFonts w:hint="eastAsia" w:ascii="宋体" w:hAnsi="宋体" w:eastAsia="宋体" w:cs="宋体"/>
          <w:color w:val="auto"/>
          <w:highlight w:val="none"/>
        </w:rPr>
      </w:pPr>
    </w:p>
    <w:p>
      <w:pPr>
        <w:spacing w:before="68" w:line="600" w:lineRule="exact"/>
        <w:ind w:left="4"/>
        <w:rPr>
          <w:rFonts w:hint="eastAsia" w:ascii="宋体" w:hAnsi="宋体" w:eastAsia="宋体" w:cs="宋体"/>
          <w:color w:val="auto"/>
          <w:sz w:val="21"/>
          <w:szCs w:val="21"/>
          <w:highlight w:val="none"/>
        </w:rPr>
      </w:pPr>
      <w:r>
        <w:rPr>
          <w:rFonts w:hint="eastAsia" w:ascii="宋体" w:hAnsi="宋体" w:eastAsia="宋体" w:cs="宋体"/>
          <w:color w:val="auto"/>
          <w:spacing w:val="-1"/>
          <w:position w:val="30"/>
          <w:sz w:val="21"/>
          <w:szCs w:val="21"/>
          <w:highlight w:val="none"/>
        </w:rPr>
        <w:t>一、投标函及投标函附录等</w:t>
      </w:r>
    </w:p>
    <w:p>
      <w:pPr>
        <w:spacing w:line="220" w:lineRule="auto"/>
        <w:ind w:left="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二、法定代表人身份证明</w:t>
      </w:r>
    </w:p>
    <w:p>
      <w:pPr>
        <w:pStyle w:val="2"/>
        <w:spacing w:line="278" w:lineRule="auto"/>
        <w:rPr>
          <w:rFonts w:hint="eastAsia" w:ascii="宋体" w:hAnsi="宋体" w:eastAsia="宋体" w:cs="宋体"/>
          <w:color w:val="auto"/>
          <w:highlight w:val="none"/>
        </w:rPr>
      </w:pPr>
    </w:p>
    <w:p>
      <w:pPr>
        <w:spacing w:before="69" w:line="220" w:lineRule="auto"/>
        <w:ind w:left="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lang w:eastAsia="zh-CN"/>
        </w:rPr>
        <w:t>三</w:t>
      </w:r>
      <w:r>
        <w:rPr>
          <w:rFonts w:hint="eastAsia" w:ascii="宋体" w:hAnsi="宋体" w:eastAsia="宋体" w:cs="宋体"/>
          <w:color w:val="auto"/>
          <w:spacing w:val="-2"/>
          <w:sz w:val="21"/>
          <w:szCs w:val="21"/>
          <w:highlight w:val="none"/>
        </w:rPr>
        <w:t>、授权委托书</w:t>
      </w:r>
    </w:p>
    <w:p>
      <w:pPr>
        <w:pStyle w:val="2"/>
        <w:spacing w:line="280" w:lineRule="auto"/>
        <w:rPr>
          <w:rFonts w:hint="eastAsia" w:ascii="宋体" w:hAnsi="宋体" w:eastAsia="宋体" w:cs="宋体"/>
          <w:color w:val="auto"/>
          <w:highlight w:val="none"/>
        </w:rPr>
      </w:pPr>
    </w:p>
    <w:p>
      <w:pPr>
        <w:spacing w:before="69" w:line="221" w:lineRule="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lang w:eastAsia="zh-CN"/>
        </w:rPr>
        <w:t>四</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12"/>
          <w:sz w:val="21"/>
          <w:szCs w:val="21"/>
          <w:highlight w:val="none"/>
        </w:rPr>
        <w:t>投标保证金</w:t>
      </w:r>
    </w:p>
    <w:p>
      <w:pPr>
        <w:pStyle w:val="2"/>
        <w:spacing w:line="278" w:lineRule="auto"/>
        <w:rPr>
          <w:rFonts w:hint="eastAsia" w:ascii="宋体" w:hAnsi="宋体" w:eastAsia="宋体" w:cs="宋体"/>
          <w:color w:val="auto"/>
          <w:highlight w:val="none"/>
        </w:rPr>
      </w:pPr>
    </w:p>
    <w:p>
      <w:pPr>
        <w:spacing w:before="68" w:line="600" w:lineRule="exact"/>
        <w:ind w:left="20"/>
        <w:rPr>
          <w:rFonts w:hint="eastAsia" w:ascii="宋体" w:hAnsi="宋体" w:eastAsia="宋体" w:cs="宋体"/>
          <w:color w:val="auto"/>
          <w:sz w:val="21"/>
          <w:szCs w:val="21"/>
          <w:highlight w:val="none"/>
        </w:rPr>
      </w:pPr>
      <w:r>
        <w:rPr>
          <w:rFonts w:hint="eastAsia" w:ascii="宋体" w:hAnsi="宋体" w:eastAsia="宋体" w:cs="宋体"/>
          <w:color w:val="auto"/>
          <w:spacing w:val="-8"/>
          <w:position w:val="30"/>
          <w:sz w:val="21"/>
          <w:szCs w:val="21"/>
          <w:highlight w:val="none"/>
          <w:lang w:eastAsia="zh-CN"/>
        </w:rPr>
        <w:t>五</w:t>
      </w:r>
      <w:r>
        <w:rPr>
          <w:rFonts w:hint="eastAsia" w:ascii="宋体" w:hAnsi="宋体" w:eastAsia="宋体" w:cs="宋体"/>
          <w:color w:val="auto"/>
          <w:spacing w:val="-8"/>
          <w:position w:val="30"/>
          <w:sz w:val="21"/>
          <w:szCs w:val="21"/>
          <w:highlight w:val="none"/>
        </w:rPr>
        <w:t>、</w:t>
      </w:r>
      <w:r>
        <w:rPr>
          <w:rFonts w:hint="eastAsia" w:ascii="宋体" w:hAnsi="宋体" w:eastAsia="宋体" w:cs="宋体"/>
          <w:color w:val="auto"/>
          <w:spacing w:val="-35"/>
          <w:position w:val="30"/>
          <w:sz w:val="21"/>
          <w:szCs w:val="21"/>
          <w:highlight w:val="none"/>
        </w:rPr>
        <w:t xml:space="preserve"> </w:t>
      </w:r>
      <w:r>
        <w:rPr>
          <w:rFonts w:hint="eastAsia" w:ascii="宋体" w:hAnsi="宋体" w:eastAsia="宋体" w:cs="宋体"/>
          <w:color w:val="auto"/>
          <w:spacing w:val="-8"/>
          <w:position w:val="30"/>
          <w:sz w:val="21"/>
          <w:szCs w:val="21"/>
          <w:highlight w:val="none"/>
        </w:rPr>
        <w:t>联合体协议书（如有）</w:t>
      </w:r>
    </w:p>
    <w:p>
      <w:pPr>
        <w:spacing w:before="1" w:line="219" w:lineRule="auto"/>
        <w:ind w:left="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六</w:t>
      </w:r>
      <w:r>
        <w:rPr>
          <w:rFonts w:hint="eastAsia" w:ascii="宋体" w:hAnsi="宋体" w:eastAsia="宋体" w:cs="宋体"/>
          <w:color w:val="auto"/>
          <w:spacing w:val="-1"/>
          <w:sz w:val="21"/>
          <w:szCs w:val="21"/>
          <w:highlight w:val="none"/>
        </w:rPr>
        <w:t>、拟分包项目情况表</w:t>
      </w:r>
    </w:p>
    <w:p>
      <w:pPr>
        <w:pStyle w:val="2"/>
        <w:spacing w:line="279" w:lineRule="auto"/>
        <w:rPr>
          <w:rFonts w:hint="eastAsia" w:ascii="宋体" w:hAnsi="宋体" w:eastAsia="宋体" w:cs="宋体"/>
          <w:color w:val="auto"/>
          <w:highlight w:val="none"/>
        </w:rPr>
      </w:pPr>
    </w:p>
    <w:p>
      <w:pPr>
        <w:spacing w:before="69" w:line="220" w:lineRule="auto"/>
        <w:ind w:left="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七</w:t>
      </w:r>
      <w:r>
        <w:rPr>
          <w:rFonts w:hint="eastAsia" w:ascii="宋体" w:hAnsi="宋体" w:eastAsia="宋体" w:cs="宋体"/>
          <w:color w:val="auto"/>
          <w:spacing w:val="-1"/>
          <w:sz w:val="21"/>
          <w:szCs w:val="21"/>
          <w:highlight w:val="none"/>
        </w:rPr>
        <w:t>、项目管理机构</w:t>
      </w:r>
    </w:p>
    <w:p>
      <w:pPr>
        <w:pStyle w:val="2"/>
        <w:spacing w:line="279" w:lineRule="auto"/>
        <w:rPr>
          <w:rFonts w:hint="eastAsia" w:ascii="宋体" w:hAnsi="宋体" w:eastAsia="宋体" w:cs="宋体"/>
          <w:color w:val="auto"/>
          <w:highlight w:val="none"/>
        </w:rPr>
      </w:pPr>
    </w:p>
    <w:p>
      <w:pPr>
        <w:spacing w:before="69" w:line="221" w:lineRule="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八</w:t>
      </w:r>
      <w:r>
        <w:rPr>
          <w:rFonts w:hint="eastAsia" w:ascii="宋体" w:hAnsi="宋体" w:eastAsia="宋体" w:cs="宋体"/>
          <w:color w:val="auto"/>
          <w:spacing w:val="-1"/>
          <w:sz w:val="21"/>
          <w:szCs w:val="21"/>
          <w:highlight w:val="none"/>
        </w:rPr>
        <w:t>、资格审查资料</w:t>
      </w:r>
    </w:p>
    <w:p>
      <w:pPr>
        <w:pStyle w:val="2"/>
        <w:spacing w:line="279" w:lineRule="auto"/>
        <w:rPr>
          <w:rFonts w:hint="eastAsia" w:ascii="宋体" w:hAnsi="宋体" w:eastAsia="宋体" w:cs="宋体"/>
          <w:color w:val="auto"/>
          <w:highlight w:val="none"/>
        </w:rPr>
      </w:pPr>
    </w:p>
    <w:p>
      <w:pPr>
        <w:spacing w:before="69" w:line="219" w:lineRule="auto"/>
        <w:ind w:left="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lang w:eastAsia="zh-CN"/>
        </w:rPr>
        <w:t>九</w:t>
      </w:r>
      <w:r>
        <w:rPr>
          <w:rFonts w:hint="eastAsia" w:ascii="宋体" w:hAnsi="宋体" w:eastAsia="宋体" w:cs="宋体"/>
          <w:color w:val="auto"/>
          <w:spacing w:val="-1"/>
          <w:sz w:val="21"/>
          <w:szCs w:val="21"/>
          <w:highlight w:val="none"/>
        </w:rPr>
        <w:t>、已标价工程量清单</w:t>
      </w:r>
    </w:p>
    <w:p>
      <w:pPr>
        <w:pStyle w:val="2"/>
        <w:spacing w:line="280" w:lineRule="auto"/>
        <w:rPr>
          <w:rFonts w:hint="eastAsia" w:ascii="宋体" w:hAnsi="宋体" w:eastAsia="宋体" w:cs="宋体"/>
          <w:color w:val="auto"/>
          <w:highlight w:val="none"/>
        </w:rPr>
      </w:pPr>
    </w:p>
    <w:p>
      <w:pPr>
        <w:spacing w:before="69" w:line="600" w:lineRule="exact"/>
        <w:ind w:left="5"/>
        <w:rPr>
          <w:rFonts w:hint="eastAsia" w:ascii="宋体" w:hAnsi="宋体" w:eastAsia="宋体" w:cs="宋体"/>
          <w:color w:val="auto"/>
          <w:sz w:val="21"/>
          <w:szCs w:val="21"/>
          <w:highlight w:val="none"/>
        </w:rPr>
      </w:pPr>
      <w:r>
        <w:rPr>
          <w:rFonts w:hint="eastAsia" w:ascii="宋体" w:hAnsi="宋体" w:eastAsia="宋体" w:cs="宋体"/>
          <w:color w:val="auto"/>
          <w:spacing w:val="-2"/>
          <w:position w:val="30"/>
          <w:sz w:val="21"/>
          <w:szCs w:val="21"/>
          <w:highlight w:val="none"/>
          <w:lang w:eastAsia="zh-CN"/>
        </w:rPr>
        <w:t>十</w:t>
      </w:r>
      <w:r>
        <w:rPr>
          <w:rFonts w:hint="eastAsia" w:ascii="宋体" w:hAnsi="宋体" w:eastAsia="宋体" w:cs="宋体"/>
          <w:color w:val="auto"/>
          <w:spacing w:val="-2"/>
          <w:position w:val="30"/>
          <w:sz w:val="21"/>
          <w:szCs w:val="21"/>
          <w:highlight w:val="none"/>
        </w:rPr>
        <w:t>、施工组织设计</w:t>
      </w:r>
    </w:p>
    <w:p>
      <w:pPr>
        <w:spacing w:line="221" w:lineRule="auto"/>
        <w:ind w:left="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十</w:t>
      </w:r>
      <w:r>
        <w:rPr>
          <w:rFonts w:hint="eastAsia" w:ascii="宋体" w:hAnsi="宋体" w:eastAsia="宋体" w:cs="宋体"/>
          <w:color w:val="auto"/>
          <w:spacing w:val="-1"/>
          <w:sz w:val="21"/>
          <w:szCs w:val="21"/>
          <w:highlight w:val="none"/>
          <w:lang w:eastAsia="zh-CN"/>
        </w:rPr>
        <w:t>一</w:t>
      </w:r>
      <w:r>
        <w:rPr>
          <w:rFonts w:hint="eastAsia" w:ascii="宋体" w:hAnsi="宋体" w:eastAsia="宋体" w:cs="宋体"/>
          <w:color w:val="auto"/>
          <w:spacing w:val="-1"/>
          <w:sz w:val="21"/>
          <w:szCs w:val="21"/>
          <w:highlight w:val="none"/>
        </w:rPr>
        <w:t>、其他资料</w:t>
      </w:r>
    </w:p>
    <w:p>
      <w:pPr>
        <w:spacing w:line="221" w:lineRule="auto"/>
        <w:rPr>
          <w:rFonts w:hint="eastAsia" w:ascii="宋体" w:hAnsi="宋体" w:eastAsia="宋体" w:cs="宋体"/>
          <w:color w:val="auto"/>
          <w:sz w:val="21"/>
          <w:szCs w:val="21"/>
          <w:highlight w:val="none"/>
        </w:rPr>
        <w:sectPr>
          <w:footerReference r:id="rId133" w:type="default"/>
          <w:pgSz w:w="11905" w:h="16843"/>
          <w:pgMar w:top="1769" w:right="1548" w:bottom="1003" w:left="1542" w:header="0" w:footer="828" w:gutter="0"/>
          <w:pgNumType w:fmt="numberInDash"/>
          <w:cols w:space="0" w:num="1"/>
          <w:rtlGutter w:val="0"/>
          <w:docGrid w:linePitch="0" w:charSpace="0"/>
        </w:sectPr>
      </w:pPr>
    </w:p>
    <w:p>
      <w:pPr>
        <w:spacing w:before="91" w:line="219" w:lineRule="auto"/>
        <w:ind w:left="2791"/>
        <w:rPr>
          <w:rFonts w:hint="eastAsia" w:ascii="宋体" w:hAnsi="宋体" w:eastAsia="宋体" w:cs="宋体"/>
          <w:color w:val="auto"/>
          <w:sz w:val="28"/>
          <w:szCs w:val="28"/>
          <w:highlight w:val="none"/>
        </w:rPr>
      </w:pPr>
      <w:bookmarkStart w:id="407" w:name="bookmark447"/>
      <w:bookmarkEnd w:id="407"/>
      <w:r>
        <w:rPr>
          <w:rFonts w:hint="eastAsia" w:ascii="宋体" w:hAnsi="宋体" w:eastAsia="宋体" w:cs="宋体"/>
          <w:color w:val="auto"/>
          <w:spacing w:val="-2"/>
          <w:sz w:val="28"/>
          <w:szCs w:val="28"/>
          <w:highlight w:val="none"/>
        </w:rPr>
        <w:t>一、投标函及投标函附录等</w:t>
      </w:r>
    </w:p>
    <w:p>
      <w:pPr>
        <w:spacing w:before="68" w:line="491" w:lineRule="exact"/>
        <w:ind w:left="3645"/>
        <w:rPr>
          <w:rFonts w:hint="eastAsia" w:ascii="宋体" w:hAnsi="宋体" w:eastAsia="宋体" w:cs="宋体"/>
          <w:color w:val="auto"/>
          <w:sz w:val="28"/>
          <w:szCs w:val="28"/>
          <w:highlight w:val="none"/>
        </w:rPr>
      </w:pPr>
      <w:r>
        <w:rPr>
          <w:rFonts w:hint="eastAsia" w:ascii="宋体" w:hAnsi="宋体" w:eastAsia="宋体" w:cs="宋体"/>
          <w:color w:val="auto"/>
          <w:spacing w:val="-8"/>
          <w:position w:val="15"/>
          <w:sz w:val="28"/>
          <w:szCs w:val="28"/>
          <w:highlight w:val="none"/>
        </w:rPr>
        <w:t>（一）投标函</w:t>
      </w:r>
    </w:p>
    <w:p>
      <w:pPr>
        <w:tabs>
          <w:tab w:val="left" w:pos="2526"/>
        </w:tabs>
        <w:spacing w:line="221" w:lineRule="auto"/>
        <w:ind w:left="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22"/>
          <w:sz w:val="21"/>
          <w:szCs w:val="21"/>
          <w:highlight w:val="none"/>
        </w:rPr>
        <w:t>（招标人名称</w:t>
      </w:r>
      <w:r>
        <w:rPr>
          <w:rFonts w:hint="eastAsia" w:ascii="宋体" w:hAnsi="宋体" w:eastAsia="宋体" w:cs="宋体"/>
          <w:color w:val="auto"/>
          <w:spacing w:val="-19"/>
          <w:sz w:val="21"/>
          <w:szCs w:val="21"/>
          <w:highlight w:val="none"/>
        </w:rPr>
        <w:t>）：</w:t>
      </w:r>
    </w:p>
    <w:p>
      <w:pPr>
        <w:spacing w:before="187" w:line="387" w:lineRule="auto"/>
        <w:ind w:left="37" w:firstLine="41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w:t>
      </w:r>
      <w:r>
        <w:rPr>
          <w:rFonts w:hint="eastAsia" w:ascii="宋体" w:hAnsi="宋体" w:eastAsia="宋体" w:cs="宋体"/>
          <w:color w:val="auto"/>
          <w:spacing w:val="-19"/>
          <w:sz w:val="21"/>
          <w:szCs w:val="21"/>
          <w:highlight w:val="none"/>
        </w:rPr>
        <w:t xml:space="preserve"> </w:t>
      </w:r>
      <w:r>
        <w:rPr>
          <w:rFonts w:hint="eastAsia" w:ascii="宋体" w:hAnsi="宋体" w:eastAsia="宋体" w:cs="宋体"/>
          <w:color w:val="auto"/>
          <w:spacing w:val="3"/>
          <w:sz w:val="21"/>
          <w:szCs w:val="21"/>
          <w:highlight w:val="none"/>
        </w:rPr>
        <w:t>．我方已仔细研究了</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rPr>
        <w:t>（标段名称</w:t>
      </w:r>
      <w:r>
        <w:rPr>
          <w:rFonts w:hint="eastAsia" w:ascii="宋体" w:hAnsi="宋体" w:eastAsia="宋体" w:cs="宋体"/>
          <w:color w:val="auto"/>
          <w:spacing w:val="2"/>
          <w:sz w:val="21"/>
          <w:szCs w:val="21"/>
          <w:highlight w:val="none"/>
        </w:rPr>
        <w:t>）项目招标文件的全部内容，愿意以人民</w:t>
      </w:r>
      <w:r>
        <w:rPr>
          <w:rFonts w:hint="eastAsia" w:ascii="宋体" w:hAnsi="宋体" w:eastAsia="宋体" w:cs="宋体"/>
          <w:color w:val="auto"/>
          <w:spacing w:val="-5"/>
          <w:sz w:val="21"/>
          <w:szCs w:val="21"/>
          <w:highlight w:val="none"/>
        </w:rPr>
        <w:t xml:space="preserve">币（大写）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5"/>
          <w:sz w:val="21"/>
          <w:szCs w:val="21"/>
          <w:highlight w:val="none"/>
        </w:rPr>
        <w:t>元(¥</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40"/>
          <w:sz w:val="21"/>
          <w:szCs w:val="21"/>
          <w:highlight w:val="none"/>
        </w:rPr>
        <w:t xml:space="preserve"> </w:t>
      </w:r>
      <w:r>
        <w:rPr>
          <w:rFonts w:hint="eastAsia" w:ascii="宋体" w:hAnsi="宋体" w:eastAsia="宋体" w:cs="宋体"/>
          <w:color w:val="auto"/>
          <w:spacing w:val="-5"/>
          <w:sz w:val="21"/>
          <w:szCs w:val="21"/>
          <w:highlight w:val="none"/>
        </w:rPr>
        <w:t>元）的投标总报价，工期</w:t>
      </w:r>
      <w:r>
        <w:rPr>
          <w:rFonts w:hint="eastAsia" w:ascii="宋体" w:hAnsi="宋体" w:eastAsia="宋体" w:cs="宋体"/>
          <w:color w:val="auto"/>
          <w:spacing w:val="-103"/>
          <w:sz w:val="21"/>
          <w:szCs w:val="21"/>
          <w:highlight w:val="none"/>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58"/>
          <w:sz w:val="21"/>
          <w:szCs w:val="21"/>
          <w:highlight w:val="none"/>
        </w:rPr>
        <w:t xml:space="preserve"> </w:t>
      </w:r>
      <w:r>
        <w:rPr>
          <w:rFonts w:hint="eastAsia" w:ascii="宋体" w:hAnsi="宋体" w:eastAsia="宋体" w:cs="宋体"/>
          <w:color w:val="auto"/>
          <w:spacing w:val="-5"/>
          <w:sz w:val="21"/>
          <w:szCs w:val="21"/>
          <w:highlight w:val="none"/>
        </w:rPr>
        <w:t>日历天， 按合</w:t>
      </w:r>
      <w:r>
        <w:rPr>
          <w:rFonts w:hint="eastAsia" w:ascii="宋体" w:hAnsi="宋体" w:eastAsia="宋体" w:cs="宋体"/>
          <w:color w:val="auto"/>
          <w:sz w:val="21"/>
          <w:szCs w:val="21"/>
          <w:highlight w:val="none"/>
        </w:rPr>
        <w:t>同约定实施和完成承包工程，修补工程中的任何</w:t>
      </w:r>
      <w:r>
        <w:rPr>
          <w:rFonts w:hint="eastAsia" w:ascii="宋体" w:hAnsi="宋体" w:eastAsia="宋体" w:cs="宋体"/>
          <w:color w:val="auto"/>
          <w:spacing w:val="-1"/>
          <w:sz w:val="21"/>
          <w:szCs w:val="21"/>
          <w:highlight w:val="none"/>
        </w:rPr>
        <w:t>缺陷，工程质量达到</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w:t>
      </w:r>
    </w:p>
    <w:p>
      <w:pPr>
        <w:spacing w:before="220" w:line="422" w:lineRule="auto"/>
        <w:ind w:right="8"/>
        <w:jc w:val="right"/>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2"/>
          <w:sz w:val="21"/>
          <w:szCs w:val="21"/>
          <w:highlight w:val="none"/>
        </w:rPr>
        <w:t>．我方拟派的项目经理</w:t>
      </w:r>
      <w:r>
        <w:rPr>
          <w:rFonts w:hint="eastAsia" w:ascii="宋体" w:hAnsi="宋体" w:eastAsia="宋体" w:cs="宋体"/>
          <w:color w:val="auto"/>
          <w:spacing w:val="-9"/>
          <w:sz w:val="21"/>
          <w:szCs w:val="21"/>
          <w:highlight w:val="none"/>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2"/>
          <w:sz w:val="21"/>
          <w:szCs w:val="21"/>
          <w:highlight w:val="none"/>
        </w:rPr>
        <w:t>姓名</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2"/>
          <w:sz w:val="21"/>
          <w:szCs w:val="21"/>
          <w:highlight w:val="none"/>
        </w:rPr>
        <w:t>证书名称</w:t>
      </w:r>
      <w:r>
        <w:rPr>
          <w:rFonts w:hint="eastAsia" w:ascii="宋体" w:hAnsi="宋体" w:eastAsia="宋体" w:cs="宋体"/>
          <w:color w:val="auto"/>
          <w:spacing w:val="-9"/>
          <w:sz w:val="21"/>
          <w:szCs w:val="21"/>
          <w:highlight w:val="none"/>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75"/>
          <w:sz w:val="21"/>
          <w:szCs w:val="21"/>
          <w:highlight w:val="none"/>
        </w:rPr>
        <w:t xml:space="preserve"> </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2"/>
          <w:sz w:val="21"/>
          <w:szCs w:val="21"/>
          <w:highlight w:val="none"/>
        </w:rPr>
        <w:t>证书编</w:t>
      </w:r>
    </w:p>
    <w:p>
      <w:pPr>
        <w:spacing w:line="222" w:lineRule="auto"/>
        <w:ind w:left="19"/>
        <w:rPr>
          <w:rFonts w:hint="eastAsia" w:ascii="宋体" w:hAnsi="宋体" w:eastAsia="宋体" w:cs="宋体"/>
          <w:color w:val="auto"/>
          <w:sz w:val="21"/>
          <w:szCs w:val="21"/>
          <w:highlight w:val="none"/>
        </w:rPr>
      </w:pPr>
      <w:r>
        <w:rPr>
          <w:rFonts w:hint="eastAsia" w:ascii="宋体" w:hAnsi="宋体" w:eastAsia="宋体" w:cs="宋体"/>
          <w:color w:val="auto"/>
          <w:spacing w:val="-28"/>
          <w:sz w:val="21"/>
          <w:szCs w:val="21"/>
          <w:highlight w:val="none"/>
        </w:rPr>
        <w:t>号：</w:t>
      </w:r>
      <w:r>
        <w:rPr>
          <w:rFonts w:hint="eastAsia" w:ascii="宋体" w:hAnsi="宋体" w:eastAsia="宋体" w:cs="宋体"/>
          <w:color w:val="auto"/>
          <w:spacing w:val="-33"/>
          <w:sz w:val="21"/>
          <w:szCs w:val="21"/>
          <w:highlight w:val="none"/>
        </w:rPr>
        <w:t xml:space="preserve"> </w:t>
      </w:r>
      <w:r>
        <w:rPr>
          <w:rFonts w:hint="eastAsia" w:ascii="宋体" w:hAnsi="宋体" w:eastAsia="宋体" w:cs="宋体"/>
          <w:color w:val="auto"/>
          <w:spacing w:val="8"/>
          <w:sz w:val="21"/>
          <w:szCs w:val="21"/>
          <w:highlight w:val="none"/>
          <w:u w:val="single" w:color="auto"/>
        </w:rPr>
        <w:t xml:space="preserve">            </w:t>
      </w:r>
      <w:r>
        <w:rPr>
          <w:rFonts w:hint="eastAsia" w:ascii="宋体" w:hAnsi="宋体" w:eastAsia="宋体" w:cs="宋体"/>
          <w:color w:val="auto"/>
          <w:spacing w:val="-28"/>
          <w:sz w:val="21"/>
          <w:szCs w:val="21"/>
          <w:highlight w:val="none"/>
        </w:rPr>
        <w:t>。</w:t>
      </w:r>
    </w:p>
    <w:p>
      <w:pPr>
        <w:spacing w:before="196" w:line="221" w:lineRule="auto"/>
        <w:ind w:left="43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3</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2"/>
          <w:sz w:val="21"/>
          <w:szCs w:val="21"/>
          <w:highlight w:val="none"/>
        </w:rPr>
        <w:t>．我方承诺在投标有效期</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92"/>
          <w:sz w:val="21"/>
          <w:szCs w:val="21"/>
          <w:highlight w:val="none"/>
        </w:rPr>
        <w:t xml:space="preserve"> </w:t>
      </w:r>
      <w:r>
        <w:rPr>
          <w:rFonts w:hint="eastAsia" w:ascii="宋体" w:hAnsi="宋体" w:eastAsia="宋体" w:cs="宋体"/>
          <w:color w:val="auto"/>
          <w:spacing w:val="-2"/>
          <w:sz w:val="21"/>
          <w:szCs w:val="21"/>
          <w:highlight w:val="none"/>
        </w:rPr>
        <w:t>天内不修改、撤销投标文件。</w:t>
      </w:r>
    </w:p>
    <w:p>
      <w:pPr>
        <w:spacing w:before="191" w:line="386" w:lineRule="auto"/>
        <w:ind w:left="429"/>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rPr>
        <w:t>4</w:t>
      </w:r>
      <w:r>
        <w:rPr>
          <w:rFonts w:hint="eastAsia" w:ascii="宋体" w:hAnsi="宋体" w:eastAsia="宋体" w:cs="宋体"/>
          <w:color w:val="auto"/>
          <w:spacing w:val="-25"/>
          <w:sz w:val="21"/>
          <w:szCs w:val="21"/>
          <w:highlight w:val="none"/>
        </w:rPr>
        <w:t xml:space="preserve"> </w:t>
      </w:r>
      <w:r>
        <w:rPr>
          <w:rFonts w:hint="eastAsia" w:ascii="宋体" w:hAnsi="宋体" w:eastAsia="宋体" w:cs="宋体"/>
          <w:color w:val="auto"/>
          <w:spacing w:val="1"/>
          <w:sz w:val="21"/>
          <w:szCs w:val="21"/>
          <w:highlight w:val="none"/>
        </w:rPr>
        <w:t>．随同本投标函提交投标保证金一份，金额为人民币（大写）</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5"/>
          <w:sz w:val="21"/>
          <w:szCs w:val="21"/>
          <w:highlight w:val="none"/>
        </w:rPr>
        <w:t xml:space="preserve"> </w:t>
      </w:r>
      <w:r>
        <w:rPr>
          <w:rFonts w:hint="eastAsia" w:ascii="宋体" w:hAnsi="宋体" w:eastAsia="宋体" w:cs="宋体"/>
          <w:color w:val="auto"/>
          <w:spacing w:val="1"/>
          <w:sz w:val="21"/>
          <w:szCs w:val="21"/>
          <w:highlight w:val="none"/>
        </w:rPr>
        <w:t>元(¥</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p>
    <w:p>
      <w:pPr>
        <w:spacing w:line="221" w:lineRule="auto"/>
        <w:ind w:left="436"/>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5</w:t>
      </w:r>
      <w:r>
        <w:rPr>
          <w:rFonts w:hint="eastAsia" w:ascii="宋体" w:hAnsi="宋体" w:eastAsia="宋体" w:cs="宋体"/>
          <w:color w:val="auto"/>
          <w:spacing w:val="-21"/>
          <w:sz w:val="21"/>
          <w:szCs w:val="21"/>
          <w:highlight w:val="none"/>
        </w:rPr>
        <w:t xml:space="preserve"> </w:t>
      </w:r>
      <w:r>
        <w:rPr>
          <w:rFonts w:hint="eastAsia" w:ascii="宋体" w:hAnsi="宋体" w:eastAsia="宋体" w:cs="宋体"/>
          <w:color w:val="auto"/>
          <w:spacing w:val="-5"/>
          <w:sz w:val="21"/>
          <w:szCs w:val="21"/>
          <w:highlight w:val="none"/>
        </w:rPr>
        <w:t>．如我方中标：</w:t>
      </w:r>
    </w:p>
    <w:p>
      <w:pPr>
        <w:spacing w:before="187" w:line="220" w:lineRule="auto"/>
        <w:ind w:left="73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（1）我方承诺在收到中标通知书后，在中标通知书规定的期限内与你方签订合同。</w:t>
      </w:r>
    </w:p>
    <w:p>
      <w:pPr>
        <w:spacing w:before="192" w:line="439" w:lineRule="exact"/>
        <w:ind w:left="738"/>
        <w:rPr>
          <w:rFonts w:hint="eastAsia" w:ascii="宋体" w:hAnsi="宋体" w:eastAsia="宋体" w:cs="宋体"/>
          <w:color w:val="auto"/>
          <w:sz w:val="21"/>
          <w:szCs w:val="21"/>
          <w:highlight w:val="none"/>
        </w:rPr>
      </w:pPr>
      <w:r>
        <w:rPr>
          <w:rFonts w:hint="eastAsia" w:ascii="宋体" w:hAnsi="宋体" w:eastAsia="宋体" w:cs="宋体"/>
          <w:color w:val="auto"/>
          <w:spacing w:val="-1"/>
          <w:position w:val="17"/>
          <w:sz w:val="21"/>
          <w:szCs w:val="21"/>
          <w:highlight w:val="none"/>
        </w:rPr>
        <w:t>（2）随同本投标函递交的投标函附录属于合同文件的组成部分。</w:t>
      </w:r>
    </w:p>
    <w:p>
      <w:pPr>
        <w:spacing w:before="1" w:line="220" w:lineRule="auto"/>
        <w:ind w:left="73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（3）我方承诺按照招标文件规定向你方递交履约保证金。</w:t>
      </w:r>
    </w:p>
    <w:p>
      <w:pPr>
        <w:spacing w:before="188" w:line="221" w:lineRule="auto"/>
        <w:ind w:left="738"/>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（4）我方承诺在合同约定的期限内完成并移交全部合同工程。</w:t>
      </w:r>
    </w:p>
    <w:p>
      <w:pPr>
        <w:spacing w:before="190" w:line="440" w:lineRule="exact"/>
        <w:ind w:right="7"/>
        <w:jc w:val="right"/>
        <w:rPr>
          <w:rFonts w:hint="eastAsia" w:ascii="宋体" w:hAnsi="宋体" w:eastAsia="宋体" w:cs="宋体"/>
          <w:color w:val="auto"/>
          <w:sz w:val="21"/>
          <w:szCs w:val="21"/>
          <w:highlight w:val="none"/>
        </w:rPr>
      </w:pPr>
      <w:r>
        <w:rPr>
          <w:rFonts w:hint="eastAsia" w:ascii="宋体" w:hAnsi="宋体" w:eastAsia="宋体" w:cs="宋体"/>
          <w:color w:val="auto"/>
          <w:spacing w:val="4"/>
          <w:position w:val="17"/>
          <w:sz w:val="21"/>
          <w:szCs w:val="21"/>
          <w:highlight w:val="none"/>
        </w:rPr>
        <w:t>6</w:t>
      </w:r>
      <w:r>
        <w:rPr>
          <w:rFonts w:hint="eastAsia" w:ascii="宋体" w:hAnsi="宋体" w:eastAsia="宋体" w:cs="宋体"/>
          <w:color w:val="auto"/>
          <w:spacing w:val="-20"/>
          <w:position w:val="17"/>
          <w:sz w:val="21"/>
          <w:szCs w:val="21"/>
          <w:highlight w:val="none"/>
        </w:rPr>
        <w:t xml:space="preserve"> </w:t>
      </w:r>
      <w:r>
        <w:rPr>
          <w:rFonts w:hint="eastAsia" w:ascii="宋体" w:hAnsi="宋体" w:eastAsia="宋体" w:cs="宋体"/>
          <w:color w:val="auto"/>
          <w:spacing w:val="4"/>
          <w:position w:val="17"/>
          <w:sz w:val="21"/>
          <w:szCs w:val="21"/>
          <w:highlight w:val="none"/>
        </w:rPr>
        <w:t>．我方在此声明，所递交的投标文件及有关</w:t>
      </w:r>
      <w:r>
        <w:rPr>
          <w:rFonts w:hint="eastAsia" w:ascii="宋体" w:hAnsi="宋体" w:eastAsia="宋体" w:cs="宋体"/>
          <w:color w:val="auto"/>
          <w:spacing w:val="3"/>
          <w:position w:val="17"/>
          <w:sz w:val="21"/>
          <w:szCs w:val="21"/>
          <w:highlight w:val="none"/>
        </w:rPr>
        <w:t>资料内容完整、真实和准确，且不存在第二章</w:t>
      </w:r>
    </w:p>
    <w:p>
      <w:pPr>
        <w:spacing w:line="220" w:lineRule="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“投标人须知”第</w:t>
      </w:r>
      <w:r>
        <w:rPr>
          <w:rFonts w:hint="eastAsia" w:ascii="宋体" w:hAnsi="宋体" w:eastAsia="宋体" w:cs="宋体"/>
          <w:color w:val="auto"/>
          <w:spacing w:val="-20"/>
          <w:sz w:val="21"/>
          <w:szCs w:val="21"/>
          <w:highlight w:val="none"/>
        </w:rPr>
        <w:t xml:space="preserve"> </w:t>
      </w:r>
      <w:r>
        <w:rPr>
          <w:rFonts w:hint="eastAsia" w:ascii="宋体" w:hAnsi="宋体" w:eastAsia="宋体" w:cs="宋体"/>
          <w:color w:val="auto"/>
          <w:spacing w:val="-1"/>
          <w:sz w:val="21"/>
          <w:szCs w:val="21"/>
          <w:highlight w:val="none"/>
        </w:rPr>
        <w:t>1.4.3 项规定的任何一种情形。</w:t>
      </w:r>
    </w:p>
    <w:p>
      <w:pPr>
        <w:spacing w:before="188" w:line="221" w:lineRule="auto"/>
        <w:ind w:left="433"/>
        <w:rPr>
          <w:rFonts w:hint="eastAsia" w:ascii="宋体" w:hAnsi="宋体" w:eastAsia="宋体" w:cs="宋体"/>
          <w:color w:val="auto"/>
          <w:spacing w:val="-11"/>
          <w:sz w:val="21"/>
          <w:szCs w:val="21"/>
          <w:highlight w:val="none"/>
        </w:rPr>
      </w:pPr>
      <w:r>
        <w:rPr>
          <w:rFonts w:hint="eastAsia" w:ascii="宋体" w:hAnsi="宋体" w:eastAsia="宋体" w:cs="宋体"/>
          <w:color w:val="auto"/>
          <w:spacing w:val="-11"/>
          <w:sz w:val="21"/>
          <w:szCs w:val="21"/>
          <w:highlight w:val="none"/>
        </w:rPr>
        <w:t>7</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28"/>
          <w:sz w:val="21"/>
          <w:szCs w:val="21"/>
          <w:highlight w:val="none"/>
        </w:rPr>
        <w:t>．</w:t>
      </w:r>
      <w:r>
        <w:rPr>
          <w:rFonts w:hint="eastAsia" w:ascii="宋体" w:hAnsi="宋体" w:eastAsia="宋体" w:cs="宋体"/>
          <w:color w:val="auto"/>
          <w:spacing w:val="-28"/>
          <w:sz w:val="21"/>
          <w:szCs w:val="21"/>
          <w:highlight w:val="none"/>
          <w:lang w:val="en-US" w:eastAsia="zh-CN"/>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hint="eastAsia" w:ascii="宋体" w:hAnsi="宋体" w:eastAsia="宋体" w:cs="宋体"/>
          <w:color w:val="auto"/>
          <w:spacing w:val="-28"/>
          <w:sz w:val="21"/>
          <w:szCs w:val="21"/>
          <w:highlight w:val="none"/>
        </w:rPr>
        <w:t>（</w:t>
      </w:r>
      <w:r>
        <w:rPr>
          <w:rFonts w:hint="eastAsia" w:ascii="宋体" w:hAnsi="宋体" w:eastAsia="宋体" w:cs="宋体"/>
          <w:color w:val="auto"/>
          <w:spacing w:val="-11"/>
          <w:sz w:val="21"/>
          <w:szCs w:val="21"/>
          <w:highlight w:val="none"/>
        </w:rPr>
        <w:t>其他补充说明）。</w:t>
      </w:r>
    </w:p>
    <w:p>
      <w:pPr>
        <w:spacing w:before="188" w:line="221" w:lineRule="auto"/>
        <w:ind w:left="433"/>
        <w:rPr>
          <w:rFonts w:hint="eastAsia" w:ascii="宋体" w:hAnsi="宋体" w:eastAsia="宋体" w:cs="宋体"/>
          <w:color w:val="auto"/>
          <w:spacing w:val="-11"/>
          <w:sz w:val="21"/>
          <w:szCs w:val="21"/>
          <w:highlight w:val="none"/>
        </w:rPr>
      </w:pP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投</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20"/>
          <w:sz w:val="21"/>
          <w:szCs w:val="21"/>
          <w:highlight w:val="none"/>
        </w:rPr>
        <w:t>标</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0"/>
          <w:sz w:val="21"/>
          <w:szCs w:val="21"/>
          <w:highlight w:val="none"/>
        </w:rPr>
        <w:t>人</w:t>
      </w:r>
      <w:r>
        <w:rPr>
          <w:rFonts w:hint="eastAsia" w:ascii="宋体" w:hAnsi="宋体" w:eastAsia="宋体" w:cs="宋体"/>
          <w:color w:val="auto"/>
          <w:sz w:val="21"/>
          <w:szCs w:val="21"/>
          <w:highlight w:val="none"/>
        </w:rPr>
        <w:t>：</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pacing w:val="-20"/>
          <w:sz w:val="21"/>
          <w:szCs w:val="21"/>
          <w:highlight w:val="none"/>
        </w:rPr>
        <w:t>盖单位章）</w:t>
      </w: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pacing w:val="-20"/>
          <w:sz w:val="21"/>
          <w:szCs w:val="21"/>
          <w:highlight w:val="none"/>
        </w:rPr>
      </w:pPr>
      <w:r>
        <w:rPr>
          <w:rFonts w:hint="eastAsia" w:ascii="宋体" w:hAnsi="宋体" w:eastAsia="宋体" w:cs="宋体"/>
          <w:color w:val="auto"/>
          <w:spacing w:val="-20"/>
          <w:sz w:val="21"/>
          <w:szCs w:val="21"/>
          <w:highlight w:val="none"/>
        </w:rPr>
        <w:t>法定代表人或授权委托人：</w:t>
      </w:r>
      <w:r>
        <w:rPr>
          <w:rFonts w:hint="eastAsia" w:ascii="宋体" w:hAnsi="宋体" w:eastAsia="宋体" w:cs="宋体"/>
          <w:color w:val="auto"/>
          <w:spacing w:val="-20"/>
          <w:sz w:val="21"/>
          <w:szCs w:val="21"/>
          <w:highlight w:val="none"/>
          <w:u w:val="single"/>
        </w:rPr>
        <w:t xml:space="preserve">                        </w:t>
      </w:r>
      <w:r>
        <w:rPr>
          <w:rFonts w:hint="eastAsia" w:ascii="宋体" w:hAnsi="宋体" w:eastAsia="宋体" w:cs="宋体"/>
          <w:color w:val="auto"/>
          <w:spacing w:val="-20"/>
          <w:sz w:val="21"/>
          <w:szCs w:val="21"/>
          <w:highlight w:val="none"/>
        </w:rPr>
        <w:t>（签章）</w:t>
      </w: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pacing w:val="-20"/>
          <w:sz w:val="21"/>
          <w:szCs w:val="21"/>
          <w:highlight w:val="none"/>
        </w:rPr>
        <w:t>地址：</w:t>
      </w:r>
      <w:r>
        <w:rPr>
          <w:rFonts w:hint="eastAsia" w:ascii="宋体" w:hAnsi="宋体" w:eastAsia="宋体" w:cs="宋体"/>
          <w:color w:val="auto"/>
          <w:spacing w:val="-20"/>
          <w:sz w:val="21"/>
          <w:szCs w:val="21"/>
          <w:highlight w:val="none"/>
          <w:u w:val="single"/>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pacing w:val="-20"/>
          <w:sz w:val="21"/>
          <w:szCs w:val="21"/>
          <w:highlight w:val="none"/>
        </w:rPr>
        <w:t>网址：</w:t>
      </w:r>
      <w:r>
        <w:rPr>
          <w:rFonts w:hint="eastAsia" w:ascii="宋体" w:hAnsi="宋体" w:eastAsia="宋体" w:cs="宋体"/>
          <w:color w:val="auto"/>
          <w:spacing w:val="-20"/>
          <w:sz w:val="21"/>
          <w:szCs w:val="21"/>
          <w:highlight w:val="none"/>
          <w:u w:val="single"/>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pacing w:val="-20"/>
          <w:sz w:val="21"/>
          <w:szCs w:val="21"/>
          <w:highlight w:val="none"/>
        </w:rPr>
        <w:t>电话：</w:t>
      </w:r>
      <w:r>
        <w:rPr>
          <w:rFonts w:hint="eastAsia" w:ascii="宋体" w:hAnsi="宋体" w:eastAsia="宋体" w:cs="宋体"/>
          <w:color w:val="auto"/>
          <w:spacing w:val="-20"/>
          <w:sz w:val="21"/>
          <w:szCs w:val="21"/>
          <w:highlight w:val="none"/>
          <w:u w:val="single"/>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pacing w:val="-20"/>
          <w:sz w:val="21"/>
          <w:szCs w:val="21"/>
          <w:highlight w:val="none"/>
          <w:u w:val="single"/>
        </w:rPr>
      </w:pPr>
      <w:r>
        <w:rPr>
          <w:rFonts w:hint="eastAsia" w:ascii="宋体" w:hAnsi="宋体" w:eastAsia="宋体" w:cs="宋体"/>
          <w:color w:val="auto"/>
          <w:spacing w:val="-20"/>
          <w:sz w:val="21"/>
          <w:szCs w:val="21"/>
          <w:highlight w:val="none"/>
        </w:rPr>
        <w:t>传真：</w:t>
      </w:r>
      <w:r>
        <w:rPr>
          <w:rFonts w:hint="eastAsia" w:ascii="宋体" w:hAnsi="宋体" w:eastAsia="宋体" w:cs="宋体"/>
          <w:color w:val="auto"/>
          <w:spacing w:val="-20"/>
          <w:sz w:val="21"/>
          <w:szCs w:val="21"/>
          <w:highlight w:val="none"/>
          <w:u w:val="single"/>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before="191" w:line="387" w:lineRule="auto"/>
        <w:ind w:left="0" w:firstLine="3400" w:firstLineChars="200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邮政编码：</w:t>
      </w:r>
      <w:r>
        <w:rPr>
          <w:rFonts w:hint="eastAsia" w:ascii="宋体" w:hAnsi="宋体" w:eastAsia="宋体" w:cs="宋体"/>
          <w:color w:val="auto"/>
          <w:spacing w:val="-20"/>
          <w:sz w:val="21"/>
          <w:szCs w:val="21"/>
          <w:highlight w:val="none"/>
          <w:u w:val="single"/>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pPr>
        <w:spacing w:before="188" w:line="221" w:lineRule="auto"/>
        <w:ind w:left="589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年</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7"/>
          <w:sz w:val="21"/>
          <w:szCs w:val="21"/>
          <w:highlight w:val="none"/>
        </w:rPr>
        <w:t>月</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7"/>
          <w:sz w:val="21"/>
          <w:szCs w:val="21"/>
          <w:highlight w:val="none"/>
        </w:rPr>
        <w:t>日</w:t>
      </w:r>
    </w:p>
    <w:p>
      <w:pPr>
        <w:spacing w:line="221" w:lineRule="auto"/>
        <w:rPr>
          <w:rFonts w:hint="eastAsia" w:ascii="宋体" w:hAnsi="宋体" w:eastAsia="宋体" w:cs="宋体"/>
          <w:color w:val="auto"/>
          <w:sz w:val="21"/>
          <w:szCs w:val="21"/>
          <w:highlight w:val="none"/>
        </w:rPr>
        <w:sectPr>
          <w:footerReference r:id="rId134" w:type="default"/>
          <w:pgSz w:w="11905" w:h="16843"/>
          <w:pgMar w:top="1769" w:right="1548" w:bottom="1003" w:left="1542" w:header="0" w:footer="828" w:gutter="0"/>
          <w:pgNumType w:fmt="numberInDash"/>
          <w:cols w:space="0" w:num="1"/>
          <w:rtlGutter w:val="0"/>
          <w:docGrid w:linePitch="0" w:charSpace="0"/>
        </w:sectPr>
      </w:pPr>
    </w:p>
    <w:p>
      <w:pPr>
        <w:pStyle w:val="2"/>
        <w:spacing w:line="256" w:lineRule="auto"/>
        <w:rPr>
          <w:rFonts w:hint="eastAsia" w:ascii="宋体" w:hAnsi="宋体" w:eastAsia="宋体" w:cs="宋体"/>
          <w:color w:val="auto"/>
          <w:highlight w:val="none"/>
        </w:rPr>
      </w:pPr>
    </w:p>
    <w:p>
      <w:pPr>
        <w:spacing w:before="91" w:line="219" w:lineRule="auto"/>
        <w:ind w:left="3352"/>
        <w:rPr>
          <w:rFonts w:hint="eastAsia" w:ascii="宋体" w:hAnsi="宋体" w:eastAsia="宋体" w:cs="宋体"/>
          <w:color w:val="auto"/>
          <w:sz w:val="28"/>
          <w:szCs w:val="28"/>
          <w:highlight w:val="none"/>
        </w:rPr>
      </w:pPr>
      <w:bookmarkStart w:id="408" w:name="bookmark448"/>
      <w:bookmarkEnd w:id="408"/>
      <w:r>
        <w:rPr>
          <w:rFonts w:hint="eastAsia" w:ascii="宋体" w:hAnsi="宋体" w:eastAsia="宋体" w:cs="宋体"/>
          <w:color w:val="auto"/>
          <w:spacing w:val="-4"/>
          <w:sz w:val="28"/>
          <w:szCs w:val="28"/>
          <w:highlight w:val="none"/>
        </w:rPr>
        <w:t>（二）投标函附录</w:t>
      </w:r>
    </w:p>
    <w:p>
      <w:pPr>
        <w:spacing w:before="291" w:line="221" w:lineRule="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标段名称：</w:t>
      </w:r>
    </w:p>
    <w:p>
      <w:pPr>
        <w:spacing w:before="21"/>
        <w:rPr>
          <w:rFonts w:hint="eastAsia" w:ascii="宋体" w:hAnsi="宋体" w:eastAsia="宋体" w:cs="宋体"/>
          <w:color w:val="auto"/>
          <w:highlight w:val="none"/>
        </w:rPr>
      </w:pPr>
    </w:p>
    <w:tbl>
      <w:tblPr>
        <w:tblStyle w:val="9"/>
        <w:tblW w:w="8955"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2399"/>
        <w:gridCol w:w="1312"/>
        <w:gridCol w:w="3788"/>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4" w:type="dxa"/>
            <w:vAlign w:val="top"/>
          </w:tcPr>
          <w:p>
            <w:pPr>
              <w:pStyle w:val="10"/>
              <w:spacing w:before="180" w:line="222" w:lineRule="auto"/>
              <w:ind w:left="155"/>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2399" w:type="dxa"/>
            <w:vAlign w:val="top"/>
          </w:tcPr>
          <w:p>
            <w:pPr>
              <w:pStyle w:val="10"/>
              <w:spacing w:before="180" w:line="221" w:lineRule="auto"/>
              <w:ind w:left="785"/>
              <w:rPr>
                <w:rFonts w:hint="eastAsia" w:ascii="宋体" w:hAnsi="宋体" w:eastAsia="宋体" w:cs="宋体"/>
                <w:color w:val="auto"/>
                <w:highlight w:val="none"/>
              </w:rPr>
            </w:pPr>
            <w:r>
              <w:rPr>
                <w:rFonts w:hint="eastAsia" w:ascii="宋体" w:hAnsi="宋体" w:eastAsia="宋体" w:cs="宋体"/>
                <w:color w:val="auto"/>
                <w:spacing w:val="-2"/>
                <w:highlight w:val="none"/>
              </w:rPr>
              <w:t>条款内容</w:t>
            </w:r>
          </w:p>
        </w:tc>
        <w:tc>
          <w:tcPr>
            <w:tcW w:w="1312" w:type="dxa"/>
            <w:vAlign w:val="top"/>
          </w:tcPr>
          <w:p>
            <w:pPr>
              <w:pStyle w:val="10"/>
              <w:spacing w:before="180" w:line="221" w:lineRule="auto"/>
              <w:ind w:left="136"/>
              <w:rPr>
                <w:rFonts w:hint="eastAsia" w:ascii="宋体" w:hAnsi="宋体" w:eastAsia="宋体" w:cs="宋体"/>
                <w:color w:val="auto"/>
                <w:highlight w:val="none"/>
              </w:rPr>
            </w:pPr>
            <w:r>
              <w:rPr>
                <w:rFonts w:hint="eastAsia" w:ascii="宋体" w:hAnsi="宋体" w:eastAsia="宋体" w:cs="宋体"/>
                <w:color w:val="auto"/>
                <w:spacing w:val="-2"/>
                <w:highlight w:val="none"/>
              </w:rPr>
              <w:t>合同条款号</w:t>
            </w:r>
          </w:p>
        </w:tc>
        <w:tc>
          <w:tcPr>
            <w:tcW w:w="3788" w:type="dxa"/>
            <w:vAlign w:val="top"/>
          </w:tcPr>
          <w:p>
            <w:pPr>
              <w:pStyle w:val="10"/>
              <w:spacing w:before="180" w:line="221" w:lineRule="auto"/>
              <w:ind w:left="1485"/>
              <w:rPr>
                <w:rFonts w:hint="eastAsia" w:ascii="宋体" w:hAnsi="宋体" w:eastAsia="宋体" w:cs="宋体"/>
                <w:color w:val="auto"/>
                <w:highlight w:val="none"/>
              </w:rPr>
            </w:pPr>
            <w:r>
              <w:rPr>
                <w:rFonts w:hint="eastAsia" w:ascii="宋体" w:hAnsi="宋体" w:eastAsia="宋体" w:cs="宋体"/>
                <w:color w:val="auto"/>
                <w:spacing w:val="-3"/>
                <w:highlight w:val="none"/>
              </w:rPr>
              <w:t>约定内容</w:t>
            </w:r>
          </w:p>
        </w:tc>
        <w:tc>
          <w:tcPr>
            <w:tcW w:w="732" w:type="dxa"/>
            <w:vAlign w:val="top"/>
          </w:tcPr>
          <w:p>
            <w:pPr>
              <w:pStyle w:val="10"/>
              <w:spacing w:before="180" w:line="222" w:lineRule="auto"/>
              <w:ind w:left="165"/>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4" w:type="dxa"/>
            <w:vAlign w:val="top"/>
          </w:tcPr>
          <w:p>
            <w:pPr>
              <w:pStyle w:val="10"/>
              <w:spacing w:before="160" w:line="183" w:lineRule="auto"/>
              <w:ind w:left="330"/>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399" w:type="dxa"/>
            <w:vAlign w:val="top"/>
          </w:tcPr>
          <w:p>
            <w:pPr>
              <w:pStyle w:val="10"/>
              <w:spacing w:before="126" w:line="221" w:lineRule="auto"/>
              <w:ind w:left="115"/>
              <w:rPr>
                <w:rFonts w:hint="eastAsia" w:ascii="宋体" w:hAnsi="宋体" w:eastAsia="宋体" w:cs="宋体"/>
                <w:color w:val="auto"/>
                <w:highlight w:val="none"/>
              </w:rPr>
            </w:pPr>
            <w:r>
              <w:rPr>
                <w:rFonts w:hint="eastAsia" w:ascii="宋体" w:hAnsi="宋体" w:eastAsia="宋体" w:cs="宋体"/>
                <w:color w:val="auto"/>
                <w:spacing w:val="-3"/>
                <w:highlight w:val="none"/>
              </w:rPr>
              <w:t>项目经理</w:t>
            </w:r>
          </w:p>
        </w:tc>
        <w:tc>
          <w:tcPr>
            <w:tcW w:w="1312" w:type="dxa"/>
            <w:vAlign w:val="top"/>
          </w:tcPr>
          <w:p>
            <w:pPr>
              <w:pStyle w:val="10"/>
              <w:spacing w:before="184" w:line="183" w:lineRule="auto"/>
              <w:ind w:left="129"/>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"1.1.2.8"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3"/>
                <w:highlight w:val="none"/>
              </w:rPr>
              <w:t>1.1.2.8</w:t>
            </w:r>
            <w:r>
              <w:rPr>
                <w:rFonts w:hint="eastAsia" w:ascii="宋体" w:hAnsi="宋体" w:eastAsia="宋体" w:cs="宋体"/>
                <w:color w:val="auto"/>
                <w:spacing w:val="-3"/>
                <w:highlight w:val="none"/>
              </w:rPr>
              <w:fldChar w:fldCharType="end"/>
            </w:r>
          </w:p>
        </w:tc>
        <w:tc>
          <w:tcPr>
            <w:tcW w:w="3788" w:type="dxa"/>
            <w:vAlign w:val="top"/>
          </w:tcPr>
          <w:p>
            <w:pPr>
              <w:pStyle w:val="10"/>
              <w:spacing w:before="125" w:line="221" w:lineRule="auto"/>
              <w:ind w:left="120"/>
              <w:rPr>
                <w:rFonts w:hint="eastAsia" w:ascii="宋体" w:hAnsi="宋体" w:eastAsia="宋体" w:cs="宋体"/>
                <w:color w:val="auto"/>
                <w:highlight w:val="none"/>
              </w:rPr>
            </w:pPr>
            <w:r>
              <w:rPr>
                <w:rFonts w:hint="eastAsia" w:ascii="宋体" w:hAnsi="宋体" w:eastAsia="宋体" w:cs="宋体"/>
                <w:color w:val="auto"/>
                <w:spacing w:val="-2"/>
                <w:highlight w:val="none"/>
              </w:rPr>
              <w:t>（见投标函）</w:t>
            </w: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24" w:type="dxa"/>
            <w:vAlign w:val="top"/>
          </w:tcPr>
          <w:p>
            <w:pPr>
              <w:pStyle w:val="10"/>
              <w:spacing w:before="142" w:line="182" w:lineRule="auto"/>
              <w:ind w:left="317"/>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399" w:type="dxa"/>
            <w:vAlign w:val="top"/>
          </w:tcPr>
          <w:p>
            <w:pPr>
              <w:pStyle w:val="10"/>
              <w:spacing w:before="107" w:line="221" w:lineRule="auto"/>
              <w:ind w:left="114"/>
              <w:rPr>
                <w:rFonts w:hint="eastAsia" w:ascii="宋体" w:hAnsi="宋体" w:eastAsia="宋体" w:cs="宋体"/>
                <w:color w:val="auto"/>
                <w:highlight w:val="none"/>
              </w:rPr>
            </w:pPr>
            <w:r>
              <w:rPr>
                <w:rFonts w:hint="eastAsia" w:ascii="宋体" w:hAnsi="宋体" w:eastAsia="宋体" w:cs="宋体"/>
                <w:color w:val="auto"/>
                <w:spacing w:val="-3"/>
                <w:highlight w:val="none"/>
              </w:rPr>
              <w:t>工期</w:t>
            </w:r>
          </w:p>
        </w:tc>
        <w:tc>
          <w:tcPr>
            <w:tcW w:w="1312" w:type="dxa"/>
            <w:vAlign w:val="top"/>
          </w:tcPr>
          <w:p>
            <w:pPr>
              <w:pStyle w:val="10"/>
              <w:spacing w:before="165" w:line="183" w:lineRule="auto"/>
              <w:ind w:left="129"/>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"1.1.4.3"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3"/>
                <w:highlight w:val="none"/>
              </w:rPr>
              <w:t>1.1.4.3</w:t>
            </w:r>
            <w:r>
              <w:rPr>
                <w:rFonts w:hint="eastAsia" w:ascii="宋体" w:hAnsi="宋体" w:eastAsia="宋体" w:cs="宋体"/>
                <w:color w:val="auto"/>
                <w:spacing w:val="-3"/>
                <w:highlight w:val="none"/>
              </w:rPr>
              <w:fldChar w:fldCharType="end"/>
            </w:r>
          </w:p>
        </w:tc>
        <w:tc>
          <w:tcPr>
            <w:tcW w:w="3788" w:type="dxa"/>
            <w:vAlign w:val="top"/>
          </w:tcPr>
          <w:p>
            <w:pPr>
              <w:pStyle w:val="10"/>
              <w:spacing w:before="107" w:line="221" w:lineRule="auto"/>
              <w:ind w:left="120"/>
              <w:rPr>
                <w:rFonts w:hint="eastAsia" w:ascii="宋体" w:hAnsi="宋体" w:eastAsia="宋体" w:cs="宋体"/>
                <w:color w:val="auto"/>
                <w:highlight w:val="none"/>
              </w:rPr>
            </w:pPr>
            <w:r>
              <w:rPr>
                <w:rFonts w:hint="eastAsia" w:ascii="宋体" w:hAnsi="宋体" w:eastAsia="宋体" w:cs="宋体"/>
                <w:color w:val="auto"/>
                <w:spacing w:val="-2"/>
                <w:highlight w:val="none"/>
              </w:rPr>
              <w:t>（见投标函）</w:t>
            </w: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24" w:type="dxa"/>
            <w:vAlign w:val="top"/>
          </w:tcPr>
          <w:p>
            <w:pPr>
              <w:pStyle w:val="10"/>
              <w:spacing w:before="136" w:line="182" w:lineRule="auto"/>
              <w:ind w:left="319"/>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399" w:type="dxa"/>
            <w:vAlign w:val="top"/>
          </w:tcPr>
          <w:p>
            <w:pPr>
              <w:pStyle w:val="10"/>
              <w:spacing w:before="100" w:line="221" w:lineRule="auto"/>
              <w:ind w:left="111"/>
              <w:rPr>
                <w:rFonts w:hint="eastAsia" w:ascii="宋体" w:hAnsi="宋体" w:eastAsia="宋体" w:cs="宋体"/>
                <w:color w:val="auto"/>
                <w:highlight w:val="none"/>
              </w:rPr>
            </w:pPr>
            <w:r>
              <w:rPr>
                <w:rFonts w:hint="eastAsia" w:ascii="宋体" w:hAnsi="宋体" w:eastAsia="宋体" w:cs="宋体"/>
                <w:color w:val="auto"/>
                <w:spacing w:val="-1"/>
                <w:highlight w:val="none"/>
              </w:rPr>
              <w:t>缺陷责任期</w:t>
            </w:r>
          </w:p>
        </w:tc>
        <w:tc>
          <w:tcPr>
            <w:tcW w:w="1312" w:type="dxa"/>
            <w:vAlign w:val="top"/>
          </w:tcPr>
          <w:p>
            <w:pPr>
              <w:pStyle w:val="10"/>
              <w:spacing w:before="162" w:line="183" w:lineRule="auto"/>
              <w:ind w:left="191"/>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"1.1.4.4"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3"/>
                <w:highlight w:val="none"/>
              </w:rPr>
              <w:t>1.1.4.4</w:t>
            </w:r>
            <w:r>
              <w:rPr>
                <w:rFonts w:hint="eastAsia" w:ascii="宋体" w:hAnsi="宋体" w:eastAsia="宋体" w:cs="宋体"/>
                <w:color w:val="auto"/>
                <w:spacing w:val="-3"/>
                <w:highlight w:val="none"/>
              </w:rPr>
              <w:fldChar w:fldCharType="end"/>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vAlign w:val="top"/>
          </w:tcPr>
          <w:p>
            <w:pPr>
              <w:pStyle w:val="10"/>
              <w:spacing w:before="213" w:line="182" w:lineRule="auto"/>
              <w:ind w:left="314"/>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399" w:type="dxa"/>
            <w:vAlign w:val="top"/>
          </w:tcPr>
          <w:p>
            <w:pPr>
              <w:pStyle w:val="10"/>
              <w:spacing w:before="42" w:line="228" w:lineRule="auto"/>
              <w:ind w:left="111" w:right="106" w:firstLine="4"/>
              <w:rPr>
                <w:rFonts w:hint="eastAsia" w:ascii="宋体" w:hAnsi="宋体" w:eastAsia="宋体" w:cs="宋体"/>
                <w:color w:val="auto"/>
                <w:highlight w:val="none"/>
              </w:rPr>
            </w:pPr>
            <w:r>
              <w:rPr>
                <w:rFonts w:hint="eastAsia" w:ascii="宋体" w:hAnsi="宋体" w:eastAsia="宋体" w:cs="宋体"/>
                <w:color w:val="auto"/>
                <w:spacing w:val="7"/>
                <w:highlight w:val="none"/>
              </w:rPr>
              <w:t>项目经理每月在施工现</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1"/>
                <w:highlight w:val="none"/>
              </w:rPr>
              <w:t>场的时间</w:t>
            </w:r>
          </w:p>
        </w:tc>
        <w:tc>
          <w:tcPr>
            <w:tcW w:w="1312" w:type="dxa"/>
            <w:vAlign w:val="top"/>
          </w:tcPr>
          <w:p>
            <w:pPr>
              <w:pStyle w:val="10"/>
              <w:spacing w:before="238" w:line="183" w:lineRule="auto"/>
              <w:ind w:left="180"/>
              <w:rPr>
                <w:rFonts w:hint="eastAsia" w:ascii="宋体" w:hAnsi="宋体" w:eastAsia="宋体" w:cs="宋体"/>
                <w:color w:val="auto"/>
                <w:highlight w:val="none"/>
              </w:rPr>
            </w:pPr>
            <w:r>
              <w:rPr>
                <w:rFonts w:hint="eastAsia" w:ascii="宋体" w:hAnsi="宋体" w:eastAsia="宋体" w:cs="宋体"/>
                <w:color w:val="auto"/>
                <w:spacing w:val="-2"/>
                <w:highlight w:val="none"/>
              </w:rPr>
              <w:t>3.2.1</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vAlign w:val="top"/>
          </w:tcPr>
          <w:p>
            <w:pPr>
              <w:pStyle w:val="10"/>
              <w:spacing w:before="216" w:line="181" w:lineRule="auto"/>
              <w:ind w:left="319"/>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399" w:type="dxa"/>
            <w:vAlign w:val="top"/>
          </w:tcPr>
          <w:p>
            <w:pPr>
              <w:pStyle w:val="10"/>
              <w:spacing w:before="44" w:line="227" w:lineRule="auto"/>
              <w:ind w:left="113" w:right="106" w:firstLine="1"/>
              <w:rPr>
                <w:rFonts w:hint="eastAsia" w:ascii="宋体" w:hAnsi="宋体" w:eastAsia="宋体" w:cs="宋体"/>
                <w:color w:val="auto"/>
                <w:highlight w:val="none"/>
              </w:rPr>
            </w:pPr>
            <w:r>
              <w:rPr>
                <w:rFonts w:hint="eastAsia" w:ascii="宋体" w:hAnsi="宋体" w:eastAsia="宋体" w:cs="宋体"/>
                <w:color w:val="auto"/>
                <w:spacing w:val="7"/>
                <w:highlight w:val="none"/>
              </w:rPr>
              <w:t>项目经理擅自离开施工</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1"/>
                <w:highlight w:val="none"/>
              </w:rPr>
              <w:t>现场的违约责任</w:t>
            </w:r>
          </w:p>
        </w:tc>
        <w:tc>
          <w:tcPr>
            <w:tcW w:w="1312" w:type="dxa"/>
            <w:vAlign w:val="top"/>
          </w:tcPr>
          <w:p>
            <w:pPr>
              <w:pStyle w:val="10"/>
              <w:spacing w:before="238" w:line="183" w:lineRule="auto"/>
              <w:ind w:left="180"/>
              <w:rPr>
                <w:rFonts w:hint="eastAsia" w:ascii="宋体" w:hAnsi="宋体" w:eastAsia="宋体" w:cs="宋体"/>
                <w:color w:val="auto"/>
                <w:highlight w:val="none"/>
              </w:rPr>
            </w:pPr>
            <w:r>
              <w:rPr>
                <w:rFonts w:hint="eastAsia" w:ascii="宋体" w:hAnsi="宋体" w:eastAsia="宋体" w:cs="宋体"/>
                <w:color w:val="auto"/>
                <w:spacing w:val="-2"/>
                <w:highlight w:val="none"/>
              </w:rPr>
              <w:t>3.2.1</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24" w:type="dxa"/>
            <w:vAlign w:val="top"/>
          </w:tcPr>
          <w:p>
            <w:pPr>
              <w:pStyle w:val="10"/>
              <w:spacing w:before="215" w:line="182" w:lineRule="auto"/>
              <w:ind w:left="316"/>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2399" w:type="dxa"/>
            <w:vAlign w:val="top"/>
          </w:tcPr>
          <w:p>
            <w:pPr>
              <w:pStyle w:val="10"/>
              <w:spacing w:before="44" w:line="228" w:lineRule="auto"/>
              <w:ind w:left="116" w:right="106" w:hanging="4"/>
              <w:rPr>
                <w:rFonts w:hint="eastAsia" w:ascii="宋体" w:hAnsi="宋体" w:eastAsia="宋体" w:cs="宋体"/>
                <w:color w:val="auto"/>
                <w:highlight w:val="none"/>
              </w:rPr>
            </w:pPr>
            <w:r>
              <w:rPr>
                <w:rFonts w:hint="eastAsia" w:ascii="宋体" w:hAnsi="宋体" w:eastAsia="宋体" w:cs="宋体"/>
                <w:color w:val="auto"/>
                <w:spacing w:val="7"/>
                <w:highlight w:val="none"/>
              </w:rPr>
              <w:t>擅自更换项目经理的违</w:t>
            </w:r>
            <w:r>
              <w:rPr>
                <w:rFonts w:hint="eastAsia" w:ascii="宋体" w:hAnsi="宋体" w:eastAsia="宋体" w:cs="宋体"/>
                <w:color w:val="auto"/>
                <w:spacing w:val="3"/>
                <w:highlight w:val="none"/>
              </w:rPr>
              <w:t xml:space="preserve"> </w:t>
            </w:r>
            <w:r>
              <w:rPr>
                <w:rFonts w:hint="eastAsia" w:ascii="宋体" w:hAnsi="宋体" w:eastAsia="宋体" w:cs="宋体"/>
                <w:color w:val="auto"/>
                <w:spacing w:val="-3"/>
                <w:highlight w:val="none"/>
              </w:rPr>
              <w:t>约责任</w:t>
            </w:r>
          </w:p>
        </w:tc>
        <w:tc>
          <w:tcPr>
            <w:tcW w:w="1312" w:type="dxa"/>
            <w:vAlign w:val="top"/>
          </w:tcPr>
          <w:p>
            <w:pPr>
              <w:pStyle w:val="10"/>
              <w:spacing w:before="242" w:line="182" w:lineRule="auto"/>
              <w:ind w:left="180"/>
              <w:rPr>
                <w:rFonts w:hint="eastAsia" w:ascii="宋体" w:hAnsi="宋体" w:eastAsia="宋体" w:cs="宋体"/>
                <w:color w:val="auto"/>
                <w:highlight w:val="none"/>
              </w:rPr>
            </w:pPr>
            <w:r>
              <w:rPr>
                <w:rFonts w:hint="eastAsia" w:ascii="宋体" w:hAnsi="宋体" w:eastAsia="宋体" w:cs="宋体"/>
                <w:color w:val="auto"/>
                <w:spacing w:val="-2"/>
                <w:highlight w:val="none"/>
              </w:rPr>
              <w:t>3.2.3</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vAlign w:val="top"/>
          </w:tcPr>
          <w:p>
            <w:pPr>
              <w:pStyle w:val="10"/>
              <w:spacing w:before="214" w:line="181" w:lineRule="auto"/>
              <w:ind w:left="320"/>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2399" w:type="dxa"/>
            <w:vAlign w:val="top"/>
          </w:tcPr>
          <w:p>
            <w:pPr>
              <w:pStyle w:val="10"/>
              <w:spacing w:before="44" w:line="227" w:lineRule="auto"/>
              <w:ind w:left="151" w:right="106" w:hanging="38"/>
              <w:rPr>
                <w:rFonts w:hint="eastAsia" w:ascii="宋体" w:hAnsi="宋体" w:eastAsia="宋体" w:cs="宋体"/>
                <w:color w:val="auto"/>
                <w:highlight w:val="none"/>
              </w:rPr>
            </w:pPr>
            <w:r>
              <w:rPr>
                <w:rFonts w:hint="eastAsia" w:ascii="宋体" w:hAnsi="宋体" w:eastAsia="宋体" w:cs="宋体"/>
                <w:color w:val="auto"/>
                <w:spacing w:val="7"/>
                <w:highlight w:val="none"/>
              </w:rPr>
              <w:t>无正当理由拒绝更换项</w:t>
            </w:r>
            <w:r>
              <w:rPr>
                <w:rFonts w:hint="eastAsia" w:ascii="宋体" w:hAnsi="宋体" w:eastAsia="宋体" w:cs="宋体"/>
                <w:color w:val="auto"/>
                <w:spacing w:val="3"/>
                <w:highlight w:val="none"/>
              </w:rPr>
              <w:t xml:space="preserve"> </w:t>
            </w:r>
            <w:r>
              <w:rPr>
                <w:rFonts w:hint="eastAsia" w:ascii="宋体" w:hAnsi="宋体" w:eastAsia="宋体" w:cs="宋体"/>
                <w:color w:val="auto"/>
                <w:spacing w:val="-6"/>
                <w:highlight w:val="none"/>
              </w:rPr>
              <w:t>目经理的违约责任</w:t>
            </w:r>
          </w:p>
        </w:tc>
        <w:tc>
          <w:tcPr>
            <w:tcW w:w="1312" w:type="dxa"/>
            <w:vAlign w:val="top"/>
          </w:tcPr>
          <w:p>
            <w:pPr>
              <w:pStyle w:val="10"/>
              <w:spacing w:before="240" w:line="182" w:lineRule="auto"/>
              <w:ind w:left="180"/>
              <w:rPr>
                <w:rFonts w:hint="eastAsia" w:ascii="宋体" w:hAnsi="宋体" w:eastAsia="宋体" w:cs="宋体"/>
                <w:color w:val="auto"/>
                <w:highlight w:val="none"/>
              </w:rPr>
            </w:pPr>
            <w:r>
              <w:rPr>
                <w:rFonts w:hint="eastAsia" w:ascii="宋体" w:hAnsi="宋体" w:eastAsia="宋体" w:cs="宋体"/>
                <w:color w:val="auto"/>
                <w:spacing w:val="-2"/>
                <w:highlight w:val="none"/>
              </w:rPr>
              <w:t>3.2.4</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24" w:type="dxa"/>
            <w:vAlign w:val="top"/>
          </w:tcPr>
          <w:p>
            <w:pPr>
              <w:pStyle w:val="10"/>
              <w:spacing w:before="122" w:line="182" w:lineRule="auto"/>
              <w:ind w:left="316"/>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2399" w:type="dxa"/>
            <w:vAlign w:val="top"/>
          </w:tcPr>
          <w:p>
            <w:pPr>
              <w:pStyle w:val="10"/>
              <w:spacing w:before="86" w:line="221" w:lineRule="auto"/>
              <w:ind w:left="111"/>
              <w:rPr>
                <w:rFonts w:hint="eastAsia" w:ascii="宋体" w:hAnsi="宋体" w:eastAsia="宋体" w:cs="宋体"/>
                <w:color w:val="auto"/>
                <w:highlight w:val="none"/>
              </w:rPr>
            </w:pPr>
            <w:r>
              <w:rPr>
                <w:rFonts w:hint="eastAsia" w:ascii="宋体" w:hAnsi="宋体" w:eastAsia="宋体" w:cs="宋体"/>
                <w:color w:val="auto"/>
                <w:spacing w:val="-1"/>
                <w:highlight w:val="none"/>
              </w:rPr>
              <w:t>承包人履约担保金额</w:t>
            </w:r>
          </w:p>
        </w:tc>
        <w:tc>
          <w:tcPr>
            <w:tcW w:w="1312" w:type="dxa"/>
            <w:vAlign w:val="top"/>
          </w:tcPr>
          <w:p>
            <w:pPr>
              <w:pStyle w:val="10"/>
              <w:spacing w:before="122" w:line="182" w:lineRule="auto"/>
              <w:ind w:left="180"/>
              <w:rPr>
                <w:rFonts w:hint="eastAsia" w:ascii="宋体" w:hAnsi="宋体" w:eastAsia="宋体" w:cs="宋体"/>
                <w:color w:val="auto"/>
                <w:highlight w:val="none"/>
              </w:rPr>
            </w:pPr>
            <w:r>
              <w:rPr>
                <w:rFonts w:hint="eastAsia" w:ascii="宋体" w:hAnsi="宋体" w:eastAsia="宋体" w:cs="宋体"/>
                <w:color w:val="auto"/>
                <w:spacing w:val="-3"/>
                <w:highlight w:val="none"/>
              </w:rPr>
              <w:t>3.7</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24" w:type="dxa"/>
            <w:vAlign w:val="top"/>
          </w:tcPr>
          <w:p>
            <w:pPr>
              <w:pStyle w:val="10"/>
              <w:spacing w:before="109" w:line="182" w:lineRule="auto"/>
              <w:ind w:left="316"/>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2399" w:type="dxa"/>
            <w:vAlign w:val="top"/>
          </w:tcPr>
          <w:p>
            <w:pPr>
              <w:pStyle w:val="10"/>
              <w:spacing w:before="74" w:line="221" w:lineRule="auto"/>
              <w:ind w:left="114"/>
              <w:rPr>
                <w:rFonts w:hint="eastAsia" w:ascii="宋体" w:hAnsi="宋体" w:eastAsia="宋体" w:cs="宋体"/>
                <w:color w:val="auto"/>
                <w:highlight w:val="none"/>
              </w:rPr>
            </w:pPr>
            <w:r>
              <w:rPr>
                <w:rFonts w:hint="eastAsia" w:ascii="宋体" w:hAnsi="宋体" w:eastAsia="宋体" w:cs="宋体"/>
                <w:color w:val="auto"/>
                <w:spacing w:val="-3"/>
                <w:highlight w:val="none"/>
              </w:rPr>
              <w:t>分包</w:t>
            </w:r>
          </w:p>
        </w:tc>
        <w:tc>
          <w:tcPr>
            <w:tcW w:w="1312" w:type="dxa"/>
            <w:vAlign w:val="top"/>
          </w:tcPr>
          <w:p>
            <w:pPr>
              <w:pStyle w:val="10"/>
              <w:spacing w:before="109" w:line="182" w:lineRule="auto"/>
              <w:ind w:left="180"/>
              <w:rPr>
                <w:rFonts w:hint="eastAsia" w:ascii="宋体" w:hAnsi="宋体" w:eastAsia="宋体" w:cs="宋体"/>
                <w:color w:val="auto"/>
                <w:highlight w:val="none"/>
              </w:rPr>
            </w:pPr>
            <w:r>
              <w:rPr>
                <w:rFonts w:hint="eastAsia" w:ascii="宋体" w:hAnsi="宋体" w:eastAsia="宋体" w:cs="宋体"/>
                <w:color w:val="auto"/>
                <w:spacing w:val="-2"/>
                <w:highlight w:val="none"/>
              </w:rPr>
              <w:t>3.5.2</w:t>
            </w:r>
          </w:p>
        </w:tc>
        <w:tc>
          <w:tcPr>
            <w:tcW w:w="3788" w:type="dxa"/>
            <w:vAlign w:val="top"/>
          </w:tcPr>
          <w:p>
            <w:pPr>
              <w:pStyle w:val="10"/>
              <w:spacing w:before="73" w:line="220" w:lineRule="auto"/>
              <w:ind w:left="117"/>
              <w:rPr>
                <w:rFonts w:hint="eastAsia" w:ascii="宋体" w:hAnsi="宋体" w:eastAsia="宋体" w:cs="宋体"/>
                <w:color w:val="auto"/>
                <w:highlight w:val="none"/>
              </w:rPr>
            </w:pPr>
            <w:r>
              <w:rPr>
                <w:rFonts w:hint="eastAsia" w:ascii="宋体" w:hAnsi="宋体" w:eastAsia="宋体" w:cs="宋体"/>
                <w:color w:val="auto"/>
                <w:spacing w:val="-2"/>
                <w:highlight w:val="none"/>
              </w:rPr>
              <w:t>见拟分包计划表</w:t>
            </w: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24" w:type="dxa"/>
            <w:vAlign w:val="top"/>
          </w:tcPr>
          <w:p>
            <w:pPr>
              <w:pStyle w:val="10"/>
              <w:spacing w:before="144"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10</w:t>
            </w:r>
          </w:p>
        </w:tc>
        <w:tc>
          <w:tcPr>
            <w:tcW w:w="2399" w:type="dxa"/>
            <w:vAlign w:val="top"/>
          </w:tcPr>
          <w:p>
            <w:pPr>
              <w:pStyle w:val="10"/>
              <w:spacing w:before="109" w:line="221" w:lineRule="auto"/>
              <w:ind w:left="110"/>
              <w:rPr>
                <w:rFonts w:hint="eastAsia" w:ascii="宋体" w:hAnsi="宋体" w:eastAsia="宋体" w:cs="宋体"/>
                <w:color w:val="auto"/>
                <w:highlight w:val="none"/>
              </w:rPr>
            </w:pPr>
            <w:r>
              <w:rPr>
                <w:rFonts w:hint="eastAsia" w:ascii="宋体" w:hAnsi="宋体" w:eastAsia="宋体" w:cs="宋体"/>
                <w:color w:val="auto"/>
                <w:spacing w:val="-1"/>
                <w:highlight w:val="none"/>
              </w:rPr>
              <w:t>逾期竣工违约金</w:t>
            </w:r>
          </w:p>
        </w:tc>
        <w:tc>
          <w:tcPr>
            <w:tcW w:w="1312" w:type="dxa"/>
            <w:vAlign w:val="top"/>
          </w:tcPr>
          <w:p>
            <w:pPr>
              <w:pStyle w:val="10"/>
              <w:spacing w:before="145" w:line="182" w:lineRule="auto"/>
              <w:ind w:left="181"/>
              <w:rPr>
                <w:rFonts w:hint="eastAsia" w:ascii="宋体" w:hAnsi="宋体" w:eastAsia="宋体" w:cs="宋体"/>
                <w:color w:val="auto"/>
                <w:highlight w:val="none"/>
              </w:rPr>
            </w:pPr>
            <w:r>
              <w:rPr>
                <w:rFonts w:hint="eastAsia" w:ascii="宋体" w:hAnsi="宋体" w:eastAsia="宋体" w:cs="宋体"/>
                <w:color w:val="auto"/>
                <w:spacing w:val="-2"/>
                <w:highlight w:val="none"/>
              </w:rPr>
              <w:t>7.5.2</w:t>
            </w:r>
          </w:p>
        </w:tc>
        <w:tc>
          <w:tcPr>
            <w:tcW w:w="3788" w:type="dxa"/>
            <w:vAlign w:val="top"/>
          </w:tcPr>
          <w:p>
            <w:pPr>
              <w:pStyle w:val="10"/>
              <w:tabs>
                <w:tab w:val="left" w:pos="1263"/>
              </w:tabs>
              <w:spacing w:before="110" w:line="221" w:lineRule="auto"/>
              <w:ind w:left="106"/>
              <w:rPr>
                <w:rFonts w:hint="eastAsia" w:ascii="宋体" w:hAnsi="宋体" w:eastAsia="宋体" w:cs="宋体"/>
                <w:color w:val="auto"/>
                <w:highlight w:val="none"/>
              </w:rPr>
            </w:pPr>
            <w:r>
              <w:rPr>
                <w:rFonts w:hint="eastAsia" w:ascii="宋体" w:hAnsi="宋体" w:eastAsia="宋体" w:cs="宋体"/>
                <w:color w:val="auto"/>
                <w:highlight w:val="none"/>
                <w:u w:val="single" w:color="auto"/>
              </w:rPr>
              <w:tab/>
            </w:r>
            <w:r>
              <w:rPr>
                <w:rFonts w:hint="eastAsia" w:ascii="宋体" w:hAnsi="宋体" w:eastAsia="宋体" w:cs="宋体"/>
                <w:color w:val="auto"/>
                <w:spacing w:val="-95"/>
                <w:highlight w:val="none"/>
              </w:rPr>
              <w:t xml:space="preserve"> </w:t>
            </w:r>
            <w:r>
              <w:rPr>
                <w:rFonts w:hint="eastAsia" w:ascii="宋体" w:hAnsi="宋体" w:eastAsia="宋体" w:cs="宋体"/>
                <w:color w:val="auto"/>
                <w:spacing w:val="-3"/>
                <w:highlight w:val="none"/>
              </w:rPr>
              <w:t>元/天</w:t>
            </w: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4" w:type="dxa"/>
            <w:vAlign w:val="top"/>
          </w:tcPr>
          <w:p>
            <w:pPr>
              <w:pStyle w:val="10"/>
              <w:spacing w:before="138"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11</w:t>
            </w:r>
          </w:p>
        </w:tc>
        <w:tc>
          <w:tcPr>
            <w:tcW w:w="2399" w:type="dxa"/>
            <w:vAlign w:val="top"/>
          </w:tcPr>
          <w:p>
            <w:pPr>
              <w:pStyle w:val="10"/>
              <w:spacing w:before="104" w:line="221" w:lineRule="auto"/>
              <w:ind w:left="110"/>
              <w:rPr>
                <w:rFonts w:hint="eastAsia" w:ascii="宋体" w:hAnsi="宋体" w:eastAsia="宋体" w:cs="宋体"/>
                <w:color w:val="auto"/>
                <w:highlight w:val="none"/>
              </w:rPr>
            </w:pPr>
            <w:r>
              <w:rPr>
                <w:rFonts w:hint="eastAsia" w:ascii="宋体" w:hAnsi="宋体" w:eastAsia="宋体" w:cs="宋体"/>
                <w:color w:val="auto"/>
                <w:spacing w:val="-1"/>
                <w:highlight w:val="none"/>
              </w:rPr>
              <w:t>逾期竣工违约金的上限</w:t>
            </w:r>
          </w:p>
        </w:tc>
        <w:tc>
          <w:tcPr>
            <w:tcW w:w="1312" w:type="dxa"/>
            <w:vAlign w:val="top"/>
          </w:tcPr>
          <w:p>
            <w:pPr>
              <w:pStyle w:val="10"/>
              <w:spacing w:before="140" w:line="182" w:lineRule="auto"/>
              <w:ind w:left="181"/>
              <w:rPr>
                <w:rFonts w:hint="eastAsia" w:ascii="宋体" w:hAnsi="宋体" w:eastAsia="宋体" w:cs="宋体"/>
                <w:color w:val="auto"/>
                <w:highlight w:val="none"/>
              </w:rPr>
            </w:pPr>
            <w:r>
              <w:rPr>
                <w:rFonts w:hint="eastAsia" w:ascii="宋体" w:hAnsi="宋体" w:eastAsia="宋体" w:cs="宋体"/>
                <w:color w:val="auto"/>
                <w:spacing w:val="-2"/>
                <w:highlight w:val="none"/>
              </w:rPr>
              <w:t>7.5.2</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vAlign w:val="top"/>
          </w:tcPr>
          <w:p>
            <w:pPr>
              <w:pStyle w:val="10"/>
              <w:spacing w:before="215"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12</w:t>
            </w:r>
          </w:p>
        </w:tc>
        <w:tc>
          <w:tcPr>
            <w:tcW w:w="2399" w:type="dxa"/>
            <w:vAlign w:val="top"/>
          </w:tcPr>
          <w:p>
            <w:pPr>
              <w:pStyle w:val="10"/>
              <w:spacing w:before="181" w:line="219"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价格调整的差额计算</w:t>
            </w:r>
          </w:p>
        </w:tc>
        <w:tc>
          <w:tcPr>
            <w:tcW w:w="1312" w:type="dxa"/>
            <w:vAlign w:val="top"/>
          </w:tcPr>
          <w:p>
            <w:pPr>
              <w:pStyle w:val="10"/>
              <w:spacing w:before="216" w:line="183" w:lineRule="auto"/>
              <w:ind w:left="191"/>
              <w:rPr>
                <w:rFonts w:hint="eastAsia" w:ascii="宋体" w:hAnsi="宋体" w:eastAsia="宋体" w:cs="宋体"/>
                <w:color w:val="auto"/>
                <w:highlight w:val="none"/>
              </w:rPr>
            </w:pPr>
            <w:r>
              <w:rPr>
                <w:rFonts w:hint="eastAsia" w:ascii="宋体" w:hAnsi="宋体" w:eastAsia="宋体" w:cs="宋体"/>
                <w:color w:val="auto"/>
                <w:spacing w:val="-5"/>
                <w:highlight w:val="none"/>
              </w:rPr>
              <w:t>11.1</w:t>
            </w:r>
          </w:p>
        </w:tc>
        <w:tc>
          <w:tcPr>
            <w:tcW w:w="3788" w:type="dxa"/>
            <w:vAlign w:val="top"/>
          </w:tcPr>
          <w:p>
            <w:pPr>
              <w:pStyle w:val="10"/>
              <w:spacing w:before="44" w:line="227" w:lineRule="auto"/>
              <w:ind w:left="116" w:right="102" w:hanging="3"/>
              <w:rPr>
                <w:rFonts w:hint="eastAsia" w:ascii="宋体" w:hAnsi="宋体" w:eastAsia="宋体" w:cs="宋体"/>
                <w:color w:val="auto"/>
                <w:highlight w:val="none"/>
              </w:rPr>
            </w:pPr>
            <w:r>
              <w:rPr>
                <w:rFonts w:hint="eastAsia" w:ascii="宋体" w:hAnsi="宋体" w:eastAsia="宋体" w:cs="宋体"/>
                <w:color w:val="auto"/>
                <w:spacing w:val="-6"/>
                <w:highlight w:val="none"/>
              </w:rPr>
              <w:t>采用价格指数进行价格调整时， 见价格</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指数权重表</w:t>
            </w: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24" w:type="dxa"/>
            <w:vAlign w:val="top"/>
          </w:tcPr>
          <w:p>
            <w:pPr>
              <w:pStyle w:val="10"/>
              <w:spacing w:before="153"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13</w:t>
            </w:r>
          </w:p>
        </w:tc>
        <w:tc>
          <w:tcPr>
            <w:tcW w:w="2399" w:type="dxa"/>
            <w:vAlign w:val="top"/>
          </w:tcPr>
          <w:p>
            <w:pPr>
              <w:pStyle w:val="10"/>
              <w:spacing w:before="118" w:line="221" w:lineRule="auto"/>
              <w:ind w:left="113"/>
              <w:rPr>
                <w:rFonts w:hint="eastAsia" w:ascii="宋体" w:hAnsi="宋体" w:eastAsia="宋体" w:cs="宋体"/>
                <w:color w:val="auto"/>
                <w:highlight w:val="none"/>
              </w:rPr>
            </w:pPr>
            <w:r>
              <w:rPr>
                <w:rFonts w:hint="eastAsia" w:ascii="宋体" w:hAnsi="宋体" w:eastAsia="宋体" w:cs="宋体"/>
                <w:color w:val="auto"/>
                <w:spacing w:val="-1"/>
                <w:highlight w:val="none"/>
              </w:rPr>
              <w:t>预付款支付比例或金额</w:t>
            </w:r>
          </w:p>
        </w:tc>
        <w:tc>
          <w:tcPr>
            <w:tcW w:w="1312" w:type="dxa"/>
            <w:vAlign w:val="top"/>
          </w:tcPr>
          <w:p>
            <w:pPr>
              <w:pStyle w:val="10"/>
              <w:spacing w:before="153" w:line="183" w:lineRule="auto"/>
              <w:ind w:left="191"/>
              <w:rPr>
                <w:rFonts w:hint="eastAsia" w:ascii="宋体" w:hAnsi="宋体" w:eastAsia="宋体" w:cs="宋体"/>
                <w:color w:val="auto"/>
                <w:highlight w:val="none"/>
              </w:rPr>
            </w:pPr>
            <w:r>
              <w:rPr>
                <w:rFonts w:hint="eastAsia" w:ascii="宋体" w:hAnsi="宋体" w:eastAsia="宋体" w:cs="宋体"/>
                <w:color w:val="auto"/>
                <w:spacing w:val="-3"/>
                <w:highlight w:val="none"/>
              </w:rPr>
              <w:t>12.2.1</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4" w:type="dxa"/>
            <w:vAlign w:val="top"/>
          </w:tcPr>
          <w:p>
            <w:pPr>
              <w:pStyle w:val="10"/>
              <w:spacing w:before="187"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14</w:t>
            </w:r>
          </w:p>
        </w:tc>
        <w:tc>
          <w:tcPr>
            <w:tcW w:w="2399" w:type="dxa"/>
            <w:vAlign w:val="top"/>
          </w:tcPr>
          <w:p>
            <w:pPr>
              <w:pStyle w:val="10"/>
              <w:spacing w:before="117" w:line="221"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质量保证金额度</w:t>
            </w:r>
          </w:p>
        </w:tc>
        <w:tc>
          <w:tcPr>
            <w:tcW w:w="1312" w:type="dxa"/>
            <w:vAlign w:val="top"/>
          </w:tcPr>
          <w:p>
            <w:pPr>
              <w:pStyle w:val="10"/>
              <w:spacing w:before="151" w:line="183" w:lineRule="auto"/>
              <w:ind w:left="191"/>
              <w:rPr>
                <w:rFonts w:hint="eastAsia" w:ascii="宋体" w:hAnsi="宋体" w:eastAsia="宋体" w:cs="宋体"/>
                <w:color w:val="auto"/>
                <w:highlight w:val="none"/>
              </w:rPr>
            </w:pPr>
            <w:r>
              <w:rPr>
                <w:rFonts w:hint="eastAsia" w:ascii="宋体" w:hAnsi="宋体" w:eastAsia="宋体" w:cs="宋体"/>
                <w:color w:val="auto"/>
                <w:spacing w:val="-3"/>
                <w:highlight w:val="none"/>
              </w:rPr>
              <w:t>15.3.1</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4" w:type="dxa"/>
            <w:vAlign w:val="top"/>
          </w:tcPr>
          <w:p>
            <w:pPr>
              <w:pStyle w:val="10"/>
              <w:spacing w:before="140"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15</w:t>
            </w:r>
          </w:p>
        </w:tc>
        <w:tc>
          <w:tcPr>
            <w:tcW w:w="2399" w:type="dxa"/>
            <w:vAlign w:val="top"/>
          </w:tcPr>
          <w:p>
            <w:pPr>
              <w:pStyle w:val="10"/>
              <w:spacing w:before="106" w:line="221"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质量保证金的扣留方式</w:t>
            </w:r>
          </w:p>
        </w:tc>
        <w:tc>
          <w:tcPr>
            <w:tcW w:w="1312" w:type="dxa"/>
            <w:vAlign w:val="top"/>
          </w:tcPr>
          <w:p>
            <w:pPr>
              <w:pStyle w:val="10"/>
              <w:spacing w:before="140" w:line="183" w:lineRule="auto"/>
              <w:ind w:left="191"/>
              <w:rPr>
                <w:rFonts w:hint="eastAsia" w:ascii="宋体" w:hAnsi="宋体" w:eastAsia="宋体" w:cs="宋体"/>
                <w:color w:val="auto"/>
                <w:highlight w:val="none"/>
              </w:rPr>
            </w:pPr>
            <w:r>
              <w:rPr>
                <w:rFonts w:hint="eastAsia" w:ascii="宋体" w:hAnsi="宋体" w:eastAsia="宋体" w:cs="宋体"/>
                <w:color w:val="auto"/>
                <w:spacing w:val="-3"/>
                <w:highlight w:val="none"/>
              </w:rPr>
              <w:t>15.3.2</w:t>
            </w:r>
          </w:p>
        </w:tc>
        <w:tc>
          <w:tcPr>
            <w:tcW w:w="3788" w:type="dxa"/>
            <w:vAlign w:val="top"/>
          </w:tcPr>
          <w:p>
            <w:pPr>
              <w:rPr>
                <w:rFonts w:hint="eastAsia" w:ascii="宋体" w:hAnsi="宋体" w:eastAsia="宋体" w:cs="宋体"/>
                <w:color w:val="auto"/>
                <w:sz w:val="21"/>
                <w:highlight w:val="none"/>
              </w:rPr>
            </w:pP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24" w:type="dxa"/>
            <w:vAlign w:val="top"/>
          </w:tcPr>
          <w:p>
            <w:pPr>
              <w:pStyle w:val="10"/>
              <w:spacing w:before="234" w:line="183" w:lineRule="auto"/>
              <w:ind w:left="278"/>
              <w:rPr>
                <w:rFonts w:hint="eastAsia" w:ascii="宋体" w:hAnsi="宋体" w:eastAsia="宋体" w:cs="宋体"/>
                <w:color w:val="auto"/>
                <w:highlight w:val="none"/>
              </w:rPr>
            </w:pPr>
            <w:r>
              <w:rPr>
                <w:rFonts w:hint="eastAsia" w:ascii="宋体" w:hAnsi="宋体" w:eastAsia="宋体" w:cs="宋体"/>
                <w:color w:val="auto"/>
                <w:spacing w:val="-6"/>
                <w:highlight w:val="none"/>
              </w:rPr>
              <w:t>16</w:t>
            </w:r>
          </w:p>
        </w:tc>
        <w:tc>
          <w:tcPr>
            <w:tcW w:w="2399" w:type="dxa"/>
            <w:vAlign w:val="top"/>
          </w:tcPr>
          <w:p>
            <w:pPr>
              <w:pStyle w:val="10"/>
              <w:spacing w:before="199" w:line="221"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技术标准和要求</w:t>
            </w:r>
          </w:p>
        </w:tc>
        <w:tc>
          <w:tcPr>
            <w:tcW w:w="1312" w:type="dxa"/>
            <w:vAlign w:val="top"/>
          </w:tcPr>
          <w:p>
            <w:pPr>
              <w:rPr>
                <w:rFonts w:hint="eastAsia" w:ascii="宋体" w:hAnsi="宋体" w:eastAsia="宋体" w:cs="宋体"/>
                <w:color w:val="auto"/>
                <w:sz w:val="21"/>
                <w:highlight w:val="none"/>
              </w:rPr>
            </w:pPr>
          </w:p>
        </w:tc>
        <w:tc>
          <w:tcPr>
            <w:tcW w:w="3788" w:type="dxa"/>
            <w:vAlign w:val="top"/>
          </w:tcPr>
          <w:p>
            <w:pPr>
              <w:pStyle w:val="10"/>
              <w:spacing w:before="200" w:line="220" w:lineRule="auto"/>
              <w:ind w:left="116"/>
              <w:rPr>
                <w:rFonts w:hint="eastAsia" w:ascii="宋体" w:hAnsi="宋体" w:eastAsia="宋体" w:cs="宋体"/>
                <w:color w:val="auto"/>
                <w:highlight w:val="none"/>
              </w:rPr>
            </w:pPr>
            <w:r>
              <w:rPr>
                <w:rFonts w:hint="eastAsia" w:ascii="宋体" w:hAnsi="宋体" w:eastAsia="宋体" w:cs="宋体"/>
                <w:color w:val="auto"/>
                <w:spacing w:val="-1"/>
                <w:highlight w:val="none"/>
              </w:rPr>
              <w:t>符合第七章“技术标准和要求”规定</w:t>
            </w:r>
          </w:p>
        </w:tc>
        <w:tc>
          <w:tcPr>
            <w:tcW w:w="73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pPr>
              <w:pStyle w:val="10"/>
              <w:spacing w:before="118" w:line="229" w:lineRule="auto"/>
              <w:ind w:left="133" w:right="112" w:hanging="17"/>
              <w:rPr>
                <w:rFonts w:hint="eastAsia" w:ascii="宋体" w:hAnsi="宋体" w:eastAsia="宋体" w:cs="宋体"/>
                <w:color w:val="auto"/>
                <w:highlight w:val="none"/>
              </w:rPr>
            </w:pPr>
            <w:r>
              <w:rPr>
                <w:rFonts w:hint="eastAsia" w:ascii="宋体" w:hAnsi="宋体" w:eastAsia="宋体" w:cs="宋体"/>
                <w:color w:val="auto"/>
                <w:spacing w:val="-2"/>
                <w:highlight w:val="none"/>
              </w:rPr>
              <w:t>备注： 投标人在响应招标文件中规定的实质性要求和条件的基础</w:t>
            </w:r>
            <w:r>
              <w:rPr>
                <w:rFonts w:hint="eastAsia" w:ascii="宋体" w:hAnsi="宋体" w:eastAsia="宋体" w:cs="宋体"/>
                <w:color w:val="auto"/>
                <w:spacing w:val="-3"/>
                <w:highlight w:val="none"/>
              </w:rPr>
              <w:t>上， 可做出其他有利于招标人</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的承诺。此类承诺可在本表中予以补充填写。</w:t>
            </w:r>
          </w:p>
        </w:tc>
      </w:tr>
    </w:tbl>
    <w:p>
      <w:pPr>
        <w:pStyle w:val="2"/>
        <w:spacing w:line="270" w:lineRule="auto"/>
        <w:rPr>
          <w:rFonts w:hint="eastAsia" w:ascii="宋体" w:hAnsi="宋体" w:eastAsia="宋体" w:cs="宋体"/>
          <w:color w:val="auto"/>
          <w:highlight w:val="none"/>
        </w:rPr>
      </w:pPr>
    </w:p>
    <w:p>
      <w:pPr>
        <w:pStyle w:val="2"/>
        <w:spacing w:line="271" w:lineRule="auto"/>
        <w:rPr>
          <w:rFonts w:hint="eastAsia" w:ascii="宋体" w:hAnsi="宋体" w:eastAsia="宋体" w:cs="宋体"/>
          <w:color w:val="auto"/>
          <w:highlight w:val="none"/>
        </w:rPr>
      </w:pPr>
    </w:p>
    <w:p>
      <w:pPr>
        <w:spacing w:before="68" w:line="386" w:lineRule="auto"/>
        <w:ind w:left="3676"/>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投</w:t>
      </w:r>
      <w:r>
        <w:rPr>
          <w:rFonts w:hint="eastAsia" w:ascii="宋体" w:hAnsi="宋体" w:eastAsia="宋体" w:cs="宋体"/>
          <w:color w:val="auto"/>
          <w:spacing w:val="9"/>
          <w:sz w:val="21"/>
          <w:szCs w:val="21"/>
          <w:highlight w:val="none"/>
        </w:rPr>
        <w:t xml:space="preserve"> </w:t>
      </w:r>
      <w:r>
        <w:rPr>
          <w:rFonts w:hint="eastAsia" w:ascii="宋体" w:hAnsi="宋体" w:eastAsia="宋体" w:cs="宋体"/>
          <w:color w:val="auto"/>
          <w:spacing w:val="-20"/>
          <w:sz w:val="21"/>
          <w:szCs w:val="21"/>
          <w:highlight w:val="none"/>
        </w:rPr>
        <w:t>标</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0"/>
          <w:sz w:val="21"/>
          <w:szCs w:val="21"/>
          <w:highlight w:val="none"/>
        </w:rPr>
        <w:t>人</w:t>
      </w:r>
      <w:r>
        <w:rPr>
          <w:rFonts w:hint="eastAsia" w:ascii="宋体" w:hAnsi="宋体" w:eastAsia="宋体" w:cs="宋体"/>
          <w:color w:val="auto"/>
          <w:sz w:val="21"/>
          <w:szCs w:val="21"/>
          <w:highlight w:val="none"/>
        </w:rPr>
        <w:t>：</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pacing w:val="-20"/>
          <w:sz w:val="21"/>
          <w:szCs w:val="21"/>
          <w:highlight w:val="none"/>
        </w:rPr>
        <w:t>盖单位章）</w:t>
      </w:r>
    </w:p>
    <w:p>
      <w:pPr>
        <w:spacing w:before="1" w:line="219" w:lineRule="auto"/>
        <w:ind w:left="241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法定代表人或授权委托人</w:t>
      </w:r>
      <w:r>
        <w:rPr>
          <w:rFonts w:hint="eastAsia" w:ascii="宋体" w:hAnsi="宋体" w:eastAsia="宋体" w:cs="宋体"/>
          <w:color w:val="auto"/>
          <w:spacing w:val="-10"/>
          <w:sz w:val="21"/>
          <w:szCs w:val="21"/>
          <w:highlight w:val="none"/>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0"/>
          <w:sz w:val="21"/>
          <w:szCs w:val="21"/>
          <w:highlight w:val="none"/>
        </w:rPr>
        <w:t>（</w:t>
      </w:r>
      <w:r>
        <w:rPr>
          <w:rFonts w:hint="eastAsia" w:ascii="宋体" w:hAnsi="宋体" w:eastAsia="宋体" w:cs="宋体"/>
          <w:color w:val="auto"/>
          <w:spacing w:val="1"/>
          <w:sz w:val="21"/>
          <w:szCs w:val="21"/>
          <w:highlight w:val="none"/>
        </w:rPr>
        <w:t>签章）</w:t>
      </w:r>
    </w:p>
    <w:p>
      <w:pPr>
        <w:tabs>
          <w:tab w:val="left" w:pos="5977"/>
        </w:tabs>
        <w:spacing w:before="189" w:line="221" w:lineRule="auto"/>
        <w:ind w:left="50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96"/>
          <w:sz w:val="21"/>
          <w:szCs w:val="21"/>
          <w:highlight w:val="none"/>
        </w:rPr>
        <w:t xml:space="preserve"> </w:t>
      </w:r>
      <w:r>
        <w:rPr>
          <w:rFonts w:hint="eastAsia" w:ascii="宋体" w:hAnsi="宋体" w:eastAsia="宋体" w:cs="宋体"/>
          <w:color w:val="auto"/>
          <w:spacing w:val="-7"/>
          <w:sz w:val="21"/>
          <w:szCs w:val="21"/>
          <w:highlight w:val="none"/>
        </w:rPr>
        <w:t>年</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2"/>
          <w:sz w:val="21"/>
          <w:szCs w:val="21"/>
          <w:highlight w:val="none"/>
        </w:rPr>
        <w:t xml:space="preserve"> </w:t>
      </w:r>
      <w:r>
        <w:rPr>
          <w:rFonts w:hint="eastAsia" w:ascii="宋体" w:hAnsi="宋体" w:eastAsia="宋体" w:cs="宋体"/>
          <w:color w:val="auto"/>
          <w:spacing w:val="-7"/>
          <w:sz w:val="21"/>
          <w:szCs w:val="21"/>
          <w:highlight w:val="none"/>
        </w:rPr>
        <w:t>月</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7"/>
          <w:sz w:val="21"/>
          <w:szCs w:val="21"/>
          <w:highlight w:val="none"/>
        </w:rPr>
        <w:t>日</w:t>
      </w:r>
    </w:p>
    <w:p>
      <w:pPr>
        <w:spacing w:line="221" w:lineRule="auto"/>
        <w:rPr>
          <w:rFonts w:hint="eastAsia" w:ascii="宋体" w:hAnsi="宋体" w:eastAsia="宋体" w:cs="宋体"/>
          <w:color w:val="auto"/>
          <w:sz w:val="21"/>
          <w:szCs w:val="21"/>
          <w:highlight w:val="none"/>
        </w:rPr>
        <w:sectPr>
          <w:footerReference r:id="rId135" w:type="default"/>
          <w:pgSz w:w="11905" w:h="16843"/>
          <w:pgMar w:top="1769" w:right="1548" w:bottom="1003" w:left="1542" w:header="0" w:footer="828" w:gutter="0"/>
          <w:pgNumType w:fmt="numberInDash"/>
          <w:cols w:space="0" w:num="1"/>
          <w:rtlGutter w:val="0"/>
          <w:docGrid w:linePitch="0" w:charSpace="0"/>
        </w:sectPr>
      </w:pPr>
    </w:p>
    <w:p>
      <w:pPr>
        <w:spacing w:before="91" w:line="220" w:lineRule="auto"/>
        <w:jc w:val="center"/>
        <w:rPr>
          <w:rFonts w:hint="eastAsia" w:ascii="宋体" w:hAnsi="宋体" w:eastAsia="宋体" w:cs="宋体"/>
          <w:color w:val="auto"/>
          <w:sz w:val="28"/>
          <w:szCs w:val="28"/>
          <w:highlight w:val="none"/>
        </w:rPr>
      </w:pPr>
      <w:bookmarkStart w:id="409" w:name="bookmark449"/>
      <w:bookmarkEnd w:id="409"/>
      <w:r>
        <w:rPr>
          <w:rFonts w:hint="eastAsia" w:ascii="宋体" w:hAnsi="宋体" w:eastAsia="宋体" w:cs="宋体"/>
          <w:color w:val="auto"/>
          <w:spacing w:val="-4"/>
          <w:sz w:val="28"/>
          <w:szCs w:val="28"/>
          <w:highlight w:val="none"/>
        </w:rPr>
        <w:t>（三）</w:t>
      </w:r>
      <w:r>
        <w:rPr>
          <w:rFonts w:hint="eastAsia" w:ascii="宋体" w:hAnsi="宋体" w:eastAsia="宋体" w:cs="宋体"/>
          <w:color w:val="auto"/>
          <w:spacing w:val="-4"/>
          <w:sz w:val="28"/>
          <w:szCs w:val="28"/>
          <w:highlight w:val="none"/>
          <w:lang w:val="en-US" w:eastAsia="zh-CN"/>
        </w:rPr>
        <w:t>投标人</w:t>
      </w:r>
      <w:r>
        <w:rPr>
          <w:rFonts w:hint="eastAsia" w:ascii="宋体" w:hAnsi="宋体" w:eastAsia="宋体" w:cs="宋体"/>
          <w:color w:val="auto"/>
          <w:spacing w:val="-4"/>
          <w:sz w:val="28"/>
          <w:szCs w:val="28"/>
          <w:highlight w:val="none"/>
        </w:rPr>
        <w:t>告知承诺函</w:t>
      </w:r>
    </w:p>
    <w:p>
      <w:pPr>
        <w:pStyle w:val="2"/>
        <w:spacing w:line="264" w:lineRule="auto"/>
        <w:rPr>
          <w:rFonts w:hint="eastAsia" w:ascii="宋体" w:hAnsi="宋体" w:eastAsia="宋体" w:cs="宋体"/>
          <w:color w:val="auto"/>
          <w:highlight w:val="none"/>
        </w:rPr>
      </w:pPr>
    </w:p>
    <w:p>
      <w:pPr>
        <w:spacing w:line="560" w:lineRule="exact"/>
        <w:jc w:val="center"/>
        <w:rPr>
          <w:rFonts w:hint="eastAsia" w:ascii="宋体" w:hAnsi="宋体" w:cs="方正小标宋简体"/>
          <w:color w:val="auto"/>
          <w:sz w:val="21"/>
          <w:szCs w:val="21"/>
          <w:highlight w:val="none"/>
        </w:rPr>
      </w:pPr>
      <w:r>
        <w:rPr>
          <w:rFonts w:hint="eastAsia" w:ascii="宋体" w:hAnsi="宋体" w:cs="方正小标宋简体"/>
          <w:color w:val="auto"/>
          <w:sz w:val="21"/>
          <w:szCs w:val="21"/>
          <w:highlight w:val="none"/>
        </w:rPr>
        <w:t>投标人告知承诺函</w:t>
      </w:r>
    </w:p>
    <w:p>
      <w:pPr>
        <w:spacing w:line="560" w:lineRule="exact"/>
        <w:rPr>
          <w:rFonts w:ascii="宋体" w:hAnsi="宋体"/>
          <w:color w:val="auto"/>
          <w:sz w:val="20"/>
          <w:szCs w:val="20"/>
          <w:highlight w:val="none"/>
          <w:u w:val="single"/>
        </w:rPr>
      </w:pPr>
    </w:p>
    <w:p>
      <w:pPr>
        <w:spacing w:line="560" w:lineRule="exact"/>
        <w:ind w:firstLine="400" w:firstLineChars="200"/>
        <w:rPr>
          <w:rFonts w:hint="eastAsia" w:ascii="宋体" w:hAnsi="宋体" w:cs="仿宋_GB2312"/>
          <w:color w:val="auto"/>
          <w:sz w:val="20"/>
          <w:szCs w:val="20"/>
          <w:highlight w:val="none"/>
          <w:u w:val="single"/>
        </w:rPr>
      </w:pPr>
      <w:r>
        <w:rPr>
          <w:rFonts w:hint="eastAsia" w:ascii="宋体" w:hAnsi="宋体" w:cs="仿宋_GB2312"/>
          <w:color w:val="auto"/>
          <w:sz w:val="20"/>
          <w:szCs w:val="20"/>
          <w:highlight w:val="none"/>
          <w:u w:val="single"/>
        </w:rPr>
        <w:t>大石桥市发展和改革局：</w:t>
      </w:r>
    </w:p>
    <w:p>
      <w:pPr>
        <w:spacing w:line="560" w:lineRule="exact"/>
        <w:ind w:firstLine="400" w:firstLineChars="200"/>
        <w:rPr>
          <w:rFonts w:hint="eastAsia" w:ascii="宋体" w:hAnsi="宋体" w:cs="仿宋_GB2312"/>
          <w:color w:val="auto"/>
          <w:sz w:val="20"/>
          <w:szCs w:val="20"/>
          <w:highlight w:val="none"/>
          <w:u w:val="single"/>
        </w:rPr>
      </w:pPr>
      <w:r>
        <w:rPr>
          <w:rFonts w:hint="eastAsia" w:ascii="宋体" w:hAnsi="宋体" w:cs="仿宋_GB2312"/>
          <w:color w:val="auto"/>
          <w:sz w:val="20"/>
          <w:szCs w:val="20"/>
          <w:highlight w:val="none"/>
          <w:u w:val="single"/>
        </w:rPr>
        <w:t>大石桥市</w:t>
      </w:r>
      <w:r>
        <w:rPr>
          <w:rFonts w:ascii="宋体" w:hAnsi="宋体" w:cs="仿宋_GB2312"/>
          <w:color w:val="auto"/>
          <w:sz w:val="20"/>
          <w:szCs w:val="20"/>
          <w:highlight w:val="none"/>
          <w:u w:val="single"/>
        </w:rPr>
        <w:t>农业农村局：</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我单位参与</w:t>
      </w:r>
      <w:r>
        <w:rPr>
          <w:rFonts w:hint="eastAsia" w:ascii="宋体" w:hAnsi="宋体" w:cs="仿宋_GB2312"/>
          <w:color w:val="auto"/>
          <w:sz w:val="20"/>
          <w:szCs w:val="20"/>
          <w:highlight w:val="none"/>
          <w:u w:val="single"/>
          <w:lang w:eastAsia="zh-CN"/>
        </w:rPr>
        <w:t>营口市高标准农田建设结余资金项目（大石桥市2020年高标准农田建设结余资金项目）</w:t>
      </w:r>
      <w:r>
        <w:rPr>
          <w:rFonts w:hint="eastAsia" w:ascii="宋体" w:hAnsi="宋体" w:cs="仿宋_GB2312"/>
          <w:color w:val="auto"/>
          <w:sz w:val="20"/>
          <w:szCs w:val="20"/>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一、我单位和我本人遵循公开、公平、公正、诚实守信的原则，依法依规参与本项目投标。</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二、我单位具有参与本次投标的资质和能力，公司运营状况良好，不存在挂靠投标、不受让、租借、出租、出借资格或资质证书，无处罚期内的不良行为。</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三、我单位在本项目投标过程中从招标公告</w:t>
      </w:r>
      <w:r>
        <w:rPr>
          <w:rFonts w:ascii="宋体" w:hAnsi="宋体" w:cs="仿宋_GB2312"/>
          <w:color w:val="auto"/>
          <w:sz w:val="20"/>
          <w:szCs w:val="20"/>
          <w:highlight w:val="none"/>
        </w:rPr>
        <w:t>/</w:t>
      </w:r>
      <w:r>
        <w:rPr>
          <w:rFonts w:hint="eastAsia" w:ascii="宋体" w:hAnsi="宋体" w:cs="仿宋_GB2312"/>
          <w:color w:val="auto"/>
          <w:sz w:val="20"/>
          <w:szCs w:val="20"/>
          <w:highlight w:val="none"/>
        </w:rPr>
        <w:t>投标邀请书列明的渠道获取招标文件，没有通过其他不正当渠道获取招标文件。</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四、我单位承诺投标文件由本单位员工独立编制，严格遵守保密义务。所提供的一切投标相关材料都是真实、有效、合法的。</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五、我单位不与其他投标人相互串通投标报价，不恶意压低或抬高投标报价，不排挤其他投标人的公平竞争，不损害招标人或其他投标人的合法权益。</w:t>
      </w:r>
    </w:p>
    <w:p>
      <w:pPr>
        <w:spacing w:line="560" w:lineRule="exact"/>
        <w:ind w:firstLine="400" w:firstLineChars="200"/>
        <w:rPr>
          <w:rFonts w:ascii="宋体" w:hAnsi="宋体" w:cs="仿宋_GB2312"/>
          <w:color w:val="auto"/>
          <w:sz w:val="20"/>
          <w:szCs w:val="20"/>
          <w:highlight w:val="none"/>
        </w:rPr>
      </w:pPr>
      <w:r>
        <w:rPr>
          <w:rFonts w:hint="eastAsia" w:ascii="宋体" w:hAnsi="宋体" w:cs="仿宋_GB2312"/>
          <w:color w:val="auto"/>
          <w:sz w:val="20"/>
          <w:szCs w:val="20"/>
          <w:highlight w:val="none"/>
        </w:rPr>
        <w:t>六、我单位不与招标人或招标代理机构串通投标，损害国家利益、社会公共利益或者他人的合法权益。</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七、我单位不向招标人或者评标委员会成员行贿以牟取中标，不在开标后进行虚假恶意投诉。</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九、我单位如在本项目招标投标活动评标工作中存在串通投标、弄虚作假等行为的，本单位及本人自愿承担法律责任，接受相应刑事、纪律和行政处罚以及失信惩戒。</w:t>
      </w:r>
    </w:p>
    <w:p>
      <w:pPr>
        <w:spacing w:line="560" w:lineRule="exact"/>
        <w:ind w:firstLine="400" w:firstLineChars="200"/>
        <w:rPr>
          <w:rFonts w:ascii="宋体" w:hAnsi="宋体"/>
          <w:color w:val="auto"/>
          <w:sz w:val="20"/>
          <w:szCs w:val="20"/>
          <w:highlight w:val="none"/>
        </w:rPr>
      </w:pPr>
      <w:r>
        <w:rPr>
          <w:rFonts w:hint="eastAsia" w:ascii="宋体" w:hAnsi="宋体" w:cs="仿宋_GB2312"/>
          <w:color w:val="auto"/>
          <w:sz w:val="20"/>
          <w:szCs w:val="20"/>
          <w:highlight w:val="none"/>
        </w:rPr>
        <w:t>十、本承诺函由我单位盖章及法定代表人（授权委托人）本人亲自签字确认。</w:t>
      </w:r>
    </w:p>
    <w:p>
      <w:pPr>
        <w:spacing w:line="560" w:lineRule="exact"/>
        <w:ind w:firstLine="400" w:firstLineChars="200"/>
        <w:rPr>
          <w:rFonts w:ascii="宋体" w:hAnsi="宋体"/>
          <w:color w:val="auto"/>
          <w:sz w:val="20"/>
          <w:szCs w:val="20"/>
          <w:highlight w:val="none"/>
          <w:shd w:val="clear" w:color="auto" w:fill="FFFFFF"/>
        </w:rPr>
      </w:pPr>
    </w:p>
    <w:p>
      <w:pPr>
        <w:spacing w:line="560" w:lineRule="exact"/>
        <w:ind w:firstLine="400" w:firstLineChars="200"/>
        <w:rPr>
          <w:rFonts w:ascii="宋体" w:hAnsi="宋体"/>
          <w:color w:val="auto"/>
          <w:sz w:val="20"/>
          <w:szCs w:val="20"/>
          <w:highlight w:val="none"/>
          <w:shd w:val="clear" w:color="auto" w:fill="FFFFFF"/>
        </w:rPr>
      </w:pPr>
    </w:p>
    <w:p>
      <w:pPr>
        <w:spacing w:line="560" w:lineRule="exact"/>
        <w:ind w:firstLine="300" w:firstLineChars="150"/>
        <w:rPr>
          <w:rFonts w:ascii="宋体" w:hAnsi="宋体"/>
          <w:color w:val="auto"/>
          <w:sz w:val="20"/>
          <w:szCs w:val="20"/>
          <w:highlight w:val="none"/>
        </w:rPr>
      </w:pPr>
      <w:r>
        <w:rPr>
          <w:rFonts w:hint="eastAsia" w:ascii="宋体" w:hAnsi="宋体" w:cs="仿宋_GB2312"/>
          <w:color w:val="auto"/>
          <w:sz w:val="20"/>
          <w:szCs w:val="20"/>
          <w:highlight w:val="none"/>
        </w:rPr>
        <w:t>承诺单位：（盖单位公章）</w:t>
      </w:r>
    </w:p>
    <w:p>
      <w:pPr>
        <w:spacing w:line="560" w:lineRule="exact"/>
        <w:rPr>
          <w:rFonts w:ascii="宋体" w:hAnsi="宋体"/>
          <w:color w:val="auto"/>
          <w:sz w:val="20"/>
          <w:szCs w:val="20"/>
          <w:highlight w:val="none"/>
        </w:rPr>
      </w:pPr>
    </w:p>
    <w:p>
      <w:pPr>
        <w:spacing w:line="560" w:lineRule="exact"/>
        <w:ind w:firstLine="300" w:firstLineChars="150"/>
        <w:rPr>
          <w:rFonts w:ascii="宋体" w:hAnsi="宋体"/>
          <w:color w:val="auto"/>
          <w:sz w:val="20"/>
          <w:szCs w:val="20"/>
          <w:highlight w:val="none"/>
        </w:rPr>
      </w:pPr>
      <w:r>
        <w:rPr>
          <w:rFonts w:hint="eastAsia" w:ascii="宋体" w:hAnsi="宋体" w:cs="仿宋_GB2312"/>
          <w:color w:val="auto"/>
          <w:sz w:val="20"/>
          <w:szCs w:val="20"/>
          <w:highlight w:val="none"/>
        </w:rPr>
        <w:t>法定代表人（授权委托人）：（签字）</w:t>
      </w:r>
    </w:p>
    <w:p>
      <w:pPr>
        <w:spacing w:line="560" w:lineRule="exact"/>
        <w:rPr>
          <w:rFonts w:ascii="宋体" w:hAnsi="宋体"/>
          <w:color w:val="auto"/>
          <w:sz w:val="20"/>
          <w:szCs w:val="20"/>
          <w:highlight w:val="none"/>
        </w:rPr>
      </w:pPr>
    </w:p>
    <w:p>
      <w:pPr>
        <w:spacing w:line="560" w:lineRule="exact"/>
        <w:rPr>
          <w:rFonts w:ascii="宋体" w:hAnsi="宋体"/>
          <w:color w:val="auto"/>
          <w:sz w:val="20"/>
          <w:szCs w:val="20"/>
          <w:highlight w:val="none"/>
        </w:rPr>
      </w:pPr>
    </w:p>
    <w:p>
      <w:pPr>
        <w:spacing w:line="560" w:lineRule="exact"/>
        <w:ind w:firstLine="2600" w:firstLineChars="1300"/>
        <w:rPr>
          <w:rFonts w:ascii="宋体" w:hAnsi="宋体"/>
          <w:color w:val="auto"/>
          <w:sz w:val="20"/>
          <w:szCs w:val="20"/>
          <w:highlight w:val="none"/>
        </w:rPr>
      </w:pPr>
      <w:r>
        <w:rPr>
          <w:rFonts w:hint="eastAsia" w:ascii="宋体" w:hAnsi="宋体" w:cs="仿宋_GB2312"/>
          <w:color w:val="auto"/>
          <w:sz w:val="20"/>
          <w:szCs w:val="20"/>
          <w:highlight w:val="none"/>
        </w:rPr>
        <w:t xml:space="preserve">承诺时间： </w:t>
      </w:r>
      <w:r>
        <w:rPr>
          <w:rFonts w:ascii="宋体" w:hAnsi="宋体" w:cs="仿宋_GB2312"/>
          <w:color w:val="auto"/>
          <w:sz w:val="20"/>
          <w:szCs w:val="20"/>
          <w:highlight w:val="none"/>
        </w:rPr>
        <w:t xml:space="preserve">  </w:t>
      </w:r>
      <w:r>
        <w:rPr>
          <w:rFonts w:hint="eastAsia" w:ascii="宋体" w:hAnsi="宋体" w:cs="仿宋_GB2312"/>
          <w:color w:val="auto"/>
          <w:sz w:val="20"/>
          <w:szCs w:val="20"/>
          <w:highlight w:val="none"/>
        </w:rPr>
        <w:t xml:space="preserve">年 </w:t>
      </w:r>
      <w:r>
        <w:rPr>
          <w:rFonts w:ascii="宋体" w:hAnsi="宋体" w:cs="仿宋_GB2312"/>
          <w:color w:val="auto"/>
          <w:sz w:val="20"/>
          <w:szCs w:val="20"/>
          <w:highlight w:val="none"/>
        </w:rPr>
        <w:t xml:space="preserve">  </w:t>
      </w:r>
      <w:r>
        <w:rPr>
          <w:rFonts w:hint="eastAsia" w:ascii="宋体" w:hAnsi="宋体" w:cs="仿宋_GB2312"/>
          <w:color w:val="auto"/>
          <w:sz w:val="20"/>
          <w:szCs w:val="20"/>
          <w:highlight w:val="none"/>
        </w:rPr>
        <w:t xml:space="preserve">月 </w:t>
      </w:r>
      <w:r>
        <w:rPr>
          <w:rFonts w:ascii="宋体" w:hAnsi="宋体" w:cs="仿宋_GB2312"/>
          <w:color w:val="auto"/>
          <w:sz w:val="20"/>
          <w:szCs w:val="20"/>
          <w:highlight w:val="none"/>
        </w:rPr>
        <w:t xml:space="preserve">  </w:t>
      </w:r>
      <w:r>
        <w:rPr>
          <w:rFonts w:hint="eastAsia" w:ascii="宋体" w:hAnsi="宋体" w:cs="仿宋_GB2312"/>
          <w:color w:val="auto"/>
          <w:sz w:val="20"/>
          <w:szCs w:val="20"/>
          <w:highlight w:val="none"/>
        </w:rPr>
        <w:t>日</w:t>
      </w: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221" w:lineRule="auto"/>
        <w:ind w:left="4662"/>
        <w:rPr>
          <w:rFonts w:hint="eastAsia" w:ascii="宋体" w:hAnsi="宋体" w:eastAsia="宋体" w:cs="宋体"/>
          <w:color w:val="auto"/>
          <w:sz w:val="21"/>
          <w:szCs w:val="21"/>
          <w:highlight w:val="none"/>
        </w:rPr>
      </w:pPr>
    </w:p>
    <w:p>
      <w:pPr>
        <w:spacing w:before="189" w:line="360" w:lineRule="auto"/>
        <w:ind w:left="0" w:leftChars="0" w:firstLine="0" w:firstLineChars="0"/>
        <w:rPr>
          <w:rFonts w:hint="eastAsia" w:ascii="宋体" w:hAnsi="宋体" w:eastAsia="宋体" w:cs="宋体"/>
          <w:color w:val="auto"/>
          <w:sz w:val="21"/>
          <w:szCs w:val="21"/>
          <w:highlight w:val="none"/>
        </w:rPr>
      </w:pPr>
      <w:r>
        <w:rPr>
          <w:rFonts w:ascii="宋体" w:cs="宋体"/>
          <w:b/>
          <w:bCs/>
          <w:color w:val="auto"/>
          <w:spacing w:val="-3"/>
          <w:sz w:val="20"/>
          <w:szCs w:val="20"/>
          <w:highlight w:val="none"/>
        </w:rPr>
        <w:t>注：“投标人告知承诺函”为发布中标公告的必须件，请各投标单位</w:t>
      </w:r>
      <w:r>
        <w:rPr>
          <w:rFonts w:hint="eastAsia" w:ascii="宋体" w:cs="宋体"/>
          <w:b/>
          <w:bCs/>
          <w:color w:val="auto"/>
          <w:spacing w:val="-3"/>
          <w:sz w:val="20"/>
          <w:szCs w:val="20"/>
          <w:highlight w:val="none"/>
          <w:lang w:eastAsia="zh-CN"/>
        </w:rPr>
        <w:t>将</w:t>
      </w:r>
      <w:r>
        <w:rPr>
          <w:rFonts w:ascii="宋体" w:cs="宋体"/>
          <w:b/>
          <w:bCs/>
          <w:color w:val="auto"/>
          <w:spacing w:val="46"/>
          <w:sz w:val="20"/>
          <w:szCs w:val="20"/>
          <w:highlight w:val="none"/>
        </w:rPr>
        <w:t>投</w:t>
      </w:r>
      <w:r>
        <w:rPr>
          <w:rFonts w:ascii="宋体" w:eastAsia="宋体" w:cs="宋体"/>
          <w:b/>
          <w:bCs/>
          <w:color w:val="auto"/>
          <w:spacing w:val="-3"/>
          <w:sz w:val="20"/>
          <w:szCs w:val="20"/>
          <w:highlight w:val="none"/>
        </w:rPr>
        <w:t>标人告知承诺函</w:t>
      </w:r>
      <w:r>
        <w:rPr>
          <w:rFonts w:hint="eastAsia" w:ascii="宋体" w:eastAsia="宋体" w:cs="宋体"/>
          <w:b/>
          <w:bCs/>
          <w:color w:val="auto"/>
          <w:spacing w:val="-3"/>
          <w:sz w:val="20"/>
          <w:szCs w:val="20"/>
          <w:highlight w:val="none"/>
          <w:lang w:eastAsia="zh-CN"/>
        </w:rPr>
        <w:t>签字盖章后附在</w:t>
      </w:r>
      <w:r>
        <w:rPr>
          <w:rFonts w:ascii="宋体" w:eastAsia="宋体" w:cs="宋体"/>
          <w:b/>
          <w:bCs/>
          <w:color w:val="auto"/>
          <w:spacing w:val="-3"/>
          <w:sz w:val="20"/>
          <w:szCs w:val="20"/>
          <w:highlight w:val="none"/>
        </w:rPr>
        <w:t>投标文件中</w:t>
      </w:r>
      <w:r>
        <w:rPr>
          <w:rFonts w:hint="eastAsia" w:ascii="宋体" w:eastAsia="宋体" w:cs="宋体"/>
          <w:b/>
          <w:bCs/>
          <w:color w:val="auto"/>
          <w:spacing w:val="-3"/>
          <w:sz w:val="20"/>
          <w:szCs w:val="20"/>
          <w:highlight w:val="none"/>
          <w:lang w:eastAsia="zh-CN"/>
        </w:rPr>
        <w:t>并</w:t>
      </w:r>
      <w:r>
        <w:rPr>
          <w:rFonts w:ascii="宋体" w:eastAsia="宋体" w:cs="宋体"/>
          <w:b/>
          <w:bCs/>
          <w:color w:val="auto"/>
          <w:spacing w:val="-3"/>
          <w:sz w:val="20"/>
          <w:szCs w:val="20"/>
          <w:highlight w:val="none"/>
        </w:rPr>
        <w:t>于投标截止时间后，将签字盖章后的</w:t>
      </w:r>
      <w:r>
        <w:rPr>
          <w:rFonts w:hint="eastAsia" w:ascii="宋体" w:eastAsia="宋体" w:cs="宋体"/>
          <w:b/>
          <w:bCs/>
          <w:color w:val="auto"/>
          <w:spacing w:val="-3"/>
          <w:sz w:val="20"/>
          <w:szCs w:val="20"/>
          <w:highlight w:val="none"/>
          <w:lang w:eastAsia="zh-CN"/>
        </w:rPr>
        <w:t>扫描件</w:t>
      </w:r>
      <w:r>
        <w:rPr>
          <w:rFonts w:ascii="宋体" w:eastAsia="宋体" w:cs="宋体"/>
          <w:b/>
          <w:bCs/>
          <w:color w:val="auto"/>
          <w:spacing w:val="-3"/>
          <w:sz w:val="20"/>
          <w:szCs w:val="20"/>
          <w:highlight w:val="none"/>
        </w:rPr>
        <w:t>发送至</w:t>
      </w:r>
      <w:r>
        <w:rPr>
          <w:rFonts w:hint="eastAsia" w:ascii="宋体" w:eastAsia="宋体" w:cs="宋体"/>
          <w:b/>
          <w:bCs/>
          <w:color w:val="auto"/>
          <w:spacing w:val="-3"/>
          <w:sz w:val="20"/>
          <w:szCs w:val="20"/>
          <w:highlight w:val="none"/>
          <w:lang w:eastAsia="zh-CN"/>
        </w:rPr>
        <w:t>LNHX20200202@163.com</w:t>
      </w:r>
      <w:r>
        <w:rPr>
          <w:rFonts w:ascii="宋体" w:eastAsia="宋体" w:cs="宋体"/>
          <w:b/>
          <w:bCs/>
          <w:color w:val="auto"/>
          <w:spacing w:val="-3"/>
          <w:sz w:val="20"/>
          <w:szCs w:val="20"/>
          <w:highlight w:val="none"/>
        </w:rPr>
        <w:t>邮箱。</w:t>
      </w:r>
    </w:p>
    <w:p>
      <w:pPr>
        <w:spacing w:line="221" w:lineRule="auto"/>
        <w:rPr>
          <w:rFonts w:hint="eastAsia" w:ascii="宋体" w:hAnsi="宋体" w:eastAsia="宋体" w:cs="宋体"/>
          <w:color w:val="auto"/>
          <w:sz w:val="21"/>
          <w:szCs w:val="21"/>
          <w:highlight w:val="none"/>
        </w:rPr>
        <w:sectPr>
          <w:footerReference r:id="rId136" w:type="default"/>
          <w:pgSz w:w="11905" w:h="16843"/>
          <w:pgMar w:top="1769" w:right="1548" w:bottom="1003" w:left="1542" w:header="0" w:footer="828" w:gutter="0"/>
          <w:pgNumType w:fmt="numberInDash"/>
          <w:cols w:space="0" w:num="1"/>
          <w:rtlGutter w:val="0"/>
          <w:docGrid w:linePitch="0" w:charSpace="0"/>
        </w:sectPr>
      </w:pPr>
    </w:p>
    <w:p>
      <w:pPr>
        <w:pStyle w:val="2"/>
        <w:spacing w:line="256" w:lineRule="auto"/>
        <w:rPr>
          <w:rFonts w:hint="eastAsia" w:ascii="宋体" w:hAnsi="宋体" w:eastAsia="宋体" w:cs="宋体"/>
          <w:color w:val="auto"/>
          <w:highlight w:val="none"/>
        </w:rPr>
      </w:pPr>
    </w:p>
    <w:p>
      <w:pPr>
        <w:spacing w:before="91" w:line="219" w:lineRule="auto"/>
        <w:ind w:left="3631"/>
        <w:rPr>
          <w:rFonts w:hint="eastAsia" w:ascii="宋体" w:hAnsi="宋体" w:eastAsia="宋体" w:cs="宋体"/>
          <w:color w:val="auto"/>
          <w:sz w:val="28"/>
          <w:szCs w:val="28"/>
          <w:highlight w:val="none"/>
        </w:rPr>
      </w:pPr>
      <w:bookmarkStart w:id="410" w:name="bookmark450"/>
      <w:bookmarkEnd w:id="410"/>
      <w:r>
        <w:rPr>
          <w:rFonts w:hint="eastAsia" w:ascii="宋体" w:hAnsi="宋体" w:eastAsia="宋体" w:cs="宋体"/>
          <w:color w:val="auto"/>
          <w:spacing w:val="-9"/>
          <w:sz w:val="28"/>
          <w:szCs w:val="28"/>
          <w:highlight w:val="none"/>
        </w:rPr>
        <w:t>（四）声明函</w:t>
      </w:r>
    </w:p>
    <w:p>
      <w:pPr>
        <w:pStyle w:val="2"/>
        <w:spacing w:line="265" w:lineRule="auto"/>
        <w:rPr>
          <w:rFonts w:hint="eastAsia" w:ascii="宋体" w:hAnsi="宋体" w:eastAsia="宋体" w:cs="宋体"/>
          <w:color w:val="auto"/>
          <w:highlight w:val="none"/>
        </w:rPr>
      </w:pPr>
    </w:p>
    <w:p>
      <w:pPr>
        <w:pStyle w:val="2"/>
        <w:spacing w:line="265" w:lineRule="auto"/>
        <w:rPr>
          <w:rFonts w:hint="eastAsia" w:ascii="宋体" w:hAnsi="宋体" w:eastAsia="宋体" w:cs="宋体"/>
          <w:color w:val="auto"/>
          <w:highlight w:val="none"/>
        </w:rPr>
      </w:pPr>
    </w:p>
    <w:p>
      <w:pPr>
        <w:spacing w:before="68" w:line="220" w:lineRule="auto"/>
        <w:ind w:left="41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在本项目编制投标文件过程中， 我单位声明如下：</w:t>
      </w:r>
    </w:p>
    <w:p>
      <w:pPr>
        <w:spacing w:before="188" w:line="220" w:lineRule="auto"/>
        <w:ind w:left="4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一、未与本标段其他投标人委托同一单位或同一人编制投标文</w:t>
      </w:r>
      <w:r>
        <w:rPr>
          <w:rFonts w:hint="eastAsia" w:ascii="宋体" w:hAnsi="宋体" w:eastAsia="宋体" w:cs="宋体"/>
          <w:color w:val="auto"/>
          <w:spacing w:val="-2"/>
          <w:sz w:val="21"/>
          <w:szCs w:val="21"/>
          <w:highlight w:val="none"/>
        </w:rPr>
        <w:t>件；</w:t>
      </w:r>
    </w:p>
    <w:p>
      <w:pPr>
        <w:spacing w:before="189" w:line="219" w:lineRule="auto"/>
        <w:ind w:left="42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二、未与本标段其他投标人协商投标报价；</w:t>
      </w:r>
    </w:p>
    <w:p>
      <w:pPr>
        <w:spacing w:before="192" w:line="22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三、未与本标段其他投标人使用同一电脑等电子设备编制投标</w:t>
      </w:r>
      <w:r>
        <w:rPr>
          <w:rFonts w:hint="eastAsia" w:ascii="宋体" w:hAnsi="宋体" w:eastAsia="宋体" w:cs="宋体"/>
          <w:color w:val="auto"/>
          <w:spacing w:val="-1"/>
          <w:sz w:val="21"/>
          <w:szCs w:val="21"/>
          <w:highlight w:val="none"/>
        </w:rPr>
        <w:t>文件；</w:t>
      </w:r>
    </w:p>
    <w:p>
      <w:pPr>
        <w:spacing w:before="189" w:line="220" w:lineRule="auto"/>
        <w:ind w:left="43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四、未使用“网络虚拟设备”等无法识别电子设备归属的电脑编制投标文件；</w:t>
      </w:r>
    </w:p>
    <w:p>
      <w:pPr>
        <w:spacing w:before="190" w:line="387" w:lineRule="auto"/>
        <w:ind w:left="1" w:right="164" w:firstLine="4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五、本项目技术标（施工组织设计）是针对本项目现场实际、技术特点</w:t>
      </w:r>
      <w:r>
        <w:rPr>
          <w:rFonts w:hint="eastAsia" w:ascii="宋体" w:hAnsi="宋体" w:eastAsia="宋体" w:cs="宋体"/>
          <w:color w:val="auto"/>
          <w:spacing w:val="-1"/>
          <w:sz w:val="21"/>
          <w:szCs w:val="21"/>
          <w:highlight w:val="none"/>
        </w:rPr>
        <w:t>以及施工图纸而</w:t>
      </w:r>
      <w:r>
        <w:rPr>
          <w:rFonts w:hint="eastAsia" w:ascii="宋体" w:hAnsi="宋体" w:eastAsia="宋体" w:cs="宋体"/>
          <w:color w:val="auto"/>
          <w:spacing w:val="2"/>
          <w:sz w:val="21"/>
          <w:szCs w:val="21"/>
          <w:highlight w:val="none"/>
        </w:rPr>
        <w:t>编制的相应的技术方案，在编制过程中未抄袭、摘抄网络或其他</w:t>
      </w:r>
      <w:r>
        <w:rPr>
          <w:rFonts w:hint="eastAsia" w:ascii="宋体" w:hAnsi="宋体" w:eastAsia="宋体" w:cs="宋体"/>
          <w:color w:val="auto"/>
          <w:spacing w:val="1"/>
          <w:sz w:val="21"/>
          <w:szCs w:val="21"/>
          <w:highlight w:val="none"/>
        </w:rPr>
        <w:t>项目相关技术资料，对文件</w:t>
      </w:r>
      <w:r>
        <w:rPr>
          <w:rFonts w:hint="eastAsia" w:ascii="宋体" w:hAnsi="宋体" w:eastAsia="宋体" w:cs="宋体"/>
          <w:color w:val="auto"/>
          <w:spacing w:val="-5"/>
          <w:sz w:val="21"/>
          <w:szCs w:val="21"/>
          <w:highlight w:val="none"/>
        </w:rPr>
        <w:t>内容具有独立自主知识产权；</w:t>
      </w:r>
    </w:p>
    <w:p>
      <w:pPr>
        <w:spacing w:before="189" w:line="441" w:lineRule="exact"/>
        <w:ind w:left="421"/>
        <w:rPr>
          <w:rFonts w:hint="eastAsia" w:ascii="宋体" w:hAnsi="宋体" w:eastAsia="宋体" w:cs="宋体"/>
          <w:color w:val="auto"/>
          <w:sz w:val="21"/>
          <w:szCs w:val="21"/>
          <w:highlight w:val="none"/>
        </w:rPr>
      </w:pPr>
      <w:r>
        <w:rPr>
          <w:rFonts w:hint="eastAsia" w:ascii="宋体" w:hAnsi="宋体" w:eastAsia="宋体" w:cs="宋体"/>
          <w:color w:val="auto"/>
          <w:position w:val="17"/>
          <w:sz w:val="21"/>
          <w:szCs w:val="21"/>
          <w:highlight w:val="none"/>
        </w:rPr>
        <w:t>六、本项目经济标（投标报价）是依据本项目给定的图纸、工程量清单、最高投标限价以及现场实际独立编制的，对投标报价编制的完整性、准确性负责；</w:t>
      </w:r>
    </w:p>
    <w:p>
      <w:pPr>
        <w:spacing w:before="189" w:line="387" w:lineRule="auto"/>
        <w:ind w:right="164" w:firstLine="4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七、本项目综合标（施工管理机构和企业资信等）提供的材料均为我单位真实、</w:t>
      </w:r>
      <w:r>
        <w:rPr>
          <w:rFonts w:hint="eastAsia" w:ascii="宋体" w:hAnsi="宋体" w:eastAsia="宋体" w:cs="宋体"/>
          <w:color w:val="auto"/>
          <w:spacing w:val="1"/>
          <w:sz w:val="21"/>
          <w:szCs w:val="21"/>
          <w:highlight w:val="none"/>
        </w:rPr>
        <w:t>有效和</w:t>
      </w:r>
      <w:r>
        <w:rPr>
          <w:rFonts w:hint="eastAsia" w:ascii="宋体" w:hAnsi="宋体" w:eastAsia="宋体" w:cs="宋体"/>
          <w:color w:val="auto"/>
          <w:spacing w:val="-1"/>
          <w:sz w:val="21"/>
          <w:szCs w:val="21"/>
          <w:highlight w:val="none"/>
        </w:rPr>
        <w:t>完整的材料，不存在任何弄虚作假行为。投标文件所附的各类材料均为我单位提供相关材料和填写的内容在主体信息库依据规则生成，我单位已进行确认，并认可提供材料的有效性、真实性和完整性。</w:t>
      </w:r>
    </w:p>
    <w:p>
      <w:pPr>
        <w:spacing w:before="189" w:line="387" w:lineRule="auto"/>
        <w:ind w:right="164" w:firstLine="421"/>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我单位对以上声明内容完全负责，如违反以上任一一款，评标委员会有权依据招标文件相应条款否决我单位投标文件，招标人有权依据相关法律不接受我单位投标并没收我单位投</w:t>
      </w:r>
      <w:r>
        <w:rPr>
          <w:rFonts w:hint="eastAsia" w:ascii="宋体" w:hAnsi="宋体" w:eastAsia="宋体" w:cs="宋体"/>
          <w:color w:val="auto"/>
          <w:spacing w:val="-4"/>
          <w:sz w:val="21"/>
          <w:szCs w:val="21"/>
          <w:highlight w:val="none"/>
        </w:rPr>
        <w:t>标保证金，由此造成的一切法律责任和经济损失我单位均予以承担。</w:t>
      </w:r>
    </w:p>
    <w:p>
      <w:pPr>
        <w:spacing w:before="188" w:line="221" w:lineRule="auto"/>
        <w:ind w:left="42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特此声明！</w:t>
      </w:r>
    </w:p>
    <w:p>
      <w:pPr>
        <w:pStyle w:val="2"/>
        <w:spacing w:line="286" w:lineRule="auto"/>
        <w:rPr>
          <w:rFonts w:hint="eastAsia" w:ascii="宋体" w:hAnsi="宋体" w:eastAsia="宋体" w:cs="宋体"/>
          <w:color w:val="auto"/>
          <w:highlight w:val="none"/>
        </w:rPr>
      </w:pPr>
    </w:p>
    <w:p>
      <w:pPr>
        <w:pStyle w:val="2"/>
        <w:spacing w:line="287" w:lineRule="auto"/>
        <w:rPr>
          <w:rFonts w:hint="eastAsia" w:ascii="宋体" w:hAnsi="宋体" w:eastAsia="宋体" w:cs="宋体"/>
          <w:color w:val="auto"/>
          <w:highlight w:val="none"/>
        </w:rPr>
      </w:pPr>
    </w:p>
    <w:p>
      <w:pPr>
        <w:pStyle w:val="2"/>
        <w:spacing w:line="287" w:lineRule="auto"/>
        <w:rPr>
          <w:rFonts w:hint="eastAsia" w:ascii="宋体" w:hAnsi="宋体" w:eastAsia="宋体" w:cs="宋体"/>
          <w:color w:val="auto"/>
          <w:highlight w:val="none"/>
        </w:rPr>
      </w:pPr>
    </w:p>
    <w:p>
      <w:pPr>
        <w:pStyle w:val="2"/>
        <w:spacing w:line="287" w:lineRule="auto"/>
        <w:rPr>
          <w:rFonts w:hint="eastAsia" w:ascii="宋体" w:hAnsi="宋体" w:eastAsia="宋体" w:cs="宋体"/>
          <w:color w:val="auto"/>
          <w:highlight w:val="none"/>
        </w:rPr>
      </w:pPr>
    </w:p>
    <w:p>
      <w:pPr>
        <w:pStyle w:val="2"/>
        <w:spacing w:line="287" w:lineRule="auto"/>
        <w:rPr>
          <w:rFonts w:hint="eastAsia" w:ascii="宋体" w:hAnsi="宋体" w:eastAsia="宋体" w:cs="宋体"/>
          <w:color w:val="auto"/>
          <w:highlight w:val="none"/>
        </w:rPr>
      </w:pPr>
    </w:p>
    <w:p>
      <w:pPr>
        <w:spacing w:before="68" w:line="220" w:lineRule="auto"/>
        <w:ind w:left="4099"/>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声明单位</w:t>
      </w:r>
      <w:r>
        <w:rPr>
          <w:rFonts w:hint="eastAsia" w:ascii="宋体" w:hAnsi="宋体" w:eastAsia="宋体" w:cs="宋体"/>
          <w:color w:val="auto"/>
          <w:spacing w:val="-26"/>
          <w:sz w:val="21"/>
          <w:szCs w:val="21"/>
          <w:highlight w:val="none"/>
        </w:rPr>
        <w:t>：（</w:t>
      </w:r>
      <w:r>
        <w:rPr>
          <w:rFonts w:hint="eastAsia" w:ascii="宋体" w:hAnsi="宋体" w:eastAsia="宋体" w:cs="宋体"/>
          <w:color w:val="auto"/>
          <w:spacing w:val="-8"/>
          <w:sz w:val="21"/>
          <w:szCs w:val="21"/>
          <w:highlight w:val="none"/>
        </w:rPr>
        <w:t>盖单位章）</w:t>
      </w:r>
    </w:p>
    <w:p>
      <w:pPr>
        <w:spacing w:before="189" w:line="220" w:lineRule="auto"/>
        <w:ind w:left="409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法定代表人或授权委托人</w:t>
      </w:r>
      <w:r>
        <w:rPr>
          <w:rFonts w:hint="eastAsia" w:ascii="宋体" w:hAnsi="宋体" w:eastAsia="宋体" w:cs="宋体"/>
          <w:color w:val="auto"/>
          <w:spacing w:val="-50"/>
          <w:w w:val="90"/>
          <w:sz w:val="21"/>
          <w:szCs w:val="21"/>
          <w:highlight w:val="none"/>
        </w:rPr>
        <w:t>：（</w:t>
      </w:r>
      <w:r>
        <w:rPr>
          <w:rFonts w:hint="eastAsia" w:ascii="宋体" w:hAnsi="宋体" w:eastAsia="宋体" w:cs="宋体"/>
          <w:color w:val="auto"/>
          <w:spacing w:val="1"/>
          <w:sz w:val="21"/>
          <w:szCs w:val="21"/>
          <w:highlight w:val="none"/>
        </w:rPr>
        <w:t>签章）</w:t>
      </w:r>
    </w:p>
    <w:p>
      <w:pPr>
        <w:spacing w:before="189" w:line="221" w:lineRule="auto"/>
        <w:ind w:firstLine="4180" w:firstLineChars="2200"/>
        <w:rPr>
          <w:rFonts w:hint="eastAsia" w:ascii="宋体" w:hAnsi="宋体" w:eastAsia="宋体" w:cs="宋体"/>
          <w:color w:val="auto"/>
          <w:sz w:val="21"/>
          <w:szCs w:val="21"/>
          <w:highlight w:val="none"/>
        </w:rPr>
      </w:pPr>
      <w:r>
        <w:rPr>
          <w:rFonts w:hint="eastAsia" w:ascii="宋体" w:hAnsi="宋体" w:eastAsia="宋体" w:cs="宋体"/>
          <w:color w:val="auto"/>
          <w:spacing w:val="-10"/>
          <w:sz w:val="21"/>
          <w:szCs w:val="21"/>
          <w:highlight w:val="none"/>
        </w:rPr>
        <w:t>声明时间：      年</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0"/>
          <w:sz w:val="21"/>
          <w:szCs w:val="21"/>
          <w:highlight w:val="none"/>
        </w:rPr>
        <w:t>月       日</w:t>
      </w:r>
    </w:p>
    <w:p>
      <w:pPr>
        <w:spacing w:line="221" w:lineRule="auto"/>
        <w:rPr>
          <w:rFonts w:hint="eastAsia" w:ascii="宋体" w:hAnsi="宋体" w:eastAsia="宋体" w:cs="宋体"/>
          <w:color w:val="auto"/>
          <w:sz w:val="21"/>
          <w:szCs w:val="21"/>
          <w:highlight w:val="none"/>
        </w:rPr>
        <w:sectPr>
          <w:footerReference r:id="rId137" w:type="default"/>
          <w:pgSz w:w="11905" w:h="16843"/>
          <w:pgMar w:top="1769" w:right="1548" w:bottom="1003" w:left="1542" w:header="0" w:footer="828" w:gutter="0"/>
          <w:pgNumType w:fmt="numberInDash"/>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before="91" w:after="0" w:afterLines="150" w:line="219" w:lineRule="auto"/>
        <w:ind w:left="2920"/>
        <w:textAlignment w:val="baseline"/>
        <w:rPr>
          <w:rFonts w:hint="eastAsia" w:ascii="宋体" w:hAnsi="宋体" w:eastAsia="宋体" w:cs="宋体"/>
          <w:color w:val="auto"/>
          <w:spacing w:val="-12"/>
          <w:position w:val="22"/>
          <w:sz w:val="21"/>
          <w:szCs w:val="21"/>
          <w:highlight w:val="none"/>
        </w:rPr>
      </w:pPr>
      <w:bookmarkStart w:id="411" w:name="bookmark452"/>
      <w:bookmarkEnd w:id="411"/>
      <w:bookmarkStart w:id="412" w:name="bookmark451"/>
      <w:bookmarkEnd w:id="412"/>
      <w:r>
        <w:rPr>
          <w:rFonts w:hint="eastAsia" w:ascii="宋体" w:hAnsi="宋体" w:eastAsia="宋体" w:cs="宋体"/>
          <w:color w:val="auto"/>
          <w:spacing w:val="-2"/>
          <w:sz w:val="28"/>
          <w:szCs w:val="28"/>
          <w:highlight w:val="none"/>
        </w:rPr>
        <w:t>二、法定代表人身份证明</w:t>
      </w:r>
    </w:p>
    <w:p>
      <w:pPr>
        <w:spacing w:before="208" w:line="501" w:lineRule="exact"/>
        <w:ind w:left="2"/>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pacing w:val="-12"/>
          <w:position w:val="22"/>
          <w:sz w:val="21"/>
          <w:szCs w:val="21"/>
          <w:highlight w:val="none"/>
        </w:rPr>
        <w:t>投</w:t>
      </w:r>
      <w:r>
        <w:rPr>
          <w:rFonts w:hint="eastAsia" w:ascii="宋体" w:hAnsi="宋体" w:eastAsia="宋体" w:cs="宋体"/>
          <w:color w:val="auto"/>
          <w:spacing w:val="10"/>
          <w:position w:val="22"/>
          <w:sz w:val="21"/>
          <w:szCs w:val="21"/>
          <w:highlight w:val="none"/>
        </w:rPr>
        <w:t xml:space="preserve"> </w:t>
      </w:r>
      <w:r>
        <w:rPr>
          <w:rFonts w:hint="eastAsia" w:ascii="宋体" w:hAnsi="宋体" w:eastAsia="宋体" w:cs="宋体"/>
          <w:color w:val="auto"/>
          <w:spacing w:val="-12"/>
          <w:position w:val="22"/>
          <w:sz w:val="21"/>
          <w:szCs w:val="21"/>
          <w:highlight w:val="none"/>
        </w:rPr>
        <w:t>标</w:t>
      </w:r>
      <w:r>
        <w:rPr>
          <w:rFonts w:hint="eastAsia" w:ascii="宋体" w:hAnsi="宋体" w:eastAsia="宋体" w:cs="宋体"/>
          <w:color w:val="auto"/>
          <w:spacing w:val="8"/>
          <w:position w:val="22"/>
          <w:sz w:val="21"/>
          <w:szCs w:val="21"/>
          <w:highlight w:val="none"/>
        </w:rPr>
        <w:t xml:space="preserve"> </w:t>
      </w:r>
      <w:r>
        <w:rPr>
          <w:rFonts w:hint="eastAsia" w:ascii="宋体" w:hAnsi="宋体" w:eastAsia="宋体" w:cs="宋体"/>
          <w:color w:val="auto"/>
          <w:spacing w:val="-12"/>
          <w:position w:val="22"/>
          <w:sz w:val="21"/>
          <w:szCs w:val="21"/>
          <w:highlight w:val="none"/>
        </w:rPr>
        <w:t>人：</w:t>
      </w:r>
      <w:r>
        <w:rPr>
          <w:rFonts w:hint="eastAsia" w:ascii="宋体" w:hAnsi="宋体" w:eastAsia="宋体" w:cs="宋体"/>
          <w:color w:val="auto"/>
          <w:spacing w:val="-12"/>
          <w:position w:val="22"/>
          <w:sz w:val="21"/>
          <w:szCs w:val="21"/>
          <w:highlight w:val="none"/>
          <w:u w:val="single"/>
          <w:lang w:val="en-US" w:eastAsia="zh-CN"/>
        </w:rPr>
        <w:t xml:space="preserve">                                          </w:t>
      </w:r>
    </w:p>
    <w:p>
      <w:pPr>
        <w:spacing w:line="221" w:lineRule="auto"/>
        <w:ind w:left="1"/>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单位性质：</w:t>
      </w:r>
      <w:r>
        <w:rPr>
          <w:rFonts w:hint="eastAsia" w:ascii="宋体" w:hAnsi="宋体" w:eastAsia="宋体" w:cs="宋体"/>
          <w:color w:val="auto"/>
          <w:spacing w:val="-7"/>
          <w:sz w:val="21"/>
          <w:szCs w:val="21"/>
          <w:highlight w:val="none"/>
          <w:u w:val="single"/>
          <w:lang w:val="en-US" w:eastAsia="zh-CN"/>
        </w:rPr>
        <w:t xml:space="preserve">                                      </w:t>
      </w:r>
    </w:p>
    <w:p>
      <w:pPr>
        <w:spacing w:before="247" w:line="230" w:lineRule="auto"/>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地</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2"/>
          <w:sz w:val="21"/>
          <w:szCs w:val="21"/>
          <w:highlight w:val="none"/>
        </w:rPr>
        <w:t>址：</w:t>
      </w:r>
      <w:r>
        <w:rPr>
          <w:rFonts w:hint="eastAsia" w:ascii="宋体" w:hAnsi="宋体" w:eastAsia="宋体" w:cs="宋体"/>
          <w:color w:val="auto"/>
          <w:spacing w:val="-7"/>
          <w:sz w:val="21"/>
          <w:szCs w:val="21"/>
          <w:highlight w:val="none"/>
          <w:u w:val="single"/>
          <w:lang w:val="en-US" w:eastAsia="zh-CN"/>
        </w:rPr>
        <w:t xml:space="preserve">                                      </w:t>
      </w:r>
    </w:p>
    <w:p>
      <w:pPr>
        <w:spacing w:before="237" w:line="441" w:lineRule="auto"/>
        <w:ind w:left="1"/>
        <w:rPr>
          <w:rFonts w:hint="eastAsia" w:ascii="宋体" w:hAnsi="宋体" w:eastAsia="宋体" w:cs="宋体"/>
          <w:color w:val="auto"/>
          <w:sz w:val="21"/>
          <w:szCs w:val="21"/>
          <w:highlight w:val="none"/>
        </w:rPr>
      </w:pPr>
      <w:r>
        <w:rPr>
          <w:rFonts w:hint="eastAsia" w:ascii="宋体" w:hAnsi="宋体" w:eastAsia="宋体" w:cs="宋体"/>
          <w:color w:val="auto"/>
          <w:spacing w:val="-13"/>
          <w:sz w:val="21"/>
          <w:szCs w:val="21"/>
          <w:highlight w:val="none"/>
        </w:rPr>
        <w:t>成立时间：</w:t>
      </w:r>
      <w:r>
        <w:rPr>
          <w:rFonts w:hint="eastAsia" w:ascii="宋体" w:hAnsi="宋体" w:eastAsia="宋体" w:cs="宋体"/>
          <w:color w:val="auto"/>
          <w:spacing w:val="-31"/>
          <w:sz w:val="21"/>
          <w:szCs w:val="21"/>
          <w:highlight w:val="none"/>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5"/>
          <w:sz w:val="21"/>
          <w:szCs w:val="21"/>
          <w:highlight w:val="none"/>
        </w:rPr>
        <w:t xml:space="preserve"> </w:t>
      </w:r>
      <w:r>
        <w:rPr>
          <w:rFonts w:hint="eastAsia" w:ascii="宋体" w:hAnsi="宋体" w:eastAsia="宋体" w:cs="宋体"/>
          <w:color w:val="auto"/>
          <w:spacing w:val="-13"/>
          <w:sz w:val="21"/>
          <w:szCs w:val="21"/>
          <w:highlight w:val="none"/>
        </w:rPr>
        <w:t>年</w:t>
      </w:r>
      <w:r>
        <w:rPr>
          <w:rFonts w:hint="eastAsia" w:ascii="宋体" w:hAnsi="宋体" w:eastAsia="宋体" w:cs="宋体"/>
          <w:color w:val="auto"/>
          <w:spacing w:val="8"/>
          <w:sz w:val="21"/>
          <w:szCs w:val="21"/>
          <w:highlight w:val="none"/>
          <w:u w:val="single" w:color="auto"/>
        </w:rPr>
        <w:t xml:space="preserve">             </w:t>
      </w:r>
      <w:r>
        <w:rPr>
          <w:rFonts w:hint="eastAsia" w:ascii="宋体" w:hAnsi="宋体" w:eastAsia="宋体" w:cs="宋体"/>
          <w:color w:val="auto"/>
          <w:spacing w:val="-92"/>
          <w:sz w:val="21"/>
          <w:szCs w:val="21"/>
          <w:highlight w:val="none"/>
        </w:rPr>
        <w:t xml:space="preserve"> </w:t>
      </w:r>
      <w:r>
        <w:rPr>
          <w:rFonts w:hint="eastAsia" w:ascii="宋体" w:hAnsi="宋体" w:eastAsia="宋体" w:cs="宋体"/>
          <w:color w:val="auto"/>
          <w:spacing w:val="-13"/>
          <w:sz w:val="21"/>
          <w:szCs w:val="21"/>
          <w:highlight w:val="none"/>
        </w:rPr>
        <w:t>月</w:t>
      </w:r>
      <w:r>
        <w:rPr>
          <w:rFonts w:hint="eastAsia"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50"/>
          <w:sz w:val="21"/>
          <w:szCs w:val="21"/>
          <w:highlight w:val="none"/>
        </w:rPr>
        <w:t xml:space="preserve"> </w:t>
      </w:r>
      <w:r>
        <w:rPr>
          <w:rFonts w:hint="eastAsia" w:ascii="宋体" w:hAnsi="宋体" w:eastAsia="宋体" w:cs="宋体"/>
          <w:color w:val="auto"/>
          <w:spacing w:val="-13"/>
          <w:sz w:val="21"/>
          <w:szCs w:val="21"/>
          <w:highlight w:val="none"/>
        </w:rPr>
        <w:t>日</w:t>
      </w:r>
    </w:p>
    <w:p>
      <w:pPr>
        <w:spacing w:before="1" w:line="221" w:lineRule="auto"/>
        <w:ind w:left="1"/>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pacing w:val="-7"/>
          <w:sz w:val="21"/>
          <w:szCs w:val="21"/>
          <w:highlight w:val="none"/>
        </w:rPr>
        <w:t>经营期限：</w:t>
      </w:r>
      <w:r>
        <w:rPr>
          <w:rFonts w:hint="eastAsia" w:ascii="宋体" w:hAnsi="宋体" w:eastAsia="宋体" w:cs="宋体"/>
          <w:color w:val="auto"/>
          <w:spacing w:val="-7"/>
          <w:sz w:val="21"/>
          <w:szCs w:val="21"/>
          <w:highlight w:val="none"/>
          <w:u w:val="single"/>
          <w:lang w:val="en-US" w:eastAsia="zh-CN"/>
        </w:rPr>
        <w:t xml:space="preserve">                                      </w:t>
      </w:r>
    </w:p>
    <w:p>
      <w:pPr>
        <w:spacing w:before="247" w:line="221" w:lineRule="auto"/>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姓</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22"/>
          <w:sz w:val="21"/>
          <w:szCs w:val="21"/>
          <w:highlight w:val="none"/>
        </w:rPr>
        <w:t>名：</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90"/>
          <w:sz w:val="21"/>
          <w:szCs w:val="21"/>
          <w:highlight w:val="none"/>
        </w:rPr>
        <w:t xml:space="preserve"> </w:t>
      </w:r>
      <w:r>
        <w:rPr>
          <w:rFonts w:hint="eastAsia" w:ascii="宋体" w:hAnsi="宋体" w:eastAsia="宋体" w:cs="宋体"/>
          <w:color w:val="auto"/>
          <w:spacing w:val="-22"/>
          <w:sz w:val="21"/>
          <w:szCs w:val="21"/>
          <w:highlight w:val="none"/>
        </w:rPr>
        <w:t>性</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2"/>
          <w:sz w:val="21"/>
          <w:szCs w:val="21"/>
          <w:highlight w:val="none"/>
        </w:rPr>
        <w:t>别：</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90"/>
          <w:sz w:val="21"/>
          <w:szCs w:val="21"/>
          <w:highlight w:val="none"/>
        </w:rPr>
        <w:t xml:space="preserve"> </w:t>
      </w:r>
    </w:p>
    <w:p>
      <w:pPr>
        <w:spacing w:before="247" w:line="221" w:lineRule="auto"/>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年</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21"/>
          <w:sz w:val="21"/>
          <w:szCs w:val="21"/>
          <w:highlight w:val="none"/>
        </w:rPr>
        <w:t>龄</w:t>
      </w:r>
      <w:r>
        <w:rPr>
          <w:rFonts w:hint="eastAsia" w:ascii="宋体" w:hAnsi="宋体" w:eastAsia="宋体" w:cs="宋体"/>
          <w:color w:val="auto"/>
          <w:spacing w:val="-22"/>
          <w:sz w:val="21"/>
          <w:szCs w:val="21"/>
          <w:highlight w:val="none"/>
        </w:rPr>
        <w:t>：</w:t>
      </w:r>
      <w:r>
        <w:rPr>
          <w:rFonts w:hint="eastAsia" w:ascii="宋体" w:hAnsi="宋体" w:eastAsia="宋体" w:cs="宋体"/>
          <w:color w:val="auto"/>
          <w:spacing w:val="-32"/>
          <w:sz w:val="21"/>
          <w:szCs w:val="21"/>
          <w:highlight w:val="none"/>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90"/>
          <w:sz w:val="21"/>
          <w:szCs w:val="21"/>
          <w:highlight w:val="none"/>
        </w:rPr>
        <w:t xml:space="preserve"> </w:t>
      </w:r>
      <w:r>
        <w:rPr>
          <w:rFonts w:hint="eastAsia" w:ascii="宋体" w:hAnsi="宋体" w:eastAsia="宋体" w:cs="宋体"/>
          <w:color w:val="auto"/>
          <w:spacing w:val="-21"/>
          <w:sz w:val="21"/>
          <w:szCs w:val="21"/>
          <w:highlight w:val="none"/>
        </w:rPr>
        <w:t>职</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1"/>
          <w:sz w:val="21"/>
          <w:szCs w:val="21"/>
          <w:highlight w:val="none"/>
        </w:rPr>
        <w:t>务</w:t>
      </w:r>
      <w:r>
        <w:rPr>
          <w:rFonts w:hint="eastAsia" w:ascii="宋体" w:hAnsi="宋体" w:eastAsia="宋体" w:cs="宋体"/>
          <w:color w:val="auto"/>
          <w:spacing w:val="-22"/>
          <w:sz w:val="21"/>
          <w:szCs w:val="21"/>
          <w:highlight w:val="none"/>
        </w:rPr>
        <w:t>：</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90"/>
          <w:sz w:val="21"/>
          <w:szCs w:val="21"/>
          <w:highlight w:val="none"/>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90"/>
          <w:sz w:val="21"/>
          <w:szCs w:val="21"/>
          <w:highlight w:val="none"/>
        </w:rPr>
        <w:t xml:space="preserve"> </w:t>
      </w:r>
    </w:p>
    <w:p>
      <w:pPr>
        <w:spacing w:before="250" w:line="439" w:lineRule="auto"/>
        <w:ind w:left="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系</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3"/>
          <w:sz w:val="21"/>
          <w:szCs w:val="21"/>
          <w:highlight w:val="none"/>
        </w:rPr>
        <w:t>（投标人名称）的法定代表人。</w:t>
      </w:r>
    </w:p>
    <w:p>
      <w:pPr>
        <w:spacing w:before="1" w:line="220" w:lineRule="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特此证明。</w:t>
      </w:r>
    </w:p>
    <w:p>
      <w:pPr>
        <w:pStyle w:val="2"/>
        <w:spacing w:line="293" w:lineRule="auto"/>
        <w:rPr>
          <w:rFonts w:hint="eastAsia" w:ascii="宋体" w:hAnsi="宋体" w:eastAsia="宋体" w:cs="宋体"/>
          <w:color w:val="auto"/>
          <w:highlight w:val="none"/>
        </w:rPr>
      </w:pPr>
    </w:p>
    <w:p>
      <w:pPr>
        <w:pStyle w:val="2"/>
        <w:spacing w:line="293" w:lineRule="auto"/>
        <w:rPr>
          <w:rFonts w:hint="eastAsia" w:ascii="宋体" w:hAnsi="宋体" w:eastAsia="宋体" w:cs="宋体"/>
          <w:color w:val="auto"/>
          <w:highlight w:val="none"/>
        </w:rPr>
      </w:pPr>
    </w:p>
    <w:p>
      <w:pPr>
        <w:pStyle w:val="2"/>
        <w:spacing w:line="293" w:lineRule="auto"/>
        <w:rPr>
          <w:rFonts w:hint="eastAsia" w:ascii="宋体" w:hAnsi="宋体" w:eastAsia="宋体" w:cs="宋体"/>
          <w:color w:val="auto"/>
          <w:highlight w:val="none"/>
        </w:rPr>
      </w:pPr>
    </w:p>
    <w:p>
      <w:pPr>
        <w:pStyle w:val="2"/>
        <w:spacing w:line="294" w:lineRule="auto"/>
        <w:rPr>
          <w:rFonts w:hint="eastAsia" w:ascii="宋体" w:hAnsi="宋体" w:eastAsia="宋体" w:cs="宋体"/>
          <w:color w:val="auto"/>
          <w:highlight w:val="none"/>
        </w:rPr>
      </w:pPr>
    </w:p>
    <w:p>
      <w:pPr>
        <w:spacing w:before="69" w:line="439"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12"/>
          <w:sz w:val="21"/>
          <w:szCs w:val="21"/>
          <w:highlight w:val="none"/>
        </w:rPr>
        <w:t>（</w:t>
      </w:r>
      <w:r>
        <w:rPr>
          <w:rFonts w:hint="eastAsia" w:ascii="宋体" w:hAnsi="宋体" w:eastAsia="宋体" w:cs="宋体"/>
          <w:color w:val="auto"/>
          <w:sz w:val="21"/>
          <w:szCs w:val="21"/>
          <w:highlight w:val="none"/>
        </w:rPr>
        <w:t>盖单位章）</w:t>
      </w:r>
    </w:p>
    <w:p>
      <w:pPr>
        <w:spacing w:before="69" w:line="439"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lang w:val="en-US" w:eastAsia="zh-CN"/>
        </w:rPr>
        <w:t xml:space="preserve"> </w:t>
      </w: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96"/>
          <w:sz w:val="21"/>
          <w:szCs w:val="21"/>
          <w:highlight w:val="none"/>
        </w:rPr>
        <w:t xml:space="preserve"> </w:t>
      </w:r>
      <w:r>
        <w:rPr>
          <w:rFonts w:hint="eastAsia" w:ascii="宋体" w:hAnsi="宋体" w:eastAsia="宋体" w:cs="宋体"/>
          <w:color w:val="auto"/>
          <w:spacing w:val="-7"/>
          <w:sz w:val="21"/>
          <w:szCs w:val="21"/>
          <w:highlight w:val="none"/>
        </w:rPr>
        <w:t>年</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7"/>
          <w:sz w:val="21"/>
          <w:szCs w:val="21"/>
          <w:highlight w:val="none"/>
        </w:rPr>
        <w:t>月</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7"/>
          <w:sz w:val="21"/>
          <w:szCs w:val="21"/>
          <w:highlight w:val="none"/>
        </w:rPr>
        <w:t>日</w:t>
      </w:r>
    </w:p>
    <w:p>
      <w:pPr>
        <w:spacing w:line="220" w:lineRule="auto"/>
        <w:rPr>
          <w:rFonts w:hint="eastAsia" w:ascii="宋体" w:hAnsi="宋体" w:eastAsia="宋体" w:cs="宋体"/>
          <w:color w:val="auto"/>
          <w:sz w:val="21"/>
          <w:szCs w:val="21"/>
          <w:highlight w:val="none"/>
        </w:rPr>
        <w:sectPr>
          <w:footerReference r:id="rId138" w:type="default"/>
          <w:pgSz w:w="11905" w:h="16843"/>
          <w:pgMar w:top="1769" w:right="1548" w:bottom="1003" w:left="1542" w:header="0" w:footer="828" w:gutter="0"/>
          <w:pgNumType w:fmt="numberInDash"/>
          <w:cols w:space="0" w:num="1"/>
          <w:rtlGutter w:val="0"/>
          <w:docGrid w:linePitch="0" w:charSpace="0"/>
        </w:sectPr>
      </w:pPr>
    </w:p>
    <w:p>
      <w:pPr>
        <w:numPr>
          <w:ilvl w:val="0"/>
          <w:numId w:val="4"/>
        </w:numPr>
        <w:spacing w:before="91" w:line="220" w:lineRule="auto"/>
        <w:ind w:left="3475"/>
        <w:rPr>
          <w:rFonts w:hint="eastAsia" w:ascii="宋体" w:hAnsi="宋体" w:eastAsia="宋体" w:cs="宋体"/>
          <w:color w:val="auto"/>
          <w:spacing w:val="-2"/>
          <w:sz w:val="28"/>
          <w:szCs w:val="28"/>
          <w:highlight w:val="none"/>
        </w:rPr>
      </w:pPr>
      <w:bookmarkStart w:id="413" w:name="bookmark453"/>
      <w:bookmarkEnd w:id="413"/>
      <w:r>
        <w:rPr>
          <w:rFonts w:hint="eastAsia" w:ascii="宋体" w:hAnsi="宋体" w:eastAsia="宋体" w:cs="宋体"/>
          <w:color w:val="auto"/>
          <w:spacing w:val="-2"/>
          <w:sz w:val="28"/>
          <w:szCs w:val="28"/>
          <w:highlight w:val="none"/>
        </w:rPr>
        <w:t>授权委托书</w:t>
      </w:r>
    </w:p>
    <w:p>
      <w:pPr>
        <w:pStyle w:val="2"/>
        <w:numPr>
          <w:ilvl w:val="0"/>
          <w:numId w:val="0"/>
        </w:numPr>
        <w:rPr>
          <w:rFonts w:hint="eastAsia"/>
        </w:rPr>
      </w:pPr>
    </w:p>
    <w:p>
      <w:pPr>
        <w:spacing w:before="205" w:line="440" w:lineRule="auto"/>
        <w:ind w:firstLine="418"/>
        <w:rPr>
          <w:rFonts w:hint="eastAsia"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本人</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44"/>
          <w:sz w:val="21"/>
          <w:szCs w:val="21"/>
          <w:highlight w:val="none"/>
        </w:rPr>
        <w:t xml:space="preserve"> </w:t>
      </w:r>
      <w:r>
        <w:rPr>
          <w:rFonts w:hint="eastAsia" w:ascii="宋体" w:hAnsi="宋体" w:eastAsia="宋体" w:cs="宋体"/>
          <w:color w:val="auto"/>
          <w:spacing w:val="-12"/>
          <w:sz w:val="21"/>
          <w:szCs w:val="21"/>
          <w:highlight w:val="none"/>
        </w:rPr>
        <w:t>（姓名）</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12"/>
          <w:sz w:val="21"/>
          <w:szCs w:val="21"/>
          <w:highlight w:val="none"/>
        </w:rPr>
        <w:t>系</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12"/>
          <w:sz w:val="21"/>
          <w:szCs w:val="21"/>
          <w:highlight w:val="none"/>
        </w:rPr>
        <w:t xml:space="preserve"> （投标人名称）的法定代表人， 现委托</w:t>
      </w:r>
      <w:r>
        <w:rPr>
          <w:rFonts w:hint="eastAsia" w:ascii="宋体" w:hAnsi="宋体" w:eastAsia="宋体" w:cs="宋体"/>
          <w:color w:val="auto"/>
          <w:spacing w:val="-104"/>
          <w:sz w:val="21"/>
          <w:szCs w:val="21"/>
          <w:highlight w:val="none"/>
        </w:rPr>
        <w:t xml:space="preserve"> </w:t>
      </w:r>
      <w:r>
        <w:rPr>
          <w:rFonts w:hint="eastAsia" w:ascii="宋体" w:hAnsi="宋体" w:eastAsia="宋体" w:cs="宋体"/>
          <w:color w:val="auto"/>
          <w:spacing w:val="-12"/>
          <w:sz w:val="21"/>
          <w:szCs w:val="21"/>
          <w:highlight w:val="none"/>
          <w:u w:val="single" w:color="auto"/>
        </w:rPr>
        <w:t xml:space="preserve">      </w:t>
      </w:r>
      <w:r>
        <w:rPr>
          <w:rFonts w:hint="eastAsia" w:ascii="宋体" w:hAnsi="宋体" w:eastAsia="宋体" w:cs="宋体"/>
          <w:color w:val="auto"/>
          <w:spacing w:val="-12"/>
          <w:sz w:val="21"/>
          <w:szCs w:val="21"/>
          <w:highlight w:val="none"/>
        </w:rPr>
        <w:t xml:space="preserve"> （姓名）</w:t>
      </w:r>
      <w:r>
        <w:rPr>
          <w:rFonts w:hint="eastAsia" w:ascii="宋体" w:hAnsi="宋体" w:eastAsia="宋体" w:cs="宋体"/>
          <w:color w:val="auto"/>
          <w:spacing w:val="12"/>
          <w:sz w:val="21"/>
          <w:szCs w:val="21"/>
          <w:highlight w:val="none"/>
        </w:rPr>
        <w:t>为我方代理人。代理人根据授权，以我方名义签署、澄清、说明、补正、递交、撤回、修改</w:t>
      </w:r>
    </w:p>
    <w:p>
      <w:pPr>
        <w:spacing w:line="22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项目投标文件、签订合同和处理有关事宜，其法律后果</w:t>
      </w:r>
      <w:r>
        <w:rPr>
          <w:rFonts w:hint="eastAsia" w:ascii="宋体" w:hAnsi="宋体" w:eastAsia="宋体" w:cs="宋体"/>
          <w:color w:val="auto"/>
          <w:spacing w:val="-1"/>
          <w:sz w:val="21"/>
          <w:szCs w:val="21"/>
          <w:highlight w:val="none"/>
        </w:rPr>
        <w:t>由我方承担。</w:t>
      </w:r>
    </w:p>
    <w:p>
      <w:pPr>
        <w:pStyle w:val="2"/>
        <w:spacing w:line="296" w:lineRule="auto"/>
        <w:rPr>
          <w:rFonts w:hint="eastAsia" w:ascii="宋体" w:hAnsi="宋体" w:eastAsia="宋体" w:cs="宋体"/>
          <w:color w:val="auto"/>
          <w:highlight w:val="none"/>
        </w:rPr>
      </w:pPr>
    </w:p>
    <w:p>
      <w:pPr>
        <w:spacing w:before="68" w:line="221" w:lineRule="auto"/>
        <w:ind w:left="416"/>
        <w:rPr>
          <w:rFonts w:hint="eastAsia" w:ascii="宋体" w:hAnsi="宋体" w:eastAsia="宋体" w:cs="宋体"/>
          <w:color w:val="auto"/>
          <w:highlight w:val="none"/>
        </w:rPr>
      </w:pPr>
      <w:r>
        <w:rPr>
          <w:rFonts w:hint="eastAsia" w:ascii="宋体" w:hAnsi="宋体" w:eastAsia="宋体" w:cs="宋体"/>
          <w:color w:val="auto"/>
          <w:spacing w:val="-6"/>
          <w:sz w:val="21"/>
          <w:szCs w:val="21"/>
          <w:highlight w:val="none"/>
        </w:rPr>
        <w:t>委托期限：</w:t>
      </w:r>
    </w:p>
    <w:p>
      <w:pPr>
        <w:tabs>
          <w:tab w:val="left" w:pos="7444"/>
        </w:tabs>
        <w:spacing w:before="26" w:line="159" w:lineRule="auto"/>
        <w:ind w:left="1460"/>
        <w:rPr>
          <w:rFonts w:hint="eastAsia" w:ascii="宋体" w:hAnsi="宋体" w:eastAsia="宋体" w:cs="宋体"/>
          <w:color w:val="auto"/>
          <w:sz w:val="8"/>
          <w:szCs w:val="8"/>
          <w:highlight w:val="none"/>
        </w:rPr>
      </w:pPr>
      <w:r>
        <w:rPr>
          <w:rFonts w:hint="eastAsia" w:ascii="宋体" w:hAnsi="宋体" w:eastAsia="宋体" w:cs="宋体"/>
          <w:color w:val="auto"/>
          <w:sz w:val="8"/>
          <w:szCs w:val="8"/>
          <w:highlight w:val="none"/>
          <w:u w:val="single" w:color="auto"/>
        </w:rPr>
        <w:tab/>
      </w:r>
      <w:r>
        <w:rPr>
          <w:rFonts w:hint="eastAsia" w:ascii="宋体" w:hAnsi="宋体" w:eastAsia="宋体" w:cs="宋体"/>
          <w:color w:val="auto"/>
          <w:spacing w:val="-10"/>
          <w:sz w:val="8"/>
          <w:szCs w:val="8"/>
          <w:highlight w:val="none"/>
        </w:rPr>
        <w:t xml:space="preserve"> </w:t>
      </w:r>
      <w:r>
        <w:rPr>
          <w:rFonts w:hint="eastAsia" w:ascii="宋体" w:hAnsi="宋体" w:eastAsia="宋体" w:cs="宋体"/>
          <w:color w:val="auto"/>
          <w:spacing w:val="6"/>
          <w:sz w:val="8"/>
          <w:szCs w:val="8"/>
          <w:highlight w:val="none"/>
        </w:rPr>
        <w:t>。</w:t>
      </w:r>
    </w:p>
    <w:p>
      <w:pPr>
        <w:pStyle w:val="2"/>
        <w:spacing w:line="462" w:lineRule="auto"/>
        <w:rPr>
          <w:rFonts w:hint="eastAsia" w:ascii="宋体" w:hAnsi="宋体" w:eastAsia="宋体" w:cs="宋体"/>
          <w:color w:val="auto"/>
          <w:highlight w:val="none"/>
        </w:rPr>
      </w:pPr>
    </w:p>
    <w:p>
      <w:pPr>
        <w:spacing w:before="69" w:line="221" w:lineRule="auto"/>
        <w:ind w:left="416"/>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代理人无转委托权。</w:t>
      </w:r>
    </w:p>
    <w:p>
      <w:pPr>
        <w:pStyle w:val="2"/>
        <w:spacing w:line="278" w:lineRule="auto"/>
        <w:rPr>
          <w:rFonts w:hint="eastAsia" w:ascii="宋体" w:hAnsi="宋体" w:eastAsia="宋体" w:cs="宋体"/>
          <w:color w:val="auto"/>
          <w:highlight w:val="none"/>
        </w:rPr>
      </w:pPr>
    </w:p>
    <w:p>
      <w:pPr>
        <w:pStyle w:val="2"/>
        <w:spacing w:line="278" w:lineRule="auto"/>
        <w:rPr>
          <w:rFonts w:hint="eastAsia" w:ascii="宋体" w:hAnsi="宋体" w:eastAsia="宋体" w:cs="宋体"/>
          <w:color w:val="auto"/>
          <w:highlight w:val="none"/>
        </w:rPr>
      </w:pPr>
    </w:p>
    <w:p>
      <w:pPr>
        <w:pStyle w:val="2"/>
        <w:spacing w:line="278" w:lineRule="auto"/>
        <w:rPr>
          <w:rFonts w:hint="eastAsia" w:ascii="宋体" w:hAnsi="宋体" w:eastAsia="宋体" w:cs="宋体"/>
          <w:color w:val="auto"/>
          <w:highlight w:val="none"/>
        </w:rPr>
      </w:pPr>
    </w:p>
    <w:p>
      <w:pPr>
        <w:spacing w:before="69" w:line="220" w:lineRule="auto"/>
        <w:ind w:left="3571"/>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投</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20"/>
          <w:sz w:val="21"/>
          <w:szCs w:val="21"/>
          <w:highlight w:val="none"/>
        </w:rPr>
        <w:t>标</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20"/>
          <w:sz w:val="21"/>
          <w:szCs w:val="21"/>
          <w:highlight w:val="none"/>
        </w:rPr>
        <w:t>人</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2"/>
          <w:sz w:val="21"/>
          <w:szCs w:val="21"/>
          <w:highlight w:val="none"/>
          <w:u w:val="single"/>
          <w:lang w:val="en-US" w:eastAsia="zh-CN"/>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20"/>
          <w:sz w:val="21"/>
          <w:szCs w:val="21"/>
          <w:highlight w:val="none"/>
        </w:rPr>
        <w:t>盖单位章）</w: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spacing w:before="69" w:line="220" w:lineRule="auto"/>
        <w:ind w:left="357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w:t>
      </w:r>
      <w:r>
        <w:rPr>
          <w:rFonts w:hint="eastAsia" w:ascii="宋体" w:hAnsi="宋体" w:eastAsia="宋体" w:cs="宋体"/>
          <w:color w:val="auto"/>
          <w:sz w:val="21"/>
          <w:szCs w:val="21"/>
          <w:highlight w:val="none"/>
        </w:rPr>
        <w:t>：</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pacing w:val="-8"/>
          <w:sz w:val="21"/>
          <w:szCs w:val="21"/>
          <w:highlight w:val="none"/>
        </w:rPr>
        <w:t>签章）</w:t>
      </w:r>
    </w:p>
    <w:p>
      <w:pPr>
        <w:spacing w:before="69" w:line="221" w:lineRule="auto"/>
        <w:rPr>
          <w:rFonts w:hint="eastAsia" w:ascii="宋体" w:hAnsi="宋体" w:eastAsia="宋体" w:cs="宋体"/>
          <w:color w:val="auto"/>
          <w:spacing w:val="-2"/>
          <w:sz w:val="21"/>
          <w:szCs w:val="21"/>
          <w:highlight w:val="none"/>
        </w:rPr>
      </w:pPr>
    </w:p>
    <w:p>
      <w:pPr>
        <w:pStyle w:val="2"/>
        <w:spacing w:line="479" w:lineRule="auto"/>
        <w:rPr>
          <w:rFonts w:hint="eastAsia" w:ascii="宋体" w:hAnsi="宋体" w:eastAsia="宋体" w:cs="宋体"/>
          <w:color w:val="auto"/>
          <w:highlight w:val="none"/>
        </w:rPr>
      </w:pPr>
    </w:p>
    <w:p>
      <w:pPr>
        <w:spacing w:before="69" w:line="221" w:lineRule="auto"/>
        <w:ind w:left="3574"/>
        <w:rPr>
          <w:rFonts w:hint="eastAsia" w:ascii="宋体" w:hAnsi="宋体" w:eastAsia="宋体" w:cs="宋体"/>
          <w:color w:val="auto"/>
          <w:sz w:val="21"/>
          <w:szCs w:val="21"/>
          <w:highlight w:val="none"/>
          <w:u w:val="single" w:color="auto"/>
        </w:rPr>
      </w:pPr>
      <w:r>
        <w:rPr>
          <w:rFonts w:hint="eastAsia" w:ascii="宋体" w:hAnsi="宋体" w:eastAsia="宋体" w:cs="宋体"/>
          <w:color w:val="auto"/>
          <w:spacing w:val="-2"/>
          <w:sz w:val="21"/>
          <w:szCs w:val="21"/>
          <w:highlight w:val="none"/>
        </w:rPr>
        <w:t>身份证号码：</w:t>
      </w:r>
      <w:r>
        <w:rPr>
          <w:rFonts w:hint="eastAsia" w:ascii="宋体" w:hAnsi="宋体" w:eastAsia="宋体" w:cs="宋体"/>
          <w:color w:val="auto"/>
          <w:sz w:val="21"/>
          <w:szCs w:val="21"/>
          <w:highlight w:val="none"/>
          <w:u w:val="single" w:color="auto"/>
        </w:rPr>
        <w:t xml:space="preserve">                             </w:t>
      </w:r>
    </w:p>
    <w:p>
      <w:pPr>
        <w:spacing w:before="69" w:line="221" w:lineRule="auto"/>
        <w:ind w:left="3574"/>
        <w:rPr>
          <w:rFonts w:hint="eastAsia" w:ascii="宋体" w:hAnsi="宋体" w:eastAsia="宋体" w:cs="宋体"/>
          <w:color w:val="auto"/>
          <w:sz w:val="21"/>
          <w:szCs w:val="21"/>
          <w:highlight w:val="none"/>
          <w:u w:val="single" w:color="auto"/>
        </w:rPr>
      </w:pPr>
    </w:p>
    <w:p>
      <w:pPr>
        <w:spacing w:before="69" w:line="220" w:lineRule="auto"/>
        <w:ind w:left="3568"/>
        <w:rPr>
          <w:rFonts w:hint="eastAsia" w:ascii="宋体" w:hAnsi="宋体" w:eastAsia="宋体" w:cs="宋体"/>
          <w:color w:val="auto"/>
          <w:spacing w:val="-8"/>
          <w:sz w:val="21"/>
          <w:szCs w:val="21"/>
          <w:highlight w:val="none"/>
        </w:rPr>
      </w:pPr>
    </w:p>
    <w:p>
      <w:pPr>
        <w:spacing w:before="69" w:line="220" w:lineRule="auto"/>
        <w:ind w:left="3568"/>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委托代理人</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8"/>
          <w:sz w:val="21"/>
          <w:szCs w:val="21"/>
          <w:highlight w:val="none"/>
        </w:rPr>
        <w:t>签章）</w:t>
      </w:r>
    </w:p>
    <w:p>
      <w:pPr>
        <w:pStyle w:val="2"/>
        <w:spacing w:line="479" w:lineRule="auto"/>
        <w:rPr>
          <w:rFonts w:hint="eastAsia" w:ascii="宋体" w:hAnsi="宋体" w:eastAsia="宋体" w:cs="宋体"/>
          <w:color w:val="auto"/>
          <w:highlight w:val="none"/>
        </w:rPr>
      </w:pPr>
    </w:p>
    <w:p>
      <w:pPr>
        <w:spacing w:before="69" w:line="221" w:lineRule="auto"/>
        <w:ind w:left="357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身份证号码：</w:t>
      </w:r>
      <w:r>
        <w:rPr>
          <w:rFonts w:hint="eastAsia" w:ascii="宋体" w:hAnsi="宋体" w:eastAsia="宋体" w:cs="宋体"/>
          <w:color w:val="auto"/>
          <w:sz w:val="21"/>
          <w:szCs w:val="21"/>
          <w:highlight w:val="none"/>
          <w:u w:val="single" w:color="auto"/>
        </w:rPr>
        <w:t xml:space="preserve">                             </w:t>
      </w:r>
    </w:p>
    <w:p>
      <w:pPr>
        <w:pStyle w:val="2"/>
        <w:spacing w:line="476" w:lineRule="auto"/>
        <w:rPr>
          <w:rFonts w:hint="eastAsia" w:ascii="宋体" w:hAnsi="宋体" w:eastAsia="宋体" w:cs="宋体"/>
          <w:color w:val="auto"/>
          <w:highlight w:val="none"/>
        </w:rPr>
      </w:pPr>
    </w:p>
    <w:p>
      <w:pPr>
        <w:tabs>
          <w:tab w:val="left" w:pos="5662"/>
        </w:tabs>
        <w:spacing w:before="69" w:line="221" w:lineRule="auto"/>
        <w:ind w:left="48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96"/>
          <w:sz w:val="21"/>
          <w:szCs w:val="21"/>
          <w:highlight w:val="none"/>
        </w:rPr>
        <w:t xml:space="preserve"> </w:t>
      </w:r>
      <w:r>
        <w:rPr>
          <w:rFonts w:hint="eastAsia" w:ascii="宋体" w:hAnsi="宋体" w:eastAsia="宋体" w:cs="宋体"/>
          <w:color w:val="auto"/>
          <w:spacing w:val="-7"/>
          <w:sz w:val="21"/>
          <w:szCs w:val="21"/>
          <w:highlight w:val="none"/>
        </w:rPr>
        <w:t>年</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87"/>
          <w:sz w:val="21"/>
          <w:szCs w:val="21"/>
          <w:highlight w:val="none"/>
        </w:rPr>
        <w:t xml:space="preserve"> </w:t>
      </w:r>
      <w:r>
        <w:rPr>
          <w:rFonts w:hint="eastAsia" w:ascii="宋体" w:hAnsi="宋体" w:eastAsia="宋体" w:cs="宋体"/>
          <w:color w:val="auto"/>
          <w:spacing w:val="-7"/>
          <w:sz w:val="21"/>
          <w:szCs w:val="21"/>
          <w:highlight w:val="none"/>
        </w:rPr>
        <w:t>月</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7"/>
          <w:sz w:val="21"/>
          <w:szCs w:val="21"/>
          <w:highlight w:val="none"/>
        </w:rPr>
        <w:t>日</w:t>
      </w:r>
    </w:p>
    <w:p>
      <w:pPr>
        <w:spacing w:line="221" w:lineRule="auto"/>
        <w:rPr>
          <w:rFonts w:hint="eastAsia" w:ascii="宋体" w:hAnsi="宋体" w:eastAsia="宋体" w:cs="宋体"/>
          <w:color w:val="auto"/>
          <w:sz w:val="21"/>
          <w:szCs w:val="21"/>
          <w:highlight w:val="none"/>
        </w:rPr>
        <w:sectPr>
          <w:footerReference r:id="rId139" w:type="default"/>
          <w:pgSz w:w="11905" w:h="16843"/>
          <w:pgMar w:top="1769" w:right="1548" w:bottom="1003" w:left="1542" w:header="0" w:footer="828" w:gutter="0"/>
          <w:pgNumType w:fmt="numberInDash"/>
          <w:cols w:space="0" w:num="1"/>
          <w:rtlGutter w:val="0"/>
          <w:docGrid w:linePitch="0" w:charSpace="0"/>
        </w:sectPr>
      </w:pPr>
    </w:p>
    <w:p>
      <w:pPr>
        <w:pStyle w:val="2"/>
        <w:spacing w:line="257" w:lineRule="auto"/>
        <w:rPr>
          <w:rFonts w:hint="eastAsia" w:ascii="宋体" w:hAnsi="宋体" w:eastAsia="宋体" w:cs="宋体"/>
          <w:color w:val="auto"/>
          <w:highlight w:val="none"/>
        </w:rPr>
      </w:pPr>
    </w:p>
    <w:p>
      <w:pPr>
        <w:spacing w:before="91" w:line="220" w:lineRule="auto"/>
        <w:ind w:left="3479"/>
        <w:rPr>
          <w:rFonts w:hint="eastAsia" w:ascii="宋体" w:hAnsi="宋体" w:eastAsia="宋体" w:cs="宋体"/>
          <w:color w:val="auto"/>
          <w:sz w:val="28"/>
          <w:szCs w:val="28"/>
          <w:highlight w:val="none"/>
        </w:rPr>
      </w:pPr>
      <w:bookmarkStart w:id="414" w:name="bookmark454"/>
      <w:bookmarkEnd w:id="414"/>
      <w:bookmarkStart w:id="415" w:name="bookmark455"/>
      <w:bookmarkEnd w:id="415"/>
      <w:r>
        <w:rPr>
          <w:rFonts w:hint="eastAsia" w:ascii="宋体" w:hAnsi="宋体" w:eastAsia="宋体" w:cs="宋体"/>
          <w:color w:val="auto"/>
          <w:spacing w:val="-4"/>
          <w:sz w:val="28"/>
          <w:szCs w:val="28"/>
          <w:highlight w:val="none"/>
          <w:lang w:eastAsia="zh-CN"/>
        </w:rPr>
        <w:t>四</w:t>
      </w:r>
      <w:r>
        <w:rPr>
          <w:rFonts w:hint="eastAsia" w:ascii="宋体" w:hAnsi="宋体" w:eastAsia="宋体" w:cs="宋体"/>
          <w:color w:val="auto"/>
          <w:spacing w:val="-4"/>
          <w:sz w:val="28"/>
          <w:szCs w:val="28"/>
          <w:highlight w:val="none"/>
        </w:rPr>
        <w:t>、投标保证金</w:t>
      </w:r>
    </w:p>
    <w:p>
      <w:pPr>
        <w:pStyle w:val="2"/>
        <w:spacing w:line="475" w:lineRule="auto"/>
        <w:rPr>
          <w:rFonts w:hint="eastAsia" w:ascii="宋体" w:hAnsi="宋体" w:eastAsia="宋体" w:cs="宋体"/>
          <w:color w:val="auto"/>
          <w:highlight w:val="none"/>
        </w:rPr>
      </w:pPr>
    </w:p>
    <w:p>
      <w:pPr>
        <w:spacing w:before="69" w:line="212" w:lineRule="auto"/>
        <w:ind w:left="397"/>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14:textOutline w14:w="3831" w14:cap="flat" w14:cmpd="sng">
            <w14:solidFill>
              <w14:srgbClr w14:val="000000"/>
            </w14:solidFill>
            <w14:prstDash w14:val="solid"/>
            <w14:miter w14:val="0"/>
          </w14:textOutline>
        </w:rPr>
        <w:t>（一）若采用现金或支票，投标人应填写以下表格信息并提供汇款</w:t>
      </w:r>
      <w:r>
        <w:rPr>
          <w:rFonts w:hint="eastAsia" w:ascii="宋体" w:hAnsi="宋体" w:eastAsia="宋体" w:cs="宋体"/>
          <w:color w:val="auto"/>
          <w:spacing w:val="-1"/>
          <w:sz w:val="28"/>
          <w:szCs w:val="28"/>
          <w:highlight w:val="none"/>
          <w14:textOutline w14:w="3831" w14:cap="flat" w14:cmpd="sng">
            <w14:solidFill>
              <w14:srgbClr w14:val="000000"/>
            </w14:solidFill>
            <w14:prstDash w14:val="solid"/>
            <w14:miter w14:val="0"/>
          </w14:textOutline>
        </w:rPr>
        <w:t>凭证的扫描件。</w:t>
      </w:r>
    </w:p>
    <w:tbl>
      <w:tblPr>
        <w:tblStyle w:val="9"/>
        <w:tblW w:w="8785"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1"/>
        <w:gridCol w:w="3275"/>
        <w:gridCol w:w="1089"/>
        <w:gridCol w:w="29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85" w:type="dxa"/>
            <w:gridSpan w:val="4"/>
            <w:vAlign w:val="top"/>
          </w:tcPr>
          <w:p>
            <w:pPr>
              <w:pStyle w:val="10"/>
              <w:spacing w:before="34" w:line="207" w:lineRule="auto"/>
              <w:ind w:left="3766"/>
              <w:rPr>
                <w:rFonts w:hint="eastAsia" w:ascii="宋体" w:hAnsi="宋体" w:eastAsia="宋体" w:cs="宋体"/>
                <w:color w:val="auto"/>
                <w:highlight w:val="none"/>
              </w:rPr>
            </w:pPr>
            <w:r>
              <w:rPr>
                <w:rFonts w:hint="eastAsia" w:ascii="宋体" w:hAnsi="宋体" w:eastAsia="宋体" w:cs="宋体"/>
                <w:color w:val="auto"/>
                <w:spacing w:val="-1"/>
                <w:highlight w:val="none"/>
                <w14:textOutline w14:w="3831" w14:cap="flat" w14:cmpd="sng">
                  <w14:solidFill>
                    <w14:srgbClr w14:val="000000"/>
                  </w14:solidFill>
                  <w14:prstDash w14:val="solid"/>
                  <w14:miter w14:val="0"/>
                </w14:textOutline>
              </w:rPr>
              <w:t>现金汇款信息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Align w:val="top"/>
          </w:tcPr>
          <w:p>
            <w:pPr>
              <w:pStyle w:val="10"/>
              <w:spacing w:before="32" w:line="207" w:lineRule="auto"/>
              <w:ind w:left="344"/>
              <w:rPr>
                <w:rFonts w:hint="eastAsia" w:ascii="宋体" w:hAnsi="宋体" w:eastAsia="宋体" w:cs="宋体"/>
                <w:color w:val="auto"/>
                <w:highlight w:val="none"/>
              </w:rPr>
            </w:pPr>
            <w:r>
              <w:rPr>
                <w:rFonts w:hint="eastAsia" w:ascii="宋体" w:hAnsi="宋体" w:eastAsia="宋体" w:cs="宋体"/>
                <w:color w:val="auto"/>
                <w:spacing w:val="-4"/>
                <w:highlight w:val="none"/>
              </w:rPr>
              <w:t>收款账户</w:t>
            </w:r>
          </w:p>
        </w:tc>
        <w:tc>
          <w:tcPr>
            <w:tcW w:w="3275" w:type="dxa"/>
            <w:vAlign w:val="top"/>
          </w:tcPr>
          <w:p>
            <w:pPr>
              <w:rPr>
                <w:rFonts w:hint="eastAsia" w:ascii="宋体" w:hAnsi="宋体" w:eastAsia="宋体" w:cs="宋体"/>
                <w:color w:val="auto"/>
                <w:sz w:val="21"/>
                <w:highlight w:val="none"/>
              </w:rPr>
            </w:pPr>
          </w:p>
        </w:tc>
        <w:tc>
          <w:tcPr>
            <w:tcW w:w="1089" w:type="dxa"/>
            <w:vAlign w:val="top"/>
          </w:tcPr>
          <w:p>
            <w:pPr>
              <w:pStyle w:val="10"/>
              <w:spacing w:before="32" w:line="207" w:lineRule="auto"/>
              <w:ind w:left="131"/>
              <w:rPr>
                <w:rFonts w:hint="eastAsia" w:ascii="宋体" w:hAnsi="宋体" w:eastAsia="宋体" w:cs="宋体"/>
                <w:color w:val="auto"/>
                <w:highlight w:val="none"/>
              </w:rPr>
            </w:pPr>
            <w:r>
              <w:rPr>
                <w:rFonts w:hint="eastAsia" w:ascii="宋体" w:hAnsi="宋体" w:eastAsia="宋体" w:cs="宋体"/>
                <w:color w:val="auto"/>
                <w:spacing w:val="-2"/>
                <w:highlight w:val="none"/>
              </w:rPr>
              <w:t>汇款账户</w:t>
            </w:r>
          </w:p>
        </w:tc>
        <w:tc>
          <w:tcPr>
            <w:tcW w:w="292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Align w:val="top"/>
          </w:tcPr>
          <w:p>
            <w:pPr>
              <w:pStyle w:val="10"/>
              <w:spacing w:before="30" w:line="209" w:lineRule="auto"/>
              <w:ind w:left="344"/>
              <w:rPr>
                <w:rFonts w:hint="eastAsia" w:ascii="宋体" w:hAnsi="宋体" w:eastAsia="宋体" w:cs="宋体"/>
                <w:color w:val="auto"/>
                <w:highlight w:val="none"/>
              </w:rPr>
            </w:pPr>
            <w:r>
              <w:rPr>
                <w:rFonts w:hint="eastAsia" w:ascii="宋体" w:hAnsi="宋体" w:eastAsia="宋体" w:cs="宋体"/>
                <w:color w:val="auto"/>
                <w:spacing w:val="-4"/>
                <w:highlight w:val="none"/>
              </w:rPr>
              <w:t>收款账号</w:t>
            </w:r>
          </w:p>
        </w:tc>
        <w:tc>
          <w:tcPr>
            <w:tcW w:w="3275" w:type="dxa"/>
            <w:vAlign w:val="top"/>
          </w:tcPr>
          <w:p>
            <w:pPr>
              <w:rPr>
                <w:rFonts w:hint="eastAsia" w:ascii="宋体" w:hAnsi="宋体" w:eastAsia="宋体" w:cs="宋体"/>
                <w:color w:val="auto"/>
                <w:sz w:val="21"/>
                <w:highlight w:val="none"/>
              </w:rPr>
            </w:pPr>
          </w:p>
        </w:tc>
        <w:tc>
          <w:tcPr>
            <w:tcW w:w="1089" w:type="dxa"/>
            <w:vAlign w:val="top"/>
          </w:tcPr>
          <w:p>
            <w:pPr>
              <w:pStyle w:val="10"/>
              <w:spacing w:before="30" w:line="209" w:lineRule="auto"/>
              <w:ind w:left="131"/>
              <w:rPr>
                <w:rFonts w:hint="eastAsia" w:ascii="宋体" w:hAnsi="宋体" w:eastAsia="宋体" w:cs="宋体"/>
                <w:color w:val="auto"/>
                <w:highlight w:val="none"/>
              </w:rPr>
            </w:pPr>
            <w:r>
              <w:rPr>
                <w:rFonts w:hint="eastAsia" w:ascii="宋体" w:hAnsi="宋体" w:eastAsia="宋体" w:cs="宋体"/>
                <w:color w:val="auto"/>
                <w:spacing w:val="-2"/>
                <w:highlight w:val="none"/>
              </w:rPr>
              <w:t>汇款账号</w:t>
            </w:r>
          </w:p>
        </w:tc>
        <w:tc>
          <w:tcPr>
            <w:tcW w:w="292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01" w:type="dxa"/>
            <w:vAlign w:val="top"/>
          </w:tcPr>
          <w:p>
            <w:pPr>
              <w:pStyle w:val="10"/>
              <w:spacing w:before="30" w:line="206" w:lineRule="auto"/>
              <w:ind w:left="336"/>
              <w:rPr>
                <w:rFonts w:hint="eastAsia" w:ascii="宋体" w:hAnsi="宋体" w:eastAsia="宋体" w:cs="宋体"/>
                <w:color w:val="auto"/>
                <w:highlight w:val="none"/>
              </w:rPr>
            </w:pPr>
            <w:r>
              <w:rPr>
                <w:rFonts w:hint="eastAsia" w:ascii="宋体" w:hAnsi="宋体" w:eastAsia="宋体" w:cs="宋体"/>
                <w:color w:val="auto"/>
                <w:spacing w:val="-2"/>
                <w:highlight w:val="none"/>
              </w:rPr>
              <w:t>汇款金额</w:t>
            </w:r>
          </w:p>
        </w:tc>
        <w:tc>
          <w:tcPr>
            <w:tcW w:w="3275" w:type="dxa"/>
            <w:vAlign w:val="top"/>
          </w:tcPr>
          <w:p>
            <w:pPr>
              <w:rPr>
                <w:rFonts w:hint="eastAsia" w:ascii="宋体" w:hAnsi="宋体" w:eastAsia="宋体" w:cs="宋体"/>
                <w:color w:val="auto"/>
                <w:sz w:val="21"/>
                <w:highlight w:val="none"/>
              </w:rPr>
            </w:pPr>
          </w:p>
        </w:tc>
        <w:tc>
          <w:tcPr>
            <w:tcW w:w="1089" w:type="dxa"/>
            <w:vAlign w:val="top"/>
          </w:tcPr>
          <w:p>
            <w:pPr>
              <w:pStyle w:val="10"/>
              <w:spacing w:before="30" w:line="206" w:lineRule="auto"/>
              <w:ind w:left="131"/>
              <w:rPr>
                <w:rFonts w:hint="eastAsia" w:ascii="宋体" w:hAnsi="宋体" w:eastAsia="宋体" w:cs="宋体"/>
                <w:color w:val="auto"/>
                <w:highlight w:val="none"/>
              </w:rPr>
            </w:pPr>
            <w:r>
              <w:rPr>
                <w:rFonts w:hint="eastAsia" w:ascii="宋体" w:hAnsi="宋体" w:eastAsia="宋体" w:cs="宋体"/>
                <w:color w:val="auto"/>
                <w:spacing w:val="-2"/>
                <w:highlight w:val="none"/>
              </w:rPr>
              <w:t>汇款时间</w:t>
            </w:r>
          </w:p>
        </w:tc>
        <w:tc>
          <w:tcPr>
            <w:tcW w:w="292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01" w:type="dxa"/>
            <w:vMerge w:val="restart"/>
            <w:tcBorders>
              <w:bottom w:val="nil"/>
            </w:tcBorders>
            <w:vAlign w:val="top"/>
          </w:tcPr>
          <w:p>
            <w:pPr>
              <w:spacing w:line="333" w:lineRule="auto"/>
              <w:rPr>
                <w:rFonts w:hint="eastAsia" w:ascii="宋体" w:hAnsi="宋体" w:eastAsia="宋体" w:cs="宋体"/>
                <w:color w:val="auto"/>
                <w:sz w:val="21"/>
                <w:highlight w:val="none"/>
              </w:rPr>
            </w:pPr>
          </w:p>
          <w:p>
            <w:pPr>
              <w:spacing w:line="334" w:lineRule="auto"/>
              <w:rPr>
                <w:rFonts w:hint="eastAsia" w:ascii="宋体" w:hAnsi="宋体" w:eastAsia="宋体" w:cs="宋体"/>
                <w:color w:val="auto"/>
                <w:sz w:val="21"/>
                <w:highlight w:val="none"/>
              </w:rPr>
            </w:pPr>
          </w:p>
          <w:p>
            <w:pPr>
              <w:pStyle w:val="10"/>
              <w:spacing w:before="68" w:line="220" w:lineRule="auto"/>
              <w:ind w:left="562"/>
              <w:rPr>
                <w:rFonts w:hint="eastAsia" w:ascii="宋体" w:hAnsi="宋体" w:eastAsia="宋体" w:cs="宋体"/>
                <w:color w:val="auto"/>
                <w:highlight w:val="none"/>
              </w:rPr>
            </w:pPr>
            <w:r>
              <w:rPr>
                <w:rFonts w:hint="eastAsia" w:ascii="宋体" w:hAnsi="宋体" w:eastAsia="宋体" w:cs="宋体"/>
                <w:color w:val="auto"/>
                <w:spacing w:val="-6"/>
                <w:highlight w:val="none"/>
              </w:rPr>
              <w:t>附件</w:t>
            </w:r>
          </w:p>
        </w:tc>
        <w:tc>
          <w:tcPr>
            <w:tcW w:w="7284" w:type="dxa"/>
            <w:gridSpan w:val="3"/>
            <w:vAlign w:val="top"/>
          </w:tcPr>
          <w:p>
            <w:pPr>
              <w:pStyle w:val="10"/>
              <w:spacing w:before="31" w:line="207"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汇款凭证扫描件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Merge w:val="continue"/>
            <w:tcBorders>
              <w:top w:val="nil"/>
              <w:bottom w:val="nil"/>
            </w:tcBorders>
            <w:vAlign w:val="top"/>
          </w:tcPr>
          <w:p>
            <w:pPr>
              <w:rPr>
                <w:rFonts w:hint="eastAsia" w:ascii="宋体" w:hAnsi="宋体" w:eastAsia="宋体" w:cs="宋体"/>
                <w:color w:val="auto"/>
                <w:sz w:val="21"/>
                <w:highlight w:val="none"/>
              </w:rPr>
            </w:pPr>
          </w:p>
        </w:tc>
        <w:tc>
          <w:tcPr>
            <w:tcW w:w="7284"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01" w:type="dxa"/>
            <w:vMerge w:val="continue"/>
            <w:tcBorders>
              <w:top w:val="nil"/>
              <w:bottom w:val="nil"/>
            </w:tcBorders>
            <w:vAlign w:val="top"/>
          </w:tcPr>
          <w:p>
            <w:pPr>
              <w:rPr>
                <w:rFonts w:hint="eastAsia" w:ascii="宋体" w:hAnsi="宋体" w:eastAsia="宋体" w:cs="宋体"/>
                <w:color w:val="auto"/>
                <w:sz w:val="21"/>
                <w:highlight w:val="none"/>
              </w:rPr>
            </w:pPr>
          </w:p>
        </w:tc>
        <w:tc>
          <w:tcPr>
            <w:tcW w:w="7284" w:type="dxa"/>
            <w:gridSpan w:val="3"/>
            <w:vAlign w:val="top"/>
          </w:tcPr>
          <w:p>
            <w:pPr>
              <w:pStyle w:val="10"/>
              <w:spacing w:before="32" w:line="204"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基本户开户许可证扫描件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Merge w:val="continue"/>
            <w:tcBorders>
              <w:top w:val="nil"/>
              <w:bottom w:val="nil"/>
            </w:tcBorders>
            <w:vAlign w:val="top"/>
          </w:tcPr>
          <w:p>
            <w:pPr>
              <w:rPr>
                <w:rFonts w:hint="eastAsia" w:ascii="宋体" w:hAnsi="宋体" w:eastAsia="宋体" w:cs="宋体"/>
                <w:color w:val="auto"/>
                <w:sz w:val="21"/>
                <w:highlight w:val="none"/>
              </w:rPr>
            </w:pPr>
          </w:p>
        </w:tc>
        <w:tc>
          <w:tcPr>
            <w:tcW w:w="7284"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Merge w:val="continue"/>
            <w:tcBorders>
              <w:top w:val="nil"/>
              <w:bottom w:val="nil"/>
            </w:tcBorders>
            <w:vAlign w:val="top"/>
          </w:tcPr>
          <w:p>
            <w:pPr>
              <w:rPr>
                <w:rFonts w:hint="eastAsia" w:ascii="宋体" w:hAnsi="宋体" w:eastAsia="宋体" w:cs="宋体"/>
                <w:color w:val="auto"/>
                <w:sz w:val="21"/>
                <w:highlight w:val="none"/>
              </w:rPr>
            </w:pPr>
          </w:p>
        </w:tc>
        <w:tc>
          <w:tcPr>
            <w:tcW w:w="7284" w:type="dxa"/>
            <w:gridSpan w:val="3"/>
            <w:vAlign w:val="top"/>
          </w:tcPr>
          <w:p>
            <w:pPr>
              <w:pStyle w:val="10"/>
              <w:spacing w:before="34" w:line="205" w:lineRule="auto"/>
              <w:ind w:left="113"/>
              <w:rPr>
                <w:rFonts w:hint="eastAsia" w:ascii="宋体" w:hAnsi="宋体" w:eastAsia="宋体" w:cs="宋体"/>
                <w:color w:val="auto"/>
                <w:highlight w:val="none"/>
              </w:rPr>
            </w:pPr>
            <w:r>
              <w:rPr>
                <w:rFonts w:hint="eastAsia" w:ascii="宋体" w:hAnsi="宋体" w:eastAsia="宋体" w:cs="宋体"/>
                <w:color w:val="auto"/>
                <w:spacing w:val="-2"/>
                <w:highlight w:val="none"/>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01" w:type="dxa"/>
            <w:vMerge w:val="continue"/>
            <w:tcBorders>
              <w:top w:val="nil"/>
            </w:tcBorders>
            <w:vAlign w:val="top"/>
          </w:tcPr>
          <w:p>
            <w:pPr>
              <w:rPr>
                <w:rFonts w:hint="eastAsia" w:ascii="宋体" w:hAnsi="宋体" w:eastAsia="宋体" w:cs="宋体"/>
                <w:color w:val="auto"/>
                <w:sz w:val="21"/>
                <w:highlight w:val="none"/>
              </w:rPr>
            </w:pPr>
          </w:p>
        </w:tc>
        <w:tc>
          <w:tcPr>
            <w:tcW w:w="7284" w:type="dxa"/>
            <w:gridSpan w:val="3"/>
            <w:vAlign w:val="top"/>
          </w:tcPr>
          <w:p>
            <w:pPr>
              <w:rPr>
                <w:rFonts w:hint="eastAsia" w:ascii="宋体" w:hAnsi="宋体" w:eastAsia="宋体" w:cs="宋体"/>
                <w:color w:val="auto"/>
                <w:sz w:val="21"/>
                <w:highlight w:val="none"/>
              </w:rPr>
            </w:pPr>
          </w:p>
        </w:tc>
      </w:tr>
    </w:tbl>
    <w:p>
      <w:pPr>
        <w:pStyle w:val="2"/>
        <w:spacing w:line="476" w:lineRule="auto"/>
        <w:rPr>
          <w:rFonts w:hint="eastAsia" w:ascii="宋体" w:hAnsi="宋体" w:eastAsia="宋体" w:cs="宋体"/>
          <w:color w:val="auto"/>
          <w:highlight w:val="none"/>
        </w:rPr>
      </w:pPr>
    </w:p>
    <w:p>
      <w:pPr>
        <w:spacing w:before="69" w:line="212" w:lineRule="auto"/>
        <w:ind w:left="397"/>
        <w:rPr>
          <w:rFonts w:hint="eastAsia" w:ascii="宋体" w:hAnsi="宋体" w:eastAsia="宋体" w:cs="宋体"/>
          <w:color w:val="auto"/>
          <w:sz w:val="28"/>
          <w:szCs w:val="28"/>
          <w:highlight w:val="none"/>
          <w14:textOutline w14:w="3831" w14:cap="flat" w14:cmpd="sng">
            <w14:solidFill>
              <w14:srgbClr w14:val="000000"/>
            </w14:solidFill>
            <w14:prstDash w14:val="solid"/>
            <w14:miter w14:val="0"/>
          </w14:textOutline>
        </w:rPr>
      </w:pPr>
      <w:r>
        <w:rPr>
          <w:rFonts w:hint="eastAsia" w:ascii="宋体" w:hAnsi="宋体" w:eastAsia="宋体" w:cs="宋体"/>
          <w:color w:val="auto"/>
          <w:sz w:val="28"/>
          <w:szCs w:val="28"/>
          <w:highlight w:val="none"/>
          <w14:textOutline w14:w="3831" w14:cap="flat" w14:cmpd="sng">
            <w14:solidFill>
              <w14:srgbClr w14:val="000000"/>
            </w14:solidFill>
            <w14:prstDash w14:val="solid"/>
            <w14:miter w14:val="0"/>
          </w14:textOutline>
        </w:rPr>
        <w:t>（二） 若辽宁省工程建设项目电子保函保险基础服务平台电子保函，投标人应填写以下表格信息。</w:t>
      </w:r>
    </w:p>
    <w:tbl>
      <w:tblPr>
        <w:tblStyle w:val="9"/>
        <w:tblW w:w="879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72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90" w:type="dxa"/>
            <w:gridSpan w:val="2"/>
            <w:vAlign w:val="top"/>
          </w:tcPr>
          <w:p>
            <w:pPr>
              <w:pStyle w:val="10"/>
              <w:spacing w:before="55" w:line="221" w:lineRule="auto"/>
              <w:ind w:left="1769"/>
              <w:rPr>
                <w:rFonts w:hint="eastAsia" w:ascii="宋体" w:hAnsi="宋体" w:eastAsia="宋体" w:cs="宋体"/>
                <w:color w:val="auto"/>
                <w:highlight w:val="none"/>
              </w:rPr>
            </w:pPr>
            <w:r>
              <w:rPr>
                <w:rFonts w:hint="eastAsia" w:ascii="宋体" w:hAnsi="宋体" w:eastAsia="宋体" w:cs="宋体"/>
                <w:color w:val="auto"/>
                <w:highlight w:val="none"/>
                <w14:textOutline w14:w="3831" w14:cap="flat" w14:cmpd="sng">
                  <w14:solidFill>
                    <w14:srgbClr w14:val="000000"/>
                  </w14:solidFill>
                  <w14:prstDash w14:val="solid"/>
                  <w14:miter w14:val="0"/>
                </w14:textOutline>
              </w:rPr>
              <w:t>辽宁省工程建设项目电子保函保险基础服务平台保函信息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549" w:type="dxa"/>
            <w:vAlign w:val="top"/>
          </w:tcPr>
          <w:p>
            <w:pPr>
              <w:pStyle w:val="10"/>
              <w:spacing w:before="61" w:line="221" w:lineRule="auto"/>
              <w:ind w:left="361"/>
              <w:rPr>
                <w:rFonts w:hint="eastAsia" w:ascii="宋体" w:hAnsi="宋体" w:eastAsia="宋体" w:cs="宋体"/>
                <w:color w:val="auto"/>
                <w:highlight w:val="none"/>
              </w:rPr>
            </w:pPr>
            <w:r>
              <w:rPr>
                <w:rFonts w:hint="eastAsia" w:ascii="宋体" w:hAnsi="宋体" w:eastAsia="宋体" w:cs="宋体"/>
                <w:color w:val="auto"/>
                <w:spacing w:val="-2"/>
                <w:highlight w:val="none"/>
              </w:rPr>
              <w:t>保函编号</w:t>
            </w:r>
          </w:p>
        </w:tc>
        <w:tc>
          <w:tcPr>
            <w:tcW w:w="724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49" w:type="dxa"/>
            <w:vMerge w:val="restart"/>
            <w:tcBorders>
              <w:bottom w:val="nil"/>
            </w:tcBorders>
            <w:vAlign w:val="top"/>
          </w:tcPr>
          <w:p>
            <w:pPr>
              <w:pStyle w:val="10"/>
              <w:spacing w:before="206" w:line="220" w:lineRule="auto"/>
              <w:ind w:left="586"/>
              <w:rPr>
                <w:rFonts w:hint="eastAsia" w:ascii="宋体" w:hAnsi="宋体" w:eastAsia="宋体" w:cs="宋体"/>
                <w:color w:val="auto"/>
                <w:highlight w:val="none"/>
              </w:rPr>
            </w:pPr>
            <w:r>
              <w:rPr>
                <w:rFonts w:hint="eastAsia" w:ascii="宋体" w:hAnsi="宋体" w:eastAsia="宋体" w:cs="宋体"/>
                <w:color w:val="auto"/>
                <w:spacing w:val="-6"/>
                <w:highlight w:val="none"/>
              </w:rPr>
              <w:t>附件</w:t>
            </w:r>
          </w:p>
        </w:tc>
        <w:tc>
          <w:tcPr>
            <w:tcW w:w="7241" w:type="dxa"/>
            <w:vAlign w:val="top"/>
          </w:tcPr>
          <w:p>
            <w:pPr>
              <w:pStyle w:val="10"/>
              <w:spacing w:before="64" w:line="221" w:lineRule="auto"/>
              <w:ind w:left="137"/>
              <w:rPr>
                <w:rFonts w:hint="eastAsia" w:ascii="宋体" w:hAnsi="宋体" w:eastAsia="宋体" w:cs="宋体"/>
                <w:color w:val="auto"/>
                <w:highlight w:val="none"/>
              </w:rPr>
            </w:pPr>
            <w:r>
              <w:rPr>
                <w:rFonts w:hint="eastAsia" w:ascii="宋体" w:hAnsi="宋体" w:eastAsia="宋体" w:cs="宋体"/>
                <w:color w:val="auto"/>
                <w:spacing w:val="-5"/>
                <w:highlight w:val="none"/>
              </w:rPr>
              <w:t>电子保函扫描件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pPr>
              <w:rPr>
                <w:rFonts w:hint="eastAsia" w:ascii="宋体" w:hAnsi="宋体" w:eastAsia="宋体" w:cs="宋体"/>
                <w:color w:val="auto"/>
                <w:sz w:val="21"/>
                <w:highlight w:val="none"/>
              </w:rPr>
            </w:pPr>
          </w:p>
        </w:tc>
        <w:tc>
          <w:tcPr>
            <w:tcW w:w="7241" w:type="dxa"/>
            <w:vAlign w:val="top"/>
          </w:tcPr>
          <w:p>
            <w:pPr>
              <w:rPr>
                <w:rFonts w:hint="eastAsia" w:ascii="宋体" w:hAnsi="宋体" w:eastAsia="宋体" w:cs="宋体"/>
                <w:color w:val="auto"/>
                <w:sz w:val="21"/>
                <w:highlight w:val="none"/>
              </w:rPr>
            </w:pPr>
          </w:p>
        </w:tc>
      </w:tr>
    </w:tbl>
    <w:p>
      <w:pPr>
        <w:pStyle w:val="2"/>
        <w:spacing w:line="243" w:lineRule="auto"/>
        <w:rPr>
          <w:rFonts w:hint="eastAsia" w:ascii="宋体" w:hAnsi="宋体" w:eastAsia="宋体" w:cs="宋体"/>
          <w:color w:val="auto"/>
          <w:highlight w:val="none"/>
        </w:rPr>
      </w:pPr>
    </w:p>
    <w:p>
      <w:pPr>
        <w:pStyle w:val="2"/>
        <w:spacing w:line="243" w:lineRule="auto"/>
        <w:rPr>
          <w:rFonts w:hint="eastAsia" w:ascii="宋体" w:hAnsi="宋体" w:eastAsia="宋体" w:cs="宋体"/>
          <w:color w:val="auto"/>
          <w:highlight w:val="none"/>
        </w:rPr>
      </w:pPr>
    </w:p>
    <w:p>
      <w:pPr>
        <w:spacing w:before="69" w:line="212" w:lineRule="auto"/>
        <w:ind w:left="397"/>
        <w:rPr>
          <w:rFonts w:hint="eastAsia" w:ascii="宋体" w:hAnsi="宋体" w:eastAsia="宋体" w:cs="宋体"/>
          <w:color w:val="auto"/>
          <w:sz w:val="28"/>
          <w:szCs w:val="28"/>
          <w:highlight w:val="none"/>
          <w14:textOutline w14:w="3831" w14:cap="flat" w14:cmpd="sng">
            <w14:solidFill>
              <w14:srgbClr w14:val="000000"/>
            </w14:solidFill>
            <w14:prstDash w14:val="solid"/>
            <w14:miter w14:val="0"/>
          </w14:textOutline>
        </w:rPr>
      </w:pPr>
      <w:r>
        <w:rPr>
          <w:rFonts w:hint="eastAsia" w:ascii="宋体" w:hAnsi="宋体" w:eastAsia="宋体" w:cs="宋体"/>
          <w:color w:val="auto"/>
          <w:sz w:val="28"/>
          <w:szCs w:val="28"/>
          <w:highlight w:val="none"/>
          <w14:textOutline w14:w="3831" w14:cap="flat" w14:cmpd="sng">
            <w14:solidFill>
              <w14:srgbClr w14:val="000000"/>
            </w14:solidFill>
            <w14:prstDash w14:val="solid"/>
            <w14:miter w14:val="0"/>
          </w14:textOutline>
        </w:rPr>
        <w:t>（三） 若采用纸质保函或其他平台电子保函，投标人应填写以下表格信息，并提供相关材料扫描件信息。</w:t>
      </w:r>
    </w:p>
    <w:tbl>
      <w:tblPr>
        <w:tblStyle w:val="9"/>
        <w:tblW w:w="8785"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3"/>
        <w:gridCol w:w="3268"/>
        <w:gridCol w:w="1521"/>
        <w:gridCol w:w="24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85" w:type="dxa"/>
            <w:gridSpan w:val="4"/>
            <w:vAlign w:val="top"/>
          </w:tcPr>
          <w:p>
            <w:pPr>
              <w:pStyle w:val="10"/>
              <w:spacing w:before="34" w:line="207" w:lineRule="auto"/>
              <w:ind w:left="923"/>
              <w:rPr>
                <w:rFonts w:hint="eastAsia" w:ascii="宋体" w:hAnsi="宋体" w:eastAsia="宋体" w:cs="宋体"/>
                <w:color w:val="auto"/>
                <w:highlight w:val="none"/>
              </w:rPr>
            </w:pPr>
            <w:r>
              <w:rPr>
                <w:rFonts w:hint="eastAsia" w:ascii="宋体" w:hAnsi="宋体" w:eastAsia="宋体" w:cs="宋体"/>
                <w:color w:val="auto"/>
                <w:highlight w:val="none"/>
                <w14:textOutline w14:w="3831" w14:cap="flat" w14:cmpd="sng">
                  <w14:solidFill>
                    <w14:srgbClr w14:val="000000"/>
                  </w14:solidFill>
                  <w14:prstDash w14:val="solid"/>
                  <w14:miter w14:val="0"/>
                </w14:textOutline>
              </w:rPr>
              <w:t>非辽宁省工程建设项目电子保函保险基础服务平台电子保函或纸质保函信息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Align w:val="top"/>
          </w:tcPr>
          <w:p>
            <w:pPr>
              <w:pStyle w:val="10"/>
              <w:spacing w:before="30" w:line="209" w:lineRule="auto"/>
              <w:ind w:left="133"/>
              <w:rPr>
                <w:rFonts w:hint="eastAsia" w:ascii="宋体" w:hAnsi="宋体" w:eastAsia="宋体" w:cs="宋体"/>
                <w:color w:val="auto"/>
                <w:highlight w:val="none"/>
              </w:rPr>
            </w:pPr>
            <w:r>
              <w:rPr>
                <w:rFonts w:hint="eastAsia" w:ascii="宋体" w:hAnsi="宋体" w:eastAsia="宋体" w:cs="宋体"/>
                <w:color w:val="auto"/>
                <w:spacing w:val="-1"/>
                <w:highlight w:val="none"/>
              </w:rPr>
              <w:t>保函承保单位</w:t>
            </w:r>
          </w:p>
        </w:tc>
        <w:tc>
          <w:tcPr>
            <w:tcW w:w="3268" w:type="dxa"/>
            <w:vAlign w:val="top"/>
          </w:tcPr>
          <w:p>
            <w:pPr>
              <w:rPr>
                <w:rFonts w:hint="eastAsia" w:ascii="宋体" w:hAnsi="宋体" w:eastAsia="宋体" w:cs="宋体"/>
                <w:color w:val="auto"/>
                <w:sz w:val="21"/>
                <w:highlight w:val="none"/>
              </w:rPr>
            </w:pPr>
          </w:p>
        </w:tc>
        <w:tc>
          <w:tcPr>
            <w:tcW w:w="1521" w:type="dxa"/>
            <w:vAlign w:val="top"/>
          </w:tcPr>
          <w:p>
            <w:pPr>
              <w:pStyle w:val="10"/>
              <w:spacing w:before="30" w:line="209" w:lineRule="auto"/>
              <w:ind w:left="348"/>
              <w:rPr>
                <w:rFonts w:hint="eastAsia" w:ascii="宋体" w:hAnsi="宋体" w:eastAsia="宋体" w:cs="宋体"/>
                <w:color w:val="auto"/>
                <w:highlight w:val="none"/>
              </w:rPr>
            </w:pPr>
            <w:r>
              <w:rPr>
                <w:rFonts w:hint="eastAsia" w:ascii="宋体" w:hAnsi="宋体" w:eastAsia="宋体" w:cs="宋体"/>
                <w:color w:val="auto"/>
                <w:spacing w:val="-2"/>
                <w:highlight w:val="none"/>
              </w:rPr>
              <w:t>保函额度</w:t>
            </w:r>
          </w:p>
        </w:tc>
        <w:tc>
          <w:tcPr>
            <w:tcW w:w="248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Align w:val="top"/>
          </w:tcPr>
          <w:p>
            <w:pPr>
              <w:pStyle w:val="10"/>
              <w:spacing w:before="30" w:line="209" w:lineRule="auto"/>
              <w:ind w:left="131"/>
              <w:rPr>
                <w:rFonts w:hint="eastAsia" w:ascii="宋体" w:hAnsi="宋体" w:eastAsia="宋体" w:cs="宋体"/>
                <w:color w:val="auto"/>
                <w:highlight w:val="none"/>
              </w:rPr>
            </w:pPr>
            <w:r>
              <w:rPr>
                <w:rFonts w:hint="eastAsia" w:ascii="宋体" w:hAnsi="宋体" w:eastAsia="宋体" w:cs="宋体"/>
                <w:color w:val="auto"/>
                <w:spacing w:val="-1"/>
                <w:highlight w:val="none"/>
              </w:rPr>
              <w:t>缴费账户名称</w:t>
            </w:r>
          </w:p>
        </w:tc>
        <w:tc>
          <w:tcPr>
            <w:tcW w:w="3268" w:type="dxa"/>
            <w:vAlign w:val="top"/>
          </w:tcPr>
          <w:p>
            <w:pPr>
              <w:rPr>
                <w:rFonts w:hint="eastAsia" w:ascii="宋体" w:hAnsi="宋体" w:eastAsia="宋体" w:cs="宋体"/>
                <w:color w:val="auto"/>
                <w:sz w:val="21"/>
                <w:highlight w:val="none"/>
              </w:rPr>
            </w:pPr>
          </w:p>
        </w:tc>
        <w:tc>
          <w:tcPr>
            <w:tcW w:w="1521" w:type="dxa"/>
            <w:vAlign w:val="top"/>
          </w:tcPr>
          <w:p>
            <w:pPr>
              <w:pStyle w:val="10"/>
              <w:spacing w:before="30" w:line="209" w:lineRule="auto"/>
              <w:ind w:left="139"/>
              <w:rPr>
                <w:rFonts w:hint="eastAsia" w:ascii="宋体" w:hAnsi="宋体" w:eastAsia="宋体" w:cs="宋体"/>
                <w:color w:val="auto"/>
                <w:highlight w:val="none"/>
              </w:rPr>
            </w:pPr>
            <w:r>
              <w:rPr>
                <w:rFonts w:hint="eastAsia" w:ascii="宋体" w:hAnsi="宋体" w:eastAsia="宋体" w:cs="宋体"/>
                <w:color w:val="auto"/>
                <w:spacing w:val="-1"/>
                <w:highlight w:val="none"/>
              </w:rPr>
              <w:t>保函办理时间</w:t>
            </w:r>
          </w:p>
        </w:tc>
        <w:tc>
          <w:tcPr>
            <w:tcW w:w="248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13" w:type="dxa"/>
            <w:vAlign w:val="top"/>
          </w:tcPr>
          <w:p>
            <w:pPr>
              <w:pStyle w:val="10"/>
              <w:spacing w:before="30" w:line="206" w:lineRule="auto"/>
              <w:ind w:left="339"/>
              <w:rPr>
                <w:rFonts w:hint="eastAsia" w:ascii="宋体" w:hAnsi="宋体" w:eastAsia="宋体" w:cs="宋体"/>
                <w:color w:val="auto"/>
                <w:highlight w:val="none"/>
              </w:rPr>
            </w:pPr>
            <w:r>
              <w:rPr>
                <w:rFonts w:hint="eastAsia" w:ascii="宋体" w:hAnsi="宋体" w:eastAsia="宋体" w:cs="宋体"/>
                <w:color w:val="auto"/>
                <w:spacing w:val="-1"/>
                <w:highlight w:val="none"/>
              </w:rPr>
              <w:t>缴费账号</w:t>
            </w:r>
          </w:p>
        </w:tc>
        <w:tc>
          <w:tcPr>
            <w:tcW w:w="3268" w:type="dxa"/>
            <w:vAlign w:val="top"/>
          </w:tcPr>
          <w:p>
            <w:pPr>
              <w:rPr>
                <w:rFonts w:hint="eastAsia" w:ascii="宋体" w:hAnsi="宋体" w:eastAsia="宋体" w:cs="宋体"/>
                <w:color w:val="auto"/>
                <w:sz w:val="21"/>
                <w:highlight w:val="none"/>
              </w:rPr>
            </w:pPr>
          </w:p>
        </w:tc>
        <w:tc>
          <w:tcPr>
            <w:tcW w:w="1521" w:type="dxa"/>
            <w:vAlign w:val="top"/>
          </w:tcPr>
          <w:p>
            <w:pPr>
              <w:pStyle w:val="10"/>
              <w:spacing w:before="30" w:line="206" w:lineRule="auto"/>
              <w:ind w:left="242"/>
              <w:rPr>
                <w:rFonts w:hint="eastAsia" w:ascii="宋体" w:hAnsi="宋体" w:eastAsia="宋体" w:cs="宋体"/>
                <w:color w:val="auto"/>
                <w:highlight w:val="none"/>
              </w:rPr>
            </w:pPr>
            <w:r>
              <w:rPr>
                <w:rFonts w:hint="eastAsia" w:ascii="宋体" w:hAnsi="宋体" w:eastAsia="宋体" w:cs="宋体"/>
                <w:color w:val="auto"/>
                <w:spacing w:val="-2"/>
                <w:highlight w:val="none"/>
              </w:rPr>
              <w:t>保函有效期</w:t>
            </w:r>
          </w:p>
        </w:tc>
        <w:tc>
          <w:tcPr>
            <w:tcW w:w="248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3" w:type="dxa"/>
            <w:vAlign w:val="top"/>
          </w:tcPr>
          <w:p>
            <w:pPr>
              <w:pStyle w:val="10"/>
              <w:spacing w:before="31" w:line="223" w:lineRule="auto"/>
              <w:ind w:left="568" w:right="120" w:hanging="435"/>
              <w:rPr>
                <w:rFonts w:hint="eastAsia" w:ascii="宋体" w:hAnsi="宋体" w:eastAsia="宋体" w:cs="宋体"/>
                <w:color w:val="auto"/>
                <w:highlight w:val="none"/>
              </w:rPr>
            </w:pPr>
            <w:r>
              <w:rPr>
                <w:rFonts w:hint="eastAsia" w:ascii="宋体" w:hAnsi="宋体" w:eastAsia="宋体" w:cs="宋体"/>
                <w:color w:val="auto"/>
                <w:spacing w:val="-2"/>
                <w:highlight w:val="none"/>
              </w:rPr>
              <w:t>保函验真平台</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6"/>
                <w:highlight w:val="none"/>
              </w:rPr>
              <w:t>网址</w:t>
            </w:r>
          </w:p>
        </w:tc>
        <w:tc>
          <w:tcPr>
            <w:tcW w:w="7272"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restart"/>
            <w:tcBorders>
              <w:bottom w:val="nil"/>
            </w:tcBorders>
            <w:vAlign w:val="top"/>
          </w:tcPr>
          <w:p>
            <w:pPr>
              <w:spacing w:line="315" w:lineRule="auto"/>
              <w:rPr>
                <w:rFonts w:hint="eastAsia" w:ascii="宋体" w:hAnsi="宋体" w:eastAsia="宋体" w:cs="宋体"/>
                <w:color w:val="auto"/>
                <w:sz w:val="21"/>
                <w:highlight w:val="none"/>
              </w:rPr>
            </w:pPr>
          </w:p>
          <w:p>
            <w:pPr>
              <w:spacing w:line="315" w:lineRule="auto"/>
              <w:rPr>
                <w:rFonts w:hint="eastAsia" w:ascii="宋体" w:hAnsi="宋体" w:eastAsia="宋体" w:cs="宋体"/>
                <w:color w:val="auto"/>
                <w:sz w:val="21"/>
                <w:highlight w:val="none"/>
              </w:rPr>
            </w:pPr>
          </w:p>
          <w:p>
            <w:pPr>
              <w:spacing w:line="316" w:lineRule="auto"/>
              <w:rPr>
                <w:rFonts w:hint="eastAsia" w:ascii="宋体" w:hAnsi="宋体" w:eastAsia="宋体" w:cs="宋体"/>
                <w:color w:val="auto"/>
                <w:sz w:val="21"/>
                <w:highlight w:val="none"/>
              </w:rPr>
            </w:pPr>
          </w:p>
          <w:p>
            <w:pPr>
              <w:pStyle w:val="10"/>
              <w:spacing w:before="69" w:line="220" w:lineRule="auto"/>
              <w:ind w:left="569"/>
              <w:rPr>
                <w:rFonts w:hint="eastAsia" w:ascii="宋体" w:hAnsi="宋体" w:eastAsia="宋体" w:cs="宋体"/>
                <w:color w:val="auto"/>
                <w:highlight w:val="none"/>
              </w:rPr>
            </w:pPr>
            <w:r>
              <w:rPr>
                <w:rFonts w:hint="eastAsia" w:ascii="宋体" w:hAnsi="宋体" w:eastAsia="宋体" w:cs="宋体"/>
                <w:color w:val="auto"/>
                <w:spacing w:val="-6"/>
                <w:highlight w:val="none"/>
              </w:rPr>
              <w:t>附件</w:t>
            </w:r>
          </w:p>
        </w:tc>
        <w:tc>
          <w:tcPr>
            <w:tcW w:w="7272" w:type="dxa"/>
            <w:gridSpan w:val="3"/>
            <w:vAlign w:val="top"/>
          </w:tcPr>
          <w:p>
            <w:pPr>
              <w:pStyle w:val="10"/>
              <w:spacing w:before="34" w:line="205" w:lineRule="auto"/>
              <w:ind w:left="113"/>
              <w:rPr>
                <w:rFonts w:hint="eastAsia" w:ascii="宋体" w:hAnsi="宋体" w:eastAsia="宋体" w:cs="宋体"/>
                <w:color w:val="auto"/>
                <w:highlight w:val="none"/>
              </w:rPr>
            </w:pPr>
            <w:r>
              <w:rPr>
                <w:rFonts w:hint="eastAsia" w:ascii="宋体" w:hAnsi="宋体" w:eastAsia="宋体" w:cs="宋体"/>
                <w:color w:val="auto"/>
                <w:spacing w:val="-2"/>
                <w:highlight w:val="none"/>
              </w:rPr>
              <w:t>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vAlign w:val="top"/>
          </w:tcPr>
          <w:p>
            <w:pPr>
              <w:rPr>
                <w:rFonts w:hint="eastAsia" w:ascii="宋体" w:hAnsi="宋体" w:eastAsia="宋体" w:cs="宋体"/>
                <w:color w:val="auto"/>
                <w:sz w:val="21"/>
                <w:highlight w:val="none"/>
              </w:rPr>
            </w:pPr>
          </w:p>
        </w:tc>
        <w:tc>
          <w:tcPr>
            <w:tcW w:w="7272"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13" w:type="dxa"/>
            <w:vMerge w:val="continue"/>
            <w:tcBorders>
              <w:top w:val="nil"/>
              <w:bottom w:val="nil"/>
            </w:tcBorders>
            <w:vAlign w:val="top"/>
          </w:tcPr>
          <w:p>
            <w:pPr>
              <w:rPr>
                <w:rFonts w:hint="eastAsia" w:ascii="宋体" w:hAnsi="宋体" w:eastAsia="宋体" w:cs="宋体"/>
                <w:color w:val="auto"/>
                <w:sz w:val="21"/>
                <w:highlight w:val="none"/>
              </w:rPr>
            </w:pPr>
          </w:p>
        </w:tc>
        <w:tc>
          <w:tcPr>
            <w:tcW w:w="7272" w:type="dxa"/>
            <w:gridSpan w:val="3"/>
            <w:vAlign w:val="top"/>
          </w:tcPr>
          <w:p>
            <w:pPr>
              <w:pStyle w:val="10"/>
              <w:spacing w:before="32" w:line="204" w:lineRule="auto"/>
              <w:ind w:left="110"/>
              <w:rPr>
                <w:rFonts w:hint="eastAsia" w:ascii="宋体" w:hAnsi="宋体" w:eastAsia="宋体" w:cs="宋体"/>
                <w:color w:val="auto"/>
                <w:highlight w:val="none"/>
              </w:rPr>
            </w:pPr>
            <w:r>
              <w:rPr>
                <w:rFonts w:hint="eastAsia" w:ascii="宋体" w:hAnsi="宋体" w:eastAsia="宋体" w:cs="宋体"/>
                <w:color w:val="auto"/>
                <w:spacing w:val="-1"/>
                <w:highlight w:val="none"/>
              </w:rPr>
              <w:t>缴费凭证扫描件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vAlign w:val="top"/>
          </w:tcPr>
          <w:p>
            <w:pPr>
              <w:rPr>
                <w:rFonts w:hint="eastAsia" w:ascii="宋体" w:hAnsi="宋体" w:eastAsia="宋体" w:cs="宋体"/>
                <w:color w:val="auto"/>
                <w:sz w:val="21"/>
                <w:highlight w:val="none"/>
              </w:rPr>
            </w:pPr>
          </w:p>
        </w:tc>
        <w:tc>
          <w:tcPr>
            <w:tcW w:w="7272"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vAlign w:val="top"/>
          </w:tcPr>
          <w:p>
            <w:pPr>
              <w:rPr>
                <w:rFonts w:hint="eastAsia" w:ascii="宋体" w:hAnsi="宋体" w:eastAsia="宋体" w:cs="宋体"/>
                <w:color w:val="auto"/>
                <w:sz w:val="21"/>
                <w:highlight w:val="none"/>
              </w:rPr>
            </w:pPr>
          </w:p>
        </w:tc>
        <w:tc>
          <w:tcPr>
            <w:tcW w:w="7272" w:type="dxa"/>
            <w:gridSpan w:val="3"/>
            <w:vAlign w:val="top"/>
          </w:tcPr>
          <w:p>
            <w:pPr>
              <w:pStyle w:val="10"/>
              <w:spacing w:before="33" w:line="206" w:lineRule="auto"/>
              <w:ind w:left="112"/>
              <w:rPr>
                <w:rFonts w:hint="eastAsia" w:ascii="宋体" w:hAnsi="宋体" w:eastAsia="宋体" w:cs="宋体"/>
                <w:color w:val="auto"/>
                <w:highlight w:val="none"/>
              </w:rPr>
            </w:pPr>
            <w:r>
              <w:rPr>
                <w:rFonts w:hint="eastAsia" w:ascii="宋体" w:hAnsi="宋体" w:eastAsia="宋体" w:cs="宋体"/>
                <w:color w:val="auto"/>
                <w:spacing w:val="-1"/>
                <w:highlight w:val="none"/>
              </w:rPr>
              <w:t>基本户开户许可证扫描件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13" w:type="dxa"/>
            <w:vMerge w:val="continue"/>
            <w:tcBorders>
              <w:top w:val="nil"/>
              <w:bottom w:val="nil"/>
            </w:tcBorders>
            <w:vAlign w:val="top"/>
          </w:tcPr>
          <w:p>
            <w:pPr>
              <w:rPr>
                <w:rFonts w:hint="eastAsia" w:ascii="宋体" w:hAnsi="宋体" w:eastAsia="宋体" w:cs="宋体"/>
                <w:color w:val="auto"/>
                <w:sz w:val="21"/>
                <w:highlight w:val="none"/>
              </w:rPr>
            </w:pPr>
          </w:p>
        </w:tc>
        <w:tc>
          <w:tcPr>
            <w:tcW w:w="7272"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vAlign w:val="top"/>
          </w:tcPr>
          <w:p>
            <w:pPr>
              <w:rPr>
                <w:rFonts w:hint="eastAsia" w:ascii="宋体" w:hAnsi="宋体" w:eastAsia="宋体" w:cs="宋体"/>
                <w:color w:val="auto"/>
                <w:sz w:val="21"/>
                <w:highlight w:val="none"/>
              </w:rPr>
            </w:pPr>
          </w:p>
        </w:tc>
        <w:tc>
          <w:tcPr>
            <w:tcW w:w="7272" w:type="dxa"/>
            <w:gridSpan w:val="3"/>
            <w:vAlign w:val="top"/>
          </w:tcPr>
          <w:p>
            <w:pPr>
              <w:pStyle w:val="10"/>
              <w:spacing w:before="34" w:line="205" w:lineRule="auto"/>
              <w:ind w:left="113"/>
              <w:rPr>
                <w:rFonts w:hint="eastAsia" w:ascii="宋体" w:hAnsi="宋体" w:eastAsia="宋体" w:cs="宋体"/>
                <w:color w:val="auto"/>
                <w:highlight w:val="none"/>
              </w:rPr>
            </w:pPr>
            <w:r>
              <w:rPr>
                <w:rFonts w:hint="eastAsia" w:ascii="宋体" w:hAnsi="宋体" w:eastAsia="宋体" w:cs="宋体"/>
                <w:color w:val="auto"/>
                <w:spacing w:val="-2"/>
                <w:highlight w:val="none"/>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513" w:type="dxa"/>
            <w:vMerge w:val="continue"/>
            <w:tcBorders>
              <w:top w:val="nil"/>
            </w:tcBorders>
            <w:vAlign w:val="top"/>
          </w:tcPr>
          <w:p>
            <w:pPr>
              <w:rPr>
                <w:rFonts w:hint="eastAsia" w:ascii="宋体" w:hAnsi="宋体" w:eastAsia="宋体" w:cs="宋体"/>
                <w:color w:val="auto"/>
                <w:sz w:val="21"/>
                <w:highlight w:val="none"/>
              </w:rPr>
            </w:pPr>
          </w:p>
        </w:tc>
        <w:tc>
          <w:tcPr>
            <w:tcW w:w="7272" w:type="dxa"/>
            <w:gridSpan w:val="3"/>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40" w:type="default"/>
          <w:pgSz w:w="11905" w:h="16843"/>
          <w:pgMar w:top="1769" w:right="1548" w:bottom="1003" w:left="1542" w:header="0" w:footer="828" w:gutter="0"/>
          <w:pgNumType w:fmt="numberInDash"/>
          <w:cols w:space="0" w:num="1"/>
          <w:rtlGutter w:val="0"/>
          <w:docGrid w:linePitch="0" w:charSpace="0"/>
        </w:sectPr>
      </w:pPr>
    </w:p>
    <w:p>
      <w:pPr>
        <w:pStyle w:val="2"/>
        <w:spacing w:line="253" w:lineRule="auto"/>
        <w:rPr>
          <w:rFonts w:hint="eastAsia" w:ascii="宋体" w:hAnsi="宋体" w:eastAsia="宋体" w:cs="宋体"/>
          <w:color w:val="auto"/>
          <w:highlight w:val="none"/>
        </w:rPr>
      </w:pPr>
    </w:p>
    <w:p>
      <w:pPr>
        <w:spacing w:before="91" w:line="219" w:lineRule="auto"/>
        <w:ind w:left="3359"/>
        <w:rPr>
          <w:rFonts w:hint="eastAsia" w:ascii="宋体" w:hAnsi="宋体" w:eastAsia="宋体" w:cs="宋体"/>
          <w:color w:val="auto"/>
          <w:sz w:val="28"/>
          <w:szCs w:val="28"/>
          <w:highlight w:val="none"/>
        </w:rPr>
      </w:pPr>
      <w:bookmarkStart w:id="416" w:name="bookmark456"/>
      <w:bookmarkEnd w:id="416"/>
      <w:r>
        <w:rPr>
          <w:rFonts w:hint="eastAsia" w:ascii="宋体" w:hAnsi="宋体" w:eastAsia="宋体" w:cs="宋体"/>
          <w:color w:val="auto"/>
          <w:spacing w:val="-4"/>
          <w:sz w:val="28"/>
          <w:szCs w:val="28"/>
          <w:highlight w:val="none"/>
          <w:lang w:eastAsia="zh-CN"/>
        </w:rPr>
        <w:t>五</w:t>
      </w:r>
      <w:r>
        <w:rPr>
          <w:rFonts w:hint="eastAsia" w:ascii="宋体" w:hAnsi="宋体" w:eastAsia="宋体" w:cs="宋体"/>
          <w:color w:val="auto"/>
          <w:spacing w:val="-4"/>
          <w:sz w:val="28"/>
          <w:szCs w:val="28"/>
          <w:highlight w:val="none"/>
        </w:rPr>
        <w:t>、联合体协议书</w:t>
      </w:r>
    </w:p>
    <w:p>
      <w:pPr>
        <w:spacing w:before="121" w:line="221" w:lineRule="auto"/>
        <w:ind w:left="4044"/>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pPr>
        <w:pStyle w:val="2"/>
        <w:spacing w:line="466" w:lineRule="auto"/>
        <w:rPr>
          <w:rFonts w:hint="eastAsia" w:ascii="宋体" w:hAnsi="宋体" w:eastAsia="宋体" w:cs="宋体"/>
          <w:color w:val="auto"/>
          <w:highlight w:val="none"/>
        </w:rPr>
      </w:pPr>
    </w:p>
    <w:p>
      <w:pPr>
        <w:spacing w:before="69" w:line="393" w:lineRule="exact"/>
        <w:ind w:left="9"/>
        <w:rPr>
          <w:rFonts w:hint="eastAsia" w:ascii="宋体" w:hAnsi="宋体" w:eastAsia="宋体" w:cs="宋体"/>
          <w:color w:val="auto"/>
          <w:sz w:val="21"/>
          <w:szCs w:val="21"/>
          <w:highlight w:val="none"/>
        </w:rPr>
      </w:pPr>
      <w:r>
        <w:rPr>
          <w:rFonts w:hint="eastAsia" w:ascii="宋体" w:hAnsi="宋体" w:eastAsia="宋体" w:cs="宋体"/>
          <w:color w:val="auto"/>
          <w:spacing w:val="-2"/>
          <w:position w:val="13"/>
          <w:sz w:val="21"/>
          <w:szCs w:val="21"/>
          <w:highlight w:val="none"/>
        </w:rPr>
        <w:t>牵头人名称：</w:t>
      </w:r>
    </w:p>
    <w:p>
      <w:pPr>
        <w:spacing w:line="220"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法定代表人：</w:t>
      </w:r>
    </w:p>
    <w:p>
      <w:pPr>
        <w:spacing w:before="143" w:line="221"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法定住所：</w:t>
      </w:r>
    </w:p>
    <w:p>
      <w:pPr>
        <w:pStyle w:val="2"/>
        <w:spacing w:line="464" w:lineRule="auto"/>
        <w:rPr>
          <w:rFonts w:hint="eastAsia" w:ascii="宋体" w:hAnsi="宋体" w:eastAsia="宋体" w:cs="宋体"/>
          <w:color w:val="auto"/>
          <w:highlight w:val="none"/>
        </w:rPr>
      </w:pPr>
    </w:p>
    <w:p>
      <w:pPr>
        <w:spacing w:before="69" w:line="394" w:lineRule="exact"/>
        <w:ind w:left="9"/>
        <w:rPr>
          <w:rFonts w:hint="eastAsia" w:ascii="宋体" w:hAnsi="宋体" w:eastAsia="宋体" w:cs="宋体"/>
          <w:color w:val="auto"/>
          <w:sz w:val="21"/>
          <w:szCs w:val="21"/>
          <w:highlight w:val="none"/>
        </w:rPr>
      </w:pPr>
      <w:r>
        <w:rPr>
          <w:rFonts w:hint="eastAsia" w:ascii="宋体" w:hAnsi="宋体" w:eastAsia="宋体" w:cs="宋体"/>
          <w:color w:val="auto"/>
          <w:spacing w:val="-2"/>
          <w:position w:val="13"/>
          <w:sz w:val="21"/>
          <w:szCs w:val="21"/>
          <w:highlight w:val="none"/>
        </w:rPr>
        <w:t>成员二名称：</w:t>
      </w:r>
    </w:p>
    <w:p>
      <w:pPr>
        <w:spacing w:line="220" w:lineRule="auto"/>
        <w:ind w:left="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法定代表人：</w:t>
      </w:r>
    </w:p>
    <w:p>
      <w:pPr>
        <w:spacing w:before="145" w:line="394" w:lineRule="exact"/>
        <w:ind w:left="9"/>
        <w:rPr>
          <w:rFonts w:hint="eastAsia" w:ascii="宋体" w:hAnsi="宋体" w:eastAsia="宋体" w:cs="宋体"/>
          <w:color w:val="auto"/>
          <w:sz w:val="21"/>
          <w:szCs w:val="21"/>
          <w:highlight w:val="none"/>
        </w:rPr>
      </w:pPr>
      <w:r>
        <w:rPr>
          <w:rFonts w:hint="eastAsia" w:ascii="宋体" w:hAnsi="宋体" w:eastAsia="宋体" w:cs="宋体"/>
          <w:color w:val="auto"/>
          <w:spacing w:val="-7"/>
          <w:position w:val="13"/>
          <w:sz w:val="21"/>
          <w:szCs w:val="21"/>
          <w:highlight w:val="none"/>
        </w:rPr>
        <w:t>法定住所：</w:t>
      </w:r>
    </w:p>
    <w:p>
      <w:pPr>
        <w:spacing w:line="332" w:lineRule="exact"/>
        <w:ind w:left="547"/>
        <w:rPr>
          <w:rFonts w:hint="eastAsia" w:ascii="宋体" w:hAnsi="宋体" w:eastAsia="宋体" w:cs="宋体"/>
          <w:color w:val="auto"/>
          <w:sz w:val="21"/>
          <w:szCs w:val="21"/>
          <w:highlight w:val="none"/>
        </w:rPr>
      </w:pPr>
      <w:r>
        <w:rPr>
          <w:rFonts w:hint="eastAsia" w:ascii="宋体" w:hAnsi="宋体" w:eastAsia="宋体" w:cs="宋体"/>
          <w:color w:val="auto"/>
          <w:spacing w:val="-5"/>
          <w:position w:val="2"/>
          <w:sz w:val="21"/>
          <w:szCs w:val="21"/>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4"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鉴于上述各成员单位经过友好协商， 自愿组成</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4"/>
          <w:sz w:val="21"/>
          <w:szCs w:val="21"/>
          <w:highlight w:val="none"/>
        </w:rPr>
        <w:t>（联合</w:t>
      </w:r>
      <w:r>
        <w:rPr>
          <w:rFonts w:hint="eastAsia" w:ascii="宋体" w:hAnsi="宋体" w:eastAsia="宋体" w:cs="宋体"/>
          <w:color w:val="auto"/>
          <w:spacing w:val="-5"/>
          <w:sz w:val="21"/>
          <w:szCs w:val="21"/>
          <w:highlight w:val="none"/>
        </w:rPr>
        <w:t>体名称）联合体，共同参</w:t>
      </w:r>
      <w:r>
        <w:rPr>
          <w:rFonts w:hint="eastAsia" w:ascii="宋体" w:hAnsi="宋体" w:eastAsia="宋体" w:cs="宋体"/>
          <w:color w:val="auto"/>
          <w:spacing w:val="-5"/>
          <w:sz w:val="21"/>
          <w:szCs w:val="21"/>
          <w:highlight w:val="none"/>
          <w:lang w:val="en-US" w:eastAsia="zh-CN"/>
        </w:rPr>
        <w:t>加</w:t>
      </w: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12"/>
          <w:sz w:val="21"/>
          <w:szCs w:val="21"/>
          <w:highlight w:val="none"/>
        </w:rPr>
        <w:t>（招标人名称</w:t>
      </w:r>
      <w:r>
        <w:rPr>
          <w:rFonts w:hint="eastAsia" w:ascii="宋体" w:hAnsi="宋体" w:eastAsia="宋体" w:cs="宋体"/>
          <w:color w:val="auto"/>
          <w:spacing w:val="-31"/>
          <w:sz w:val="21"/>
          <w:szCs w:val="21"/>
          <w:highlight w:val="none"/>
        </w:rPr>
        <w:t>）（</w:t>
      </w:r>
      <w:r>
        <w:rPr>
          <w:rFonts w:hint="eastAsia" w:ascii="宋体" w:hAnsi="宋体" w:eastAsia="宋体" w:cs="宋体"/>
          <w:color w:val="auto"/>
          <w:spacing w:val="-12"/>
          <w:sz w:val="21"/>
          <w:szCs w:val="21"/>
          <w:highlight w:val="none"/>
        </w:rPr>
        <w:t>以下简称招标人</w:t>
      </w:r>
      <w:r>
        <w:rPr>
          <w:rFonts w:hint="eastAsia" w:ascii="宋体" w:hAnsi="宋体" w:eastAsia="宋体" w:cs="宋体"/>
          <w:color w:val="auto"/>
          <w:spacing w:val="-31"/>
          <w:sz w:val="21"/>
          <w:szCs w:val="21"/>
          <w:highlight w:val="none"/>
        </w:rPr>
        <w:t>）</w:t>
      </w:r>
      <w:r>
        <w:rPr>
          <w:rFonts w:hint="eastAsia" w:ascii="宋体" w:hAnsi="宋体" w:eastAsia="宋体" w:cs="宋体"/>
          <w:color w:val="auto"/>
          <w:spacing w:val="-47"/>
          <w:sz w:val="21"/>
          <w:szCs w:val="21"/>
          <w:highlight w:val="none"/>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31"/>
          <w:sz w:val="21"/>
          <w:szCs w:val="21"/>
          <w:highlight w:val="none"/>
        </w:rPr>
        <w:t>（</w:t>
      </w:r>
      <w:r>
        <w:rPr>
          <w:rFonts w:hint="eastAsia" w:ascii="宋体" w:hAnsi="宋体" w:eastAsia="宋体" w:cs="宋体"/>
          <w:color w:val="auto"/>
          <w:spacing w:val="-12"/>
          <w:sz w:val="21"/>
          <w:szCs w:val="21"/>
          <w:highlight w:val="none"/>
        </w:rPr>
        <w:t>标段名称</w:t>
      </w:r>
      <w:r>
        <w:rPr>
          <w:rFonts w:hint="eastAsia" w:ascii="宋体" w:hAnsi="宋体" w:eastAsia="宋体" w:cs="宋体"/>
          <w:color w:val="auto"/>
          <w:spacing w:val="-31"/>
          <w:sz w:val="21"/>
          <w:szCs w:val="21"/>
          <w:highlight w:val="none"/>
        </w:rPr>
        <w:t>）（</w:t>
      </w:r>
      <w:r>
        <w:rPr>
          <w:rFonts w:hint="eastAsia" w:ascii="宋体" w:hAnsi="宋体" w:eastAsia="宋体" w:cs="宋体"/>
          <w:color w:val="auto"/>
          <w:spacing w:val="-12"/>
          <w:sz w:val="21"/>
          <w:szCs w:val="21"/>
          <w:highlight w:val="none"/>
        </w:rPr>
        <w:t>以下</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简称本工程）的施工投标并争取赢得本工程</w:t>
      </w:r>
      <w:r>
        <w:rPr>
          <w:rFonts w:hint="eastAsia" w:ascii="宋体" w:hAnsi="宋体" w:eastAsia="宋体" w:cs="宋体"/>
          <w:color w:val="auto"/>
          <w:spacing w:val="1"/>
          <w:sz w:val="21"/>
          <w:szCs w:val="21"/>
          <w:highlight w:val="none"/>
        </w:rPr>
        <w:t>施工承包合同（以下简称合同）。现就联合体投标事</w:t>
      </w:r>
      <w:r>
        <w:rPr>
          <w:rFonts w:hint="eastAsia" w:ascii="宋体" w:hAnsi="宋体" w:eastAsia="宋体" w:cs="宋体"/>
          <w:color w:val="auto"/>
          <w:spacing w:val="-2"/>
          <w:sz w:val="21"/>
          <w:szCs w:val="21"/>
          <w:highlight w:val="none"/>
        </w:rPr>
        <w:t>宜订立如下协议：</w:t>
      </w:r>
    </w:p>
    <w:p>
      <w:pPr>
        <w:numPr>
          <w:ilvl w:val="0"/>
          <w:numId w:val="5"/>
        </w:numPr>
        <w:spacing w:before="144" w:line="220" w:lineRule="auto"/>
        <w:ind w:left="443"/>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u w:val="single" w:color="auto"/>
          <w:lang w:val="en-US" w:eastAsia="zh-CN"/>
        </w:rPr>
        <w:t xml:space="preserve">              </w:t>
      </w:r>
      <w:r>
        <w:rPr>
          <w:rFonts w:hint="eastAsia" w:ascii="宋体" w:hAnsi="宋体" w:eastAsia="宋体" w:cs="宋体"/>
          <w:color w:val="auto"/>
          <w:spacing w:val="-22"/>
          <w:sz w:val="21"/>
          <w:szCs w:val="21"/>
          <w:highlight w:val="none"/>
          <w:u w:val="none" w:color="auto"/>
        </w:rPr>
        <w:t>（</w:t>
      </w:r>
      <w:r>
        <w:rPr>
          <w:rFonts w:hint="eastAsia" w:ascii="宋体" w:hAnsi="宋体" w:eastAsia="宋体" w:cs="宋体"/>
          <w:color w:val="auto"/>
          <w:spacing w:val="-11"/>
          <w:sz w:val="21"/>
          <w:szCs w:val="21"/>
          <w:highlight w:val="none"/>
          <w:u w:val="none" w:color="auto"/>
        </w:rPr>
        <w:t>某成员单位名称）</w:t>
      </w:r>
      <w:r>
        <w:rPr>
          <w:rFonts w:hint="eastAsia" w:ascii="宋体" w:hAnsi="宋体" w:eastAsia="宋体" w:cs="宋体"/>
          <w:color w:val="auto"/>
          <w:spacing w:val="-11"/>
          <w:sz w:val="21"/>
          <w:szCs w:val="21"/>
          <w:highlight w:val="none"/>
        </w:rPr>
        <w:t xml:space="preserve"> 为</w:t>
      </w:r>
      <w:r>
        <w:rPr>
          <w:rFonts w:hint="eastAsia" w:ascii="宋体" w:hAnsi="宋体" w:eastAsia="宋体" w:cs="宋体"/>
          <w:color w:val="auto"/>
          <w:spacing w:val="-104"/>
          <w:sz w:val="21"/>
          <w:szCs w:val="21"/>
          <w:highlight w:val="none"/>
        </w:rPr>
        <w:t xml:space="preserve"> </w:t>
      </w:r>
      <w:r>
        <w:rPr>
          <w:rFonts w:hint="eastAsia" w:ascii="宋体" w:hAnsi="宋体" w:eastAsia="宋体" w:cs="宋体"/>
          <w:color w:val="auto"/>
          <w:spacing w:val="8"/>
          <w:sz w:val="21"/>
          <w:szCs w:val="21"/>
          <w:highlight w:val="none"/>
          <w:u w:val="single" w:color="auto"/>
        </w:rPr>
        <w:t xml:space="preserve">             </w:t>
      </w:r>
      <w:r>
        <w:rPr>
          <w:rFonts w:hint="eastAsia" w:ascii="宋体" w:hAnsi="宋体" w:eastAsia="宋体" w:cs="宋体"/>
          <w:color w:val="auto"/>
          <w:spacing w:val="-27"/>
          <w:sz w:val="21"/>
          <w:szCs w:val="21"/>
          <w:highlight w:val="none"/>
          <w:u w:val="single" w:color="auto"/>
        </w:rPr>
        <w:t xml:space="preserve"> </w:t>
      </w:r>
      <w:r>
        <w:rPr>
          <w:rFonts w:hint="eastAsia" w:ascii="宋体" w:hAnsi="宋体" w:eastAsia="宋体" w:cs="宋体"/>
          <w:color w:val="auto"/>
          <w:spacing w:val="-11"/>
          <w:sz w:val="21"/>
          <w:szCs w:val="21"/>
          <w:highlight w:val="none"/>
          <w:u w:val="none" w:color="auto"/>
        </w:rPr>
        <w:t>（联合体名称）</w:t>
      </w:r>
      <w:r>
        <w:rPr>
          <w:rFonts w:hint="eastAsia" w:ascii="宋体" w:hAnsi="宋体" w:eastAsia="宋体" w:cs="宋体"/>
          <w:color w:val="auto"/>
          <w:spacing w:val="-38"/>
          <w:sz w:val="21"/>
          <w:szCs w:val="21"/>
          <w:highlight w:val="none"/>
          <w:u w:val="none" w:color="auto"/>
        </w:rPr>
        <w:t xml:space="preserve"> </w:t>
      </w:r>
      <w:r>
        <w:rPr>
          <w:rFonts w:hint="eastAsia" w:ascii="宋体" w:hAnsi="宋体" w:eastAsia="宋体" w:cs="宋体"/>
          <w:color w:val="auto"/>
          <w:spacing w:val="-11"/>
          <w:sz w:val="21"/>
          <w:szCs w:val="21"/>
          <w:highlight w:val="none"/>
        </w:rPr>
        <w:t>牵头人。</w:t>
      </w:r>
    </w:p>
    <w:p>
      <w:pPr>
        <w:spacing w:before="143" w:line="346" w:lineRule="auto"/>
        <w:ind w:left="7" w:firstLine="423"/>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2．在本工程投标阶段，联合体牵头人合法代表联合体各成员负责本工程投标文件编制活</w:t>
      </w:r>
      <w:r>
        <w:rPr>
          <w:rFonts w:hint="eastAsia" w:ascii="宋体" w:hAnsi="宋体" w:eastAsia="宋体" w:cs="宋体"/>
          <w:color w:val="auto"/>
          <w:spacing w:val="2"/>
          <w:sz w:val="21"/>
          <w:szCs w:val="21"/>
          <w:highlight w:val="none"/>
        </w:rPr>
        <w:t>动，代表联合体提交和接收相关的资料、信息及指示，并处理与投标和中标</w:t>
      </w:r>
      <w:r>
        <w:rPr>
          <w:rFonts w:hint="eastAsia" w:ascii="宋体" w:hAnsi="宋体" w:eastAsia="宋体" w:cs="宋体"/>
          <w:color w:val="auto"/>
          <w:spacing w:val="1"/>
          <w:sz w:val="21"/>
          <w:szCs w:val="21"/>
          <w:highlight w:val="none"/>
        </w:rPr>
        <w:t>有关的一切事务；联合体</w:t>
      </w:r>
      <w:r>
        <w:rPr>
          <w:rFonts w:hint="eastAsia" w:ascii="宋体" w:hAnsi="宋体" w:eastAsia="宋体" w:cs="宋体"/>
          <w:color w:val="auto"/>
          <w:spacing w:val="-1"/>
          <w:sz w:val="21"/>
          <w:szCs w:val="21"/>
          <w:highlight w:val="none"/>
        </w:rPr>
        <w:t>中标后，联合体牵头人负责合同订立和合同实施阶段的主办、组织和协调</w:t>
      </w:r>
      <w:r>
        <w:rPr>
          <w:rFonts w:hint="eastAsia" w:ascii="宋体" w:hAnsi="宋体" w:eastAsia="宋体" w:cs="宋体"/>
          <w:color w:val="auto"/>
          <w:spacing w:val="-2"/>
          <w:sz w:val="21"/>
          <w:szCs w:val="21"/>
          <w:highlight w:val="none"/>
        </w:rPr>
        <w:t>工作。</w:t>
      </w:r>
    </w:p>
    <w:p>
      <w:pPr>
        <w:spacing w:before="145" w:line="347" w:lineRule="auto"/>
        <w:ind w:left="7" w:firstLine="42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3．联合体将严格按照招标文件的各项要求，递交投标文件，履行投标义务和中标后的</w:t>
      </w:r>
      <w:r>
        <w:rPr>
          <w:rFonts w:hint="eastAsia" w:ascii="宋体" w:hAnsi="宋体" w:eastAsia="宋体" w:cs="宋体"/>
          <w:color w:val="auto"/>
          <w:spacing w:val="2"/>
          <w:sz w:val="21"/>
          <w:szCs w:val="21"/>
          <w:highlight w:val="none"/>
        </w:rPr>
        <w:t>合同，共同承担合同规定的一切义务和责任，联合体各成员单位按照内部职责</w:t>
      </w:r>
      <w:r>
        <w:rPr>
          <w:rFonts w:hint="eastAsia" w:ascii="宋体" w:hAnsi="宋体" w:eastAsia="宋体" w:cs="宋体"/>
          <w:color w:val="auto"/>
          <w:spacing w:val="1"/>
          <w:sz w:val="21"/>
          <w:szCs w:val="21"/>
          <w:highlight w:val="none"/>
        </w:rPr>
        <w:t>的部分，承担各自所负的</w:t>
      </w:r>
      <w:r>
        <w:rPr>
          <w:rFonts w:hint="eastAsia" w:ascii="宋体" w:hAnsi="宋体" w:eastAsia="宋体" w:cs="宋体"/>
          <w:color w:val="auto"/>
          <w:spacing w:val="-2"/>
          <w:sz w:val="21"/>
          <w:szCs w:val="21"/>
          <w:highlight w:val="none"/>
        </w:rPr>
        <w:t>责任和风险，并向招标人承担连带责任。</w:t>
      </w:r>
    </w:p>
    <w:p>
      <w:pPr>
        <w:spacing w:before="142" w:line="221" w:lineRule="auto"/>
        <w:ind w:left="42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4．联合体各成员单位内部的职责分工如下：</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rPr>
        <w:t>。</w:t>
      </w:r>
    </w:p>
    <w:p>
      <w:pPr>
        <w:spacing w:before="143" w:line="346" w:lineRule="auto"/>
        <w:ind w:left="7" w:firstLine="423"/>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5．投标工作和联合体在中标后工程实施过程中的有关费用按各自承担的工作量分摊</w:t>
      </w:r>
      <w:r>
        <w:rPr>
          <w:rFonts w:hint="eastAsia" w:ascii="宋体" w:hAnsi="宋体" w:eastAsia="宋体" w:cs="宋体"/>
          <w:color w:val="auto"/>
          <w:spacing w:val="3"/>
          <w:sz w:val="21"/>
          <w:szCs w:val="21"/>
          <w:highlight w:val="none"/>
          <w:lang w:eastAsia="zh-CN"/>
        </w:rPr>
        <w:t>。</w:t>
      </w:r>
      <w:r>
        <w:rPr>
          <w:rFonts w:hint="eastAsia" w:ascii="宋体" w:hAnsi="宋体" w:eastAsia="宋体" w:cs="宋体"/>
          <w:color w:val="auto"/>
          <w:spacing w:val="3"/>
          <w:sz w:val="21"/>
          <w:szCs w:val="21"/>
          <w:highlight w:val="none"/>
        </w:rPr>
        <w:t xml:space="preserve"> </w:t>
      </w:r>
    </w:p>
    <w:p>
      <w:pPr>
        <w:spacing w:before="143" w:line="346" w:lineRule="auto"/>
        <w:ind w:left="7" w:firstLine="423"/>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rPr>
        <w:t>6．联合体中标后， 本联合体协议是合同的附件，对联合体各成员单位有合同约束</w:t>
      </w:r>
      <w:r>
        <w:rPr>
          <w:rFonts w:hint="eastAsia" w:ascii="宋体" w:hAnsi="宋体" w:eastAsia="宋体" w:cs="宋体"/>
          <w:color w:val="auto"/>
          <w:spacing w:val="3"/>
          <w:sz w:val="21"/>
          <w:szCs w:val="21"/>
          <w:highlight w:val="none"/>
          <w:lang w:val="en-US" w:eastAsia="zh-CN"/>
        </w:rPr>
        <w:t>力。</w:t>
      </w:r>
    </w:p>
    <w:p>
      <w:pPr>
        <w:spacing w:before="143" w:line="346" w:lineRule="auto"/>
        <w:ind w:left="7" w:firstLine="423"/>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spacing w:val="3"/>
          <w:sz w:val="21"/>
          <w:szCs w:val="21"/>
          <w:highlight w:val="none"/>
        </w:rPr>
        <w:t>7．本协议书自签署之日起生效， 联合体未中标或者中标合同履行完毕后自动失效</w:t>
      </w:r>
      <w:r>
        <w:rPr>
          <w:rFonts w:hint="eastAsia" w:ascii="宋体" w:hAnsi="宋体" w:eastAsia="宋体" w:cs="宋体"/>
          <w:color w:val="auto"/>
          <w:spacing w:val="3"/>
          <w:sz w:val="21"/>
          <w:szCs w:val="21"/>
          <w:highlight w:val="none"/>
          <w:lang w:eastAsia="zh-CN"/>
        </w:rPr>
        <w:t>。</w:t>
      </w:r>
    </w:p>
    <w:p>
      <w:pPr>
        <w:spacing w:before="143" w:line="346" w:lineRule="auto"/>
        <w:ind w:left="7" w:firstLine="423"/>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 xml:space="preserve">8．本协议书一式 </w:t>
      </w:r>
      <w:r>
        <w:rPr>
          <w:rFonts w:hint="eastAsia" w:ascii="宋体" w:hAnsi="宋体" w:eastAsia="宋体" w:cs="宋体"/>
          <w:color w:val="auto"/>
          <w:spacing w:val="3"/>
          <w:sz w:val="21"/>
          <w:szCs w:val="21"/>
          <w:highlight w:val="none"/>
          <w:u w:val="single"/>
        </w:rPr>
        <w:t xml:space="preserve">            </w:t>
      </w:r>
      <w:r>
        <w:rPr>
          <w:rFonts w:hint="eastAsia" w:ascii="宋体" w:hAnsi="宋体" w:eastAsia="宋体" w:cs="宋体"/>
          <w:color w:val="auto"/>
          <w:spacing w:val="3"/>
          <w:sz w:val="21"/>
          <w:szCs w:val="21"/>
          <w:highlight w:val="none"/>
        </w:rPr>
        <w:t>份，联合体成员和招标人各执一份。</w:t>
      </w:r>
    </w:p>
    <w:p>
      <w:pPr>
        <w:pStyle w:val="2"/>
        <w:spacing w:line="250" w:lineRule="auto"/>
        <w:rPr>
          <w:rFonts w:hint="eastAsia" w:ascii="宋体" w:hAnsi="宋体" w:eastAsia="宋体" w:cs="宋体"/>
          <w:color w:val="auto"/>
          <w:highlight w:val="none"/>
        </w:rPr>
      </w:pPr>
    </w:p>
    <w:p>
      <w:pPr>
        <w:pStyle w:val="2"/>
        <w:spacing w:line="250" w:lineRule="auto"/>
        <w:rPr>
          <w:rFonts w:hint="eastAsia" w:ascii="宋体" w:hAnsi="宋体" w:eastAsia="宋体" w:cs="宋体"/>
          <w:color w:val="auto"/>
          <w:highlight w:val="none"/>
        </w:rPr>
      </w:pPr>
    </w:p>
    <w:p>
      <w:pPr>
        <w:pStyle w:val="2"/>
        <w:spacing w:line="250" w:lineRule="auto"/>
        <w:rPr>
          <w:rFonts w:hint="eastAsia" w:ascii="宋体" w:hAnsi="宋体" w:eastAsia="宋体" w:cs="宋体"/>
          <w:color w:val="auto"/>
          <w:highlight w:val="none"/>
        </w:rPr>
      </w:pPr>
    </w:p>
    <w:p>
      <w:pPr>
        <w:pStyle w:val="2"/>
        <w:spacing w:line="250" w:lineRule="auto"/>
        <w:rPr>
          <w:rFonts w:hint="eastAsia" w:ascii="宋体" w:hAnsi="宋体" w:eastAsia="宋体" w:cs="宋体"/>
          <w:color w:val="auto"/>
          <w:highlight w:val="none"/>
        </w:rPr>
      </w:pPr>
    </w:p>
    <w:p>
      <w:pPr>
        <w:spacing w:before="70" w:line="220" w:lineRule="auto"/>
        <w:ind w:left="179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牵头人名称</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pacing w:val="-7"/>
          <w:sz w:val="21"/>
          <w:szCs w:val="21"/>
          <w:highlight w:val="none"/>
        </w:rPr>
        <w:t>盖单位章）</w:t>
      </w:r>
    </w:p>
    <w:p>
      <w:pPr>
        <w:spacing w:before="143" w:line="220" w:lineRule="auto"/>
        <w:ind w:left="179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法定代表人或授权委托人</w:t>
      </w:r>
      <w:r>
        <w:rPr>
          <w:rFonts w:hint="eastAsia" w:ascii="宋体" w:hAnsi="宋体" w:eastAsia="宋体" w:cs="宋体"/>
          <w:color w:val="auto"/>
          <w:spacing w:val="-10"/>
          <w:sz w:val="21"/>
          <w:szCs w:val="21"/>
          <w:highlight w:val="none"/>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0"/>
          <w:sz w:val="21"/>
          <w:szCs w:val="21"/>
          <w:highlight w:val="none"/>
        </w:rPr>
        <w:t>（</w:t>
      </w:r>
      <w:r>
        <w:rPr>
          <w:rFonts w:hint="eastAsia" w:ascii="宋体" w:hAnsi="宋体" w:eastAsia="宋体" w:cs="宋体"/>
          <w:color w:val="auto"/>
          <w:spacing w:val="1"/>
          <w:sz w:val="21"/>
          <w:szCs w:val="21"/>
          <w:highlight w:val="none"/>
        </w:rPr>
        <w:t>签章）</w:t>
      </w:r>
    </w:p>
    <w:p>
      <w:pPr>
        <w:spacing w:line="220" w:lineRule="auto"/>
        <w:rPr>
          <w:rFonts w:hint="eastAsia" w:ascii="宋体" w:hAnsi="宋体" w:eastAsia="宋体" w:cs="宋体"/>
          <w:color w:val="auto"/>
          <w:sz w:val="21"/>
          <w:szCs w:val="21"/>
          <w:highlight w:val="none"/>
        </w:rPr>
      </w:pPr>
    </w:p>
    <w:p>
      <w:pPr>
        <w:spacing w:line="220" w:lineRule="auto"/>
        <w:rPr>
          <w:rFonts w:hint="eastAsia" w:ascii="宋体" w:hAnsi="宋体" w:eastAsia="宋体" w:cs="宋体"/>
          <w:color w:val="auto"/>
          <w:sz w:val="21"/>
          <w:szCs w:val="21"/>
          <w:highlight w:val="none"/>
        </w:rPr>
      </w:pPr>
    </w:p>
    <w:p>
      <w:pPr>
        <w:pStyle w:val="2"/>
        <w:spacing w:line="271" w:lineRule="auto"/>
        <w:rPr>
          <w:rFonts w:hint="eastAsia" w:ascii="宋体" w:hAnsi="宋体" w:eastAsia="宋体" w:cs="宋体"/>
          <w:color w:val="auto"/>
          <w:highlight w:val="none"/>
        </w:rPr>
      </w:pPr>
    </w:p>
    <w:p>
      <w:pPr>
        <w:pStyle w:val="2"/>
        <w:spacing w:line="271" w:lineRule="auto"/>
        <w:rPr>
          <w:rFonts w:hint="eastAsia" w:ascii="宋体" w:hAnsi="宋体" w:eastAsia="宋体" w:cs="宋体"/>
          <w:color w:val="auto"/>
          <w:highlight w:val="none"/>
        </w:rPr>
      </w:pPr>
    </w:p>
    <w:p>
      <w:pPr>
        <w:pStyle w:val="2"/>
        <w:spacing w:line="272" w:lineRule="auto"/>
        <w:rPr>
          <w:rFonts w:hint="eastAsia" w:ascii="宋体" w:hAnsi="宋体" w:eastAsia="宋体" w:cs="宋体"/>
          <w:color w:val="auto"/>
          <w:highlight w:val="none"/>
        </w:rPr>
      </w:pPr>
    </w:p>
    <w:p>
      <w:pPr>
        <w:pStyle w:val="2"/>
        <w:spacing w:line="272" w:lineRule="auto"/>
        <w:rPr>
          <w:rFonts w:hint="eastAsia" w:ascii="宋体" w:hAnsi="宋体" w:eastAsia="宋体" w:cs="宋体"/>
          <w:color w:val="auto"/>
          <w:highlight w:val="none"/>
        </w:rPr>
      </w:pPr>
    </w:p>
    <w:p>
      <w:pPr>
        <w:pStyle w:val="2"/>
        <w:spacing w:line="272" w:lineRule="auto"/>
        <w:rPr>
          <w:rFonts w:hint="eastAsia" w:ascii="宋体" w:hAnsi="宋体" w:eastAsia="宋体" w:cs="宋体"/>
          <w:color w:val="auto"/>
          <w:highlight w:val="none"/>
        </w:rPr>
      </w:pPr>
    </w:p>
    <w:p>
      <w:pPr>
        <w:spacing w:before="68" w:line="346" w:lineRule="auto"/>
        <w:ind w:left="1784"/>
        <w:rPr>
          <w:rFonts w:hint="eastAsia" w:ascii="宋体" w:hAnsi="宋体" w:eastAsia="宋体" w:cs="宋体"/>
          <w:color w:val="auto"/>
          <w:sz w:val="21"/>
          <w:szCs w:val="21"/>
          <w:highlight w:val="none"/>
        </w:rPr>
      </w:pPr>
      <w:bookmarkStart w:id="417" w:name="bookmark458"/>
      <w:bookmarkEnd w:id="417"/>
      <w:bookmarkStart w:id="418" w:name="bookmark457"/>
      <w:bookmarkEnd w:id="418"/>
      <w:r>
        <w:rPr>
          <w:rFonts w:hint="eastAsia" w:ascii="宋体" w:hAnsi="宋体" w:eastAsia="宋体" w:cs="宋体"/>
          <w:color w:val="auto"/>
          <w:spacing w:val="-7"/>
          <w:sz w:val="21"/>
          <w:szCs w:val="21"/>
          <w:highlight w:val="none"/>
        </w:rPr>
        <w:t>成员二名称</w:t>
      </w:r>
      <w:r>
        <w:rPr>
          <w:rFonts w:hint="eastAsia" w:ascii="宋体" w:hAnsi="宋体" w:eastAsia="宋体" w:cs="宋体"/>
          <w:color w:val="auto"/>
          <w:sz w:val="21"/>
          <w:szCs w:val="21"/>
          <w:highlight w:val="none"/>
        </w:rPr>
        <w:t>：</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pacing w:val="-7"/>
          <w:sz w:val="21"/>
          <w:szCs w:val="21"/>
          <w:highlight w:val="none"/>
        </w:rPr>
        <w:t>盖单位章）</w:t>
      </w:r>
    </w:p>
    <w:p>
      <w:pPr>
        <w:spacing w:line="219" w:lineRule="auto"/>
        <w:ind w:left="178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法定代表人或授权委托人</w:t>
      </w:r>
      <w:r>
        <w:rPr>
          <w:rFonts w:hint="eastAsia" w:ascii="宋体" w:hAnsi="宋体" w:eastAsia="宋体" w:cs="宋体"/>
          <w:color w:val="auto"/>
          <w:spacing w:val="-10"/>
          <w:sz w:val="21"/>
          <w:szCs w:val="21"/>
          <w:highlight w:val="none"/>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0"/>
          <w:sz w:val="21"/>
          <w:szCs w:val="21"/>
          <w:highlight w:val="none"/>
        </w:rPr>
        <w:t>（</w:t>
      </w:r>
      <w:r>
        <w:rPr>
          <w:rFonts w:hint="eastAsia" w:ascii="宋体" w:hAnsi="宋体" w:eastAsia="宋体" w:cs="宋体"/>
          <w:color w:val="auto"/>
          <w:spacing w:val="1"/>
          <w:sz w:val="21"/>
          <w:szCs w:val="21"/>
          <w:highlight w:val="none"/>
        </w:rPr>
        <w:t>签章）</w:t>
      </w:r>
    </w:p>
    <w:p>
      <w:pPr>
        <w:spacing w:before="143" w:line="332" w:lineRule="exact"/>
        <w:ind w:left="2110"/>
        <w:rPr>
          <w:rFonts w:hint="eastAsia" w:ascii="宋体" w:hAnsi="宋体" w:eastAsia="宋体" w:cs="宋体"/>
          <w:color w:val="auto"/>
          <w:sz w:val="21"/>
          <w:szCs w:val="21"/>
          <w:highlight w:val="none"/>
        </w:rPr>
      </w:pPr>
      <w:r>
        <w:rPr>
          <w:rFonts w:hint="eastAsia" w:ascii="宋体" w:hAnsi="宋体" w:eastAsia="宋体" w:cs="宋体"/>
          <w:color w:val="auto"/>
          <w:spacing w:val="-5"/>
          <w:position w:val="2"/>
          <w:sz w:val="21"/>
          <w:szCs w:val="21"/>
          <w:highlight w:val="none"/>
        </w:rPr>
        <w:t>……</w:t>
      </w:r>
    </w:p>
    <w:p>
      <w:pPr>
        <w:tabs>
          <w:tab w:val="left" w:pos="5427"/>
        </w:tabs>
        <w:spacing w:before="61" w:line="221" w:lineRule="auto"/>
        <w:ind w:left="458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96"/>
          <w:sz w:val="21"/>
          <w:szCs w:val="21"/>
          <w:highlight w:val="none"/>
        </w:rPr>
        <w:t xml:space="preserve"> </w:t>
      </w:r>
      <w:r>
        <w:rPr>
          <w:rFonts w:hint="eastAsia" w:ascii="宋体" w:hAnsi="宋体" w:eastAsia="宋体" w:cs="宋体"/>
          <w:color w:val="auto"/>
          <w:spacing w:val="-7"/>
          <w:sz w:val="21"/>
          <w:szCs w:val="21"/>
          <w:highlight w:val="none"/>
        </w:rPr>
        <w:t>年</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87"/>
          <w:sz w:val="21"/>
          <w:szCs w:val="21"/>
          <w:highlight w:val="none"/>
        </w:rPr>
        <w:t xml:space="preserve"> </w:t>
      </w:r>
      <w:r>
        <w:rPr>
          <w:rFonts w:hint="eastAsia" w:ascii="宋体" w:hAnsi="宋体" w:eastAsia="宋体" w:cs="宋体"/>
          <w:color w:val="auto"/>
          <w:spacing w:val="-7"/>
          <w:sz w:val="21"/>
          <w:szCs w:val="21"/>
          <w:highlight w:val="none"/>
        </w:rPr>
        <w:t>月</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55"/>
          <w:sz w:val="21"/>
          <w:szCs w:val="21"/>
          <w:highlight w:val="none"/>
        </w:rPr>
        <w:t xml:space="preserve"> </w:t>
      </w:r>
      <w:r>
        <w:rPr>
          <w:rFonts w:hint="eastAsia" w:ascii="宋体" w:hAnsi="宋体" w:eastAsia="宋体" w:cs="宋体"/>
          <w:color w:val="auto"/>
          <w:spacing w:val="-7"/>
          <w:sz w:val="21"/>
          <w:szCs w:val="21"/>
          <w:highlight w:val="none"/>
        </w:rPr>
        <w:t>日</w:t>
      </w:r>
    </w:p>
    <w:p>
      <w:pPr>
        <w:pStyle w:val="2"/>
        <w:spacing w:line="251" w:lineRule="auto"/>
        <w:rPr>
          <w:rFonts w:hint="eastAsia" w:ascii="宋体" w:hAnsi="宋体" w:eastAsia="宋体" w:cs="宋体"/>
          <w:color w:val="auto"/>
          <w:highlight w:val="none"/>
        </w:rPr>
      </w:pPr>
    </w:p>
    <w:p>
      <w:pPr>
        <w:pStyle w:val="2"/>
        <w:spacing w:line="251" w:lineRule="auto"/>
        <w:rPr>
          <w:rFonts w:hint="eastAsia" w:ascii="宋体" w:hAnsi="宋体" w:eastAsia="宋体" w:cs="宋体"/>
          <w:color w:val="auto"/>
          <w:highlight w:val="none"/>
        </w:rPr>
      </w:pPr>
    </w:p>
    <w:p>
      <w:pPr>
        <w:pStyle w:val="2"/>
        <w:spacing w:line="251" w:lineRule="auto"/>
        <w:rPr>
          <w:rFonts w:hint="eastAsia" w:ascii="宋体" w:hAnsi="宋体" w:eastAsia="宋体" w:cs="宋体"/>
          <w:color w:val="auto"/>
          <w:highlight w:val="none"/>
        </w:rPr>
      </w:pPr>
    </w:p>
    <w:p>
      <w:pPr>
        <w:pStyle w:val="2"/>
        <w:spacing w:line="251" w:lineRule="auto"/>
        <w:rPr>
          <w:rFonts w:hint="eastAsia" w:ascii="宋体" w:hAnsi="宋体" w:eastAsia="宋体" w:cs="宋体"/>
          <w:color w:val="auto"/>
          <w:highlight w:val="none"/>
        </w:rPr>
      </w:pPr>
    </w:p>
    <w:p>
      <w:pPr>
        <w:pStyle w:val="2"/>
        <w:spacing w:line="251" w:lineRule="auto"/>
        <w:rPr>
          <w:rFonts w:hint="eastAsia" w:ascii="宋体" w:hAnsi="宋体" w:eastAsia="宋体" w:cs="宋体"/>
          <w:color w:val="auto"/>
          <w:highlight w:val="none"/>
        </w:rPr>
      </w:pPr>
    </w:p>
    <w:p>
      <w:pPr>
        <w:pStyle w:val="2"/>
        <w:spacing w:line="251" w:lineRule="auto"/>
        <w:rPr>
          <w:rFonts w:hint="eastAsia" w:ascii="宋体" w:hAnsi="宋体" w:eastAsia="宋体" w:cs="宋体"/>
          <w:color w:val="auto"/>
          <w:highlight w:val="none"/>
        </w:rPr>
      </w:pPr>
    </w:p>
    <w:p>
      <w:pPr>
        <w:pStyle w:val="2"/>
        <w:spacing w:line="251"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pStyle w:val="2"/>
        <w:spacing w:line="252" w:lineRule="auto"/>
        <w:rPr>
          <w:rFonts w:hint="eastAsia" w:ascii="宋体" w:hAnsi="宋体" w:eastAsia="宋体" w:cs="宋体"/>
          <w:color w:val="auto"/>
          <w:highlight w:val="none"/>
        </w:rPr>
      </w:pPr>
    </w:p>
    <w:p>
      <w:pPr>
        <w:spacing w:before="68" w:line="220" w:lineRule="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备注： 1.本协议书由委托代理人签字的，</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5"/>
          <w:sz w:val="21"/>
          <w:szCs w:val="21"/>
          <w:highlight w:val="none"/>
        </w:rPr>
        <w:t>应附法</w:t>
      </w:r>
      <w:r>
        <w:rPr>
          <w:rFonts w:hint="eastAsia" w:ascii="宋体" w:hAnsi="宋体" w:eastAsia="宋体" w:cs="宋体"/>
          <w:color w:val="auto"/>
          <w:spacing w:val="-6"/>
          <w:sz w:val="21"/>
          <w:szCs w:val="21"/>
          <w:highlight w:val="none"/>
        </w:rPr>
        <w:t>定代表人签字的授权委托书。</w:t>
      </w:r>
    </w:p>
    <w:p>
      <w:pPr>
        <w:spacing w:before="143" w:line="220" w:lineRule="auto"/>
        <w:jc w:val="right"/>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2.投标人未采用联合体投标的， 投标文件中不需</w:t>
      </w:r>
      <w:r>
        <w:rPr>
          <w:rFonts w:hint="eastAsia" w:ascii="宋体" w:hAnsi="宋体" w:eastAsia="宋体" w:cs="宋体"/>
          <w:color w:val="auto"/>
          <w:spacing w:val="-4"/>
          <w:sz w:val="21"/>
          <w:szCs w:val="21"/>
          <w:highlight w:val="none"/>
        </w:rPr>
        <w:t>联合体协议书，也无须盖单位章和签字。</w:t>
      </w:r>
    </w:p>
    <w:p>
      <w:pPr>
        <w:spacing w:line="220" w:lineRule="auto"/>
        <w:rPr>
          <w:rFonts w:hint="eastAsia" w:ascii="宋体" w:hAnsi="宋体" w:eastAsia="宋体" w:cs="宋体"/>
          <w:color w:val="auto"/>
          <w:sz w:val="21"/>
          <w:szCs w:val="21"/>
          <w:highlight w:val="none"/>
        </w:rPr>
        <w:sectPr>
          <w:footerReference r:id="rId141" w:type="default"/>
          <w:pgSz w:w="11905" w:h="16843"/>
          <w:pgMar w:top="1769" w:right="1548" w:bottom="1003" w:left="1542" w:header="0" w:footer="828" w:gutter="0"/>
          <w:pgNumType w:fmt="numberInDash"/>
          <w:cols w:space="0" w:num="1"/>
          <w:rtlGutter w:val="0"/>
          <w:docGrid w:linePitch="0" w:charSpace="0"/>
        </w:sectPr>
      </w:pPr>
    </w:p>
    <w:p>
      <w:pPr>
        <w:pStyle w:val="2"/>
        <w:spacing w:line="257" w:lineRule="auto"/>
        <w:rPr>
          <w:rFonts w:hint="eastAsia" w:ascii="宋体" w:hAnsi="宋体" w:eastAsia="宋体" w:cs="宋体"/>
          <w:color w:val="auto"/>
          <w:highlight w:val="none"/>
        </w:rPr>
      </w:pPr>
    </w:p>
    <w:p>
      <w:pPr>
        <w:spacing w:before="91" w:line="220" w:lineRule="auto"/>
        <w:ind w:left="3339"/>
        <w:rPr>
          <w:rFonts w:hint="eastAsia" w:ascii="宋体" w:hAnsi="宋体" w:eastAsia="宋体" w:cs="宋体"/>
          <w:color w:val="auto"/>
          <w:sz w:val="28"/>
          <w:szCs w:val="28"/>
          <w:highlight w:val="none"/>
        </w:rPr>
      </w:pPr>
      <w:bookmarkStart w:id="419" w:name="bookmark459"/>
      <w:bookmarkEnd w:id="419"/>
      <w:r>
        <w:rPr>
          <w:rFonts w:hint="eastAsia" w:ascii="宋体" w:hAnsi="宋体" w:eastAsia="宋体" w:cs="宋体"/>
          <w:color w:val="auto"/>
          <w:spacing w:val="-2"/>
          <w:sz w:val="28"/>
          <w:szCs w:val="28"/>
          <w:highlight w:val="none"/>
          <w:lang w:eastAsia="zh-CN"/>
        </w:rPr>
        <w:t>六</w:t>
      </w:r>
      <w:r>
        <w:rPr>
          <w:rFonts w:hint="eastAsia" w:ascii="宋体" w:hAnsi="宋体" w:eastAsia="宋体" w:cs="宋体"/>
          <w:color w:val="auto"/>
          <w:spacing w:val="-2"/>
          <w:sz w:val="28"/>
          <w:szCs w:val="28"/>
          <w:highlight w:val="none"/>
        </w:rPr>
        <w:t>、拟分包计划表</w:t>
      </w:r>
    </w:p>
    <w:p>
      <w:pPr>
        <w:spacing w:before="158" w:line="221" w:lineRule="auto"/>
        <w:ind w:left="382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pPr>
        <w:spacing w:before="216"/>
        <w:rPr>
          <w:rFonts w:hint="eastAsia" w:ascii="宋体" w:hAnsi="宋体" w:eastAsia="宋体" w:cs="宋体"/>
          <w:color w:val="auto"/>
          <w:highlight w:val="none"/>
        </w:rPr>
      </w:pPr>
    </w:p>
    <w:tbl>
      <w:tblPr>
        <w:tblStyle w:val="9"/>
        <w:tblW w:w="8066"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843"/>
        <w:gridCol w:w="751"/>
        <w:gridCol w:w="947"/>
        <w:gridCol w:w="1123"/>
        <w:gridCol w:w="1091"/>
        <w:gridCol w:w="1195"/>
        <w:gridCol w:w="5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73" w:type="dxa"/>
            <w:vMerge w:val="restart"/>
            <w:tcBorders>
              <w:bottom w:val="nil"/>
            </w:tcBorders>
            <w:textDirection w:val="tbRlV"/>
            <w:vAlign w:val="top"/>
          </w:tcPr>
          <w:p>
            <w:pPr>
              <w:pStyle w:val="10"/>
              <w:spacing w:before="179" w:line="211" w:lineRule="auto"/>
              <w:ind w:left="221"/>
              <w:rPr>
                <w:rFonts w:hint="eastAsia" w:ascii="宋体" w:hAnsi="宋体" w:eastAsia="宋体" w:cs="宋体"/>
                <w:color w:val="auto"/>
                <w:highlight w:val="none"/>
              </w:rPr>
            </w:pPr>
            <w:r>
              <w:rPr>
                <w:rFonts w:hint="eastAsia" w:ascii="宋体" w:hAnsi="宋体" w:eastAsia="宋体" w:cs="宋体"/>
                <w:color w:val="auto"/>
                <w:spacing w:val="1"/>
                <w:highlight w:val="none"/>
              </w:rPr>
              <w:t>序</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1"/>
                <w:highlight w:val="none"/>
              </w:rPr>
              <w:t>号</w:t>
            </w:r>
          </w:p>
        </w:tc>
        <w:tc>
          <w:tcPr>
            <w:tcW w:w="1843" w:type="dxa"/>
            <w:vMerge w:val="restart"/>
            <w:tcBorders>
              <w:bottom w:val="nil"/>
            </w:tcBorders>
            <w:vAlign w:val="top"/>
          </w:tcPr>
          <w:p>
            <w:pPr>
              <w:pStyle w:val="10"/>
              <w:spacing w:before="221" w:line="231" w:lineRule="auto"/>
              <w:ind w:left="187" w:right="183" w:firstLine="106"/>
              <w:rPr>
                <w:rFonts w:hint="eastAsia" w:ascii="宋体" w:hAnsi="宋体" w:eastAsia="宋体" w:cs="宋体"/>
                <w:color w:val="auto"/>
                <w:highlight w:val="none"/>
              </w:rPr>
            </w:pPr>
            <w:r>
              <w:rPr>
                <w:rFonts w:hint="eastAsia" w:ascii="宋体" w:hAnsi="宋体" w:eastAsia="宋体" w:cs="宋体"/>
                <w:color w:val="auto"/>
                <w:spacing w:val="-1"/>
                <w:highlight w:val="none"/>
              </w:rPr>
              <w:t>拟分包项目名</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称、范围及理由</w:t>
            </w:r>
          </w:p>
        </w:tc>
        <w:tc>
          <w:tcPr>
            <w:tcW w:w="5107" w:type="dxa"/>
            <w:gridSpan w:val="5"/>
            <w:vAlign w:val="top"/>
          </w:tcPr>
          <w:p>
            <w:pPr>
              <w:pStyle w:val="10"/>
              <w:spacing w:before="125" w:line="220" w:lineRule="auto"/>
              <w:ind w:left="2032"/>
              <w:rPr>
                <w:rFonts w:hint="eastAsia" w:ascii="宋体" w:hAnsi="宋体" w:eastAsia="宋体" w:cs="宋体"/>
                <w:color w:val="auto"/>
                <w:highlight w:val="none"/>
              </w:rPr>
            </w:pPr>
            <w:r>
              <w:rPr>
                <w:rFonts w:hint="eastAsia" w:ascii="宋体" w:hAnsi="宋体" w:eastAsia="宋体" w:cs="宋体"/>
                <w:color w:val="auto"/>
                <w:spacing w:val="-1"/>
                <w:highlight w:val="none"/>
              </w:rPr>
              <w:t>拟选分包人</w:t>
            </w:r>
          </w:p>
        </w:tc>
        <w:tc>
          <w:tcPr>
            <w:tcW w:w="543" w:type="dxa"/>
            <w:vMerge w:val="restart"/>
            <w:tcBorders>
              <w:bottom w:val="nil"/>
            </w:tcBorders>
            <w:vAlign w:val="top"/>
          </w:tcPr>
          <w:p>
            <w:pPr>
              <w:spacing w:line="288" w:lineRule="auto"/>
              <w:rPr>
                <w:rFonts w:hint="eastAsia" w:ascii="宋体" w:hAnsi="宋体" w:eastAsia="宋体" w:cs="宋体"/>
                <w:color w:val="auto"/>
                <w:sz w:val="21"/>
                <w:highlight w:val="none"/>
              </w:rPr>
            </w:pPr>
          </w:p>
          <w:p>
            <w:pPr>
              <w:pStyle w:val="10"/>
              <w:spacing w:before="68" w:line="222" w:lineRule="auto"/>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textDirection w:val="tbRlV"/>
            <w:vAlign w:val="top"/>
          </w:tcPr>
          <w:p>
            <w:pPr>
              <w:rPr>
                <w:rFonts w:hint="eastAsia" w:ascii="宋体" w:hAnsi="宋体" w:eastAsia="宋体" w:cs="宋体"/>
                <w:color w:val="auto"/>
                <w:sz w:val="21"/>
                <w:highlight w:val="none"/>
              </w:rPr>
            </w:pPr>
          </w:p>
        </w:tc>
        <w:tc>
          <w:tcPr>
            <w:tcW w:w="1843" w:type="dxa"/>
            <w:vMerge w:val="continue"/>
            <w:tcBorders>
              <w:top w:val="nil"/>
            </w:tcBorders>
            <w:vAlign w:val="top"/>
          </w:tcPr>
          <w:p>
            <w:pPr>
              <w:rPr>
                <w:rFonts w:hint="eastAsia" w:ascii="宋体" w:hAnsi="宋体" w:eastAsia="宋体" w:cs="宋体"/>
                <w:color w:val="auto"/>
                <w:sz w:val="21"/>
                <w:highlight w:val="none"/>
              </w:rPr>
            </w:pPr>
          </w:p>
        </w:tc>
        <w:tc>
          <w:tcPr>
            <w:tcW w:w="1698" w:type="dxa"/>
            <w:gridSpan w:val="2"/>
            <w:vAlign w:val="top"/>
          </w:tcPr>
          <w:p>
            <w:pPr>
              <w:pStyle w:val="10"/>
              <w:spacing w:before="121" w:line="220" w:lineRule="auto"/>
              <w:ind w:left="117"/>
              <w:rPr>
                <w:rFonts w:hint="eastAsia" w:ascii="宋体" w:hAnsi="宋体" w:eastAsia="宋体" w:cs="宋体"/>
                <w:color w:val="auto"/>
                <w:highlight w:val="none"/>
              </w:rPr>
            </w:pPr>
            <w:r>
              <w:rPr>
                <w:rFonts w:hint="eastAsia" w:ascii="宋体" w:hAnsi="宋体" w:eastAsia="宋体" w:cs="宋体"/>
                <w:color w:val="auto"/>
                <w:spacing w:val="-1"/>
                <w:highlight w:val="none"/>
              </w:rPr>
              <w:t>拟选分包人名称</w:t>
            </w:r>
          </w:p>
        </w:tc>
        <w:tc>
          <w:tcPr>
            <w:tcW w:w="1123" w:type="dxa"/>
            <w:vAlign w:val="top"/>
          </w:tcPr>
          <w:p>
            <w:pPr>
              <w:pStyle w:val="10"/>
              <w:spacing w:before="121" w:line="222" w:lineRule="auto"/>
              <w:ind w:left="147"/>
              <w:rPr>
                <w:rFonts w:hint="eastAsia" w:ascii="宋体" w:hAnsi="宋体" w:eastAsia="宋体" w:cs="宋体"/>
                <w:color w:val="auto"/>
                <w:highlight w:val="none"/>
              </w:rPr>
            </w:pPr>
            <w:r>
              <w:rPr>
                <w:rFonts w:hint="eastAsia" w:ascii="宋体" w:hAnsi="宋体" w:eastAsia="宋体" w:cs="宋体"/>
                <w:color w:val="auto"/>
                <w:spacing w:val="-2"/>
                <w:highlight w:val="none"/>
              </w:rPr>
              <w:t>注册地点</w:t>
            </w:r>
          </w:p>
        </w:tc>
        <w:tc>
          <w:tcPr>
            <w:tcW w:w="1091" w:type="dxa"/>
            <w:vAlign w:val="top"/>
          </w:tcPr>
          <w:p>
            <w:pPr>
              <w:pStyle w:val="10"/>
              <w:spacing w:before="122" w:line="221" w:lineRule="auto"/>
              <w:ind w:left="134"/>
              <w:rPr>
                <w:rFonts w:hint="eastAsia" w:ascii="宋体" w:hAnsi="宋体" w:eastAsia="宋体" w:cs="宋体"/>
                <w:color w:val="auto"/>
                <w:highlight w:val="none"/>
              </w:rPr>
            </w:pPr>
            <w:r>
              <w:rPr>
                <w:rFonts w:hint="eastAsia" w:ascii="宋体" w:hAnsi="宋体" w:eastAsia="宋体" w:cs="宋体"/>
                <w:color w:val="auto"/>
                <w:spacing w:val="-3"/>
                <w:highlight w:val="none"/>
              </w:rPr>
              <w:t>企业资质</w:t>
            </w:r>
          </w:p>
        </w:tc>
        <w:tc>
          <w:tcPr>
            <w:tcW w:w="1195" w:type="dxa"/>
            <w:vAlign w:val="top"/>
          </w:tcPr>
          <w:p>
            <w:pPr>
              <w:pStyle w:val="10"/>
              <w:spacing w:before="122" w:line="221" w:lineRule="auto"/>
              <w:ind w:left="183"/>
              <w:rPr>
                <w:rFonts w:hint="eastAsia" w:ascii="宋体" w:hAnsi="宋体" w:eastAsia="宋体" w:cs="宋体"/>
                <w:color w:val="auto"/>
                <w:highlight w:val="none"/>
              </w:rPr>
            </w:pPr>
            <w:r>
              <w:rPr>
                <w:rFonts w:hint="eastAsia" w:ascii="宋体" w:hAnsi="宋体" w:eastAsia="宋体" w:cs="宋体"/>
                <w:color w:val="auto"/>
                <w:spacing w:val="-2"/>
                <w:highlight w:val="none"/>
              </w:rPr>
              <w:t>有关业绩</w:t>
            </w:r>
          </w:p>
        </w:tc>
        <w:tc>
          <w:tcPr>
            <w:tcW w:w="543" w:type="dxa"/>
            <w:vMerge w:val="continue"/>
            <w:tcBorders>
              <w:top w:val="nil"/>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vAlign w:val="top"/>
          </w:tcPr>
          <w:p>
            <w:pPr>
              <w:rPr>
                <w:rFonts w:hint="eastAsia" w:ascii="宋体" w:hAnsi="宋体" w:eastAsia="宋体" w:cs="宋体"/>
                <w:color w:val="auto"/>
                <w:sz w:val="21"/>
                <w:highlight w:val="none"/>
              </w:rPr>
            </w:pPr>
          </w:p>
        </w:tc>
        <w:tc>
          <w:tcPr>
            <w:tcW w:w="1843" w:type="dxa"/>
            <w:vMerge w:val="restart"/>
            <w:tcBorders>
              <w:bottom w:val="nil"/>
            </w:tcBorders>
            <w:vAlign w:val="top"/>
          </w:tcPr>
          <w:p>
            <w:pPr>
              <w:rPr>
                <w:rFonts w:hint="eastAsia" w:ascii="宋体" w:hAnsi="宋体" w:eastAsia="宋体" w:cs="宋体"/>
                <w:color w:val="auto"/>
                <w:sz w:val="21"/>
                <w:highlight w:val="none"/>
              </w:rPr>
            </w:pPr>
          </w:p>
        </w:tc>
        <w:tc>
          <w:tcPr>
            <w:tcW w:w="751" w:type="dxa"/>
            <w:vAlign w:val="top"/>
          </w:tcPr>
          <w:p>
            <w:pPr>
              <w:spacing w:before="156" w:line="183" w:lineRule="auto"/>
              <w:ind w:left="3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vAlign w:val="top"/>
          </w:tcPr>
          <w:p>
            <w:pPr>
              <w:rPr>
                <w:rFonts w:hint="eastAsia" w:ascii="宋体" w:hAnsi="宋体" w:eastAsia="宋体" w:cs="宋体"/>
                <w:color w:val="auto"/>
                <w:sz w:val="21"/>
                <w:highlight w:val="none"/>
              </w:rPr>
            </w:pPr>
          </w:p>
        </w:tc>
        <w:tc>
          <w:tcPr>
            <w:tcW w:w="1843" w:type="dxa"/>
            <w:vMerge w:val="continue"/>
            <w:tcBorders>
              <w:top w:val="nil"/>
              <w:bottom w:val="nil"/>
            </w:tcBorders>
            <w:vAlign w:val="top"/>
          </w:tcPr>
          <w:p>
            <w:pPr>
              <w:rPr>
                <w:rFonts w:hint="eastAsia" w:ascii="宋体" w:hAnsi="宋体" w:eastAsia="宋体" w:cs="宋体"/>
                <w:color w:val="auto"/>
                <w:sz w:val="21"/>
                <w:highlight w:val="none"/>
              </w:rPr>
            </w:pPr>
          </w:p>
        </w:tc>
        <w:tc>
          <w:tcPr>
            <w:tcW w:w="751" w:type="dxa"/>
            <w:vAlign w:val="top"/>
          </w:tcPr>
          <w:p>
            <w:pPr>
              <w:spacing w:before="156" w:line="184" w:lineRule="auto"/>
              <w:ind w:left="3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vAlign w:val="top"/>
          </w:tcPr>
          <w:p>
            <w:pPr>
              <w:rPr>
                <w:rFonts w:hint="eastAsia" w:ascii="宋体" w:hAnsi="宋体" w:eastAsia="宋体" w:cs="宋体"/>
                <w:color w:val="auto"/>
                <w:sz w:val="21"/>
                <w:highlight w:val="none"/>
              </w:rPr>
            </w:pPr>
          </w:p>
        </w:tc>
        <w:tc>
          <w:tcPr>
            <w:tcW w:w="1843" w:type="dxa"/>
            <w:vMerge w:val="continue"/>
            <w:tcBorders>
              <w:top w:val="nil"/>
            </w:tcBorders>
            <w:vAlign w:val="top"/>
          </w:tcPr>
          <w:p>
            <w:pPr>
              <w:rPr>
                <w:rFonts w:hint="eastAsia" w:ascii="宋体" w:hAnsi="宋体" w:eastAsia="宋体" w:cs="宋体"/>
                <w:color w:val="auto"/>
                <w:sz w:val="21"/>
                <w:highlight w:val="none"/>
              </w:rPr>
            </w:pPr>
          </w:p>
        </w:tc>
        <w:tc>
          <w:tcPr>
            <w:tcW w:w="751" w:type="dxa"/>
            <w:vAlign w:val="top"/>
          </w:tcPr>
          <w:p>
            <w:pPr>
              <w:spacing w:before="156" w:line="184" w:lineRule="auto"/>
              <w:ind w:left="32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vAlign w:val="top"/>
          </w:tcPr>
          <w:p>
            <w:pPr>
              <w:rPr>
                <w:rFonts w:hint="eastAsia" w:ascii="宋体" w:hAnsi="宋体" w:eastAsia="宋体" w:cs="宋体"/>
                <w:color w:val="auto"/>
                <w:sz w:val="21"/>
                <w:highlight w:val="none"/>
              </w:rPr>
            </w:pPr>
          </w:p>
        </w:tc>
        <w:tc>
          <w:tcPr>
            <w:tcW w:w="1843" w:type="dxa"/>
            <w:vMerge w:val="restart"/>
            <w:tcBorders>
              <w:bottom w:val="nil"/>
            </w:tcBorders>
            <w:vAlign w:val="top"/>
          </w:tcPr>
          <w:p>
            <w:pPr>
              <w:rPr>
                <w:rFonts w:hint="eastAsia" w:ascii="宋体" w:hAnsi="宋体" w:eastAsia="宋体" w:cs="宋体"/>
                <w:color w:val="auto"/>
                <w:sz w:val="21"/>
                <w:highlight w:val="none"/>
              </w:rPr>
            </w:pPr>
          </w:p>
        </w:tc>
        <w:tc>
          <w:tcPr>
            <w:tcW w:w="751" w:type="dxa"/>
            <w:vAlign w:val="top"/>
          </w:tcPr>
          <w:p>
            <w:pPr>
              <w:spacing w:before="158" w:line="183" w:lineRule="auto"/>
              <w:ind w:left="3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vAlign w:val="top"/>
          </w:tcPr>
          <w:p>
            <w:pPr>
              <w:rPr>
                <w:rFonts w:hint="eastAsia" w:ascii="宋体" w:hAnsi="宋体" w:eastAsia="宋体" w:cs="宋体"/>
                <w:color w:val="auto"/>
                <w:sz w:val="21"/>
                <w:highlight w:val="none"/>
              </w:rPr>
            </w:pPr>
          </w:p>
        </w:tc>
        <w:tc>
          <w:tcPr>
            <w:tcW w:w="1843" w:type="dxa"/>
            <w:vMerge w:val="continue"/>
            <w:tcBorders>
              <w:top w:val="nil"/>
              <w:bottom w:val="nil"/>
            </w:tcBorders>
            <w:vAlign w:val="top"/>
          </w:tcPr>
          <w:p>
            <w:pPr>
              <w:rPr>
                <w:rFonts w:hint="eastAsia" w:ascii="宋体" w:hAnsi="宋体" w:eastAsia="宋体" w:cs="宋体"/>
                <w:color w:val="auto"/>
                <w:sz w:val="21"/>
                <w:highlight w:val="none"/>
              </w:rPr>
            </w:pPr>
          </w:p>
        </w:tc>
        <w:tc>
          <w:tcPr>
            <w:tcW w:w="751" w:type="dxa"/>
            <w:vAlign w:val="top"/>
          </w:tcPr>
          <w:p>
            <w:pPr>
              <w:spacing w:before="157" w:line="184" w:lineRule="auto"/>
              <w:ind w:left="3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vAlign w:val="top"/>
          </w:tcPr>
          <w:p>
            <w:pPr>
              <w:rPr>
                <w:rFonts w:hint="eastAsia" w:ascii="宋体" w:hAnsi="宋体" w:eastAsia="宋体" w:cs="宋体"/>
                <w:color w:val="auto"/>
                <w:sz w:val="21"/>
                <w:highlight w:val="none"/>
              </w:rPr>
            </w:pPr>
          </w:p>
        </w:tc>
        <w:tc>
          <w:tcPr>
            <w:tcW w:w="1843" w:type="dxa"/>
            <w:vMerge w:val="continue"/>
            <w:tcBorders>
              <w:top w:val="nil"/>
            </w:tcBorders>
            <w:vAlign w:val="top"/>
          </w:tcPr>
          <w:p>
            <w:pPr>
              <w:rPr>
                <w:rFonts w:hint="eastAsia" w:ascii="宋体" w:hAnsi="宋体" w:eastAsia="宋体" w:cs="宋体"/>
                <w:color w:val="auto"/>
                <w:sz w:val="21"/>
                <w:highlight w:val="none"/>
              </w:rPr>
            </w:pPr>
          </w:p>
        </w:tc>
        <w:tc>
          <w:tcPr>
            <w:tcW w:w="751" w:type="dxa"/>
            <w:vAlign w:val="top"/>
          </w:tcPr>
          <w:p>
            <w:pPr>
              <w:spacing w:before="157" w:line="184" w:lineRule="auto"/>
              <w:ind w:left="32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vAlign w:val="top"/>
          </w:tcPr>
          <w:p>
            <w:pPr>
              <w:rPr>
                <w:rFonts w:hint="eastAsia" w:ascii="宋体" w:hAnsi="宋体" w:eastAsia="宋体" w:cs="宋体"/>
                <w:color w:val="auto"/>
                <w:sz w:val="21"/>
                <w:highlight w:val="none"/>
              </w:rPr>
            </w:pPr>
          </w:p>
        </w:tc>
        <w:tc>
          <w:tcPr>
            <w:tcW w:w="1843" w:type="dxa"/>
            <w:vMerge w:val="restart"/>
            <w:tcBorders>
              <w:bottom w:val="nil"/>
            </w:tcBorders>
            <w:vAlign w:val="top"/>
          </w:tcPr>
          <w:p>
            <w:pPr>
              <w:rPr>
                <w:rFonts w:hint="eastAsia" w:ascii="宋体" w:hAnsi="宋体" w:eastAsia="宋体" w:cs="宋体"/>
                <w:color w:val="auto"/>
                <w:sz w:val="21"/>
                <w:highlight w:val="none"/>
              </w:rPr>
            </w:pPr>
          </w:p>
        </w:tc>
        <w:tc>
          <w:tcPr>
            <w:tcW w:w="751" w:type="dxa"/>
            <w:vAlign w:val="top"/>
          </w:tcPr>
          <w:p>
            <w:pPr>
              <w:spacing w:before="159" w:line="183" w:lineRule="auto"/>
              <w:ind w:left="3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vAlign w:val="top"/>
          </w:tcPr>
          <w:p>
            <w:pPr>
              <w:rPr>
                <w:rFonts w:hint="eastAsia" w:ascii="宋体" w:hAnsi="宋体" w:eastAsia="宋体" w:cs="宋体"/>
                <w:color w:val="auto"/>
                <w:sz w:val="21"/>
                <w:highlight w:val="none"/>
              </w:rPr>
            </w:pPr>
          </w:p>
        </w:tc>
        <w:tc>
          <w:tcPr>
            <w:tcW w:w="1843" w:type="dxa"/>
            <w:vMerge w:val="continue"/>
            <w:tcBorders>
              <w:top w:val="nil"/>
              <w:bottom w:val="nil"/>
            </w:tcBorders>
            <w:vAlign w:val="top"/>
          </w:tcPr>
          <w:p>
            <w:pPr>
              <w:rPr>
                <w:rFonts w:hint="eastAsia" w:ascii="宋体" w:hAnsi="宋体" w:eastAsia="宋体" w:cs="宋体"/>
                <w:color w:val="auto"/>
                <w:sz w:val="21"/>
                <w:highlight w:val="none"/>
              </w:rPr>
            </w:pPr>
          </w:p>
        </w:tc>
        <w:tc>
          <w:tcPr>
            <w:tcW w:w="751" w:type="dxa"/>
            <w:vAlign w:val="top"/>
          </w:tcPr>
          <w:p>
            <w:pPr>
              <w:spacing w:before="158" w:line="184" w:lineRule="auto"/>
              <w:ind w:left="3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73" w:type="dxa"/>
            <w:vMerge w:val="continue"/>
            <w:tcBorders>
              <w:top w:val="nil"/>
            </w:tcBorders>
            <w:vAlign w:val="top"/>
          </w:tcPr>
          <w:p>
            <w:pPr>
              <w:rPr>
                <w:rFonts w:hint="eastAsia" w:ascii="宋体" w:hAnsi="宋体" w:eastAsia="宋体" w:cs="宋体"/>
                <w:color w:val="auto"/>
                <w:sz w:val="21"/>
                <w:highlight w:val="none"/>
              </w:rPr>
            </w:pPr>
          </w:p>
        </w:tc>
        <w:tc>
          <w:tcPr>
            <w:tcW w:w="1843" w:type="dxa"/>
            <w:vMerge w:val="continue"/>
            <w:tcBorders>
              <w:top w:val="nil"/>
            </w:tcBorders>
            <w:vAlign w:val="top"/>
          </w:tcPr>
          <w:p>
            <w:pPr>
              <w:rPr>
                <w:rFonts w:hint="eastAsia" w:ascii="宋体" w:hAnsi="宋体" w:eastAsia="宋体" w:cs="宋体"/>
                <w:color w:val="auto"/>
                <w:sz w:val="21"/>
                <w:highlight w:val="none"/>
              </w:rPr>
            </w:pPr>
          </w:p>
        </w:tc>
        <w:tc>
          <w:tcPr>
            <w:tcW w:w="751" w:type="dxa"/>
            <w:vAlign w:val="top"/>
          </w:tcPr>
          <w:p>
            <w:pPr>
              <w:spacing w:before="158" w:line="184" w:lineRule="auto"/>
              <w:ind w:left="32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vAlign w:val="top"/>
          </w:tcPr>
          <w:p>
            <w:pPr>
              <w:rPr>
                <w:rFonts w:hint="eastAsia" w:ascii="宋体" w:hAnsi="宋体" w:eastAsia="宋体" w:cs="宋体"/>
                <w:color w:val="auto"/>
                <w:sz w:val="21"/>
                <w:highlight w:val="none"/>
              </w:rPr>
            </w:pPr>
          </w:p>
        </w:tc>
        <w:tc>
          <w:tcPr>
            <w:tcW w:w="1843" w:type="dxa"/>
            <w:vMerge w:val="restart"/>
            <w:tcBorders>
              <w:bottom w:val="nil"/>
            </w:tcBorders>
            <w:vAlign w:val="top"/>
          </w:tcPr>
          <w:p>
            <w:pPr>
              <w:rPr>
                <w:rFonts w:hint="eastAsia" w:ascii="宋体" w:hAnsi="宋体" w:eastAsia="宋体" w:cs="宋体"/>
                <w:color w:val="auto"/>
                <w:sz w:val="21"/>
                <w:highlight w:val="none"/>
              </w:rPr>
            </w:pPr>
          </w:p>
        </w:tc>
        <w:tc>
          <w:tcPr>
            <w:tcW w:w="751" w:type="dxa"/>
            <w:vAlign w:val="top"/>
          </w:tcPr>
          <w:p>
            <w:pPr>
              <w:spacing w:before="159" w:line="183" w:lineRule="auto"/>
              <w:ind w:left="3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vAlign w:val="top"/>
          </w:tcPr>
          <w:p>
            <w:pPr>
              <w:rPr>
                <w:rFonts w:hint="eastAsia" w:ascii="宋体" w:hAnsi="宋体" w:eastAsia="宋体" w:cs="宋体"/>
                <w:color w:val="auto"/>
                <w:sz w:val="21"/>
                <w:highlight w:val="none"/>
              </w:rPr>
            </w:pPr>
          </w:p>
        </w:tc>
        <w:tc>
          <w:tcPr>
            <w:tcW w:w="1843" w:type="dxa"/>
            <w:vMerge w:val="continue"/>
            <w:tcBorders>
              <w:top w:val="nil"/>
              <w:bottom w:val="nil"/>
            </w:tcBorders>
            <w:vAlign w:val="top"/>
          </w:tcPr>
          <w:p>
            <w:pPr>
              <w:rPr>
                <w:rFonts w:hint="eastAsia" w:ascii="宋体" w:hAnsi="宋体" w:eastAsia="宋体" w:cs="宋体"/>
                <w:color w:val="auto"/>
                <w:sz w:val="21"/>
                <w:highlight w:val="none"/>
              </w:rPr>
            </w:pPr>
          </w:p>
        </w:tc>
        <w:tc>
          <w:tcPr>
            <w:tcW w:w="751" w:type="dxa"/>
            <w:vAlign w:val="top"/>
          </w:tcPr>
          <w:p>
            <w:pPr>
              <w:spacing w:before="158" w:line="184" w:lineRule="auto"/>
              <w:ind w:left="3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3" w:type="dxa"/>
            <w:vMerge w:val="continue"/>
            <w:tcBorders>
              <w:top w:val="nil"/>
            </w:tcBorders>
            <w:vAlign w:val="top"/>
          </w:tcPr>
          <w:p>
            <w:pPr>
              <w:rPr>
                <w:rFonts w:hint="eastAsia" w:ascii="宋体" w:hAnsi="宋体" w:eastAsia="宋体" w:cs="宋体"/>
                <w:color w:val="auto"/>
                <w:sz w:val="21"/>
                <w:highlight w:val="none"/>
              </w:rPr>
            </w:pPr>
          </w:p>
        </w:tc>
        <w:tc>
          <w:tcPr>
            <w:tcW w:w="1843" w:type="dxa"/>
            <w:vMerge w:val="continue"/>
            <w:tcBorders>
              <w:top w:val="nil"/>
            </w:tcBorders>
            <w:vAlign w:val="top"/>
          </w:tcPr>
          <w:p>
            <w:pPr>
              <w:rPr>
                <w:rFonts w:hint="eastAsia" w:ascii="宋体" w:hAnsi="宋体" w:eastAsia="宋体" w:cs="宋体"/>
                <w:color w:val="auto"/>
                <w:sz w:val="21"/>
                <w:highlight w:val="none"/>
              </w:rPr>
            </w:pPr>
          </w:p>
        </w:tc>
        <w:tc>
          <w:tcPr>
            <w:tcW w:w="751" w:type="dxa"/>
            <w:vAlign w:val="top"/>
          </w:tcPr>
          <w:p>
            <w:pPr>
              <w:spacing w:before="158" w:line="184" w:lineRule="auto"/>
              <w:ind w:left="32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7" w:type="dxa"/>
            <w:vAlign w:val="top"/>
          </w:tcPr>
          <w:p>
            <w:pPr>
              <w:rPr>
                <w:rFonts w:hint="eastAsia" w:ascii="宋体" w:hAnsi="宋体" w:eastAsia="宋体" w:cs="宋体"/>
                <w:color w:val="auto"/>
                <w:sz w:val="21"/>
                <w:highlight w:val="none"/>
              </w:rPr>
            </w:pPr>
          </w:p>
        </w:tc>
        <w:tc>
          <w:tcPr>
            <w:tcW w:w="1123" w:type="dxa"/>
            <w:vAlign w:val="top"/>
          </w:tcPr>
          <w:p>
            <w:pPr>
              <w:rPr>
                <w:rFonts w:hint="eastAsia" w:ascii="宋体" w:hAnsi="宋体" w:eastAsia="宋体" w:cs="宋体"/>
                <w:color w:val="auto"/>
                <w:sz w:val="21"/>
                <w:highlight w:val="none"/>
              </w:rPr>
            </w:pPr>
          </w:p>
        </w:tc>
        <w:tc>
          <w:tcPr>
            <w:tcW w:w="1091" w:type="dxa"/>
            <w:vAlign w:val="top"/>
          </w:tcPr>
          <w:p>
            <w:pPr>
              <w:rPr>
                <w:rFonts w:hint="eastAsia" w:ascii="宋体" w:hAnsi="宋体" w:eastAsia="宋体" w:cs="宋体"/>
                <w:color w:val="auto"/>
                <w:sz w:val="21"/>
                <w:highlight w:val="none"/>
              </w:rPr>
            </w:pPr>
          </w:p>
        </w:tc>
        <w:tc>
          <w:tcPr>
            <w:tcW w:w="1195" w:type="dxa"/>
            <w:vAlign w:val="top"/>
          </w:tcPr>
          <w:p>
            <w:pPr>
              <w:rPr>
                <w:rFonts w:hint="eastAsia" w:ascii="宋体" w:hAnsi="宋体" w:eastAsia="宋体" w:cs="宋体"/>
                <w:color w:val="auto"/>
                <w:sz w:val="21"/>
                <w:highlight w:val="none"/>
              </w:rPr>
            </w:pPr>
          </w:p>
        </w:tc>
        <w:tc>
          <w:tcPr>
            <w:tcW w:w="543" w:type="dxa"/>
            <w:vAlign w:val="top"/>
          </w:tcPr>
          <w:p>
            <w:pPr>
              <w:rPr>
                <w:rFonts w:hint="eastAsia" w:ascii="宋体" w:hAnsi="宋体" w:eastAsia="宋体" w:cs="宋体"/>
                <w:color w:val="auto"/>
                <w:sz w:val="21"/>
                <w:highlight w:val="none"/>
              </w:rPr>
            </w:pPr>
          </w:p>
        </w:tc>
      </w:tr>
    </w:tbl>
    <w:p>
      <w:pPr>
        <w:pStyle w:val="2"/>
        <w:spacing w:line="244" w:lineRule="auto"/>
        <w:rPr>
          <w:rFonts w:hint="eastAsia" w:ascii="宋体" w:hAnsi="宋体" w:eastAsia="宋体" w:cs="宋体"/>
          <w:color w:val="auto"/>
          <w:highlight w:val="none"/>
        </w:rPr>
      </w:pPr>
    </w:p>
    <w:p>
      <w:pPr>
        <w:pStyle w:val="2"/>
        <w:spacing w:line="244" w:lineRule="auto"/>
        <w:rPr>
          <w:rFonts w:hint="eastAsia" w:ascii="宋体" w:hAnsi="宋体" w:eastAsia="宋体" w:cs="宋体"/>
          <w:color w:val="auto"/>
          <w:highlight w:val="none"/>
        </w:rPr>
      </w:pPr>
    </w:p>
    <w:p>
      <w:pPr>
        <w:pStyle w:val="2"/>
        <w:spacing w:line="244" w:lineRule="auto"/>
        <w:rPr>
          <w:rFonts w:hint="eastAsia" w:ascii="宋体" w:hAnsi="宋体" w:eastAsia="宋体" w:cs="宋体"/>
          <w:color w:val="auto"/>
          <w:highlight w:val="none"/>
        </w:rPr>
      </w:pPr>
    </w:p>
    <w:p>
      <w:pPr>
        <w:pStyle w:val="2"/>
        <w:spacing w:line="245" w:lineRule="auto"/>
        <w:rPr>
          <w:rFonts w:hint="eastAsia" w:ascii="宋体" w:hAnsi="宋体" w:eastAsia="宋体" w:cs="宋体"/>
          <w:color w:val="auto"/>
          <w:highlight w:val="none"/>
        </w:rPr>
      </w:pPr>
    </w:p>
    <w:p>
      <w:pPr>
        <w:spacing w:before="68" w:line="221" w:lineRule="auto"/>
        <w:ind w:left="5156"/>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日</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5"/>
          <w:sz w:val="21"/>
          <w:szCs w:val="21"/>
          <w:highlight w:val="none"/>
        </w:rPr>
        <w:t>期：</w:t>
      </w:r>
      <w:r>
        <w:rPr>
          <w:rFonts w:hint="eastAsia" w:ascii="宋体" w:hAnsi="宋体" w:eastAsia="宋体" w:cs="宋体"/>
          <w:color w:val="auto"/>
          <w:spacing w:val="72"/>
          <w:sz w:val="21"/>
          <w:szCs w:val="21"/>
          <w:highlight w:val="none"/>
        </w:rPr>
        <w:t xml:space="preserve"> </w:t>
      </w:r>
      <w:r>
        <w:rPr>
          <w:rFonts w:hint="eastAsia" w:ascii="宋体" w:hAnsi="宋体" w:eastAsia="宋体" w:cs="宋体"/>
          <w:color w:val="auto"/>
          <w:spacing w:val="20"/>
          <w:sz w:val="21"/>
          <w:szCs w:val="21"/>
          <w:highlight w:val="none"/>
          <w:u w:val="single" w:color="auto"/>
        </w:rPr>
        <w:t xml:space="preserve">     </w:t>
      </w:r>
      <w:r>
        <w:rPr>
          <w:rFonts w:hint="eastAsia" w:ascii="宋体" w:hAnsi="宋体" w:eastAsia="宋体" w:cs="宋体"/>
          <w:color w:val="auto"/>
          <w:spacing w:val="-92"/>
          <w:sz w:val="21"/>
          <w:szCs w:val="21"/>
          <w:highlight w:val="none"/>
        </w:rPr>
        <w:t xml:space="preserve"> </w:t>
      </w:r>
      <w:r>
        <w:rPr>
          <w:rFonts w:hint="eastAsia" w:ascii="宋体" w:hAnsi="宋体" w:eastAsia="宋体" w:cs="宋体"/>
          <w:color w:val="auto"/>
          <w:spacing w:val="-25"/>
          <w:sz w:val="21"/>
          <w:szCs w:val="21"/>
          <w:highlight w:val="none"/>
        </w:rPr>
        <w:t>年</w:t>
      </w:r>
      <w:r>
        <w:rPr>
          <w:rFonts w:hint="eastAsia" w:ascii="宋体" w:hAnsi="宋体" w:eastAsia="宋体" w:cs="宋体"/>
          <w:color w:val="auto"/>
          <w:spacing w:val="26"/>
          <w:sz w:val="21"/>
          <w:szCs w:val="21"/>
          <w:highlight w:val="none"/>
          <w:u w:val="single" w:color="auto"/>
        </w:rPr>
        <w:t xml:space="preserve">    </w:t>
      </w:r>
      <w:r>
        <w:rPr>
          <w:rFonts w:hint="eastAsia" w:ascii="宋体" w:hAnsi="宋体" w:eastAsia="宋体" w:cs="宋体"/>
          <w:color w:val="auto"/>
          <w:spacing w:val="-92"/>
          <w:sz w:val="21"/>
          <w:szCs w:val="21"/>
          <w:highlight w:val="none"/>
        </w:rPr>
        <w:t xml:space="preserve"> </w:t>
      </w:r>
      <w:r>
        <w:rPr>
          <w:rFonts w:hint="eastAsia" w:ascii="宋体" w:hAnsi="宋体" w:eastAsia="宋体" w:cs="宋体"/>
          <w:color w:val="auto"/>
          <w:spacing w:val="-25"/>
          <w:sz w:val="21"/>
          <w:szCs w:val="21"/>
          <w:highlight w:val="none"/>
        </w:rPr>
        <w:t>月</w:t>
      </w:r>
      <w:r>
        <w:rPr>
          <w:rFonts w:hint="eastAsia" w:ascii="宋体" w:hAnsi="宋体" w:eastAsia="宋体" w:cs="宋体"/>
          <w:color w:val="auto"/>
          <w:spacing w:val="26"/>
          <w:sz w:val="21"/>
          <w:szCs w:val="21"/>
          <w:highlight w:val="none"/>
          <w:u w:val="single" w:color="auto"/>
        </w:rPr>
        <w:t xml:space="preserve">    </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25"/>
          <w:sz w:val="21"/>
          <w:szCs w:val="21"/>
          <w:highlight w:val="none"/>
        </w:rPr>
        <w:t>日</w:t>
      </w:r>
    </w:p>
    <w:p>
      <w:pPr>
        <w:pStyle w:val="2"/>
        <w:spacing w:line="278" w:lineRule="auto"/>
        <w:rPr>
          <w:rFonts w:hint="eastAsia" w:ascii="宋体" w:hAnsi="宋体" w:eastAsia="宋体" w:cs="宋体"/>
          <w:color w:val="auto"/>
          <w:highlight w:val="none"/>
        </w:rPr>
      </w:pPr>
    </w:p>
    <w:p>
      <w:pPr>
        <w:pStyle w:val="2"/>
        <w:spacing w:line="278" w:lineRule="auto"/>
        <w:rPr>
          <w:rFonts w:hint="eastAsia" w:ascii="宋体" w:hAnsi="宋体" w:eastAsia="宋体" w:cs="宋体"/>
          <w:color w:val="auto"/>
          <w:highlight w:val="none"/>
        </w:rPr>
      </w:pPr>
    </w:p>
    <w:p>
      <w:pPr>
        <w:spacing w:before="68" w:line="22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rPr>
        <w:t>备注： 本表所列分包仅限于承包人自行施工范围内的非主体、非关键工程。没有可不填写</w:t>
      </w:r>
      <w:r>
        <w:rPr>
          <w:rFonts w:hint="eastAsia" w:ascii="宋体" w:hAnsi="宋体" w:eastAsia="宋体" w:cs="宋体"/>
          <w:color w:val="auto"/>
          <w:spacing w:val="-3"/>
          <w:sz w:val="21"/>
          <w:szCs w:val="21"/>
          <w:highlight w:val="none"/>
          <w:lang w:eastAsia="zh-CN"/>
        </w:rPr>
        <w:t>。</w:t>
      </w:r>
    </w:p>
    <w:p>
      <w:pPr>
        <w:spacing w:line="220" w:lineRule="auto"/>
        <w:rPr>
          <w:rFonts w:hint="eastAsia" w:ascii="宋体" w:hAnsi="宋体" w:eastAsia="宋体" w:cs="宋体"/>
          <w:color w:val="auto"/>
          <w:sz w:val="21"/>
          <w:szCs w:val="21"/>
          <w:highlight w:val="none"/>
        </w:rPr>
        <w:sectPr>
          <w:footerReference r:id="rId142" w:type="default"/>
          <w:pgSz w:w="11907" w:h="16841"/>
          <w:pgMar w:top="1440" w:right="1800" w:bottom="1440" w:left="1800" w:header="0" w:footer="969" w:gutter="0"/>
          <w:pgNumType w:fmt="numberInDash"/>
          <w:cols w:space="720" w:num="1"/>
        </w:sectPr>
      </w:pPr>
    </w:p>
    <w:p>
      <w:pPr>
        <w:pStyle w:val="2"/>
        <w:spacing w:line="289" w:lineRule="auto"/>
        <w:rPr>
          <w:rFonts w:hint="eastAsia" w:ascii="宋体" w:hAnsi="宋体" w:eastAsia="宋体" w:cs="宋体"/>
          <w:color w:val="auto"/>
          <w:highlight w:val="none"/>
        </w:rPr>
      </w:pPr>
    </w:p>
    <w:p>
      <w:pPr>
        <w:spacing w:before="91" w:line="219" w:lineRule="auto"/>
        <w:ind w:left="5669"/>
        <w:rPr>
          <w:rFonts w:hint="eastAsia" w:ascii="宋体" w:hAnsi="宋体" w:eastAsia="宋体" w:cs="宋体"/>
          <w:color w:val="auto"/>
          <w:sz w:val="28"/>
          <w:szCs w:val="28"/>
          <w:highlight w:val="none"/>
        </w:rPr>
      </w:pPr>
      <w:bookmarkStart w:id="420" w:name="bookmark460"/>
      <w:bookmarkEnd w:id="420"/>
      <w:r>
        <w:rPr>
          <w:rFonts w:hint="eastAsia" w:ascii="宋体" w:hAnsi="宋体" w:eastAsia="宋体" w:cs="宋体"/>
          <w:color w:val="auto"/>
          <w:spacing w:val="-3"/>
          <w:sz w:val="28"/>
          <w:szCs w:val="28"/>
          <w:highlight w:val="none"/>
          <w:lang w:eastAsia="zh-CN"/>
        </w:rPr>
        <w:t>七</w:t>
      </w:r>
      <w:r>
        <w:rPr>
          <w:rFonts w:hint="eastAsia" w:ascii="宋体" w:hAnsi="宋体" w:eastAsia="宋体" w:cs="宋体"/>
          <w:color w:val="auto"/>
          <w:spacing w:val="-3"/>
          <w:sz w:val="28"/>
          <w:szCs w:val="28"/>
          <w:highlight w:val="none"/>
        </w:rPr>
        <w:t>、项目管理机构</w:t>
      </w:r>
    </w:p>
    <w:p>
      <w:pPr>
        <w:pStyle w:val="2"/>
        <w:spacing w:line="337" w:lineRule="auto"/>
        <w:rPr>
          <w:rFonts w:hint="eastAsia" w:ascii="宋体" w:hAnsi="宋体" w:eastAsia="宋体" w:cs="宋体"/>
          <w:color w:val="auto"/>
          <w:highlight w:val="none"/>
        </w:rPr>
      </w:pPr>
    </w:p>
    <w:p>
      <w:pPr>
        <w:spacing w:before="91" w:line="211" w:lineRule="auto"/>
        <w:ind w:left="4840"/>
        <w:rPr>
          <w:rFonts w:hint="eastAsia" w:ascii="宋体" w:hAnsi="宋体" w:eastAsia="宋体" w:cs="宋体"/>
          <w:color w:val="auto"/>
          <w:sz w:val="28"/>
          <w:szCs w:val="28"/>
          <w:highlight w:val="none"/>
        </w:rPr>
      </w:pPr>
      <w:r>
        <w:rPr>
          <w:rFonts w:hint="eastAsia" w:ascii="宋体" w:hAnsi="宋体" w:eastAsia="宋体" w:cs="宋体"/>
          <w:color w:val="auto"/>
          <w:spacing w:val="-3"/>
          <w:sz w:val="28"/>
          <w:szCs w:val="28"/>
          <w:highlight w:val="none"/>
        </w:rPr>
        <w:t>（一）项目管理机构主要人员表</w:t>
      </w:r>
    </w:p>
    <w:tbl>
      <w:tblPr>
        <w:tblStyle w:val="9"/>
        <w:tblW w:w="138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
        <w:gridCol w:w="1221"/>
        <w:gridCol w:w="789"/>
        <w:gridCol w:w="509"/>
        <w:gridCol w:w="720"/>
        <w:gridCol w:w="720"/>
        <w:gridCol w:w="926"/>
        <w:gridCol w:w="991"/>
        <w:gridCol w:w="540"/>
        <w:gridCol w:w="1080"/>
        <w:gridCol w:w="1245"/>
        <w:gridCol w:w="622"/>
        <w:gridCol w:w="1065"/>
        <w:gridCol w:w="1065"/>
        <w:gridCol w:w="1080"/>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1" w:hRule="atLeast"/>
        </w:trPr>
        <w:tc>
          <w:tcPr>
            <w:tcW w:w="365" w:type="dxa"/>
            <w:vMerge w:val="restart"/>
            <w:tcBorders>
              <w:bottom w:val="nil"/>
            </w:tcBorders>
            <w:textDirection w:val="tbRlV"/>
            <w:vAlign w:val="top"/>
          </w:tcPr>
          <w:p>
            <w:pPr>
              <w:pStyle w:val="10"/>
              <w:spacing w:before="74" w:line="211" w:lineRule="auto"/>
              <w:ind w:left="183"/>
              <w:rPr>
                <w:rFonts w:hint="eastAsia" w:ascii="宋体" w:hAnsi="宋体" w:eastAsia="宋体" w:cs="宋体"/>
                <w:color w:val="auto"/>
                <w:highlight w:val="none"/>
              </w:rPr>
            </w:pPr>
            <w:r>
              <w:rPr>
                <w:rFonts w:hint="eastAsia" w:ascii="宋体" w:hAnsi="宋体" w:eastAsia="宋体" w:cs="宋体"/>
                <w:color w:val="auto"/>
                <w:spacing w:val="1"/>
                <w:highlight w:val="none"/>
              </w:rPr>
              <w:t>序</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1"/>
                <w:highlight w:val="none"/>
              </w:rPr>
              <w:t>号</w:t>
            </w:r>
          </w:p>
        </w:tc>
        <w:tc>
          <w:tcPr>
            <w:tcW w:w="1221" w:type="dxa"/>
            <w:vMerge w:val="restart"/>
            <w:tcBorders>
              <w:bottom w:val="nil"/>
            </w:tcBorders>
            <w:vAlign w:val="top"/>
          </w:tcPr>
          <w:p>
            <w:pPr>
              <w:spacing w:line="300" w:lineRule="auto"/>
              <w:rPr>
                <w:rFonts w:hint="eastAsia" w:ascii="宋体" w:hAnsi="宋体" w:eastAsia="宋体" w:cs="宋体"/>
                <w:color w:val="auto"/>
                <w:sz w:val="21"/>
                <w:highlight w:val="none"/>
              </w:rPr>
            </w:pPr>
          </w:p>
          <w:p>
            <w:pPr>
              <w:pStyle w:val="10"/>
              <w:spacing w:before="68" w:line="221" w:lineRule="auto"/>
              <w:ind w:left="424"/>
              <w:rPr>
                <w:rFonts w:hint="eastAsia" w:ascii="宋体" w:hAnsi="宋体" w:eastAsia="宋体" w:cs="宋体"/>
                <w:color w:val="auto"/>
                <w:highlight w:val="none"/>
              </w:rPr>
            </w:pPr>
            <w:r>
              <w:rPr>
                <w:rFonts w:hint="eastAsia" w:ascii="宋体" w:hAnsi="宋体" w:eastAsia="宋体" w:cs="宋体"/>
                <w:color w:val="auto"/>
                <w:spacing w:val="-8"/>
                <w:highlight w:val="none"/>
              </w:rPr>
              <w:t>岗位</w:t>
            </w:r>
          </w:p>
        </w:tc>
        <w:tc>
          <w:tcPr>
            <w:tcW w:w="789" w:type="dxa"/>
            <w:vMerge w:val="restart"/>
            <w:tcBorders>
              <w:bottom w:val="nil"/>
            </w:tcBorders>
            <w:vAlign w:val="top"/>
          </w:tcPr>
          <w:p>
            <w:pPr>
              <w:spacing w:line="247" w:lineRule="auto"/>
              <w:rPr>
                <w:rFonts w:hint="eastAsia" w:ascii="宋体" w:hAnsi="宋体" w:eastAsia="宋体" w:cs="宋体"/>
                <w:color w:val="auto"/>
                <w:sz w:val="21"/>
                <w:highlight w:val="none"/>
              </w:rPr>
            </w:pPr>
          </w:p>
          <w:p>
            <w:pPr>
              <w:pStyle w:val="10"/>
              <w:spacing w:before="68" w:line="221" w:lineRule="auto"/>
              <w:ind w:left="185"/>
              <w:rPr>
                <w:rFonts w:hint="eastAsia" w:ascii="宋体" w:hAnsi="宋体" w:eastAsia="宋体" w:cs="宋体"/>
                <w:color w:val="auto"/>
                <w:highlight w:val="none"/>
              </w:rPr>
            </w:pPr>
            <w:r>
              <w:rPr>
                <w:rFonts w:hint="eastAsia" w:ascii="宋体" w:hAnsi="宋体" w:eastAsia="宋体" w:cs="宋体"/>
                <w:color w:val="auto"/>
                <w:spacing w:val="-2"/>
                <w:highlight w:val="none"/>
              </w:rPr>
              <w:t>姓名</w:t>
            </w:r>
          </w:p>
        </w:tc>
        <w:tc>
          <w:tcPr>
            <w:tcW w:w="509" w:type="dxa"/>
            <w:vMerge w:val="restart"/>
            <w:tcBorders>
              <w:bottom w:val="nil"/>
            </w:tcBorders>
            <w:vAlign w:val="top"/>
          </w:tcPr>
          <w:p>
            <w:pPr>
              <w:spacing w:line="248" w:lineRule="auto"/>
              <w:rPr>
                <w:rFonts w:hint="eastAsia" w:ascii="宋体" w:hAnsi="宋体" w:eastAsia="宋体" w:cs="宋体"/>
                <w:color w:val="auto"/>
                <w:sz w:val="21"/>
                <w:highlight w:val="none"/>
              </w:rPr>
            </w:pPr>
          </w:p>
          <w:p>
            <w:pPr>
              <w:pStyle w:val="10"/>
              <w:spacing w:before="68" w:line="221" w:lineRule="auto"/>
              <w:ind w:left="47"/>
              <w:rPr>
                <w:rFonts w:hint="eastAsia" w:ascii="宋体" w:hAnsi="宋体" w:eastAsia="宋体" w:cs="宋体"/>
                <w:color w:val="auto"/>
                <w:highlight w:val="none"/>
              </w:rPr>
            </w:pPr>
            <w:r>
              <w:rPr>
                <w:rFonts w:hint="eastAsia" w:ascii="宋体" w:hAnsi="宋体" w:eastAsia="宋体" w:cs="宋体"/>
                <w:color w:val="auto"/>
                <w:spacing w:val="-3"/>
                <w:highlight w:val="none"/>
              </w:rPr>
              <w:t>性别</w:t>
            </w:r>
          </w:p>
        </w:tc>
        <w:tc>
          <w:tcPr>
            <w:tcW w:w="720" w:type="dxa"/>
            <w:vMerge w:val="restart"/>
            <w:tcBorders>
              <w:bottom w:val="nil"/>
            </w:tcBorders>
            <w:vAlign w:val="top"/>
          </w:tcPr>
          <w:p>
            <w:pPr>
              <w:spacing w:line="247" w:lineRule="auto"/>
              <w:rPr>
                <w:rFonts w:hint="eastAsia" w:ascii="宋体" w:hAnsi="宋体" w:eastAsia="宋体" w:cs="宋体"/>
                <w:color w:val="auto"/>
                <w:sz w:val="21"/>
                <w:highlight w:val="none"/>
              </w:rPr>
            </w:pPr>
          </w:p>
          <w:p>
            <w:pPr>
              <w:pStyle w:val="10"/>
              <w:spacing w:before="68" w:line="221" w:lineRule="auto"/>
              <w:ind w:left="154"/>
              <w:rPr>
                <w:rFonts w:hint="eastAsia" w:ascii="宋体" w:hAnsi="宋体" w:eastAsia="宋体" w:cs="宋体"/>
                <w:color w:val="auto"/>
                <w:highlight w:val="none"/>
              </w:rPr>
            </w:pPr>
            <w:r>
              <w:rPr>
                <w:rFonts w:hint="eastAsia" w:ascii="宋体" w:hAnsi="宋体" w:eastAsia="宋体" w:cs="宋体"/>
                <w:color w:val="auto"/>
                <w:spacing w:val="-2"/>
                <w:highlight w:val="none"/>
              </w:rPr>
              <w:t>年龄</w:t>
            </w:r>
          </w:p>
        </w:tc>
        <w:tc>
          <w:tcPr>
            <w:tcW w:w="720" w:type="dxa"/>
            <w:vMerge w:val="restart"/>
            <w:tcBorders>
              <w:bottom w:val="nil"/>
            </w:tcBorders>
            <w:vAlign w:val="top"/>
          </w:tcPr>
          <w:p>
            <w:pPr>
              <w:spacing w:line="247" w:lineRule="auto"/>
              <w:rPr>
                <w:rFonts w:hint="eastAsia" w:ascii="宋体" w:hAnsi="宋体" w:eastAsia="宋体" w:cs="宋体"/>
                <w:color w:val="auto"/>
                <w:sz w:val="21"/>
                <w:highlight w:val="none"/>
              </w:rPr>
            </w:pPr>
          </w:p>
          <w:p>
            <w:pPr>
              <w:pStyle w:val="10"/>
              <w:spacing w:before="69" w:line="222" w:lineRule="auto"/>
              <w:ind w:left="157"/>
              <w:rPr>
                <w:rFonts w:hint="eastAsia" w:ascii="宋体" w:hAnsi="宋体" w:eastAsia="宋体" w:cs="宋体"/>
                <w:color w:val="auto"/>
                <w:highlight w:val="none"/>
              </w:rPr>
            </w:pPr>
            <w:r>
              <w:rPr>
                <w:rFonts w:hint="eastAsia" w:ascii="宋体" w:hAnsi="宋体" w:eastAsia="宋体" w:cs="宋体"/>
                <w:color w:val="auto"/>
                <w:spacing w:val="-3"/>
                <w:highlight w:val="none"/>
              </w:rPr>
              <w:t>学历</w:t>
            </w:r>
          </w:p>
        </w:tc>
        <w:tc>
          <w:tcPr>
            <w:tcW w:w="926" w:type="dxa"/>
            <w:vMerge w:val="restart"/>
            <w:tcBorders>
              <w:bottom w:val="nil"/>
            </w:tcBorders>
            <w:vAlign w:val="top"/>
          </w:tcPr>
          <w:p>
            <w:pPr>
              <w:spacing w:line="248" w:lineRule="auto"/>
              <w:rPr>
                <w:rFonts w:hint="eastAsia" w:ascii="宋体" w:hAnsi="宋体" w:eastAsia="宋体" w:cs="宋体"/>
                <w:color w:val="auto"/>
                <w:sz w:val="21"/>
                <w:highlight w:val="none"/>
              </w:rPr>
            </w:pPr>
          </w:p>
          <w:p>
            <w:pPr>
              <w:pStyle w:val="10"/>
              <w:spacing w:before="68" w:line="221" w:lineRule="auto"/>
              <w:ind w:left="45"/>
              <w:rPr>
                <w:rFonts w:hint="eastAsia" w:ascii="宋体" w:hAnsi="宋体" w:eastAsia="宋体" w:cs="宋体"/>
                <w:color w:val="auto"/>
                <w:highlight w:val="none"/>
              </w:rPr>
            </w:pPr>
            <w:r>
              <w:rPr>
                <w:rFonts w:hint="eastAsia" w:ascii="宋体" w:hAnsi="宋体" w:eastAsia="宋体" w:cs="宋体"/>
                <w:color w:val="auto"/>
                <w:spacing w:val="-2"/>
                <w:highlight w:val="none"/>
              </w:rPr>
              <w:t>所学专业</w:t>
            </w:r>
          </w:p>
        </w:tc>
        <w:tc>
          <w:tcPr>
            <w:tcW w:w="991" w:type="dxa"/>
            <w:vMerge w:val="restart"/>
            <w:tcBorders>
              <w:bottom w:val="nil"/>
            </w:tcBorders>
            <w:vAlign w:val="top"/>
          </w:tcPr>
          <w:p>
            <w:pPr>
              <w:pStyle w:val="10"/>
              <w:spacing w:before="182" w:line="231" w:lineRule="auto"/>
              <w:ind w:left="288" w:right="74" w:hanging="211"/>
              <w:rPr>
                <w:rFonts w:hint="eastAsia" w:ascii="宋体" w:hAnsi="宋体" w:eastAsia="宋体" w:cs="宋体"/>
                <w:color w:val="auto"/>
                <w:highlight w:val="none"/>
              </w:rPr>
            </w:pPr>
            <w:r>
              <w:rPr>
                <w:rFonts w:hint="eastAsia" w:ascii="宋体" w:hAnsi="宋体" w:eastAsia="宋体" w:cs="宋体"/>
                <w:color w:val="auto"/>
                <w:spacing w:val="-2"/>
                <w:highlight w:val="none"/>
              </w:rPr>
              <w:t>专业工作</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年限</w:t>
            </w:r>
          </w:p>
        </w:tc>
        <w:tc>
          <w:tcPr>
            <w:tcW w:w="1620" w:type="dxa"/>
            <w:gridSpan w:val="2"/>
            <w:vAlign w:val="top"/>
          </w:tcPr>
          <w:p>
            <w:pPr>
              <w:pStyle w:val="10"/>
              <w:spacing w:before="108" w:line="221" w:lineRule="auto"/>
              <w:ind w:left="186"/>
              <w:rPr>
                <w:rFonts w:hint="eastAsia" w:ascii="宋体" w:hAnsi="宋体" w:eastAsia="宋体" w:cs="宋体"/>
                <w:color w:val="auto"/>
                <w:highlight w:val="none"/>
              </w:rPr>
            </w:pPr>
            <w:r>
              <w:rPr>
                <w:rFonts w:hint="eastAsia" w:ascii="宋体" w:hAnsi="宋体" w:eastAsia="宋体" w:cs="宋体"/>
                <w:color w:val="auto"/>
                <w:spacing w:val="-1"/>
                <w:highlight w:val="none"/>
              </w:rPr>
              <w:t>专业技术职称</w:t>
            </w:r>
          </w:p>
        </w:tc>
        <w:tc>
          <w:tcPr>
            <w:tcW w:w="3997" w:type="dxa"/>
            <w:gridSpan w:val="4"/>
            <w:vAlign w:val="top"/>
          </w:tcPr>
          <w:p>
            <w:pPr>
              <w:pStyle w:val="10"/>
              <w:spacing w:before="161" w:line="221" w:lineRule="auto"/>
              <w:ind w:left="1059"/>
              <w:rPr>
                <w:rFonts w:hint="eastAsia" w:ascii="宋体" w:hAnsi="宋体" w:eastAsia="宋体" w:cs="宋体"/>
                <w:color w:val="auto"/>
                <w:highlight w:val="none"/>
              </w:rPr>
            </w:pPr>
            <w:r>
              <w:rPr>
                <w:rFonts w:hint="eastAsia" w:ascii="宋体" w:hAnsi="宋体" w:eastAsia="宋体" w:cs="宋体"/>
                <w:color w:val="auto"/>
                <w:spacing w:val="-1"/>
                <w:highlight w:val="none"/>
              </w:rPr>
              <w:t>执业或职业资格证明</w:t>
            </w:r>
          </w:p>
        </w:tc>
        <w:tc>
          <w:tcPr>
            <w:tcW w:w="1080" w:type="dxa"/>
            <w:vMerge w:val="restart"/>
            <w:tcBorders>
              <w:bottom w:val="nil"/>
            </w:tcBorders>
            <w:vAlign w:val="top"/>
          </w:tcPr>
          <w:p>
            <w:pPr>
              <w:spacing w:line="300" w:lineRule="auto"/>
              <w:rPr>
                <w:rFonts w:hint="eastAsia" w:ascii="宋体" w:hAnsi="宋体" w:eastAsia="宋体" w:cs="宋体"/>
                <w:color w:val="auto"/>
                <w:sz w:val="21"/>
                <w:highlight w:val="none"/>
              </w:rPr>
            </w:pPr>
          </w:p>
          <w:p>
            <w:pPr>
              <w:pStyle w:val="10"/>
              <w:spacing w:before="68" w:line="220" w:lineRule="auto"/>
              <w:ind w:left="126"/>
              <w:rPr>
                <w:rFonts w:hint="eastAsia" w:ascii="宋体" w:hAnsi="宋体" w:eastAsia="宋体" w:cs="宋体"/>
                <w:color w:val="auto"/>
                <w:highlight w:val="none"/>
              </w:rPr>
            </w:pPr>
            <w:r>
              <w:rPr>
                <w:rFonts w:hint="eastAsia" w:ascii="宋体" w:hAnsi="宋体" w:eastAsia="宋体" w:cs="宋体"/>
                <w:color w:val="auto"/>
                <w:spacing w:val="-2"/>
                <w:highlight w:val="none"/>
              </w:rPr>
              <w:t>社会保险</w:t>
            </w:r>
          </w:p>
        </w:tc>
        <w:tc>
          <w:tcPr>
            <w:tcW w:w="904" w:type="dxa"/>
            <w:vMerge w:val="restart"/>
            <w:tcBorders>
              <w:bottom w:val="nil"/>
            </w:tcBorders>
            <w:vAlign w:val="top"/>
          </w:tcPr>
          <w:p>
            <w:pPr>
              <w:pStyle w:val="10"/>
              <w:spacing w:before="161" w:line="420" w:lineRule="exact"/>
              <w:ind w:left="139"/>
              <w:rPr>
                <w:rFonts w:hint="eastAsia" w:ascii="宋体" w:hAnsi="宋体" w:eastAsia="宋体" w:cs="宋体"/>
                <w:color w:val="auto"/>
                <w:highlight w:val="none"/>
              </w:rPr>
            </w:pPr>
            <w:r>
              <w:rPr>
                <w:rFonts w:hint="eastAsia" w:ascii="宋体" w:hAnsi="宋体" w:eastAsia="宋体" w:cs="宋体"/>
                <w:color w:val="auto"/>
                <w:spacing w:val="-2"/>
                <w:position w:val="16"/>
                <w:highlight w:val="none"/>
              </w:rPr>
              <w:t>执业或</w:t>
            </w:r>
          </w:p>
          <w:p>
            <w:pPr>
              <w:pStyle w:val="10"/>
              <w:spacing w:line="221" w:lineRule="auto"/>
              <w:ind w:left="35"/>
              <w:rPr>
                <w:rFonts w:hint="eastAsia" w:ascii="宋体" w:hAnsi="宋体" w:eastAsia="宋体" w:cs="宋体"/>
                <w:color w:val="auto"/>
                <w:highlight w:val="none"/>
              </w:rPr>
            </w:pPr>
            <w:r>
              <w:rPr>
                <w:rFonts w:hint="eastAsia" w:ascii="宋体" w:hAnsi="宋体" w:eastAsia="宋体" w:cs="宋体"/>
                <w:color w:val="auto"/>
                <w:spacing w:val="-2"/>
                <w:highlight w:val="none"/>
              </w:rPr>
              <w:t>职业单位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trPr>
        <w:tc>
          <w:tcPr>
            <w:tcW w:w="365" w:type="dxa"/>
            <w:vMerge w:val="continue"/>
            <w:tcBorders>
              <w:top w:val="nil"/>
            </w:tcBorders>
            <w:textDirection w:val="tbRlV"/>
            <w:vAlign w:val="top"/>
          </w:tcPr>
          <w:p>
            <w:pPr>
              <w:rPr>
                <w:rFonts w:hint="eastAsia" w:ascii="宋体" w:hAnsi="宋体" w:eastAsia="宋体" w:cs="宋体"/>
                <w:color w:val="auto"/>
                <w:sz w:val="21"/>
                <w:highlight w:val="none"/>
              </w:rPr>
            </w:pPr>
          </w:p>
        </w:tc>
        <w:tc>
          <w:tcPr>
            <w:tcW w:w="1221" w:type="dxa"/>
            <w:vMerge w:val="continue"/>
            <w:tcBorders>
              <w:top w:val="nil"/>
            </w:tcBorders>
            <w:vAlign w:val="top"/>
          </w:tcPr>
          <w:p>
            <w:pPr>
              <w:rPr>
                <w:rFonts w:hint="eastAsia" w:ascii="宋体" w:hAnsi="宋体" w:eastAsia="宋体" w:cs="宋体"/>
                <w:color w:val="auto"/>
                <w:sz w:val="21"/>
                <w:highlight w:val="none"/>
              </w:rPr>
            </w:pPr>
          </w:p>
        </w:tc>
        <w:tc>
          <w:tcPr>
            <w:tcW w:w="789" w:type="dxa"/>
            <w:vMerge w:val="continue"/>
            <w:tcBorders>
              <w:top w:val="nil"/>
            </w:tcBorders>
            <w:vAlign w:val="top"/>
          </w:tcPr>
          <w:p>
            <w:pPr>
              <w:rPr>
                <w:rFonts w:hint="eastAsia" w:ascii="宋体" w:hAnsi="宋体" w:eastAsia="宋体" w:cs="宋体"/>
                <w:color w:val="auto"/>
                <w:sz w:val="21"/>
                <w:highlight w:val="none"/>
              </w:rPr>
            </w:pPr>
          </w:p>
        </w:tc>
        <w:tc>
          <w:tcPr>
            <w:tcW w:w="509" w:type="dxa"/>
            <w:vMerge w:val="continue"/>
            <w:tcBorders>
              <w:top w:val="nil"/>
            </w:tcBorders>
            <w:vAlign w:val="top"/>
          </w:tcPr>
          <w:p>
            <w:pPr>
              <w:rPr>
                <w:rFonts w:hint="eastAsia" w:ascii="宋体" w:hAnsi="宋体" w:eastAsia="宋体" w:cs="宋体"/>
                <w:color w:val="auto"/>
                <w:sz w:val="21"/>
                <w:highlight w:val="none"/>
              </w:rPr>
            </w:pPr>
          </w:p>
        </w:tc>
        <w:tc>
          <w:tcPr>
            <w:tcW w:w="720" w:type="dxa"/>
            <w:vMerge w:val="continue"/>
            <w:tcBorders>
              <w:top w:val="nil"/>
            </w:tcBorders>
            <w:vAlign w:val="top"/>
          </w:tcPr>
          <w:p>
            <w:pPr>
              <w:rPr>
                <w:rFonts w:hint="eastAsia" w:ascii="宋体" w:hAnsi="宋体" w:eastAsia="宋体" w:cs="宋体"/>
                <w:color w:val="auto"/>
                <w:sz w:val="21"/>
                <w:highlight w:val="none"/>
              </w:rPr>
            </w:pPr>
          </w:p>
        </w:tc>
        <w:tc>
          <w:tcPr>
            <w:tcW w:w="720" w:type="dxa"/>
            <w:vMerge w:val="continue"/>
            <w:tcBorders>
              <w:top w:val="nil"/>
            </w:tcBorders>
            <w:vAlign w:val="top"/>
          </w:tcPr>
          <w:p>
            <w:pPr>
              <w:rPr>
                <w:rFonts w:hint="eastAsia" w:ascii="宋体" w:hAnsi="宋体" w:eastAsia="宋体" w:cs="宋体"/>
                <w:color w:val="auto"/>
                <w:sz w:val="21"/>
                <w:highlight w:val="none"/>
              </w:rPr>
            </w:pPr>
          </w:p>
        </w:tc>
        <w:tc>
          <w:tcPr>
            <w:tcW w:w="926" w:type="dxa"/>
            <w:vMerge w:val="continue"/>
            <w:tcBorders>
              <w:top w:val="nil"/>
            </w:tcBorders>
            <w:vAlign w:val="top"/>
          </w:tcPr>
          <w:p>
            <w:pPr>
              <w:rPr>
                <w:rFonts w:hint="eastAsia" w:ascii="宋体" w:hAnsi="宋体" w:eastAsia="宋体" w:cs="宋体"/>
                <w:color w:val="auto"/>
                <w:sz w:val="21"/>
                <w:highlight w:val="none"/>
              </w:rPr>
            </w:pPr>
          </w:p>
        </w:tc>
        <w:tc>
          <w:tcPr>
            <w:tcW w:w="991" w:type="dxa"/>
            <w:vMerge w:val="continue"/>
            <w:tcBorders>
              <w:top w:val="nil"/>
            </w:tcBorders>
            <w:vAlign w:val="top"/>
          </w:tcPr>
          <w:p>
            <w:pPr>
              <w:rPr>
                <w:rFonts w:hint="eastAsia" w:ascii="宋体" w:hAnsi="宋体" w:eastAsia="宋体" w:cs="宋体"/>
                <w:color w:val="auto"/>
                <w:sz w:val="21"/>
                <w:highlight w:val="none"/>
              </w:rPr>
            </w:pPr>
          </w:p>
        </w:tc>
        <w:tc>
          <w:tcPr>
            <w:tcW w:w="540" w:type="dxa"/>
            <w:vAlign w:val="top"/>
          </w:tcPr>
          <w:p>
            <w:pPr>
              <w:pStyle w:val="10"/>
              <w:spacing w:before="97" w:line="221" w:lineRule="auto"/>
              <w:ind w:left="68"/>
              <w:rPr>
                <w:rFonts w:hint="eastAsia" w:ascii="宋体" w:hAnsi="宋体" w:eastAsia="宋体" w:cs="宋体"/>
                <w:color w:val="auto"/>
                <w:highlight w:val="none"/>
              </w:rPr>
            </w:pPr>
            <w:r>
              <w:rPr>
                <w:rFonts w:hint="eastAsia" w:ascii="宋体" w:hAnsi="宋体" w:eastAsia="宋体" w:cs="宋体"/>
                <w:color w:val="auto"/>
                <w:spacing w:val="-3"/>
                <w:highlight w:val="none"/>
              </w:rPr>
              <w:t>级别</w:t>
            </w:r>
          </w:p>
        </w:tc>
        <w:tc>
          <w:tcPr>
            <w:tcW w:w="1080" w:type="dxa"/>
            <w:vAlign w:val="top"/>
          </w:tcPr>
          <w:p>
            <w:pPr>
              <w:pStyle w:val="10"/>
              <w:spacing w:before="97" w:line="221" w:lineRule="auto"/>
              <w:ind w:left="126"/>
              <w:rPr>
                <w:rFonts w:hint="eastAsia" w:ascii="宋体" w:hAnsi="宋体" w:eastAsia="宋体" w:cs="宋体"/>
                <w:color w:val="auto"/>
                <w:highlight w:val="none"/>
              </w:rPr>
            </w:pPr>
            <w:r>
              <w:rPr>
                <w:rFonts w:hint="eastAsia" w:ascii="宋体" w:hAnsi="宋体" w:eastAsia="宋体" w:cs="宋体"/>
                <w:color w:val="auto"/>
                <w:spacing w:val="-2"/>
                <w:highlight w:val="none"/>
              </w:rPr>
              <w:t>职称专业</w:t>
            </w:r>
          </w:p>
        </w:tc>
        <w:tc>
          <w:tcPr>
            <w:tcW w:w="1245" w:type="dxa"/>
            <w:vAlign w:val="top"/>
          </w:tcPr>
          <w:p>
            <w:pPr>
              <w:pStyle w:val="10"/>
              <w:spacing w:before="97" w:line="220" w:lineRule="auto"/>
              <w:ind w:left="207"/>
              <w:rPr>
                <w:rFonts w:hint="eastAsia" w:ascii="宋体" w:hAnsi="宋体" w:eastAsia="宋体" w:cs="宋体"/>
                <w:color w:val="auto"/>
                <w:highlight w:val="none"/>
              </w:rPr>
            </w:pPr>
            <w:r>
              <w:rPr>
                <w:rFonts w:hint="eastAsia" w:ascii="宋体" w:hAnsi="宋体" w:eastAsia="宋体" w:cs="宋体"/>
                <w:color w:val="auto"/>
                <w:spacing w:val="-2"/>
                <w:highlight w:val="none"/>
              </w:rPr>
              <w:t>证书名称</w:t>
            </w:r>
          </w:p>
        </w:tc>
        <w:tc>
          <w:tcPr>
            <w:tcW w:w="622" w:type="dxa"/>
            <w:vAlign w:val="top"/>
          </w:tcPr>
          <w:p>
            <w:pPr>
              <w:pStyle w:val="10"/>
              <w:spacing w:before="97" w:line="221" w:lineRule="auto"/>
              <w:ind w:left="108"/>
              <w:rPr>
                <w:rFonts w:hint="eastAsia" w:ascii="宋体" w:hAnsi="宋体" w:eastAsia="宋体" w:cs="宋体"/>
                <w:color w:val="auto"/>
                <w:highlight w:val="none"/>
              </w:rPr>
            </w:pPr>
            <w:r>
              <w:rPr>
                <w:rFonts w:hint="eastAsia" w:ascii="宋体" w:hAnsi="宋体" w:eastAsia="宋体" w:cs="宋体"/>
                <w:color w:val="auto"/>
                <w:spacing w:val="-3"/>
                <w:highlight w:val="none"/>
              </w:rPr>
              <w:t>级别</w:t>
            </w:r>
          </w:p>
        </w:tc>
        <w:tc>
          <w:tcPr>
            <w:tcW w:w="1065" w:type="dxa"/>
            <w:vAlign w:val="top"/>
          </w:tcPr>
          <w:p>
            <w:pPr>
              <w:pStyle w:val="10"/>
              <w:spacing w:before="97" w:line="222" w:lineRule="auto"/>
              <w:ind w:left="327"/>
              <w:rPr>
                <w:rFonts w:hint="eastAsia" w:ascii="宋体" w:hAnsi="宋体" w:eastAsia="宋体" w:cs="宋体"/>
                <w:color w:val="auto"/>
                <w:highlight w:val="none"/>
              </w:rPr>
            </w:pPr>
            <w:r>
              <w:rPr>
                <w:rFonts w:hint="eastAsia" w:ascii="宋体" w:hAnsi="宋体" w:eastAsia="宋体" w:cs="宋体"/>
                <w:color w:val="auto"/>
                <w:spacing w:val="-2"/>
                <w:highlight w:val="none"/>
              </w:rPr>
              <w:t>证号</w:t>
            </w:r>
          </w:p>
        </w:tc>
        <w:tc>
          <w:tcPr>
            <w:tcW w:w="1065" w:type="dxa"/>
            <w:vAlign w:val="top"/>
          </w:tcPr>
          <w:p>
            <w:pPr>
              <w:pStyle w:val="10"/>
              <w:spacing w:before="97" w:line="221" w:lineRule="auto"/>
              <w:ind w:left="327"/>
              <w:rPr>
                <w:rFonts w:hint="eastAsia" w:ascii="宋体" w:hAnsi="宋体" w:eastAsia="宋体" w:cs="宋体"/>
                <w:color w:val="auto"/>
                <w:highlight w:val="none"/>
              </w:rPr>
            </w:pPr>
            <w:r>
              <w:rPr>
                <w:rFonts w:hint="eastAsia" w:ascii="宋体" w:hAnsi="宋体" w:eastAsia="宋体" w:cs="宋体"/>
                <w:color w:val="auto"/>
                <w:spacing w:val="-2"/>
                <w:highlight w:val="none"/>
              </w:rPr>
              <w:t>专业</w:t>
            </w:r>
          </w:p>
        </w:tc>
        <w:tc>
          <w:tcPr>
            <w:tcW w:w="1080" w:type="dxa"/>
            <w:vMerge w:val="continue"/>
            <w:tcBorders>
              <w:top w:val="nil"/>
            </w:tcBorders>
            <w:vAlign w:val="top"/>
          </w:tcPr>
          <w:p>
            <w:pPr>
              <w:rPr>
                <w:rFonts w:hint="eastAsia" w:ascii="宋体" w:hAnsi="宋体" w:eastAsia="宋体" w:cs="宋体"/>
                <w:color w:val="auto"/>
                <w:sz w:val="21"/>
                <w:highlight w:val="none"/>
              </w:rPr>
            </w:pPr>
          </w:p>
        </w:tc>
        <w:tc>
          <w:tcPr>
            <w:tcW w:w="904" w:type="dxa"/>
            <w:vMerge w:val="continue"/>
            <w:tcBorders>
              <w:top w:val="nil"/>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9" w:hRule="atLeast"/>
        </w:trPr>
        <w:tc>
          <w:tcPr>
            <w:tcW w:w="365" w:type="dxa"/>
            <w:vAlign w:val="top"/>
          </w:tcPr>
          <w:p>
            <w:pPr>
              <w:spacing w:before="154" w:line="189" w:lineRule="auto"/>
              <w:ind w:left="1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365" w:type="dxa"/>
            <w:vAlign w:val="top"/>
          </w:tcPr>
          <w:p>
            <w:pPr>
              <w:spacing w:before="153" w:line="189" w:lineRule="auto"/>
              <w:ind w:left="13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365" w:type="dxa"/>
            <w:vAlign w:val="top"/>
          </w:tcPr>
          <w:p>
            <w:pPr>
              <w:spacing w:before="154" w:line="189" w:lineRule="auto"/>
              <w:ind w:left="1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365" w:type="dxa"/>
            <w:vAlign w:val="top"/>
          </w:tcPr>
          <w:p>
            <w:pPr>
              <w:spacing w:before="154" w:line="189" w:lineRule="auto"/>
              <w:ind w:left="13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365" w:type="dxa"/>
            <w:vAlign w:val="top"/>
          </w:tcPr>
          <w:p>
            <w:pPr>
              <w:spacing w:before="158" w:line="186" w:lineRule="auto"/>
              <w:ind w:left="13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1" w:hRule="atLeast"/>
        </w:trPr>
        <w:tc>
          <w:tcPr>
            <w:tcW w:w="365" w:type="dxa"/>
            <w:vAlign w:val="top"/>
          </w:tcPr>
          <w:p>
            <w:pPr>
              <w:spacing w:before="155" w:line="189" w:lineRule="auto"/>
              <w:ind w:left="13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vAlign w:val="top"/>
          </w:tcPr>
          <w:p>
            <w:pPr>
              <w:spacing w:before="159" w:line="186" w:lineRule="auto"/>
              <w:ind w:left="13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365" w:type="dxa"/>
            <w:vAlign w:val="top"/>
          </w:tcPr>
          <w:p>
            <w:pPr>
              <w:spacing w:before="156" w:line="189" w:lineRule="auto"/>
              <w:ind w:left="13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365" w:type="dxa"/>
            <w:vAlign w:val="top"/>
          </w:tcPr>
          <w:p>
            <w:pPr>
              <w:spacing w:before="157" w:line="189" w:lineRule="auto"/>
              <w:ind w:left="1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3" w:hRule="atLeast"/>
        </w:trPr>
        <w:tc>
          <w:tcPr>
            <w:tcW w:w="365" w:type="dxa"/>
            <w:vAlign w:val="top"/>
          </w:tcPr>
          <w:p>
            <w:pPr>
              <w:pStyle w:val="10"/>
              <w:spacing w:before="121" w:line="321" w:lineRule="exact"/>
              <w:ind w:left="95"/>
              <w:rPr>
                <w:rFonts w:hint="eastAsia" w:ascii="宋体" w:hAnsi="宋体" w:eastAsia="宋体" w:cs="宋体"/>
                <w:color w:val="auto"/>
                <w:highlight w:val="none"/>
              </w:rPr>
            </w:pPr>
            <w:r>
              <w:rPr>
                <w:rFonts w:hint="eastAsia" w:ascii="宋体" w:hAnsi="宋体" w:eastAsia="宋体" w:cs="宋体"/>
                <w:color w:val="auto"/>
                <w:position w:val="2"/>
                <w:highlight w:val="none"/>
              </w:rPr>
              <w:t>…</w:t>
            </w:r>
          </w:p>
        </w:tc>
        <w:tc>
          <w:tcPr>
            <w:tcW w:w="1221" w:type="dxa"/>
            <w:vAlign w:val="top"/>
          </w:tcPr>
          <w:p>
            <w:pPr>
              <w:rPr>
                <w:rFonts w:hint="eastAsia" w:ascii="宋体" w:hAnsi="宋体" w:eastAsia="宋体" w:cs="宋体"/>
                <w:color w:val="auto"/>
                <w:sz w:val="21"/>
                <w:highlight w:val="none"/>
              </w:rPr>
            </w:pPr>
          </w:p>
        </w:tc>
        <w:tc>
          <w:tcPr>
            <w:tcW w:w="789" w:type="dxa"/>
            <w:vAlign w:val="top"/>
          </w:tcPr>
          <w:p>
            <w:pPr>
              <w:rPr>
                <w:rFonts w:hint="eastAsia" w:ascii="宋体" w:hAnsi="宋体" w:eastAsia="宋体" w:cs="宋体"/>
                <w:color w:val="auto"/>
                <w:sz w:val="21"/>
                <w:highlight w:val="none"/>
              </w:rPr>
            </w:pPr>
          </w:p>
        </w:tc>
        <w:tc>
          <w:tcPr>
            <w:tcW w:w="509"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720" w:type="dxa"/>
            <w:vAlign w:val="top"/>
          </w:tcPr>
          <w:p>
            <w:pPr>
              <w:rPr>
                <w:rFonts w:hint="eastAsia" w:ascii="宋体" w:hAnsi="宋体" w:eastAsia="宋体" w:cs="宋体"/>
                <w:color w:val="auto"/>
                <w:sz w:val="21"/>
                <w:highlight w:val="none"/>
              </w:rPr>
            </w:pPr>
          </w:p>
        </w:tc>
        <w:tc>
          <w:tcPr>
            <w:tcW w:w="926" w:type="dxa"/>
            <w:vAlign w:val="top"/>
          </w:tcPr>
          <w:p>
            <w:pPr>
              <w:rPr>
                <w:rFonts w:hint="eastAsia" w:ascii="宋体" w:hAnsi="宋体" w:eastAsia="宋体" w:cs="宋体"/>
                <w:color w:val="auto"/>
                <w:sz w:val="21"/>
                <w:highlight w:val="none"/>
              </w:rPr>
            </w:pPr>
          </w:p>
        </w:tc>
        <w:tc>
          <w:tcPr>
            <w:tcW w:w="991" w:type="dxa"/>
            <w:vAlign w:val="top"/>
          </w:tcPr>
          <w:p>
            <w:pPr>
              <w:rPr>
                <w:rFonts w:hint="eastAsia" w:ascii="宋体" w:hAnsi="宋体" w:eastAsia="宋体" w:cs="宋体"/>
                <w:color w:val="auto"/>
                <w:sz w:val="21"/>
                <w:highlight w:val="none"/>
              </w:rPr>
            </w:pPr>
          </w:p>
        </w:tc>
        <w:tc>
          <w:tcPr>
            <w:tcW w:w="540"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245" w:type="dxa"/>
            <w:vAlign w:val="top"/>
          </w:tcPr>
          <w:p>
            <w:pPr>
              <w:rPr>
                <w:rFonts w:hint="eastAsia" w:ascii="宋体" w:hAnsi="宋体" w:eastAsia="宋体" w:cs="宋体"/>
                <w:color w:val="auto"/>
                <w:sz w:val="21"/>
                <w:highlight w:val="none"/>
              </w:rPr>
            </w:pPr>
          </w:p>
        </w:tc>
        <w:tc>
          <w:tcPr>
            <w:tcW w:w="622"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904" w:type="dxa"/>
            <w:vAlign w:val="top"/>
          </w:tcPr>
          <w:p>
            <w:pPr>
              <w:rPr>
                <w:rFonts w:hint="eastAsia" w:ascii="宋体" w:hAnsi="宋体" w:eastAsia="宋体" w:cs="宋体"/>
                <w:color w:val="auto"/>
                <w:sz w:val="21"/>
                <w:highlight w:val="none"/>
              </w:rPr>
            </w:pPr>
          </w:p>
        </w:tc>
      </w:tr>
    </w:tbl>
    <w:p>
      <w:pPr>
        <w:spacing w:before="159" w:line="396" w:lineRule="exact"/>
        <w:ind w:left="5"/>
        <w:rPr>
          <w:rFonts w:hint="eastAsia" w:ascii="宋体" w:hAnsi="宋体" w:eastAsia="宋体" w:cs="宋体"/>
          <w:color w:val="auto"/>
          <w:sz w:val="21"/>
          <w:szCs w:val="21"/>
          <w:highlight w:val="none"/>
        </w:rPr>
      </w:pPr>
      <w:r>
        <w:rPr>
          <w:rFonts w:hint="eastAsia" w:ascii="宋体" w:hAnsi="宋体" w:eastAsia="宋体" w:cs="宋体"/>
          <w:color w:val="auto"/>
          <w:position w:val="14"/>
          <w:sz w:val="21"/>
          <w:szCs w:val="21"/>
          <w:highlight w:val="none"/>
        </w:rPr>
        <w:t>备注：1.执业、职业单位指拟投入的项目管理机构人员目前是否在投标人处注册执业或岗</w:t>
      </w:r>
      <w:r>
        <w:rPr>
          <w:rFonts w:hint="eastAsia" w:ascii="宋体" w:hAnsi="宋体" w:eastAsia="宋体" w:cs="宋体"/>
          <w:color w:val="auto"/>
          <w:spacing w:val="-1"/>
          <w:position w:val="14"/>
          <w:sz w:val="21"/>
          <w:szCs w:val="21"/>
          <w:highlight w:val="none"/>
        </w:rPr>
        <w:t>位登记。</w:t>
      </w:r>
    </w:p>
    <w:p>
      <w:pPr>
        <w:spacing w:line="219" w:lineRule="auto"/>
        <w:ind w:left="63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2.附项目管理机构主要人员社会保险证明。社会保险证明中缴费单位应与投标单</w:t>
      </w:r>
      <w:r>
        <w:rPr>
          <w:rFonts w:hint="eastAsia" w:ascii="宋体" w:hAnsi="宋体" w:eastAsia="宋体" w:cs="宋体"/>
          <w:color w:val="auto"/>
          <w:spacing w:val="-1"/>
          <w:sz w:val="21"/>
          <w:szCs w:val="21"/>
          <w:highlight w:val="none"/>
        </w:rPr>
        <w:t>位一致。</w:t>
      </w:r>
    </w:p>
    <w:p>
      <w:pPr>
        <w:spacing w:line="219" w:lineRule="auto"/>
        <w:rPr>
          <w:rFonts w:hint="eastAsia" w:ascii="宋体" w:hAnsi="宋体" w:eastAsia="宋体" w:cs="宋体"/>
          <w:color w:val="auto"/>
          <w:sz w:val="21"/>
          <w:szCs w:val="21"/>
          <w:highlight w:val="none"/>
        </w:rPr>
        <w:sectPr>
          <w:footerReference r:id="rId143" w:type="default"/>
          <w:pgSz w:w="16841" w:h="11907"/>
          <w:pgMar w:top="1440" w:right="1800" w:bottom="1440" w:left="1800" w:header="0" w:footer="969" w:gutter="0"/>
          <w:pgNumType w:fmt="numberInDash"/>
          <w:cols w:space="720" w:num="1"/>
        </w:sectPr>
      </w:pPr>
    </w:p>
    <w:p>
      <w:pPr>
        <w:spacing w:before="91" w:line="219" w:lineRule="auto"/>
        <w:ind w:left="3070"/>
        <w:rPr>
          <w:rFonts w:hint="eastAsia" w:ascii="宋体" w:hAnsi="宋体" w:eastAsia="宋体" w:cs="宋体"/>
          <w:color w:val="auto"/>
          <w:sz w:val="28"/>
          <w:szCs w:val="28"/>
          <w:highlight w:val="none"/>
        </w:rPr>
      </w:pPr>
      <w:bookmarkStart w:id="421" w:name="bookmark461"/>
      <w:bookmarkEnd w:id="421"/>
      <w:r>
        <w:rPr>
          <w:rFonts w:hint="eastAsia" w:ascii="宋体" w:hAnsi="宋体" w:eastAsia="宋体" w:cs="宋体"/>
          <w:color w:val="auto"/>
          <w:spacing w:val="-4"/>
          <w:sz w:val="28"/>
          <w:szCs w:val="28"/>
          <w:highlight w:val="none"/>
        </w:rPr>
        <w:t>（二）项目经理简历表</w:t>
      </w:r>
    </w:p>
    <w:p>
      <w:pPr>
        <w:spacing w:before="166"/>
        <w:rPr>
          <w:rFonts w:hint="eastAsia" w:ascii="宋体" w:hAnsi="宋体" w:eastAsia="宋体" w:cs="宋体"/>
          <w:color w:val="auto"/>
          <w:highlight w:val="none"/>
        </w:rPr>
      </w:pPr>
    </w:p>
    <w:tbl>
      <w:tblPr>
        <w:tblStyle w:val="9"/>
        <w:tblW w:w="87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4"/>
        <w:gridCol w:w="1029"/>
        <w:gridCol w:w="1130"/>
        <w:gridCol w:w="1269"/>
        <w:gridCol w:w="2114"/>
        <w:gridCol w:w="2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94" w:type="dxa"/>
            <w:vAlign w:val="top"/>
          </w:tcPr>
          <w:p>
            <w:pPr>
              <w:pStyle w:val="10"/>
              <w:spacing w:before="125" w:line="221" w:lineRule="auto"/>
              <w:ind w:left="116"/>
              <w:rPr>
                <w:rFonts w:hint="eastAsia" w:ascii="宋体" w:hAnsi="宋体" w:eastAsia="宋体" w:cs="宋体"/>
                <w:color w:val="auto"/>
                <w:highlight w:val="none"/>
              </w:rPr>
            </w:pPr>
            <w:r>
              <w:rPr>
                <w:rFonts w:hint="eastAsia" w:ascii="宋体" w:hAnsi="宋体" w:eastAsia="宋体" w:cs="宋体"/>
                <w:color w:val="auto"/>
                <w:spacing w:val="-4"/>
                <w:highlight w:val="none"/>
              </w:rPr>
              <w:t>姓</w:t>
            </w:r>
            <w:r>
              <w:rPr>
                <w:rFonts w:hint="eastAsia" w:ascii="宋体" w:hAnsi="宋体" w:eastAsia="宋体" w:cs="宋体"/>
                <w:color w:val="auto"/>
                <w:spacing w:val="5"/>
                <w:highlight w:val="none"/>
              </w:rPr>
              <w:t xml:space="preserve">  </w:t>
            </w:r>
            <w:r>
              <w:rPr>
                <w:rFonts w:hint="eastAsia" w:ascii="宋体" w:hAnsi="宋体" w:eastAsia="宋体" w:cs="宋体"/>
                <w:color w:val="auto"/>
                <w:spacing w:val="-4"/>
                <w:highlight w:val="none"/>
              </w:rPr>
              <w:t>名</w:t>
            </w:r>
          </w:p>
        </w:tc>
        <w:tc>
          <w:tcPr>
            <w:tcW w:w="1029" w:type="dxa"/>
            <w:vAlign w:val="top"/>
          </w:tcPr>
          <w:p>
            <w:pPr>
              <w:rPr>
                <w:rFonts w:hint="eastAsia" w:ascii="宋体" w:hAnsi="宋体" w:eastAsia="宋体" w:cs="宋体"/>
                <w:color w:val="auto"/>
                <w:sz w:val="21"/>
                <w:highlight w:val="none"/>
              </w:rPr>
            </w:pPr>
          </w:p>
        </w:tc>
        <w:tc>
          <w:tcPr>
            <w:tcW w:w="1130" w:type="dxa"/>
            <w:vAlign w:val="top"/>
          </w:tcPr>
          <w:p>
            <w:pPr>
              <w:pStyle w:val="10"/>
              <w:spacing w:before="125" w:line="221" w:lineRule="auto"/>
              <w:ind w:left="255"/>
              <w:rPr>
                <w:rFonts w:hint="eastAsia" w:ascii="宋体" w:hAnsi="宋体" w:eastAsia="宋体" w:cs="宋体"/>
                <w:color w:val="auto"/>
                <w:highlight w:val="none"/>
              </w:rPr>
            </w:pPr>
            <w:r>
              <w:rPr>
                <w:rFonts w:hint="eastAsia" w:ascii="宋体" w:hAnsi="宋体" w:eastAsia="宋体" w:cs="宋体"/>
                <w:color w:val="auto"/>
                <w:spacing w:val="-4"/>
                <w:highlight w:val="none"/>
              </w:rPr>
              <w:t>年</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4"/>
                <w:highlight w:val="none"/>
              </w:rPr>
              <w:t>龄</w:t>
            </w:r>
          </w:p>
        </w:tc>
        <w:tc>
          <w:tcPr>
            <w:tcW w:w="1269" w:type="dxa"/>
            <w:vAlign w:val="top"/>
          </w:tcPr>
          <w:p>
            <w:pPr>
              <w:rPr>
                <w:rFonts w:hint="eastAsia" w:ascii="宋体" w:hAnsi="宋体" w:eastAsia="宋体" w:cs="宋体"/>
                <w:color w:val="auto"/>
                <w:sz w:val="21"/>
                <w:highlight w:val="none"/>
              </w:rPr>
            </w:pPr>
          </w:p>
        </w:tc>
        <w:tc>
          <w:tcPr>
            <w:tcW w:w="2114" w:type="dxa"/>
            <w:vAlign w:val="top"/>
          </w:tcPr>
          <w:p>
            <w:pPr>
              <w:pStyle w:val="10"/>
              <w:spacing w:before="125" w:line="222" w:lineRule="auto"/>
              <w:ind w:left="857"/>
              <w:rPr>
                <w:rFonts w:hint="eastAsia" w:ascii="宋体" w:hAnsi="宋体" w:eastAsia="宋体" w:cs="宋体"/>
                <w:color w:val="auto"/>
                <w:highlight w:val="none"/>
              </w:rPr>
            </w:pPr>
            <w:r>
              <w:rPr>
                <w:rFonts w:hint="eastAsia" w:ascii="宋体" w:hAnsi="宋体" w:eastAsia="宋体" w:cs="宋体"/>
                <w:color w:val="auto"/>
                <w:spacing w:val="-3"/>
                <w:highlight w:val="none"/>
              </w:rPr>
              <w:t>学历</w:t>
            </w: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94" w:type="dxa"/>
            <w:vAlign w:val="top"/>
          </w:tcPr>
          <w:p>
            <w:pPr>
              <w:pStyle w:val="10"/>
              <w:spacing w:before="120" w:line="223" w:lineRule="auto"/>
              <w:ind w:left="236"/>
              <w:rPr>
                <w:rFonts w:hint="eastAsia" w:ascii="宋体" w:hAnsi="宋体" w:eastAsia="宋体" w:cs="宋体"/>
                <w:color w:val="auto"/>
                <w:highlight w:val="none"/>
              </w:rPr>
            </w:pPr>
            <w:r>
              <w:rPr>
                <w:rFonts w:hint="eastAsia" w:ascii="宋体" w:hAnsi="宋体" w:eastAsia="宋体" w:cs="宋体"/>
                <w:color w:val="auto"/>
                <w:spacing w:val="-4"/>
                <w:highlight w:val="none"/>
              </w:rPr>
              <w:t>职</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4"/>
                <w:highlight w:val="none"/>
              </w:rPr>
              <w:t>称</w:t>
            </w:r>
          </w:p>
        </w:tc>
        <w:tc>
          <w:tcPr>
            <w:tcW w:w="1029" w:type="dxa"/>
            <w:vAlign w:val="top"/>
          </w:tcPr>
          <w:p>
            <w:pPr>
              <w:rPr>
                <w:rFonts w:hint="eastAsia" w:ascii="宋体" w:hAnsi="宋体" w:eastAsia="宋体" w:cs="宋体"/>
                <w:color w:val="auto"/>
                <w:sz w:val="21"/>
                <w:highlight w:val="none"/>
              </w:rPr>
            </w:pPr>
          </w:p>
        </w:tc>
        <w:tc>
          <w:tcPr>
            <w:tcW w:w="1130" w:type="dxa"/>
            <w:vAlign w:val="top"/>
          </w:tcPr>
          <w:p>
            <w:pPr>
              <w:pStyle w:val="10"/>
              <w:spacing w:before="120" w:line="221" w:lineRule="auto"/>
              <w:ind w:left="255"/>
              <w:rPr>
                <w:rFonts w:hint="eastAsia" w:ascii="宋体" w:hAnsi="宋体" w:eastAsia="宋体" w:cs="宋体"/>
                <w:color w:val="auto"/>
                <w:highlight w:val="none"/>
              </w:rPr>
            </w:pPr>
            <w:r>
              <w:rPr>
                <w:rFonts w:hint="eastAsia" w:ascii="宋体" w:hAnsi="宋体" w:eastAsia="宋体" w:cs="宋体"/>
                <w:color w:val="auto"/>
                <w:spacing w:val="-4"/>
                <w:highlight w:val="none"/>
              </w:rPr>
              <w:t>职</w:t>
            </w:r>
            <w:r>
              <w:rPr>
                <w:rFonts w:hint="eastAsia" w:ascii="宋体" w:hAnsi="宋体" w:eastAsia="宋体" w:cs="宋体"/>
                <w:color w:val="auto"/>
                <w:spacing w:val="5"/>
                <w:highlight w:val="none"/>
              </w:rPr>
              <w:t xml:space="preserve">  </w:t>
            </w:r>
            <w:r>
              <w:rPr>
                <w:rFonts w:hint="eastAsia" w:ascii="宋体" w:hAnsi="宋体" w:eastAsia="宋体" w:cs="宋体"/>
                <w:color w:val="auto"/>
                <w:spacing w:val="-4"/>
                <w:highlight w:val="none"/>
              </w:rPr>
              <w:t>务</w:t>
            </w:r>
          </w:p>
        </w:tc>
        <w:tc>
          <w:tcPr>
            <w:tcW w:w="1269" w:type="dxa"/>
            <w:vAlign w:val="top"/>
          </w:tcPr>
          <w:p>
            <w:pPr>
              <w:rPr>
                <w:rFonts w:hint="eastAsia" w:ascii="宋体" w:hAnsi="宋体" w:eastAsia="宋体" w:cs="宋体"/>
                <w:color w:val="auto"/>
                <w:sz w:val="21"/>
                <w:highlight w:val="none"/>
              </w:rPr>
            </w:pPr>
          </w:p>
        </w:tc>
        <w:tc>
          <w:tcPr>
            <w:tcW w:w="2114" w:type="dxa"/>
            <w:vAlign w:val="top"/>
          </w:tcPr>
          <w:p>
            <w:pPr>
              <w:pStyle w:val="10"/>
              <w:spacing w:before="121" w:line="220" w:lineRule="auto"/>
              <w:ind w:left="327"/>
              <w:rPr>
                <w:rFonts w:hint="eastAsia" w:ascii="宋体" w:hAnsi="宋体" w:eastAsia="宋体" w:cs="宋体"/>
                <w:color w:val="auto"/>
                <w:highlight w:val="none"/>
              </w:rPr>
            </w:pPr>
            <w:r>
              <w:rPr>
                <w:rFonts w:hint="eastAsia" w:ascii="宋体" w:hAnsi="宋体" w:eastAsia="宋体" w:cs="宋体"/>
                <w:color w:val="auto"/>
                <w:spacing w:val="-1"/>
                <w:highlight w:val="none"/>
              </w:rPr>
              <w:t>拟在本工程任职</w:t>
            </w:r>
          </w:p>
        </w:tc>
        <w:tc>
          <w:tcPr>
            <w:tcW w:w="2154" w:type="dxa"/>
            <w:vAlign w:val="top"/>
          </w:tcPr>
          <w:p>
            <w:pPr>
              <w:pStyle w:val="10"/>
              <w:spacing w:before="121" w:line="221" w:lineRule="auto"/>
              <w:ind w:left="665"/>
              <w:rPr>
                <w:rFonts w:hint="eastAsia" w:ascii="宋体" w:hAnsi="宋体" w:eastAsia="宋体" w:cs="宋体"/>
                <w:color w:val="auto"/>
                <w:highlight w:val="none"/>
              </w:rPr>
            </w:pPr>
            <w:r>
              <w:rPr>
                <w:rFonts w:hint="eastAsia" w:ascii="宋体" w:hAnsi="宋体" w:eastAsia="宋体" w:cs="宋体"/>
                <w:color w:val="auto"/>
                <w:spacing w:val="-3"/>
                <w:highlight w:val="none"/>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253" w:type="dxa"/>
            <w:gridSpan w:val="3"/>
            <w:vAlign w:val="top"/>
          </w:tcPr>
          <w:p>
            <w:pPr>
              <w:pStyle w:val="10"/>
              <w:spacing w:before="120" w:line="221" w:lineRule="auto"/>
              <w:ind w:left="475"/>
              <w:rPr>
                <w:rFonts w:hint="eastAsia" w:ascii="宋体" w:hAnsi="宋体" w:eastAsia="宋体" w:cs="宋体"/>
                <w:color w:val="auto"/>
                <w:highlight w:val="none"/>
              </w:rPr>
            </w:pPr>
            <w:r>
              <w:rPr>
                <w:rFonts w:hint="eastAsia" w:ascii="宋体" w:hAnsi="宋体" w:eastAsia="宋体" w:cs="宋体"/>
                <w:color w:val="auto"/>
                <w:spacing w:val="-1"/>
                <w:highlight w:val="none"/>
              </w:rPr>
              <w:t>注册建造师执业资格等级</w:t>
            </w:r>
          </w:p>
        </w:tc>
        <w:tc>
          <w:tcPr>
            <w:tcW w:w="1269" w:type="dxa"/>
            <w:vAlign w:val="top"/>
          </w:tcPr>
          <w:p>
            <w:pPr>
              <w:pStyle w:val="10"/>
              <w:spacing w:before="121" w:line="223" w:lineRule="auto"/>
              <w:ind w:left="853"/>
              <w:rPr>
                <w:rFonts w:hint="eastAsia" w:ascii="宋体" w:hAnsi="宋体" w:eastAsia="宋体" w:cs="宋体"/>
                <w:color w:val="auto"/>
                <w:highlight w:val="none"/>
              </w:rPr>
            </w:pPr>
            <w:r>
              <w:rPr>
                <w:rFonts w:hint="eastAsia" w:ascii="宋体" w:hAnsi="宋体" w:eastAsia="宋体" w:cs="宋体"/>
                <w:color w:val="auto"/>
                <w:highlight w:val="none"/>
              </w:rPr>
              <w:t>级</w:t>
            </w:r>
          </w:p>
        </w:tc>
        <w:tc>
          <w:tcPr>
            <w:tcW w:w="2114" w:type="dxa"/>
            <w:vAlign w:val="top"/>
          </w:tcPr>
          <w:p>
            <w:pPr>
              <w:pStyle w:val="10"/>
              <w:spacing w:before="120" w:line="221" w:lineRule="auto"/>
              <w:ind w:left="539"/>
              <w:rPr>
                <w:rFonts w:hint="eastAsia" w:ascii="宋体" w:hAnsi="宋体" w:eastAsia="宋体" w:cs="宋体"/>
                <w:color w:val="auto"/>
                <w:highlight w:val="none"/>
              </w:rPr>
            </w:pPr>
            <w:r>
              <w:rPr>
                <w:rFonts w:hint="eastAsia" w:ascii="宋体" w:hAnsi="宋体" w:eastAsia="宋体" w:cs="宋体"/>
                <w:color w:val="auto"/>
                <w:spacing w:val="-2"/>
                <w:highlight w:val="none"/>
              </w:rPr>
              <w:t>建造师专业</w:t>
            </w: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3253" w:type="dxa"/>
            <w:gridSpan w:val="3"/>
            <w:vAlign w:val="top"/>
          </w:tcPr>
          <w:p>
            <w:pPr>
              <w:pStyle w:val="10"/>
              <w:spacing w:before="122" w:line="220" w:lineRule="auto"/>
              <w:ind w:left="585"/>
              <w:rPr>
                <w:rFonts w:hint="eastAsia" w:ascii="宋体" w:hAnsi="宋体" w:eastAsia="宋体" w:cs="宋体"/>
                <w:color w:val="auto"/>
                <w:highlight w:val="none"/>
              </w:rPr>
            </w:pPr>
            <w:r>
              <w:rPr>
                <w:rFonts w:hint="eastAsia" w:ascii="宋体" w:hAnsi="宋体" w:eastAsia="宋体" w:cs="宋体"/>
                <w:color w:val="auto"/>
                <w:spacing w:val="-1"/>
                <w:highlight w:val="none"/>
              </w:rPr>
              <w:t>安全生产考核合格证书</w:t>
            </w:r>
          </w:p>
        </w:tc>
        <w:tc>
          <w:tcPr>
            <w:tcW w:w="5537"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94" w:type="dxa"/>
            <w:vAlign w:val="top"/>
          </w:tcPr>
          <w:p>
            <w:pPr>
              <w:pStyle w:val="10"/>
              <w:spacing w:before="121" w:line="221" w:lineRule="auto"/>
              <w:ind w:left="137"/>
              <w:rPr>
                <w:rFonts w:hint="eastAsia" w:ascii="宋体" w:hAnsi="宋体" w:eastAsia="宋体" w:cs="宋体"/>
                <w:color w:val="auto"/>
                <w:highlight w:val="none"/>
              </w:rPr>
            </w:pPr>
            <w:r>
              <w:rPr>
                <w:rFonts w:hint="eastAsia" w:ascii="宋体" w:hAnsi="宋体" w:eastAsia="宋体" w:cs="宋体"/>
                <w:color w:val="auto"/>
                <w:spacing w:val="-3"/>
                <w:highlight w:val="none"/>
              </w:rPr>
              <w:t>毕业学校</w:t>
            </w:r>
          </w:p>
        </w:tc>
        <w:tc>
          <w:tcPr>
            <w:tcW w:w="7696" w:type="dxa"/>
            <w:gridSpan w:val="5"/>
            <w:vAlign w:val="top"/>
          </w:tcPr>
          <w:p>
            <w:pPr>
              <w:pStyle w:val="10"/>
              <w:spacing w:before="121" w:line="221" w:lineRule="auto"/>
              <w:ind w:left="952"/>
              <w:rPr>
                <w:rFonts w:hint="eastAsia" w:ascii="宋体" w:hAnsi="宋体" w:eastAsia="宋体" w:cs="宋体"/>
                <w:color w:val="auto"/>
                <w:highlight w:val="none"/>
              </w:rPr>
            </w:pPr>
            <w:r>
              <w:rPr>
                <w:rFonts w:hint="eastAsia" w:ascii="宋体" w:hAnsi="宋体" w:eastAsia="宋体" w:cs="宋体"/>
                <w:color w:val="auto"/>
                <w:spacing w:val="-3"/>
                <w:highlight w:val="none"/>
              </w:rPr>
              <w:t>年毕业于</w:t>
            </w:r>
            <w:r>
              <w:rPr>
                <w:rFonts w:hint="eastAsia" w:ascii="宋体" w:hAnsi="宋体" w:eastAsia="宋体" w:cs="宋体"/>
                <w:color w:val="auto"/>
                <w:highlight w:val="none"/>
              </w:rPr>
              <w:t xml:space="preserve">                  </w:t>
            </w:r>
            <w:r>
              <w:rPr>
                <w:rFonts w:hint="eastAsia" w:ascii="宋体" w:hAnsi="宋体" w:eastAsia="宋体" w:cs="宋体"/>
                <w:color w:val="auto"/>
                <w:spacing w:val="-3"/>
                <w:highlight w:val="none"/>
              </w:rPr>
              <w:t>学校</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3"/>
                <w:highlight w:val="none"/>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90" w:type="dxa"/>
            <w:gridSpan w:val="6"/>
            <w:vAlign w:val="top"/>
          </w:tcPr>
          <w:p>
            <w:pPr>
              <w:pStyle w:val="10"/>
              <w:spacing w:before="122" w:line="221" w:lineRule="auto"/>
              <w:ind w:left="3771"/>
              <w:rPr>
                <w:rFonts w:hint="eastAsia" w:ascii="宋体" w:hAnsi="宋体" w:eastAsia="宋体" w:cs="宋体"/>
                <w:color w:val="auto"/>
                <w:highlight w:val="none"/>
              </w:rPr>
            </w:pPr>
            <w:r>
              <w:rPr>
                <w:rFonts w:hint="eastAsia" w:ascii="宋体" w:hAnsi="宋体" w:eastAsia="宋体" w:cs="宋体"/>
                <w:color w:val="auto"/>
                <w:spacing w:val="-2"/>
                <w:highlight w:val="none"/>
              </w:rPr>
              <w:t>主要工作经历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94" w:type="dxa"/>
            <w:vAlign w:val="top"/>
          </w:tcPr>
          <w:p>
            <w:pPr>
              <w:pStyle w:val="10"/>
              <w:spacing w:before="121" w:line="223" w:lineRule="auto"/>
              <w:ind w:left="245"/>
              <w:rPr>
                <w:rFonts w:hint="eastAsia" w:ascii="宋体" w:hAnsi="宋体" w:eastAsia="宋体" w:cs="宋体"/>
                <w:color w:val="auto"/>
                <w:highlight w:val="none"/>
              </w:rPr>
            </w:pPr>
            <w:r>
              <w:rPr>
                <w:rFonts w:hint="eastAsia" w:ascii="宋体" w:hAnsi="宋体" w:eastAsia="宋体" w:cs="宋体"/>
                <w:color w:val="auto"/>
                <w:spacing w:val="-9"/>
                <w:highlight w:val="none"/>
              </w:rPr>
              <w:t>时</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9"/>
                <w:highlight w:val="none"/>
              </w:rPr>
              <w:t>间</w:t>
            </w:r>
          </w:p>
        </w:tc>
        <w:tc>
          <w:tcPr>
            <w:tcW w:w="3428" w:type="dxa"/>
            <w:gridSpan w:val="3"/>
            <w:vAlign w:val="top"/>
          </w:tcPr>
          <w:p>
            <w:pPr>
              <w:pStyle w:val="10"/>
              <w:spacing w:before="121" w:line="221" w:lineRule="auto"/>
              <w:ind w:left="670"/>
              <w:rPr>
                <w:rFonts w:hint="eastAsia" w:ascii="宋体" w:hAnsi="宋体" w:eastAsia="宋体" w:cs="宋体"/>
                <w:color w:val="auto"/>
                <w:highlight w:val="none"/>
              </w:rPr>
            </w:pPr>
            <w:r>
              <w:rPr>
                <w:rFonts w:hint="eastAsia" w:ascii="宋体" w:hAnsi="宋体" w:eastAsia="宋体" w:cs="宋体"/>
                <w:color w:val="auto"/>
                <w:spacing w:val="-1"/>
                <w:highlight w:val="none"/>
              </w:rPr>
              <w:t>参加过的类似项目名称</w:t>
            </w:r>
          </w:p>
        </w:tc>
        <w:tc>
          <w:tcPr>
            <w:tcW w:w="2114" w:type="dxa"/>
            <w:vAlign w:val="top"/>
          </w:tcPr>
          <w:p>
            <w:pPr>
              <w:pStyle w:val="10"/>
              <w:spacing w:before="121" w:line="221" w:lineRule="auto"/>
              <w:ind w:left="435"/>
              <w:rPr>
                <w:rFonts w:hint="eastAsia" w:ascii="宋体" w:hAnsi="宋体" w:eastAsia="宋体" w:cs="宋体"/>
                <w:color w:val="auto"/>
                <w:highlight w:val="none"/>
              </w:rPr>
            </w:pPr>
            <w:r>
              <w:rPr>
                <w:rFonts w:hint="eastAsia" w:ascii="宋体" w:hAnsi="宋体" w:eastAsia="宋体" w:cs="宋体"/>
                <w:color w:val="auto"/>
                <w:spacing w:val="-2"/>
                <w:highlight w:val="none"/>
              </w:rPr>
              <w:t>工程概况说明</w:t>
            </w:r>
          </w:p>
        </w:tc>
        <w:tc>
          <w:tcPr>
            <w:tcW w:w="2154" w:type="dxa"/>
            <w:vAlign w:val="top"/>
          </w:tcPr>
          <w:p>
            <w:pPr>
              <w:pStyle w:val="10"/>
              <w:spacing w:before="122" w:line="221" w:lineRule="auto"/>
              <w:ind w:left="245"/>
              <w:rPr>
                <w:rFonts w:hint="eastAsia" w:ascii="宋体" w:hAnsi="宋体" w:eastAsia="宋体" w:cs="宋体"/>
                <w:color w:val="auto"/>
                <w:highlight w:val="none"/>
              </w:rPr>
            </w:pPr>
            <w:r>
              <w:rPr>
                <w:rFonts w:hint="eastAsia" w:ascii="宋体" w:hAnsi="宋体" w:eastAsia="宋体" w:cs="宋体"/>
                <w:color w:val="auto"/>
                <w:spacing w:val="-1"/>
                <w:highlight w:val="none"/>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094" w:type="dxa"/>
            <w:vAlign w:val="top"/>
          </w:tcPr>
          <w:p>
            <w:pPr>
              <w:rPr>
                <w:rFonts w:hint="eastAsia" w:ascii="宋体" w:hAnsi="宋体" w:eastAsia="宋体" w:cs="宋体"/>
                <w:color w:val="auto"/>
                <w:sz w:val="21"/>
                <w:highlight w:val="none"/>
              </w:rPr>
            </w:pPr>
          </w:p>
        </w:tc>
        <w:tc>
          <w:tcPr>
            <w:tcW w:w="3428" w:type="dxa"/>
            <w:gridSpan w:val="3"/>
            <w:vAlign w:val="top"/>
          </w:tcPr>
          <w:p>
            <w:pPr>
              <w:rPr>
                <w:rFonts w:hint="eastAsia" w:ascii="宋体" w:hAnsi="宋体" w:eastAsia="宋体" w:cs="宋体"/>
                <w:color w:val="auto"/>
                <w:sz w:val="21"/>
                <w:highlight w:val="none"/>
              </w:rPr>
            </w:pPr>
          </w:p>
        </w:tc>
        <w:tc>
          <w:tcPr>
            <w:tcW w:w="2114" w:type="dxa"/>
            <w:vAlign w:val="top"/>
          </w:tcPr>
          <w:p>
            <w:pPr>
              <w:rPr>
                <w:rFonts w:hint="eastAsia" w:ascii="宋体" w:hAnsi="宋体" w:eastAsia="宋体" w:cs="宋体"/>
                <w:color w:val="auto"/>
                <w:sz w:val="21"/>
                <w:highlight w:val="none"/>
              </w:rPr>
            </w:pPr>
          </w:p>
        </w:tc>
        <w:tc>
          <w:tcPr>
            <w:tcW w:w="2154" w:type="dxa"/>
            <w:vAlign w:val="top"/>
          </w:tcPr>
          <w:p>
            <w:pPr>
              <w:rPr>
                <w:rFonts w:hint="eastAsia" w:ascii="宋体" w:hAnsi="宋体" w:eastAsia="宋体" w:cs="宋体"/>
                <w:color w:val="auto"/>
                <w:sz w:val="21"/>
                <w:highlight w:val="none"/>
              </w:rPr>
            </w:pPr>
          </w:p>
        </w:tc>
      </w:tr>
    </w:tbl>
    <w:p>
      <w:pPr>
        <w:spacing w:before="78" w:line="253" w:lineRule="auto"/>
        <w:ind w:left="630" w:right="72" w:hanging="631"/>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备注： 1.项目经理应附建造师注册证书、安全生产</w:t>
      </w:r>
      <w:r>
        <w:rPr>
          <w:rFonts w:hint="eastAsia" w:ascii="宋体" w:hAnsi="宋体" w:eastAsia="宋体" w:cs="宋体"/>
          <w:color w:val="auto"/>
          <w:spacing w:val="-6"/>
          <w:sz w:val="21"/>
          <w:szCs w:val="21"/>
          <w:highlight w:val="none"/>
        </w:rPr>
        <w:t>考核合格证书（B证）、职称证书、学历证书。</w:t>
      </w:r>
      <w:r>
        <w:rPr>
          <w:rFonts w:hint="eastAsia" w:ascii="宋体" w:hAnsi="宋体" w:eastAsia="宋体" w:cs="宋体"/>
          <w:color w:val="auto"/>
          <w:sz w:val="21"/>
          <w:szCs w:val="21"/>
          <w:highlight w:val="none"/>
        </w:rPr>
        <w:t xml:space="preserve"> </w:t>
      </w:r>
    </w:p>
    <w:p>
      <w:pPr>
        <w:spacing w:before="78" w:line="253" w:lineRule="auto"/>
        <w:ind w:left="628" w:leftChars="299" w:right="72"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2.类似项目限于以项目经理身份参与的项目。须附</w:t>
      </w:r>
      <w:r>
        <w:rPr>
          <w:rFonts w:hint="eastAsia" w:ascii="宋体" w:hAnsi="宋体" w:eastAsia="宋体" w:cs="宋体"/>
          <w:color w:val="auto"/>
          <w:spacing w:val="-1"/>
          <w:sz w:val="21"/>
          <w:szCs w:val="21"/>
          <w:highlight w:val="none"/>
        </w:rPr>
        <w:t>业绩证明材料。</w:t>
      </w:r>
    </w:p>
    <w:p>
      <w:pPr>
        <w:spacing w:line="253" w:lineRule="auto"/>
        <w:rPr>
          <w:rFonts w:hint="eastAsia" w:ascii="宋体" w:hAnsi="宋体" w:eastAsia="宋体" w:cs="宋体"/>
          <w:color w:val="auto"/>
          <w:sz w:val="21"/>
          <w:szCs w:val="21"/>
          <w:highlight w:val="none"/>
        </w:rPr>
        <w:sectPr>
          <w:footerReference r:id="rId144" w:type="default"/>
          <w:pgSz w:w="11907" w:h="16841"/>
          <w:pgMar w:top="1440" w:right="1800" w:bottom="1440" w:left="1800" w:header="0" w:footer="969" w:gutter="0"/>
          <w:pgNumType w:fmt="numberInDash"/>
          <w:cols w:space="720" w:num="1"/>
        </w:sectPr>
      </w:pPr>
    </w:p>
    <w:p>
      <w:pPr>
        <w:spacing w:before="91" w:line="220" w:lineRule="auto"/>
        <w:ind w:left="3640"/>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rPr>
        <w:t>（三）承诺书</w:t>
      </w:r>
    </w:p>
    <w:p>
      <w:pPr>
        <w:tabs>
          <w:tab w:val="left" w:pos="2205"/>
        </w:tabs>
        <w:spacing w:before="287" w:line="221"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z w:val="21"/>
          <w:szCs w:val="21"/>
          <w:highlight w:val="none"/>
        </w:rPr>
        <w:t>（招标人名称</w:t>
      </w:r>
      <w:r>
        <w:rPr>
          <w:rFonts w:hint="eastAsia" w:ascii="宋体" w:hAnsi="宋体" w:eastAsia="宋体" w:cs="宋体"/>
          <w:color w:val="auto"/>
          <w:spacing w:val="-54"/>
          <w:w w:val="97"/>
          <w:sz w:val="21"/>
          <w:szCs w:val="21"/>
          <w:highlight w:val="none"/>
        </w:rPr>
        <w:t>）：</w:t>
      </w:r>
    </w:p>
    <w:p>
      <w:pPr>
        <w:spacing w:before="163" w:line="387" w:lineRule="auto"/>
        <w:ind w:left="9" w:firstLine="420"/>
        <w:jc w:val="both"/>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我方在此声明， 我方拟派往</w:t>
      </w:r>
      <w:r>
        <w:rPr>
          <w:rFonts w:hint="eastAsia" w:ascii="宋体" w:hAnsi="宋体" w:eastAsia="宋体" w:cs="宋体"/>
          <w:color w:val="auto"/>
          <w:spacing w:val="-105"/>
          <w:sz w:val="21"/>
          <w:szCs w:val="21"/>
          <w:highlight w:val="none"/>
        </w:rPr>
        <w:t xml:space="preserve"> </w:t>
      </w:r>
      <w:r>
        <w:rPr>
          <w:rFonts w:hint="eastAsia"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rPr>
        <w:t>（标段名称</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7"/>
          <w:sz w:val="21"/>
          <w:szCs w:val="21"/>
          <w:highlight w:val="none"/>
        </w:rPr>
        <w:t>以下简称“本工程”）项目</w:t>
      </w:r>
      <w:r>
        <w:rPr>
          <w:rFonts w:hint="eastAsia" w:ascii="宋体" w:hAnsi="宋体" w:eastAsia="宋体" w:cs="宋体"/>
          <w:color w:val="auto"/>
          <w:spacing w:val="-2"/>
          <w:sz w:val="21"/>
          <w:szCs w:val="21"/>
          <w:highlight w:val="none"/>
        </w:rPr>
        <w:t>经理</w:t>
      </w:r>
      <w:r>
        <w:rPr>
          <w:rFonts w:hint="eastAsia"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2"/>
          <w:sz w:val="21"/>
          <w:szCs w:val="21"/>
          <w:highlight w:val="none"/>
        </w:rPr>
        <w:t>（项目经理姓名） 现阶段（投标截止时间之前）没有担其他在施建设工程项</w:t>
      </w:r>
      <w:r>
        <w:rPr>
          <w:rFonts w:hint="eastAsia" w:ascii="宋体" w:hAnsi="宋体" w:eastAsia="宋体" w:cs="宋体"/>
          <w:color w:val="auto"/>
          <w:spacing w:val="-9"/>
          <w:sz w:val="21"/>
          <w:szCs w:val="21"/>
          <w:highlight w:val="none"/>
        </w:rPr>
        <w:t>目的项目经理。</w:t>
      </w:r>
    </w:p>
    <w:p>
      <w:pPr>
        <w:spacing w:before="188" w:line="387" w:lineRule="auto"/>
        <w:ind w:left="9" w:right="3" w:firstLine="418"/>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根据《注册建造师执业管理办法（试行）》第九条规定“注册建造师不得同</w:t>
      </w:r>
      <w:r>
        <w:rPr>
          <w:rFonts w:hint="eastAsia" w:ascii="宋体" w:hAnsi="宋体" w:eastAsia="宋体" w:cs="宋体"/>
          <w:color w:val="auto"/>
          <w:spacing w:val="1"/>
          <w:sz w:val="21"/>
          <w:szCs w:val="21"/>
          <w:highlight w:val="none"/>
        </w:rPr>
        <w:t>时担任两个及以</w:t>
      </w:r>
      <w:r>
        <w:rPr>
          <w:rFonts w:hint="eastAsia" w:ascii="宋体" w:hAnsi="宋体" w:eastAsia="宋体" w:cs="宋体"/>
          <w:color w:val="auto"/>
          <w:sz w:val="21"/>
          <w:szCs w:val="21"/>
          <w:highlight w:val="none"/>
        </w:rPr>
        <w:t>上建设工程施工项目负责人”，第十条规定“注册建造师担任施工项目负责人期间原则上不得更</w:t>
      </w:r>
      <w:r>
        <w:rPr>
          <w:rFonts w:hint="eastAsia" w:ascii="宋体" w:hAnsi="宋体" w:eastAsia="宋体" w:cs="宋体"/>
          <w:color w:val="auto"/>
          <w:spacing w:val="-5"/>
          <w:sz w:val="21"/>
          <w:szCs w:val="21"/>
          <w:highlight w:val="none"/>
        </w:rPr>
        <w:t>换”。我方拟派项目经理的能够参加本工程的投标是基于以下理由：</w:t>
      </w:r>
    </w:p>
    <w:p>
      <w:pPr>
        <w:spacing w:before="189" w:line="220" w:lineRule="auto"/>
        <w:ind w:left="555"/>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  拟派项目经理无在建工程。</w:t>
      </w:r>
    </w:p>
    <w:p>
      <w:pPr>
        <w:spacing w:before="189" w:line="220" w:lineRule="auto"/>
        <w:ind w:left="555"/>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rPr>
        <w:t>□  拟派项目经理存在《注册建造师执业管理办法（试行</w:t>
      </w:r>
      <w:r>
        <w:rPr>
          <w:rFonts w:hint="eastAsia" w:ascii="宋体" w:hAnsi="宋体" w:eastAsia="宋体" w:cs="宋体"/>
          <w:color w:val="auto"/>
          <w:spacing w:val="-4"/>
          <w:sz w:val="21"/>
          <w:szCs w:val="21"/>
          <w:highlight w:val="none"/>
        </w:rPr>
        <w:t>）》第九条规定的下列情形</w:t>
      </w:r>
      <w:r>
        <w:rPr>
          <w:rFonts w:hint="eastAsia" w:ascii="宋体" w:hAnsi="宋体" w:eastAsia="宋体" w:cs="宋体"/>
          <w:color w:val="auto"/>
          <w:spacing w:val="-4"/>
          <w:sz w:val="21"/>
          <w:szCs w:val="21"/>
          <w:highlight w:val="none"/>
          <w:lang w:eastAsia="zh-CN"/>
        </w:rPr>
        <w:t>：</w:t>
      </w:r>
    </w:p>
    <w:p>
      <w:pPr>
        <w:spacing w:before="192" w:line="221" w:lineRule="auto"/>
        <w:ind w:left="975"/>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rPr>
        <w:t>□同一工程相邻分段发包或分期施工的</w:t>
      </w:r>
      <w:r>
        <w:rPr>
          <w:rFonts w:hint="eastAsia" w:ascii="宋体" w:hAnsi="宋体" w:eastAsia="宋体" w:cs="宋体"/>
          <w:color w:val="auto"/>
          <w:spacing w:val="-54"/>
          <w:sz w:val="21"/>
          <w:szCs w:val="21"/>
          <w:highlight w:val="none"/>
        </w:rPr>
        <w:t xml:space="preserve"> </w:t>
      </w:r>
      <w:r>
        <w:rPr>
          <w:rFonts w:hint="eastAsia" w:ascii="宋体" w:hAnsi="宋体" w:eastAsia="宋体" w:cs="宋体"/>
          <w:color w:val="auto"/>
          <w:spacing w:val="-54"/>
          <w:sz w:val="21"/>
          <w:szCs w:val="21"/>
          <w:highlight w:val="none"/>
          <w:lang w:eastAsia="zh-CN"/>
        </w:rPr>
        <w:t>：</w:t>
      </w:r>
    </w:p>
    <w:p>
      <w:pPr>
        <w:spacing w:before="187" w:line="221" w:lineRule="auto"/>
        <w:ind w:left="975"/>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□合同约定的工程验收合格的；</w:t>
      </w:r>
    </w:p>
    <w:p>
      <w:pPr>
        <w:spacing w:before="188" w:line="221" w:lineRule="auto"/>
        <w:ind w:left="975"/>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□因非承包方原因致使工程项目停工超过</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4"/>
          <w:sz w:val="21"/>
          <w:szCs w:val="21"/>
          <w:highlight w:val="none"/>
        </w:rPr>
        <w:t>120</w:t>
      </w:r>
      <w:r>
        <w:rPr>
          <w:rFonts w:hint="eastAsia" w:ascii="宋体" w:hAnsi="宋体" w:eastAsia="宋体" w:cs="宋体"/>
          <w:color w:val="auto"/>
          <w:spacing w:val="-41"/>
          <w:sz w:val="21"/>
          <w:szCs w:val="21"/>
          <w:highlight w:val="none"/>
        </w:rPr>
        <w:t xml:space="preserve"> </w:t>
      </w:r>
      <w:r>
        <w:rPr>
          <w:rFonts w:hint="eastAsia" w:ascii="宋体" w:hAnsi="宋体" w:eastAsia="宋体" w:cs="宋体"/>
          <w:color w:val="auto"/>
          <w:spacing w:val="-4"/>
          <w:sz w:val="21"/>
          <w:szCs w:val="21"/>
          <w:highlight w:val="none"/>
        </w:rPr>
        <w:t>天</w:t>
      </w:r>
      <w:r>
        <w:rPr>
          <w:rFonts w:hint="eastAsia" w:ascii="宋体" w:hAnsi="宋体" w:eastAsia="宋体" w:cs="宋体"/>
          <w:color w:val="auto"/>
          <w:spacing w:val="-5"/>
          <w:sz w:val="21"/>
          <w:szCs w:val="21"/>
          <w:highlight w:val="none"/>
        </w:rPr>
        <w:t>（含</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5"/>
          <w:sz w:val="21"/>
          <w:szCs w:val="21"/>
          <w:highlight w:val="none"/>
        </w:rPr>
        <w:t>经建设单位同意的。</w:t>
      </w:r>
    </w:p>
    <w:p>
      <w:pPr>
        <w:spacing w:before="192" w:line="221" w:lineRule="auto"/>
        <w:ind w:left="975"/>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□拟派项目经理担任其他施工项目负责人期间因下列原因进行了更换，并办理书面交接手续：</w:t>
      </w:r>
    </w:p>
    <w:p>
      <w:pPr>
        <w:spacing w:before="187" w:line="221" w:lineRule="auto"/>
        <w:ind w:left="97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□发包方与注册建造师受聘企业已解除承包合</w:t>
      </w:r>
      <w:r>
        <w:rPr>
          <w:rFonts w:hint="eastAsia" w:ascii="宋体" w:hAnsi="宋体" w:eastAsia="宋体" w:cs="宋体"/>
          <w:color w:val="auto"/>
          <w:spacing w:val="-2"/>
          <w:sz w:val="21"/>
          <w:szCs w:val="21"/>
          <w:highlight w:val="none"/>
        </w:rPr>
        <w:t>同的；</w:t>
      </w:r>
    </w:p>
    <w:p>
      <w:pPr>
        <w:spacing w:before="190" w:line="221" w:lineRule="auto"/>
        <w:ind w:left="97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□发包方同意更换项目负责人的；</w:t>
      </w:r>
    </w:p>
    <w:p>
      <w:pPr>
        <w:spacing w:before="188" w:line="221" w:lineRule="auto"/>
        <w:ind w:left="97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□因不可抗力等特殊情况必须更换项目负责人的。</w:t>
      </w:r>
    </w:p>
    <w:p>
      <w:pPr>
        <w:spacing w:before="187" w:line="221" w:lineRule="auto"/>
        <w:ind w:left="975"/>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w:t>
      </w:r>
    </w:p>
    <w:p>
      <w:pPr>
        <w:spacing w:before="1" w:line="220" w:lineRule="auto"/>
        <w:ind w:left="429"/>
        <w:rPr>
          <w:rFonts w:hint="eastAsia" w:ascii="宋体" w:hAnsi="宋体" w:eastAsia="宋体" w:cs="宋体"/>
          <w:color w:val="auto"/>
          <w:sz w:val="21"/>
          <w:szCs w:val="21"/>
          <w:highlight w:val="none"/>
        </w:rPr>
      </w:pPr>
    </w:p>
    <w:p>
      <w:pPr>
        <w:spacing w:before="1" w:line="220" w:lineRule="auto"/>
        <w:ind w:left="42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我方保证上述信息的真实性和准确性，并承担相应的</w:t>
      </w:r>
      <w:r>
        <w:rPr>
          <w:rFonts w:hint="eastAsia" w:ascii="宋体" w:hAnsi="宋体" w:eastAsia="宋体" w:cs="宋体"/>
          <w:color w:val="auto"/>
          <w:spacing w:val="-1"/>
          <w:sz w:val="21"/>
          <w:szCs w:val="21"/>
          <w:highlight w:val="none"/>
        </w:rPr>
        <w:t>法律责任。</w:t>
      </w:r>
    </w:p>
    <w:p>
      <w:pPr>
        <w:spacing w:before="188" w:line="221" w:lineRule="auto"/>
        <w:ind w:left="428"/>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rPr>
        <w:t>特此承诺</w:t>
      </w:r>
      <w:r>
        <w:rPr>
          <w:rFonts w:hint="eastAsia" w:ascii="宋体" w:hAnsi="宋体" w:eastAsia="宋体" w:cs="宋体"/>
          <w:color w:val="auto"/>
          <w:spacing w:val="-2"/>
          <w:sz w:val="21"/>
          <w:szCs w:val="21"/>
          <w:highlight w:val="none"/>
          <w:lang w:eastAsia="zh-CN"/>
        </w:rPr>
        <w:t>。</w:t>
      </w:r>
    </w:p>
    <w:p>
      <w:pPr>
        <w:pStyle w:val="2"/>
        <w:spacing w:line="279" w:lineRule="auto"/>
        <w:rPr>
          <w:rFonts w:hint="eastAsia" w:ascii="宋体" w:hAnsi="宋体" w:eastAsia="宋体" w:cs="宋体"/>
          <w:color w:val="auto"/>
          <w:highlight w:val="none"/>
        </w:rPr>
      </w:pPr>
    </w:p>
    <w:p>
      <w:pPr>
        <w:pStyle w:val="2"/>
        <w:spacing w:line="279" w:lineRule="auto"/>
        <w:rPr>
          <w:rFonts w:hint="eastAsia" w:ascii="宋体" w:hAnsi="宋体" w:eastAsia="宋体" w:cs="宋体"/>
          <w:color w:val="auto"/>
          <w:highlight w:val="none"/>
        </w:rPr>
      </w:pPr>
    </w:p>
    <w:p>
      <w:pPr>
        <w:spacing w:before="68" w:line="220" w:lineRule="auto"/>
        <w:ind w:right="9"/>
        <w:jc w:val="right"/>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投标人</w:t>
      </w:r>
      <w:r>
        <w:rPr>
          <w:rFonts w:hint="eastAsia" w:ascii="宋体" w:hAnsi="宋体" w:eastAsia="宋体" w:cs="宋体"/>
          <w:color w:val="auto"/>
          <w:sz w:val="21"/>
          <w:szCs w:val="21"/>
          <w:highlight w:val="none"/>
        </w:rPr>
        <w:t>：</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pacing w:val="-9"/>
          <w:sz w:val="21"/>
          <w:szCs w:val="21"/>
          <w:highlight w:val="none"/>
        </w:rPr>
        <w:t>盖单位章）</w:t>
      </w:r>
    </w:p>
    <w:p>
      <w:pPr>
        <w:tabs>
          <w:tab w:val="left" w:pos="6592"/>
        </w:tabs>
        <w:spacing w:before="189" w:line="241" w:lineRule="auto"/>
        <w:ind w:left="5541" w:right="2" w:hanging="3036"/>
        <w:rPr>
          <w:rFonts w:hint="eastAsia" w:ascii="宋体" w:hAnsi="宋体" w:eastAsia="宋体" w:cs="宋体"/>
          <w:color w:val="auto"/>
          <w:spacing w:val="-94"/>
          <w:sz w:val="21"/>
          <w:szCs w:val="21"/>
          <w:highlight w:val="none"/>
        </w:rPr>
      </w:pPr>
      <w:r>
        <w:rPr>
          <w:rFonts w:hint="eastAsia" w:ascii="宋体" w:hAnsi="宋体" w:eastAsia="宋体" w:cs="宋体"/>
          <w:color w:val="auto"/>
          <w:sz w:val="21"/>
          <w:szCs w:val="21"/>
          <w:highlight w:val="none"/>
        </w:rPr>
        <w:t>法定代表人或授权委托人</w:t>
      </w:r>
      <w:r>
        <w:rPr>
          <w:rFonts w:hint="eastAsia" w:ascii="宋体" w:hAnsi="宋体" w:eastAsia="宋体" w:cs="宋体"/>
          <w:color w:val="auto"/>
          <w:spacing w:val="-11"/>
          <w:sz w:val="21"/>
          <w:szCs w:val="21"/>
          <w:highlight w:val="none"/>
        </w:rPr>
        <w:t>：</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z w:val="21"/>
          <w:szCs w:val="21"/>
          <w:highlight w:val="none"/>
        </w:rPr>
        <w:t>签章）</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94"/>
          <w:sz w:val="21"/>
          <w:szCs w:val="21"/>
          <w:highlight w:val="none"/>
        </w:rPr>
        <w:t xml:space="preserve"> </w:t>
      </w:r>
    </w:p>
    <w:p>
      <w:pPr>
        <w:tabs>
          <w:tab w:val="left" w:pos="6592"/>
        </w:tabs>
        <w:spacing w:before="189" w:line="241" w:lineRule="auto"/>
        <w:ind w:left="5531" w:leftChars="2492" w:right="2" w:hanging="298" w:hangingChars="14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22"/>
          <w:sz w:val="21"/>
          <w:szCs w:val="21"/>
          <w:highlight w:val="none"/>
        </w:rPr>
        <w:t>年</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91"/>
          <w:sz w:val="21"/>
          <w:szCs w:val="21"/>
          <w:highlight w:val="none"/>
        </w:rPr>
        <w:t xml:space="preserve"> </w:t>
      </w:r>
      <w:r>
        <w:rPr>
          <w:rFonts w:hint="eastAsia" w:ascii="宋体" w:hAnsi="宋体" w:eastAsia="宋体" w:cs="宋体"/>
          <w:color w:val="auto"/>
          <w:spacing w:val="-22"/>
          <w:sz w:val="21"/>
          <w:szCs w:val="21"/>
          <w:highlight w:val="none"/>
        </w:rPr>
        <w:t>月</w:t>
      </w:r>
      <w:r>
        <w:rPr>
          <w:rFonts w:hint="eastAsia" w:ascii="宋体" w:hAnsi="宋体" w:eastAsia="宋体" w:cs="宋体"/>
          <w:color w:val="auto"/>
          <w:spacing w:val="14"/>
          <w:sz w:val="21"/>
          <w:szCs w:val="21"/>
          <w:highlight w:val="none"/>
          <w:u w:val="single" w:color="auto"/>
        </w:rPr>
        <w:t xml:space="preserve">       </w:t>
      </w:r>
      <w:r>
        <w:rPr>
          <w:rFonts w:hint="eastAsia" w:ascii="宋体" w:hAnsi="宋体" w:eastAsia="宋体" w:cs="宋体"/>
          <w:color w:val="auto"/>
          <w:spacing w:val="-56"/>
          <w:sz w:val="21"/>
          <w:szCs w:val="21"/>
          <w:highlight w:val="none"/>
        </w:rPr>
        <w:t xml:space="preserve"> </w:t>
      </w:r>
      <w:r>
        <w:rPr>
          <w:rFonts w:hint="eastAsia" w:ascii="宋体" w:hAnsi="宋体" w:eastAsia="宋体" w:cs="宋体"/>
          <w:color w:val="auto"/>
          <w:spacing w:val="-22"/>
          <w:sz w:val="21"/>
          <w:szCs w:val="21"/>
          <w:highlight w:val="none"/>
        </w:rPr>
        <w:t>日</w:t>
      </w:r>
    </w:p>
    <w:p>
      <w:pPr>
        <w:spacing w:line="241" w:lineRule="auto"/>
        <w:rPr>
          <w:rFonts w:hint="eastAsia" w:ascii="宋体" w:hAnsi="宋体" w:eastAsia="宋体" w:cs="宋体"/>
          <w:color w:val="auto"/>
          <w:sz w:val="21"/>
          <w:szCs w:val="21"/>
          <w:highlight w:val="none"/>
        </w:rPr>
        <w:sectPr>
          <w:footerReference r:id="rId145" w:type="default"/>
          <w:pgSz w:w="11907" w:h="16841"/>
          <w:pgMar w:top="1440" w:right="1800" w:bottom="1440" w:left="1800" w:header="0" w:footer="969" w:gutter="0"/>
          <w:pgNumType w:fmt="numberInDash"/>
          <w:cols w:space="720" w:num="1"/>
        </w:sectPr>
      </w:pPr>
    </w:p>
    <w:p>
      <w:pPr>
        <w:pStyle w:val="2"/>
        <w:spacing w:line="256" w:lineRule="auto"/>
        <w:rPr>
          <w:rFonts w:hint="eastAsia" w:ascii="宋体" w:hAnsi="宋体" w:eastAsia="宋体" w:cs="宋体"/>
          <w:color w:val="auto"/>
          <w:highlight w:val="none"/>
        </w:rPr>
      </w:pPr>
    </w:p>
    <w:p>
      <w:pPr>
        <w:spacing w:before="91" w:line="219" w:lineRule="auto"/>
        <w:ind w:left="2240"/>
        <w:rPr>
          <w:rFonts w:hint="eastAsia" w:ascii="宋体" w:hAnsi="宋体" w:eastAsia="宋体" w:cs="宋体"/>
          <w:color w:val="auto"/>
          <w:sz w:val="28"/>
          <w:szCs w:val="28"/>
          <w:highlight w:val="none"/>
        </w:rPr>
      </w:pPr>
      <w:bookmarkStart w:id="422" w:name="bookmark463"/>
      <w:bookmarkEnd w:id="422"/>
      <w:r>
        <w:rPr>
          <w:rFonts w:hint="eastAsia" w:ascii="宋体" w:hAnsi="宋体" w:eastAsia="宋体" w:cs="宋体"/>
          <w:color w:val="auto"/>
          <w:spacing w:val="-2"/>
          <w:sz w:val="28"/>
          <w:szCs w:val="28"/>
          <w:highlight w:val="none"/>
        </w:rPr>
        <w:t>（四）其他主要项目管理人员简历表</w:t>
      </w:r>
    </w:p>
    <w:p>
      <w:pPr>
        <w:spacing w:before="20"/>
        <w:rPr>
          <w:rFonts w:hint="eastAsia" w:ascii="宋体" w:hAnsi="宋体" w:eastAsia="宋体" w:cs="宋体"/>
          <w:color w:val="auto"/>
          <w:highlight w:val="none"/>
        </w:rPr>
      </w:pPr>
    </w:p>
    <w:tbl>
      <w:tblPr>
        <w:tblStyle w:val="9"/>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9"/>
        <w:gridCol w:w="2865"/>
        <w:gridCol w:w="1795"/>
        <w:gridCol w:w="28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369" w:type="dxa"/>
            <w:vAlign w:val="top"/>
          </w:tcPr>
          <w:p>
            <w:pPr>
              <w:spacing w:line="276" w:lineRule="auto"/>
              <w:rPr>
                <w:rFonts w:hint="eastAsia" w:ascii="宋体" w:hAnsi="宋体" w:eastAsia="宋体" w:cs="宋体"/>
                <w:color w:val="auto"/>
                <w:sz w:val="21"/>
                <w:highlight w:val="none"/>
              </w:rPr>
            </w:pPr>
          </w:p>
          <w:p>
            <w:pPr>
              <w:pStyle w:val="10"/>
              <w:spacing w:before="69" w:line="221" w:lineRule="auto"/>
              <w:ind w:left="139"/>
              <w:rPr>
                <w:rFonts w:hint="eastAsia" w:ascii="宋体" w:hAnsi="宋体" w:eastAsia="宋体" w:cs="宋体"/>
                <w:color w:val="auto"/>
                <w:highlight w:val="none"/>
              </w:rPr>
            </w:pPr>
            <w:r>
              <w:rPr>
                <w:rFonts w:hint="eastAsia" w:ascii="宋体" w:hAnsi="宋体" w:eastAsia="宋体" w:cs="宋体"/>
                <w:color w:val="auto"/>
                <w:spacing w:val="-7"/>
                <w:highlight w:val="none"/>
              </w:rPr>
              <w:t>岗位名称</w:t>
            </w:r>
          </w:p>
        </w:tc>
        <w:tc>
          <w:tcPr>
            <w:tcW w:w="7529"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69" w:type="dxa"/>
            <w:vAlign w:val="top"/>
          </w:tcPr>
          <w:p>
            <w:pPr>
              <w:pStyle w:val="10"/>
              <w:spacing w:before="223" w:line="221" w:lineRule="auto"/>
              <w:ind w:left="116"/>
              <w:rPr>
                <w:rFonts w:hint="eastAsia" w:ascii="宋体" w:hAnsi="宋体" w:eastAsia="宋体" w:cs="宋体"/>
                <w:color w:val="auto"/>
                <w:highlight w:val="none"/>
              </w:rPr>
            </w:pPr>
            <w:r>
              <w:rPr>
                <w:rFonts w:hint="eastAsia" w:ascii="宋体" w:hAnsi="宋体" w:eastAsia="宋体" w:cs="宋体"/>
                <w:color w:val="auto"/>
                <w:spacing w:val="-4"/>
                <w:highlight w:val="none"/>
              </w:rPr>
              <w:t>姓</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4"/>
                <w:highlight w:val="none"/>
              </w:rPr>
              <w:t>名</w:t>
            </w:r>
          </w:p>
        </w:tc>
        <w:tc>
          <w:tcPr>
            <w:tcW w:w="2865" w:type="dxa"/>
            <w:vAlign w:val="top"/>
          </w:tcPr>
          <w:p>
            <w:pPr>
              <w:rPr>
                <w:rFonts w:hint="eastAsia" w:ascii="宋体" w:hAnsi="宋体" w:eastAsia="宋体" w:cs="宋体"/>
                <w:color w:val="auto"/>
                <w:sz w:val="21"/>
                <w:highlight w:val="none"/>
              </w:rPr>
            </w:pPr>
          </w:p>
        </w:tc>
        <w:tc>
          <w:tcPr>
            <w:tcW w:w="1795" w:type="dxa"/>
            <w:vAlign w:val="top"/>
          </w:tcPr>
          <w:p>
            <w:pPr>
              <w:pStyle w:val="10"/>
              <w:spacing w:before="223" w:line="221" w:lineRule="auto"/>
              <w:ind w:left="117"/>
              <w:rPr>
                <w:rFonts w:hint="eastAsia" w:ascii="宋体" w:hAnsi="宋体" w:eastAsia="宋体" w:cs="宋体"/>
                <w:color w:val="auto"/>
                <w:highlight w:val="none"/>
              </w:rPr>
            </w:pPr>
            <w:r>
              <w:rPr>
                <w:rFonts w:hint="eastAsia" w:ascii="宋体" w:hAnsi="宋体" w:eastAsia="宋体" w:cs="宋体"/>
                <w:color w:val="auto"/>
                <w:spacing w:val="-4"/>
                <w:highlight w:val="none"/>
              </w:rPr>
              <w:t>年</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4"/>
                <w:highlight w:val="none"/>
              </w:rPr>
              <w:t>龄</w:t>
            </w:r>
          </w:p>
        </w:tc>
        <w:tc>
          <w:tcPr>
            <w:tcW w:w="2869"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69" w:type="dxa"/>
            <w:vAlign w:val="top"/>
          </w:tcPr>
          <w:p>
            <w:pPr>
              <w:pStyle w:val="10"/>
              <w:spacing w:before="225" w:line="221" w:lineRule="auto"/>
              <w:ind w:left="118"/>
              <w:rPr>
                <w:rFonts w:hint="eastAsia" w:ascii="宋体" w:hAnsi="宋体" w:eastAsia="宋体" w:cs="宋体"/>
                <w:color w:val="auto"/>
                <w:highlight w:val="none"/>
              </w:rPr>
            </w:pPr>
            <w:r>
              <w:rPr>
                <w:rFonts w:hint="eastAsia" w:ascii="宋体" w:hAnsi="宋体" w:eastAsia="宋体" w:cs="宋体"/>
                <w:color w:val="auto"/>
                <w:spacing w:val="-5"/>
                <w:highlight w:val="none"/>
              </w:rPr>
              <w:t>性</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5"/>
                <w:highlight w:val="none"/>
              </w:rPr>
              <w:t>别</w:t>
            </w:r>
          </w:p>
        </w:tc>
        <w:tc>
          <w:tcPr>
            <w:tcW w:w="2865" w:type="dxa"/>
            <w:vAlign w:val="top"/>
          </w:tcPr>
          <w:p>
            <w:pPr>
              <w:rPr>
                <w:rFonts w:hint="eastAsia" w:ascii="宋体" w:hAnsi="宋体" w:eastAsia="宋体" w:cs="宋体"/>
                <w:color w:val="auto"/>
                <w:sz w:val="21"/>
                <w:highlight w:val="none"/>
              </w:rPr>
            </w:pPr>
          </w:p>
        </w:tc>
        <w:tc>
          <w:tcPr>
            <w:tcW w:w="1795" w:type="dxa"/>
            <w:vAlign w:val="top"/>
          </w:tcPr>
          <w:p>
            <w:pPr>
              <w:pStyle w:val="10"/>
              <w:spacing w:before="224" w:line="221" w:lineRule="auto"/>
              <w:ind w:left="120"/>
              <w:rPr>
                <w:rFonts w:hint="eastAsia" w:ascii="宋体" w:hAnsi="宋体" w:eastAsia="宋体" w:cs="宋体"/>
                <w:color w:val="auto"/>
                <w:highlight w:val="none"/>
              </w:rPr>
            </w:pPr>
            <w:r>
              <w:rPr>
                <w:rFonts w:hint="eastAsia" w:ascii="宋体" w:hAnsi="宋体" w:eastAsia="宋体" w:cs="宋体"/>
                <w:color w:val="auto"/>
                <w:spacing w:val="-3"/>
                <w:highlight w:val="none"/>
              </w:rPr>
              <w:t>毕业学校</w:t>
            </w:r>
          </w:p>
        </w:tc>
        <w:tc>
          <w:tcPr>
            <w:tcW w:w="2869"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69" w:type="dxa"/>
            <w:vAlign w:val="top"/>
          </w:tcPr>
          <w:p>
            <w:pPr>
              <w:pStyle w:val="10"/>
              <w:spacing w:before="226" w:line="221" w:lineRule="auto"/>
              <w:ind w:left="120"/>
              <w:rPr>
                <w:rFonts w:hint="eastAsia" w:ascii="宋体" w:hAnsi="宋体" w:eastAsia="宋体" w:cs="宋体"/>
                <w:color w:val="auto"/>
                <w:highlight w:val="none"/>
              </w:rPr>
            </w:pPr>
            <w:r>
              <w:rPr>
                <w:rFonts w:hint="eastAsia" w:ascii="宋体" w:hAnsi="宋体" w:eastAsia="宋体" w:cs="宋体"/>
                <w:color w:val="auto"/>
                <w:spacing w:val="-2"/>
                <w:highlight w:val="none"/>
              </w:rPr>
              <w:t>学历和专业</w:t>
            </w:r>
          </w:p>
        </w:tc>
        <w:tc>
          <w:tcPr>
            <w:tcW w:w="2865" w:type="dxa"/>
            <w:vAlign w:val="top"/>
          </w:tcPr>
          <w:p>
            <w:pPr>
              <w:rPr>
                <w:rFonts w:hint="eastAsia" w:ascii="宋体" w:hAnsi="宋体" w:eastAsia="宋体" w:cs="宋体"/>
                <w:color w:val="auto"/>
                <w:sz w:val="21"/>
                <w:highlight w:val="none"/>
              </w:rPr>
            </w:pPr>
          </w:p>
        </w:tc>
        <w:tc>
          <w:tcPr>
            <w:tcW w:w="1795" w:type="dxa"/>
            <w:vAlign w:val="top"/>
          </w:tcPr>
          <w:p>
            <w:pPr>
              <w:pStyle w:val="10"/>
              <w:spacing w:before="225" w:line="221" w:lineRule="auto"/>
              <w:ind w:left="120"/>
              <w:rPr>
                <w:rFonts w:hint="eastAsia" w:ascii="宋体" w:hAnsi="宋体" w:eastAsia="宋体" w:cs="宋体"/>
                <w:color w:val="auto"/>
                <w:highlight w:val="none"/>
              </w:rPr>
            </w:pPr>
            <w:r>
              <w:rPr>
                <w:rFonts w:hint="eastAsia" w:ascii="宋体" w:hAnsi="宋体" w:eastAsia="宋体" w:cs="宋体"/>
                <w:color w:val="auto"/>
                <w:spacing w:val="-3"/>
                <w:highlight w:val="none"/>
              </w:rPr>
              <w:t>毕业时间</w:t>
            </w:r>
          </w:p>
        </w:tc>
        <w:tc>
          <w:tcPr>
            <w:tcW w:w="2869"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69" w:type="dxa"/>
            <w:vAlign w:val="top"/>
          </w:tcPr>
          <w:p>
            <w:pPr>
              <w:pStyle w:val="10"/>
              <w:spacing w:before="90" w:line="229" w:lineRule="auto"/>
              <w:ind w:left="125" w:right="104" w:hanging="9"/>
              <w:rPr>
                <w:rFonts w:hint="eastAsia" w:ascii="宋体" w:hAnsi="宋体" w:eastAsia="宋体" w:cs="宋体"/>
                <w:color w:val="auto"/>
                <w:highlight w:val="none"/>
              </w:rPr>
            </w:pPr>
            <w:r>
              <w:rPr>
                <w:rFonts w:hint="eastAsia" w:ascii="宋体" w:hAnsi="宋体" w:eastAsia="宋体" w:cs="宋体"/>
                <w:color w:val="auto"/>
                <w:spacing w:val="-12"/>
                <w:highlight w:val="none"/>
              </w:rPr>
              <w:t>执</w:t>
            </w:r>
            <w:r>
              <w:rPr>
                <w:rFonts w:hint="eastAsia" w:ascii="宋体" w:hAnsi="宋体" w:eastAsia="宋体" w:cs="宋体"/>
                <w:color w:val="auto"/>
                <w:spacing w:val="-46"/>
                <w:highlight w:val="none"/>
              </w:rPr>
              <w:t xml:space="preserve"> </w:t>
            </w:r>
            <w:r>
              <w:rPr>
                <w:rFonts w:hint="eastAsia" w:ascii="宋体" w:hAnsi="宋体" w:eastAsia="宋体" w:cs="宋体"/>
                <w:color w:val="auto"/>
                <w:spacing w:val="-12"/>
                <w:highlight w:val="none"/>
              </w:rPr>
              <w:t>业</w:t>
            </w:r>
            <w:r>
              <w:rPr>
                <w:rFonts w:hint="eastAsia" w:ascii="宋体" w:hAnsi="宋体" w:eastAsia="宋体" w:cs="宋体"/>
                <w:color w:val="auto"/>
                <w:spacing w:val="-47"/>
                <w:highlight w:val="none"/>
              </w:rPr>
              <w:t xml:space="preserve"> </w:t>
            </w:r>
            <w:r>
              <w:rPr>
                <w:rFonts w:hint="eastAsia" w:ascii="宋体" w:hAnsi="宋体" w:eastAsia="宋体" w:cs="宋体"/>
                <w:color w:val="auto"/>
                <w:spacing w:val="-12"/>
                <w:highlight w:val="none"/>
              </w:rPr>
              <w:t>/</w:t>
            </w:r>
            <w:r>
              <w:rPr>
                <w:rFonts w:hint="eastAsia" w:ascii="宋体" w:hAnsi="宋体" w:eastAsia="宋体" w:cs="宋体"/>
                <w:color w:val="auto"/>
                <w:spacing w:val="-23"/>
                <w:highlight w:val="none"/>
              </w:rPr>
              <w:t xml:space="preserve"> </w:t>
            </w:r>
            <w:r>
              <w:rPr>
                <w:rFonts w:hint="eastAsia" w:ascii="宋体" w:hAnsi="宋体" w:eastAsia="宋体" w:cs="宋体"/>
                <w:color w:val="auto"/>
                <w:spacing w:val="-12"/>
                <w:highlight w:val="none"/>
              </w:rPr>
              <w:t>岗</w:t>
            </w:r>
            <w:r>
              <w:rPr>
                <w:rFonts w:hint="eastAsia" w:ascii="宋体" w:hAnsi="宋体" w:eastAsia="宋体" w:cs="宋体"/>
                <w:color w:val="auto"/>
                <w:spacing w:val="-47"/>
                <w:highlight w:val="none"/>
              </w:rPr>
              <w:t xml:space="preserve"> </w:t>
            </w:r>
            <w:r>
              <w:rPr>
                <w:rFonts w:hint="eastAsia" w:ascii="宋体" w:hAnsi="宋体" w:eastAsia="宋体" w:cs="宋体"/>
                <w:color w:val="auto"/>
                <w:spacing w:val="-12"/>
                <w:highlight w:val="none"/>
              </w:rPr>
              <w:t>位</w:t>
            </w:r>
            <w:r>
              <w:rPr>
                <w:rFonts w:hint="eastAsia" w:ascii="宋体" w:hAnsi="宋体" w:eastAsia="宋体" w:cs="宋体"/>
                <w:color w:val="auto"/>
                <w:highlight w:val="none"/>
              </w:rPr>
              <w:t xml:space="preserve"> </w:t>
            </w:r>
            <w:r>
              <w:rPr>
                <w:rFonts w:hint="eastAsia" w:ascii="宋体" w:hAnsi="宋体" w:eastAsia="宋体" w:cs="宋体"/>
                <w:color w:val="auto"/>
                <w:spacing w:val="-4"/>
                <w:highlight w:val="none"/>
              </w:rPr>
              <w:t>资格</w:t>
            </w:r>
          </w:p>
        </w:tc>
        <w:tc>
          <w:tcPr>
            <w:tcW w:w="2865" w:type="dxa"/>
            <w:vAlign w:val="top"/>
          </w:tcPr>
          <w:p>
            <w:pPr>
              <w:rPr>
                <w:rFonts w:hint="eastAsia" w:ascii="宋体" w:hAnsi="宋体" w:eastAsia="宋体" w:cs="宋体"/>
                <w:color w:val="auto"/>
                <w:sz w:val="21"/>
                <w:highlight w:val="none"/>
              </w:rPr>
            </w:pPr>
          </w:p>
        </w:tc>
        <w:tc>
          <w:tcPr>
            <w:tcW w:w="1795" w:type="dxa"/>
            <w:vAlign w:val="top"/>
          </w:tcPr>
          <w:p>
            <w:pPr>
              <w:pStyle w:val="10"/>
              <w:spacing w:before="224" w:line="221" w:lineRule="auto"/>
              <w:ind w:left="117"/>
              <w:rPr>
                <w:rFonts w:hint="eastAsia" w:ascii="宋体" w:hAnsi="宋体" w:eastAsia="宋体" w:cs="宋体"/>
                <w:color w:val="auto"/>
                <w:highlight w:val="none"/>
              </w:rPr>
            </w:pPr>
            <w:r>
              <w:rPr>
                <w:rFonts w:hint="eastAsia" w:ascii="宋体" w:hAnsi="宋体" w:eastAsia="宋体" w:cs="宋体"/>
                <w:color w:val="auto"/>
                <w:spacing w:val="-2"/>
                <w:highlight w:val="none"/>
              </w:rPr>
              <w:t>专业职称</w:t>
            </w:r>
          </w:p>
        </w:tc>
        <w:tc>
          <w:tcPr>
            <w:tcW w:w="2869"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69" w:type="dxa"/>
            <w:vAlign w:val="top"/>
          </w:tcPr>
          <w:p>
            <w:pPr>
              <w:pStyle w:val="10"/>
              <w:spacing w:before="89" w:line="238" w:lineRule="auto"/>
              <w:ind w:left="116"/>
              <w:rPr>
                <w:rFonts w:hint="eastAsia" w:ascii="宋体" w:hAnsi="宋体" w:eastAsia="宋体" w:cs="宋体"/>
                <w:color w:val="auto"/>
                <w:highlight w:val="none"/>
              </w:rPr>
            </w:pPr>
            <w:r>
              <w:rPr>
                <w:rFonts w:hint="eastAsia" w:ascii="宋体" w:hAnsi="宋体" w:eastAsia="宋体" w:cs="宋体"/>
                <w:color w:val="auto"/>
                <w:spacing w:val="-2"/>
                <w:highlight w:val="none"/>
              </w:rPr>
              <w:t>执业/岗位</w:t>
            </w:r>
          </w:p>
          <w:p>
            <w:pPr>
              <w:pStyle w:val="10"/>
              <w:spacing w:line="219" w:lineRule="auto"/>
              <w:ind w:left="116"/>
              <w:rPr>
                <w:rFonts w:hint="eastAsia" w:ascii="宋体" w:hAnsi="宋体" w:eastAsia="宋体" w:cs="宋体"/>
                <w:color w:val="auto"/>
                <w:highlight w:val="none"/>
              </w:rPr>
            </w:pPr>
            <w:r>
              <w:rPr>
                <w:rFonts w:hint="eastAsia" w:ascii="宋体" w:hAnsi="宋体" w:eastAsia="宋体" w:cs="宋体"/>
                <w:color w:val="auto"/>
                <w:spacing w:val="-2"/>
                <w:highlight w:val="none"/>
              </w:rPr>
              <w:t>证书编号</w:t>
            </w:r>
          </w:p>
        </w:tc>
        <w:tc>
          <w:tcPr>
            <w:tcW w:w="2865" w:type="dxa"/>
            <w:vAlign w:val="top"/>
          </w:tcPr>
          <w:p>
            <w:pPr>
              <w:rPr>
                <w:rFonts w:hint="eastAsia" w:ascii="宋体" w:hAnsi="宋体" w:eastAsia="宋体" w:cs="宋体"/>
                <w:color w:val="auto"/>
                <w:sz w:val="21"/>
                <w:highlight w:val="none"/>
              </w:rPr>
            </w:pPr>
          </w:p>
        </w:tc>
        <w:tc>
          <w:tcPr>
            <w:tcW w:w="1795" w:type="dxa"/>
            <w:vAlign w:val="top"/>
          </w:tcPr>
          <w:p>
            <w:pPr>
              <w:pStyle w:val="10"/>
              <w:spacing w:before="225" w:line="221" w:lineRule="auto"/>
              <w:ind w:left="117"/>
              <w:rPr>
                <w:rFonts w:hint="eastAsia" w:ascii="宋体" w:hAnsi="宋体" w:eastAsia="宋体" w:cs="宋体"/>
                <w:color w:val="auto"/>
                <w:highlight w:val="none"/>
              </w:rPr>
            </w:pPr>
            <w:r>
              <w:rPr>
                <w:rFonts w:hint="eastAsia" w:ascii="宋体" w:hAnsi="宋体" w:eastAsia="宋体" w:cs="宋体"/>
                <w:color w:val="auto"/>
                <w:spacing w:val="-1"/>
                <w:highlight w:val="none"/>
              </w:rPr>
              <w:t>专业工作年限</w:t>
            </w:r>
          </w:p>
        </w:tc>
        <w:tc>
          <w:tcPr>
            <w:tcW w:w="2869"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0" w:hRule="atLeast"/>
        </w:trPr>
        <w:tc>
          <w:tcPr>
            <w:tcW w:w="1369" w:type="dxa"/>
            <w:textDirection w:val="tbRlV"/>
            <w:vAlign w:val="top"/>
          </w:tcPr>
          <w:p>
            <w:pPr>
              <w:spacing w:line="246" w:lineRule="auto"/>
              <w:rPr>
                <w:rFonts w:hint="eastAsia" w:ascii="宋体" w:hAnsi="宋体" w:eastAsia="宋体" w:cs="宋体"/>
                <w:color w:val="auto"/>
                <w:sz w:val="21"/>
                <w:highlight w:val="none"/>
              </w:rPr>
            </w:pPr>
          </w:p>
          <w:p>
            <w:pPr>
              <w:spacing w:line="247" w:lineRule="auto"/>
              <w:rPr>
                <w:rFonts w:hint="eastAsia" w:ascii="宋体" w:hAnsi="宋体" w:eastAsia="宋体" w:cs="宋体"/>
                <w:color w:val="auto"/>
                <w:sz w:val="21"/>
                <w:highlight w:val="none"/>
              </w:rPr>
            </w:pPr>
          </w:p>
          <w:p>
            <w:pPr>
              <w:spacing w:line="247" w:lineRule="auto"/>
              <w:rPr>
                <w:rFonts w:hint="eastAsia" w:ascii="宋体" w:hAnsi="宋体" w:eastAsia="宋体" w:cs="宋体"/>
                <w:color w:val="auto"/>
                <w:sz w:val="21"/>
                <w:highlight w:val="none"/>
              </w:rPr>
            </w:pPr>
          </w:p>
          <w:p>
            <w:pPr>
              <w:pStyle w:val="10"/>
              <w:spacing w:before="70" w:line="210" w:lineRule="auto"/>
              <w:ind w:left="847"/>
              <w:rPr>
                <w:rFonts w:hint="eastAsia" w:ascii="宋体" w:hAnsi="宋体" w:eastAsia="宋体" w:cs="宋体"/>
                <w:color w:val="auto"/>
                <w:highlight w:val="none"/>
              </w:rPr>
            </w:pPr>
            <w:r>
              <w:rPr>
                <w:rFonts w:hint="eastAsia" w:ascii="宋体" w:hAnsi="宋体" w:eastAsia="宋体" w:cs="宋体"/>
                <w:color w:val="auto"/>
                <w:spacing w:val="1"/>
                <w:highlight w:val="none"/>
              </w:rPr>
              <w:t>主</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1"/>
                <w:highlight w:val="none"/>
              </w:rPr>
              <w:t>要</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
                <w:highlight w:val="none"/>
              </w:rPr>
              <w:t>工</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1"/>
                <w:highlight w:val="none"/>
              </w:rPr>
              <w:t>作</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
                <w:highlight w:val="none"/>
              </w:rPr>
              <w:t>业</w:t>
            </w:r>
            <w:r>
              <w:rPr>
                <w:rFonts w:hint="eastAsia" w:ascii="宋体" w:hAnsi="宋体" w:eastAsia="宋体" w:cs="宋体"/>
                <w:color w:val="auto"/>
                <w:spacing w:val="-42"/>
                <w:highlight w:val="none"/>
              </w:rPr>
              <w:t xml:space="preserve"> </w:t>
            </w:r>
            <w:r>
              <w:rPr>
                <w:rFonts w:hint="eastAsia" w:ascii="宋体" w:hAnsi="宋体" w:eastAsia="宋体" w:cs="宋体"/>
                <w:color w:val="auto"/>
                <w:spacing w:val="1"/>
                <w:highlight w:val="none"/>
              </w:rPr>
              <w:t>绩</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
                <w:highlight w:val="none"/>
              </w:rPr>
              <w:t>及</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1"/>
                <w:highlight w:val="none"/>
              </w:rPr>
              <w:t>担</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
                <w:highlight w:val="none"/>
              </w:rPr>
              <w:t>任</w:t>
            </w:r>
            <w:r>
              <w:rPr>
                <w:rFonts w:hint="eastAsia" w:ascii="宋体" w:hAnsi="宋体" w:eastAsia="宋体" w:cs="宋体"/>
                <w:color w:val="auto"/>
                <w:spacing w:val="-42"/>
                <w:highlight w:val="none"/>
              </w:rPr>
              <w:t xml:space="preserve"> </w:t>
            </w:r>
            <w:r>
              <w:rPr>
                <w:rFonts w:hint="eastAsia" w:ascii="宋体" w:hAnsi="宋体" w:eastAsia="宋体" w:cs="宋体"/>
                <w:color w:val="auto"/>
                <w:spacing w:val="1"/>
                <w:highlight w:val="none"/>
              </w:rPr>
              <w:t>的</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
                <w:highlight w:val="none"/>
              </w:rPr>
              <w:t>主</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1"/>
                <w:highlight w:val="none"/>
              </w:rPr>
              <w:t>要</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
                <w:highlight w:val="none"/>
              </w:rPr>
              <w:t>工</w:t>
            </w:r>
            <w:r>
              <w:rPr>
                <w:rFonts w:hint="eastAsia" w:ascii="宋体" w:hAnsi="宋体" w:eastAsia="宋体" w:cs="宋体"/>
                <w:color w:val="auto"/>
                <w:spacing w:val="-42"/>
                <w:highlight w:val="none"/>
              </w:rPr>
              <w:t xml:space="preserve"> </w:t>
            </w:r>
            <w:r>
              <w:rPr>
                <w:rFonts w:hint="eastAsia" w:ascii="宋体" w:hAnsi="宋体" w:eastAsia="宋体" w:cs="宋体"/>
                <w:color w:val="auto"/>
                <w:spacing w:val="1"/>
                <w:highlight w:val="none"/>
              </w:rPr>
              <w:t>作</w:t>
            </w:r>
          </w:p>
        </w:tc>
        <w:tc>
          <w:tcPr>
            <w:tcW w:w="7529" w:type="dxa"/>
            <w:gridSpan w:val="3"/>
            <w:vAlign w:val="top"/>
          </w:tcPr>
          <w:p>
            <w:pPr>
              <w:rPr>
                <w:rFonts w:hint="eastAsia" w:ascii="宋体" w:hAnsi="宋体" w:eastAsia="宋体" w:cs="宋体"/>
                <w:color w:val="auto"/>
                <w:sz w:val="21"/>
                <w:highlight w:val="none"/>
              </w:rPr>
            </w:pPr>
          </w:p>
        </w:tc>
      </w:tr>
    </w:tbl>
    <w:p>
      <w:pPr>
        <w:spacing w:before="27" w:line="236" w:lineRule="auto"/>
        <w:ind w:left="642" w:hanging="632"/>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备注：其他主要项目管理人员指项目副经理（如有）、项目技术负责人、施</w:t>
      </w:r>
      <w:r>
        <w:rPr>
          <w:rFonts w:hint="eastAsia" w:ascii="宋体" w:hAnsi="宋体" w:eastAsia="宋体" w:cs="宋体"/>
          <w:color w:val="auto"/>
          <w:spacing w:val="1"/>
          <w:sz w:val="21"/>
          <w:szCs w:val="21"/>
          <w:highlight w:val="none"/>
        </w:rPr>
        <w:t>工管理、质量管理、</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安全管理及资格条件要求的其他岗位人员。其中项</w:t>
      </w:r>
      <w:r>
        <w:rPr>
          <w:rFonts w:hint="eastAsia" w:ascii="宋体" w:hAnsi="宋体" w:eastAsia="宋体" w:cs="宋体"/>
          <w:color w:val="auto"/>
          <w:spacing w:val="1"/>
          <w:sz w:val="21"/>
          <w:szCs w:val="21"/>
          <w:highlight w:val="none"/>
        </w:rPr>
        <w:t>目副经理（如有）、项目技术负责人应</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附资格证书（如有）、注册证书（如有）、职称证书、学历证书,</w:t>
      </w:r>
      <w:r>
        <w:rPr>
          <w:rFonts w:hint="eastAsia" w:ascii="宋体" w:hAnsi="宋体" w:eastAsia="宋体" w:cs="宋体"/>
          <w:color w:val="auto"/>
          <w:spacing w:val="63"/>
          <w:sz w:val="21"/>
          <w:szCs w:val="21"/>
          <w:highlight w:val="none"/>
        </w:rPr>
        <w:t xml:space="preserve"> </w:t>
      </w:r>
      <w:r>
        <w:rPr>
          <w:rFonts w:hint="eastAsia" w:ascii="宋体" w:hAnsi="宋体" w:eastAsia="宋体" w:cs="宋体"/>
          <w:color w:val="auto"/>
          <w:spacing w:val="-5"/>
          <w:sz w:val="21"/>
          <w:szCs w:val="21"/>
          <w:highlight w:val="none"/>
        </w:rPr>
        <w:t>主要业绩证明材料；安全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 xml:space="preserve">管理人员应附有效的安全生产考核合格证书（C </w:t>
      </w:r>
      <w:r>
        <w:rPr>
          <w:rFonts w:hint="eastAsia" w:ascii="宋体" w:hAnsi="宋体" w:eastAsia="宋体" w:cs="宋体"/>
          <w:color w:val="auto"/>
          <w:spacing w:val="-3"/>
          <w:sz w:val="21"/>
          <w:szCs w:val="21"/>
          <w:highlight w:val="none"/>
        </w:rPr>
        <w:t>证</w:t>
      </w:r>
      <w:r>
        <w:rPr>
          <w:rFonts w:hint="eastAsia" w:ascii="宋体" w:hAnsi="宋体" w:eastAsia="宋体" w:cs="宋体"/>
          <w:color w:val="auto"/>
          <w:spacing w:val="-22"/>
          <w:sz w:val="21"/>
          <w:szCs w:val="21"/>
          <w:highlight w:val="none"/>
        </w:rPr>
        <w:t>）；</w:t>
      </w:r>
      <w:r>
        <w:rPr>
          <w:rFonts w:hint="eastAsia" w:ascii="宋体" w:hAnsi="宋体" w:eastAsia="宋体" w:cs="宋体"/>
          <w:color w:val="auto"/>
          <w:spacing w:val="-3"/>
          <w:sz w:val="21"/>
          <w:szCs w:val="21"/>
          <w:highlight w:val="none"/>
        </w:rPr>
        <w:t>施工管理、质量管理及资格条件要求</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
          <w:sz w:val="21"/>
          <w:szCs w:val="21"/>
          <w:highlight w:val="none"/>
        </w:rPr>
        <w:t>的其他岗位人员应附岗位培训考核合格证书。</w:t>
      </w:r>
    </w:p>
    <w:p>
      <w:pPr>
        <w:spacing w:line="236" w:lineRule="auto"/>
        <w:rPr>
          <w:rFonts w:hint="eastAsia" w:ascii="宋体" w:hAnsi="宋体" w:eastAsia="宋体" w:cs="宋体"/>
          <w:color w:val="auto"/>
          <w:sz w:val="21"/>
          <w:szCs w:val="21"/>
          <w:highlight w:val="none"/>
        </w:rPr>
        <w:sectPr>
          <w:footerReference r:id="rId146" w:type="default"/>
          <w:pgSz w:w="11905" w:h="16843"/>
          <w:pgMar w:top="1769" w:right="1548" w:bottom="1003" w:left="1542" w:header="0" w:footer="828" w:gutter="0"/>
          <w:pgNumType w:fmt="numberInDash"/>
          <w:cols w:space="0" w:num="1"/>
          <w:rtlGutter w:val="0"/>
          <w:docGrid w:linePitch="0" w:charSpace="0"/>
        </w:sectPr>
      </w:pPr>
    </w:p>
    <w:p>
      <w:pPr>
        <w:spacing w:before="91" w:line="435" w:lineRule="exact"/>
        <w:ind w:left="3330"/>
        <w:rPr>
          <w:rFonts w:hint="eastAsia" w:ascii="宋体" w:hAnsi="宋体" w:eastAsia="宋体" w:cs="宋体"/>
          <w:color w:val="auto"/>
          <w:sz w:val="28"/>
          <w:szCs w:val="28"/>
          <w:highlight w:val="none"/>
        </w:rPr>
      </w:pPr>
      <w:bookmarkStart w:id="423" w:name="bookmark464"/>
      <w:bookmarkEnd w:id="423"/>
      <w:r>
        <w:rPr>
          <w:rFonts w:hint="eastAsia" w:ascii="宋体" w:hAnsi="宋体" w:eastAsia="宋体" w:cs="宋体"/>
          <w:color w:val="auto"/>
          <w:spacing w:val="-1"/>
          <w:position w:val="11"/>
          <w:sz w:val="28"/>
          <w:szCs w:val="28"/>
          <w:highlight w:val="none"/>
          <w:lang w:eastAsia="zh-CN"/>
        </w:rPr>
        <w:t>八</w:t>
      </w:r>
      <w:r>
        <w:rPr>
          <w:rFonts w:hint="eastAsia" w:ascii="宋体" w:hAnsi="宋体" w:eastAsia="宋体" w:cs="宋体"/>
          <w:color w:val="auto"/>
          <w:spacing w:val="-1"/>
          <w:position w:val="11"/>
          <w:sz w:val="28"/>
          <w:szCs w:val="28"/>
          <w:highlight w:val="none"/>
        </w:rPr>
        <w:t>、资格审查资料</w:t>
      </w:r>
    </w:p>
    <w:p>
      <w:pPr>
        <w:spacing w:line="219" w:lineRule="auto"/>
        <w:ind w:left="32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（一）投标人基本情况</w:t>
      </w:r>
    </w:p>
    <w:p>
      <w:pPr>
        <w:spacing w:before="114" w:line="220" w:lineRule="auto"/>
        <w:ind w:left="3317"/>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5"/>
          <w:sz w:val="24"/>
          <w:szCs w:val="24"/>
          <w:highlight w:val="none"/>
        </w:rPr>
        <w:t>1 投标人基本情况表</w:t>
      </w:r>
    </w:p>
    <w:tbl>
      <w:tblPr>
        <w:tblStyle w:val="9"/>
        <w:tblW w:w="8718"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898"/>
        <w:gridCol w:w="1379"/>
        <w:gridCol w:w="1111"/>
        <w:gridCol w:w="1245"/>
        <w:gridCol w:w="374"/>
        <w:gridCol w:w="900"/>
        <w:gridCol w:w="13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89" w:type="dxa"/>
            <w:vAlign w:val="top"/>
          </w:tcPr>
          <w:p>
            <w:pPr>
              <w:pStyle w:val="10"/>
              <w:spacing w:before="181" w:line="221" w:lineRule="auto"/>
              <w:ind w:left="226"/>
              <w:rPr>
                <w:rFonts w:hint="eastAsia" w:ascii="宋体" w:hAnsi="宋体" w:eastAsia="宋体" w:cs="宋体"/>
                <w:color w:val="auto"/>
                <w:highlight w:val="none"/>
              </w:rPr>
            </w:pPr>
            <w:r>
              <w:rPr>
                <w:rFonts w:hint="eastAsia" w:ascii="宋体" w:hAnsi="宋体" w:eastAsia="宋体" w:cs="宋体"/>
                <w:color w:val="auto"/>
                <w:spacing w:val="-2"/>
                <w:highlight w:val="none"/>
              </w:rPr>
              <w:t>投标人名称</w:t>
            </w:r>
          </w:p>
        </w:tc>
        <w:tc>
          <w:tcPr>
            <w:tcW w:w="7229" w:type="dxa"/>
            <w:gridSpan w:val="7"/>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vAlign w:val="top"/>
          </w:tcPr>
          <w:p>
            <w:pPr>
              <w:pStyle w:val="10"/>
              <w:spacing w:before="179" w:line="222" w:lineRule="auto"/>
              <w:ind w:left="329"/>
              <w:rPr>
                <w:rFonts w:hint="eastAsia" w:ascii="宋体" w:hAnsi="宋体" w:eastAsia="宋体" w:cs="宋体"/>
                <w:color w:val="auto"/>
                <w:highlight w:val="none"/>
              </w:rPr>
            </w:pPr>
            <w:r>
              <w:rPr>
                <w:rFonts w:hint="eastAsia" w:ascii="宋体" w:hAnsi="宋体" w:eastAsia="宋体" w:cs="宋体"/>
                <w:color w:val="auto"/>
                <w:spacing w:val="-2"/>
                <w:highlight w:val="none"/>
              </w:rPr>
              <w:t>注册地址</w:t>
            </w:r>
          </w:p>
        </w:tc>
        <w:tc>
          <w:tcPr>
            <w:tcW w:w="3388" w:type="dxa"/>
            <w:gridSpan w:val="3"/>
            <w:vAlign w:val="top"/>
          </w:tcPr>
          <w:p>
            <w:pPr>
              <w:rPr>
                <w:rFonts w:hint="eastAsia" w:ascii="宋体" w:hAnsi="宋体" w:eastAsia="宋体" w:cs="宋体"/>
                <w:color w:val="auto"/>
                <w:sz w:val="21"/>
                <w:highlight w:val="none"/>
              </w:rPr>
            </w:pPr>
          </w:p>
        </w:tc>
        <w:tc>
          <w:tcPr>
            <w:tcW w:w="1245" w:type="dxa"/>
            <w:vAlign w:val="top"/>
          </w:tcPr>
          <w:p>
            <w:pPr>
              <w:pStyle w:val="10"/>
              <w:spacing w:before="178" w:line="221" w:lineRule="auto"/>
              <w:ind w:left="223"/>
              <w:rPr>
                <w:rFonts w:hint="eastAsia" w:ascii="宋体" w:hAnsi="宋体" w:eastAsia="宋体" w:cs="宋体"/>
                <w:color w:val="auto"/>
                <w:highlight w:val="none"/>
              </w:rPr>
            </w:pPr>
            <w:r>
              <w:rPr>
                <w:rFonts w:hint="eastAsia" w:ascii="宋体" w:hAnsi="宋体" w:eastAsia="宋体" w:cs="宋体"/>
                <w:color w:val="auto"/>
                <w:spacing w:val="-6"/>
                <w:highlight w:val="none"/>
              </w:rPr>
              <w:t>邮政编码</w:t>
            </w:r>
          </w:p>
        </w:tc>
        <w:tc>
          <w:tcPr>
            <w:tcW w:w="2596"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Merge w:val="restart"/>
            <w:tcBorders>
              <w:bottom w:val="nil"/>
            </w:tcBorders>
            <w:vAlign w:val="top"/>
          </w:tcPr>
          <w:p>
            <w:pPr>
              <w:spacing w:line="395" w:lineRule="auto"/>
              <w:rPr>
                <w:rFonts w:hint="eastAsia" w:ascii="宋体" w:hAnsi="宋体" w:eastAsia="宋体" w:cs="宋体"/>
                <w:color w:val="auto"/>
                <w:sz w:val="21"/>
                <w:highlight w:val="none"/>
              </w:rPr>
            </w:pPr>
          </w:p>
          <w:p>
            <w:pPr>
              <w:pStyle w:val="10"/>
              <w:spacing w:before="68" w:line="222" w:lineRule="auto"/>
              <w:ind w:left="330"/>
              <w:rPr>
                <w:rFonts w:hint="eastAsia" w:ascii="宋体" w:hAnsi="宋体" w:eastAsia="宋体" w:cs="宋体"/>
                <w:color w:val="auto"/>
                <w:highlight w:val="none"/>
              </w:rPr>
            </w:pPr>
            <w:r>
              <w:rPr>
                <w:rFonts w:hint="eastAsia" w:ascii="宋体" w:hAnsi="宋体" w:eastAsia="宋体" w:cs="宋体"/>
                <w:color w:val="auto"/>
                <w:spacing w:val="-2"/>
                <w:highlight w:val="none"/>
              </w:rPr>
              <w:t>联系方式</w:t>
            </w:r>
          </w:p>
        </w:tc>
        <w:tc>
          <w:tcPr>
            <w:tcW w:w="898" w:type="dxa"/>
            <w:vAlign w:val="top"/>
          </w:tcPr>
          <w:p>
            <w:pPr>
              <w:pStyle w:val="10"/>
              <w:spacing w:before="176" w:line="223" w:lineRule="auto"/>
              <w:ind w:left="135"/>
              <w:rPr>
                <w:rFonts w:hint="eastAsia" w:ascii="宋体" w:hAnsi="宋体" w:eastAsia="宋体" w:cs="宋体"/>
                <w:color w:val="auto"/>
                <w:highlight w:val="none"/>
              </w:rPr>
            </w:pPr>
            <w:r>
              <w:rPr>
                <w:rFonts w:hint="eastAsia" w:ascii="宋体" w:hAnsi="宋体" w:eastAsia="宋体" w:cs="宋体"/>
                <w:color w:val="auto"/>
                <w:spacing w:val="-2"/>
                <w:highlight w:val="none"/>
              </w:rPr>
              <w:t>联系人</w:t>
            </w:r>
          </w:p>
        </w:tc>
        <w:tc>
          <w:tcPr>
            <w:tcW w:w="2490" w:type="dxa"/>
            <w:gridSpan w:val="2"/>
            <w:vAlign w:val="top"/>
          </w:tcPr>
          <w:p>
            <w:pPr>
              <w:rPr>
                <w:rFonts w:hint="eastAsia" w:ascii="宋体" w:hAnsi="宋体" w:eastAsia="宋体" w:cs="宋体"/>
                <w:color w:val="auto"/>
                <w:sz w:val="21"/>
                <w:highlight w:val="none"/>
              </w:rPr>
            </w:pPr>
          </w:p>
        </w:tc>
        <w:tc>
          <w:tcPr>
            <w:tcW w:w="1245" w:type="dxa"/>
            <w:vAlign w:val="top"/>
          </w:tcPr>
          <w:p>
            <w:pPr>
              <w:pStyle w:val="10"/>
              <w:spacing w:before="176" w:line="223" w:lineRule="auto"/>
              <w:ind w:left="338"/>
              <w:rPr>
                <w:rFonts w:hint="eastAsia" w:ascii="宋体" w:hAnsi="宋体" w:eastAsia="宋体" w:cs="宋体"/>
                <w:color w:val="auto"/>
                <w:highlight w:val="none"/>
              </w:rPr>
            </w:pPr>
            <w:r>
              <w:rPr>
                <w:rFonts w:hint="eastAsia" w:ascii="宋体" w:hAnsi="宋体" w:eastAsia="宋体" w:cs="宋体"/>
                <w:color w:val="auto"/>
                <w:spacing w:val="-16"/>
                <w:highlight w:val="none"/>
              </w:rPr>
              <w:t>电</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16"/>
                <w:highlight w:val="none"/>
              </w:rPr>
              <w:t>话</w:t>
            </w:r>
          </w:p>
        </w:tc>
        <w:tc>
          <w:tcPr>
            <w:tcW w:w="2596"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Merge w:val="continue"/>
            <w:tcBorders>
              <w:top w:val="nil"/>
            </w:tcBorders>
            <w:vAlign w:val="top"/>
          </w:tcPr>
          <w:p>
            <w:pPr>
              <w:rPr>
                <w:rFonts w:hint="eastAsia" w:ascii="宋体" w:hAnsi="宋体" w:eastAsia="宋体" w:cs="宋体"/>
                <w:color w:val="auto"/>
                <w:sz w:val="21"/>
                <w:highlight w:val="none"/>
              </w:rPr>
            </w:pPr>
          </w:p>
        </w:tc>
        <w:tc>
          <w:tcPr>
            <w:tcW w:w="898" w:type="dxa"/>
            <w:vAlign w:val="top"/>
          </w:tcPr>
          <w:p>
            <w:pPr>
              <w:pStyle w:val="10"/>
              <w:spacing w:before="180" w:line="220" w:lineRule="auto"/>
              <w:ind w:left="132"/>
              <w:rPr>
                <w:rFonts w:hint="eastAsia" w:ascii="宋体" w:hAnsi="宋体" w:eastAsia="宋体" w:cs="宋体"/>
                <w:color w:val="auto"/>
                <w:highlight w:val="none"/>
              </w:rPr>
            </w:pPr>
            <w:r>
              <w:rPr>
                <w:rFonts w:hint="eastAsia" w:ascii="宋体" w:hAnsi="宋体" w:eastAsia="宋体" w:cs="宋体"/>
                <w:color w:val="auto"/>
                <w:spacing w:val="-3"/>
                <w:highlight w:val="none"/>
              </w:rPr>
              <w:t>传</w:t>
            </w:r>
            <w:r>
              <w:rPr>
                <w:rFonts w:hint="eastAsia" w:ascii="宋体" w:hAnsi="宋体" w:eastAsia="宋体" w:cs="宋体"/>
                <w:color w:val="auto"/>
                <w:spacing w:val="5"/>
                <w:highlight w:val="none"/>
              </w:rPr>
              <w:t xml:space="preserve">  </w:t>
            </w:r>
            <w:r>
              <w:rPr>
                <w:rFonts w:hint="eastAsia" w:ascii="宋体" w:hAnsi="宋体" w:eastAsia="宋体" w:cs="宋体"/>
                <w:color w:val="auto"/>
                <w:spacing w:val="-3"/>
                <w:highlight w:val="none"/>
              </w:rPr>
              <w:t>真</w:t>
            </w:r>
          </w:p>
        </w:tc>
        <w:tc>
          <w:tcPr>
            <w:tcW w:w="2490" w:type="dxa"/>
            <w:gridSpan w:val="2"/>
            <w:vAlign w:val="top"/>
          </w:tcPr>
          <w:p>
            <w:pPr>
              <w:rPr>
                <w:rFonts w:hint="eastAsia" w:ascii="宋体" w:hAnsi="宋体" w:eastAsia="宋体" w:cs="宋体"/>
                <w:color w:val="auto"/>
                <w:sz w:val="21"/>
                <w:highlight w:val="none"/>
              </w:rPr>
            </w:pPr>
          </w:p>
        </w:tc>
        <w:tc>
          <w:tcPr>
            <w:tcW w:w="1245" w:type="dxa"/>
            <w:vAlign w:val="top"/>
          </w:tcPr>
          <w:p>
            <w:pPr>
              <w:pStyle w:val="10"/>
              <w:spacing w:before="179" w:line="226" w:lineRule="auto"/>
              <w:ind w:left="330"/>
              <w:rPr>
                <w:rFonts w:hint="eastAsia" w:ascii="宋体" w:hAnsi="宋体" w:eastAsia="宋体" w:cs="宋体"/>
                <w:color w:val="auto"/>
                <w:highlight w:val="none"/>
              </w:rPr>
            </w:pPr>
            <w:r>
              <w:rPr>
                <w:rFonts w:hint="eastAsia" w:ascii="宋体" w:hAnsi="宋体" w:eastAsia="宋体" w:cs="宋体"/>
                <w:color w:val="auto"/>
                <w:spacing w:val="-12"/>
                <w:highlight w:val="none"/>
              </w:rPr>
              <w:t>网</w:t>
            </w:r>
            <w:r>
              <w:rPr>
                <w:rFonts w:hint="eastAsia" w:ascii="宋体" w:hAnsi="宋体" w:eastAsia="宋体" w:cs="宋体"/>
                <w:color w:val="auto"/>
                <w:spacing w:val="5"/>
                <w:highlight w:val="none"/>
              </w:rPr>
              <w:t xml:space="preserve">  </w:t>
            </w:r>
            <w:r>
              <w:rPr>
                <w:rFonts w:hint="eastAsia" w:ascii="宋体" w:hAnsi="宋体" w:eastAsia="宋体" w:cs="宋体"/>
                <w:color w:val="auto"/>
                <w:spacing w:val="-12"/>
                <w:highlight w:val="none"/>
              </w:rPr>
              <w:t>址</w:t>
            </w:r>
          </w:p>
        </w:tc>
        <w:tc>
          <w:tcPr>
            <w:tcW w:w="2596" w:type="dxa"/>
            <w:gridSpan w:val="3"/>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vAlign w:val="top"/>
          </w:tcPr>
          <w:p>
            <w:pPr>
              <w:pStyle w:val="10"/>
              <w:spacing w:before="180" w:line="221" w:lineRule="auto"/>
              <w:ind w:left="332"/>
              <w:rPr>
                <w:rFonts w:hint="eastAsia" w:ascii="宋体" w:hAnsi="宋体" w:eastAsia="宋体" w:cs="宋体"/>
                <w:color w:val="auto"/>
                <w:highlight w:val="none"/>
              </w:rPr>
            </w:pPr>
            <w:r>
              <w:rPr>
                <w:rFonts w:hint="eastAsia" w:ascii="宋体" w:hAnsi="宋体" w:eastAsia="宋体" w:cs="宋体"/>
                <w:color w:val="auto"/>
                <w:spacing w:val="-2"/>
                <w:highlight w:val="none"/>
              </w:rPr>
              <w:t>组织结构</w:t>
            </w:r>
          </w:p>
        </w:tc>
        <w:tc>
          <w:tcPr>
            <w:tcW w:w="7229" w:type="dxa"/>
            <w:gridSpan w:val="7"/>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Align w:val="top"/>
          </w:tcPr>
          <w:p>
            <w:pPr>
              <w:pStyle w:val="10"/>
              <w:spacing w:before="177" w:line="221" w:lineRule="auto"/>
              <w:ind w:left="224"/>
              <w:rPr>
                <w:rFonts w:hint="eastAsia" w:ascii="宋体" w:hAnsi="宋体" w:eastAsia="宋体" w:cs="宋体"/>
                <w:color w:val="auto"/>
                <w:highlight w:val="none"/>
              </w:rPr>
            </w:pPr>
            <w:r>
              <w:rPr>
                <w:rFonts w:hint="eastAsia" w:ascii="宋体" w:hAnsi="宋体" w:eastAsia="宋体" w:cs="宋体"/>
                <w:color w:val="auto"/>
                <w:spacing w:val="-2"/>
                <w:highlight w:val="none"/>
              </w:rPr>
              <w:t>法定代表人</w:t>
            </w:r>
          </w:p>
        </w:tc>
        <w:tc>
          <w:tcPr>
            <w:tcW w:w="898" w:type="dxa"/>
            <w:vAlign w:val="top"/>
          </w:tcPr>
          <w:p>
            <w:pPr>
              <w:pStyle w:val="10"/>
              <w:spacing w:before="177" w:line="221" w:lineRule="auto"/>
              <w:ind w:left="239"/>
              <w:rPr>
                <w:rFonts w:hint="eastAsia" w:ascii="宋体" w:hAnsi="宋体" w:eastAsia="宋体" w:cs="宋体"/>
                <w:color w:val="auto"/>
                <w:highlight w:val="none"/>
              </w:rPr>
            </w:pPr>
            <w:r>
              <w:rPr>
                <w:rFonts w:hint="eastAsia" w:ascii="宋体" w:hAnsi="宋体" w:eastAsia="宋体" w:cs="宋体"/>
                <w:color w:val="auto"/>
                <w:spacing w:val="-2"/>
                <w:highlight w:val="none"/>
              </w:rPr>
              <w:t>姓名</w:t>
            </w:r>
          </w:p>
        </w:tc>
        <w:tc>
          <w:tcPr>
            <w:tcW w:w="1379" w:type="dxa"/>
            <w:vAlign w:val="top"/>
          </w:tcPr>
          <w:p>
            <w:pPr>
              <w:rPr>
                <w:rFonts w:hint="eastAsia" w:ascii="宋体" w:hAnsi="宋体" w:eastAsia="宋体" w:cs="宋体"/>
                <w:color w:val="auto"/>
                <w:sz w:val="21"/>
                <w:highlight w:val="none"/>
              </w:rPr>
            </w:pPr>
          </w:p>
        </w:tc>
        <w:tc>
          <w:tcPr>
            <w:tcW w:w="1111" w:type="dxa"/>
            <w:vAlign w:val="top"/>
          </w:tcPr>
          <w:p>
            <w:pPr>
              <w:pStyle w:val="10"/>
              <w:spacing w:before="177" w:line="221" w:lineRule="auto"/>
              <w:ind w:left="138"/>
              <w:rPr>
                <w:rFonts w:hint="eastAsia" w:ascii="宋体" w:hAnsi="宋体" w:eastAsia="宋体" w:cs="宋体"/>
                <w:color w:val="auto"/>
                <w:highlight w:val="none"/>
              </w:rPr>
            </w:pPr>
            <w:r>
              <w:rPr>
                <w:rFonts w:hint="eastAsia" w:ascii="宋体" w:hAnsi="宋体" w:eastAsia="宋体" w:cs="宋体"/>
                <w:color w:val="auto"/>
                <w:spacing w:val="-2"/>
                <w:highlight w:val="none"/>
              </w:rPr>
              <w:t>技术职称</w:t>
            </w:r>
          </w:p>
        </w:tc>
        <w:tc>
          <w:tcPr>
            <w:tcW w:w="1619" w:type="dxa"/>
            <w:gridSpan w:val="2"/>
            <w:vAlign w:val="top"/>
          </w:tcPr>
          <w:p>
            <w:pPr>
              <w:rPr>
                <w:rFonts w:hint="eastAsia" w:ascii="宋体" w:hAnsi="宋体" w:eastAsia="宋体" w:cs="宋体"/>
                <w:color w:val="auto"/>
                <w:sz w:val="21"/>
                <w:highlight w:val="none"/>
              </w:rPr>
            </w:pPr>
          </w:p>
        </w:tc>
        <w:tc>
          <w:tcPr>
            <w:tcW w:w="900" w:type="dxa"/>
            <w:vAlign w:val="top"/>
          </w:tcPr>
          <w:p>
            <w:pPr>
              <w:pStyle w:val="10"/>
              <w:spacing w:before="177" w:line="223" w:lineRule="auto"/>
              <w:ind w:left="272"/>
              <w:rPr>
                <w:rFonts w:hint="eastAsia" w:ascii="宋体" w:hAnsi="宋体" w:eastAsia="宋体" w:cs="宋体"/>
                <w:color w:val="auto"/>
                <w:highlight w:val="none"/>
              </w:rPr>
            </w:pPr>
            <w:r>
              <w:rPr>
                <w:rFonts w:hint="eastAsia" w:ascii="宋体" w:hAnsi="宋体" w:eastAsia="宋体" w:cs="宋体"/>
                <w:color w:val="auto"/>
                <w:spacing w:val="-8"/>
                <w:highlight w:val="none"/>
              </w:rPr>
              <w:t>电话</w:t>
            </w:r>
          </w:p>
        </w:tc>
        <w:tc>
          <w:tcPr>
            <w:tcW w:w="132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vAlign w:val="top"/>
          </w:tcPr>
          <w:p>
            <w:pPr>
              <w:pStyle w:val="10"/>
              <w:spacing w:before="180" w:line="221" w:lineRule="auto"/>
              <w:ind w:left="224"/>
              <w:rPr>
                <w:rFonts w:hint="eastAsia" w:ascii="宋体" w:hAnsi="宋体" w:eastAsia="宋体" w:cs="宋体"/>
                <w:color w:val="auto"/>
                <w:highlight w:val="none"/>
              </w:rPr>
            </w:pPr>
            <w:r>
              <w:rPr>
                <w:rFonts w:hint="eastAsia" w:ascii="宋体" w:hAnsi="宋体" w:eastAsia="宋体" w:cs="宋体"/>
                <w:color w:val="auto"/>
                <w:spacing w:val="-2"/>
                <w:highlight w:val="none"/>
              </w:rPr>
              <w:t>技术负责人</w:t>
            </w:r>
          </w:p>
        </w:tc>
        <w:tc>
          <w:tcPr>
            <w:tcW w:w="898" w:type="dxa"/>
            <w:vAlign w:val="top"/>
          </w:tcPr>
          <w:p>
            <w:pPr>
              <w:pStyle w:val="10"/>
              <w:spacing w:before="180" w:line="221" w:lineRule="auto"/>
              <w:ind w:left="239"/>
              <w:rPr>
                <w:rFonts w:hint="eastAsia" w:ascii="宋体" w:hAnsi="宋体" w:eastAsia="宋体" w:cs="宋体"/>
                <w:color w:val="auto"/>
                <w:highlight w:val="none"/>
              </w:rPr>
            </w:pPr>
            <w:r>
              <w:rPr>
                <w:rFonts w:hint="eastAsia" w:ascii="宋体" w:hAnsi="宋体" w:eastAsia="宋体" w:cs="宋体"/>
                <w:color w:val="auto"/>
                <w:spacing w:val="-2"/>
                <w:highlight w:val="none"/>
              </w:rPr>
              <w:t>姓名</w:t>
            </w:r>
          </w:p>
        </w:tc>
        <w:tc>
          <w:tcPr>
            <w:tcW w:w="1379" w:type="dxa"/>
            <w:vAlign w:val="top"/>
          </w:tcPr>
          <w:p>
            <w:pPr>
              <w:rPr>
                <w:rFonts w:hint="eastAsia" w:ascii="宋体" w:hAnsi="宋体" w:eastAsia="宋体" w:cs="宋体"/>
                <w:color w:val="auto"/>
                <w:sz w:val="21"/>
                <w:highlight w:val="none"/>
              </w:rPr>
            </w:pPr>
          </w:p>
        </w:tc>
        <w:tc>
          <w:tcPr>
            <w:tcW w:w="1111" w:type="dxa"/>
            <w:vAlign w:val="top"/>
          </w:tcPr>
          <w:p>
            <w:pPr>
              <w:pStyle w:val="10"/>
              <w:spacing w:before="180" w:line="221" w:lineRule="auto"/>
              <w:ind w:left="138"/>
              <w:rPr>
                <w:rFonts w:hint="eastAsia" w:ascii="宋体" w:hAnsi="宋体" w:eastAsia="宋体" w:cs="宋体"/>
                <w:color w:val="auto"/>
                <w:highlight w:val="none"/>
              </w:rPr>
            </w:pPr>
            <w:r>
              <w:rPr>
                <w:rFonts w:hint="eastAsia" w:ascii="宋体" w:hAnsi="宋体" w:eastAsia="宋体" w:cs="宋体"/>
                <w:color w:val="auto"/>
                <w:spacing w:val="-2"/>
                <w:highlight w:val="none"/>
              </w:rPr>
              <w:t>技术职称</w:t>
            </w:r>
          </w:p>
        </w:tc>
        <w:tc>
          <w:tcPr>
            <w:tcW w:w="1619" w:type="dxa"/>
            <w:gridSpan w:val="2"/>
            <w:vAlign w:val="top"/>
          </w:tcPr>
          <w:p>
            <w:pPr>
              <w:rPr>
                <w:rFonts w:hint="eastAsia" w:ascii="宋体" w:hAnsi="宋体" w:eastAsia="宋体" w:cs="宋体"/>
                <w:color w:val="auto"/>
                <w:sz w:val="21"/>
                <w:highlight w:val="none"/>
              </w:rPr>
            </w:pPr>
          </w:p>
        </w:tc>
        <w:tc>
          <w:tcPr>
            <w:tcW w:w="900" w:type="dxa"/>
            <w:vAlign w:val="top"/>
          </w:tcPr>
          <w:p>
            <w:pPr>
              <w:pStyle w:val="10"/>
              <w:spacing w:before="180" w:line="223" w:lineRule="auto"/>
              <w:ind w:left="272"/>
              <w:rPr>
                <w:rFonts w:hint="eastAsia" w:ascii="宋体" w:hAnsi="宋体" w:eastAsia="宋体" w:cs="宋体"/>
                <w:color w:val="auto"/>
                <w:highlight w:val="none"/>
              </w:rPr>
            </w:pPr>
            <w:r>
              <w:rPr>
                <w:rFonts w:hint="eastAsia" w:ascii="宋体" w:hAnsi="宋体" w:eastAsia="宋体" w:cs="宋体"/>
                <w:color w:val="auto"/>
                <w:spacing w:val="-8"/>
                <w:highlight w:val="none"/>
              </w:rPr>
              <w:t>电话</w:t>
            </w:r>
          </w:p>
        </w:tc>
        <w:tc>
          <w:tcPr>
            <w:tcW w:w="132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Align w:val="top"/>
          </w:tcPr>
          <w:p>
            <w:pPr>
              <w:pStyle w:val="10"/>
              <w:spacing w:before="178" w:line="222" w:lineRule="auto"/>
              <w:ind w:left="331"/>
              <w:rPr>
                <w:rFonts w:hint="eastAsia" w:ascii="宋体" w:hAnsi="宋体" w:eastAsia="宋体" w:cs="宋体"/>
                <w:color w:val="auto"/>
                <w:highlight w:val="none"/>
              </w:rPr>
            </w:pPr>
            <w:r>
              <w:rPr>
                <w:rFonts w:hint="eastAsia" w:ascii="宋体" w:hAnsi="宋体" w:eastAsia="宋体" w:cs="宋体"/>
                <w:color w:val="auto"/>
                <w:spacing w:val="-2"/>
                <w:highlight w:val="none"/>
              </w:rPr>
              <w:t>成立时间</w:t>
            </w:r>
          </w:p>
        </w:tc>
        <w:tc>
          <w:tcPr>
            <w:tcW w:w="2277" w:type="dxa"/>
            <w:gridSpan w:val="2"/>
            <w:vAlign w:val="top"/>
          </w:tcPr>
          <w:p>
            <w:pPr>
              <w:rPr>
                <w:rFonts w:hint="eastAsia" w:ascii="宋体" w:hAnsi="宋体" w:eastAsia="宋体" w:cs="宋体"/>
                <w:color w:val="auto"/>
                <w:sz w:val="21"/>
                <w:highlight w:val="none"/>
              </w:rPr>
            </w:pPr>
          </w:p>
        </w:tc>
        <w:tc>
          <w:tcPr>
            <w:tcW w:w="4952" w:type="dxa"/>
            <w:gridSpan w:val="5"/>
            <w:vAlign w:val="top"/>
          </w:tcPr>
          <w:p>
            <w:pPr>
              <w:pStyle w:val="10"/>
              <w:spacing w:before="178" w:line="221" w:lineRule="auto"/>
              <w:ind w:left="119"/>
              <w:rPr>
                <w:rFonts w:hint="eastAsia" w:ascii="宋体" w:hAnsi="宋体" w:eastAsia="宋体" w:cs="宋体"/>
                <w:color w:val="auto"/>
                <w:highlight w:val="none"/>
              </w:rPr>
            </w:pPr>
            <w:r>
              <w:rPr>
                <w:rFonts w:hint="eastAsia" w:ascii="宋体" w:hAnsi="宋体" w:eastAsia="宋体" w:cs="宋体"/>
                <w:color w:val="auto"/>
                <w:spacing w:val="-3"/>
                <w:highlight w:val="none"/>
              </w:rPr>
              <w:t>员工总人数：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vAlign w:val="top"/>
          </w:tcPr>
          <w:p>
            <w:pPr>
              <w:pStyle w:val="10"/>
              <w:spacing w:before="180" w:line="221" w:lineRule="auto"/>
              <w:ind w:left="124"/>
              <w:rPr>
                <w:rFonts w:hint="eastAsia" w:ascii="宋体" w:hAnsi="宋体" w:eastAsia="宋体" w:cs="宋体"/>
                <w:color w:val="auto"/>
                <w:highlight w:val="none"/>
              </w:rPr>
            </w:pPr>
            <w:r>
              <w:rPr>
                <w:rFonts w:hint="eastAsia" w:ascii="宋体" w:hAnsi="宋体" w:eastAsia="宋体" w:cs="宋体"/>
                <w:color w:val="auto"/>
                <w:spacing w:val="-2"/>
                <w:highlight w:val="none"/>
              </w:rPr>
              <w:t>企业资质等级</w:t>
            </w:r>
          </w:p>
        </w:tc>
        <w:tc>
          <w:tcPr>
            <w:tcW w:w="2277" w:type="dxa"/>
            <w:gridSpan w:val="2"/>
            <w:vAlign w:val="top"/>
          </w:tcPr>
          <w:p>
            <w:pPr>
              <w:rPr>
                <w:rFonts w:hint="eastAsia" w:ascii="宋体" w:hAnsi="宋体" w:eastAsia="宋体" w:cs="宋体"/>
                <w:color w:val="auto"/>
                <w:sz w:val="21"/>
                <w:highlight w:val="none"/>
              </w:rPr>
            </w:pPr>
          </w:p>
        </w:tc>
        <w:tc>
          <w:tcPr>
            <w:tcW w:w="1111" w:type="dxa"/>
            <w:vMerge w:val="restart"/>
            <w:tcBorders>
              <w:bottom w:val="nil"/>
            </w:tcBorders>
            <w:vAlign w:val="top"/>
          </w:tcPr>
          <w:p>
            <w:pPr>
              <w:spacing w:line="251" w:lineRule="auto"/>
              <w:rPr>
                <w:rFonts w:hint="eastAsia" w:ascii="宋体" w:hAnsi="宋体" w:eastAsia="宋体" w:cs="宋体"/>
                <w:color w:val="auto"/>
                <w:sz w:val="21"/>
                <w:highlight w:val="none"/>
              </w:rPr>
            </w:pPr>
          </w:p>
          <w:p>
            <w:pPr>
              <w:spacing w:line="251" w:lineRule="auto"/>
              <w:rPr>
                <w:rFonts w:hint="eastAsia" w:ascii="宋体" w:hAnsi="宋体" w:eastAsia="宋体" w:cs="宋体"/>
                <w:color w:val="auto"/>
                <w:sz w:val="21"/>
                <w:highlight w:val="none"/>
              </w:rPr>
            </w:pPr>
          </w:p>
          <w:p>
            <w:pPr>
              <w:spacing w:line="251" w:lineRule="auto"/>
              <w:rPr>
                <w:rFonts w:hint="eastAsia" w:ascii="宋体" w:hAnsi="宋体" w:eastAsia="宋体" w:cs="宋体"/>
                <w:color w:val="auto"/>
                <w:sz w:val="21"/>
                <w:highlight w:val="none"/>
              </w:rPr>
            </w:pPr>
          </w:p>
          <w:p>
            <w:pPr>
              <w:spacing w:line="252" w:lineRule="auto"/>
              <w:rPr>
                <w:rFonts w:hint="eastAsia" w:ascii="宋体" w:hAnsi="宋体" w:eastAsia="宋体" w:cs="宋体"/>
                <w:color w:val="auto"/>
                <w:sz w:val="21"/>
                <w:highlight w:val="none"/>
              </w:rPr>
            </w:pPr>
          </w:p>
          <w:p>
            <w:pPr>
              <w:spacing w:line="252" w:lineRule="auto"/>
              <w:rPr>
                <w:rFonts w:hint="eastAsia" w:ascii="宋体" w:hAnsi="宋体" w:eastAsia="宋体" w:cs="宋体"/>
                <w:color w:val="auto"/>
                <w:sz w:val="21"/>
                <w:highlight w:val="none"/>
              </w:rPr>
            </w:pPr>
          </w:p>
          <w:p>
            <w:pPr>
              <w:pStyle w:val="10"/>
              <w:spacing w:before="68" w:line="221" w:lineRule="auto"/>
              <w:ind w:left="349"/>
              <w:rPr>
                <w:rFonts w:hint="eastAsia" w:ascii="宋体" w:hAnsi="宋体" w:eastAsia="宋体" w:cs="宋体"/>
                <w:color w:val="auto"/>
                <w:highlight w:val="none"/>
              </w:rPr>
            </w:pPr>
            <w:r>
              <w:rPr>
                <w:rFonts w:hint="eastAsia" w:ascii="宋体" w:hAnsi="宋体" w:eastAsia="宋体" w:cs="宋体"/>
                <w:color w:val="auto"/>
                <w:spacing w:val="-2"/>
                <w:highlight w:val="none"/>
              </w:rPr>
              <w:t>其中</w:t>
            </w:r>
          </w:p>
        </w:tc>
        <w:tc>
          <w:tcPr>
            <w:tcW w:w="1619" w:type="dxa"/>
            <w:gridSpan w:val="2"/>
            <w:vAlign w:val="top"/>
          </w:tcPr>
          <w:p>
            <w:pPr>
              <w:pStyle w:val="10"/>
              <w:spacing w:before="180" w:line="221" w:lineRule="auto"/>
              <w:ind w:left="289"/>
              <w:rPr>
                <w:rFonts w:hint="eastAsia" w:ascii="宋体" w:hAnsi="宋体" w:eastAsia="宋体" w:cs="宋体"/>
                <w:color w:val="auto"/>
                <w:highlight w:val="none"/>
              </w:rPr>
            </w:pPr>
            <w:r>
              <w:rPr>
                <w:rFonts w:hint="eastAsia" w:ascii="宋体" w:hAnsi="宋体" w:eastAsia="宋体" w:cs="宋体"/>
                <w:color w:val="auto"/>
                <w:spacing w:val="-1"/>
                <w:highlight w:val="none"/>
              </w:rPr>
              <w:t>注册建造师</w:t>
            </w:r>
          </w:p>
        </w:tc>
        <w:tc>
          <w:tcPr>
            <w:tcW w:w="2222" w:type="dxa"/>
            <w:gridSpan w:val="2"/>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Align w:val="top"/>
          </w:tcPr>
          <w:p>
            <w:pPr>
              <w:pStyle w:val="10"/>
              <w:spacing w:before="178" w:line="221" w:lineRule="auto"/>
              <w:ind w:left="230"/>
              <w:rPr>
                <w:rFonts w:hint="eastAsia" w:ascii="宋体" w:hAnsi="宋体" w:eastAsia="宋体" w:cs="宋体"/>
                <w:color w:val="auto"/>
                <w:highlight w:val="none"/>
              </w:rPr>
            </w:pPr>
            <w:r>
              <w:rPr>
                <w:rFonts w:hint="eastAsia" w:ascii="宋体" w:hAnsi="宋体" w:eastAsia="宋体" w:cs="宋体"/>
                <w:color w:val="auto"/>
                <w:spacing w:val="-3"/>
                <w:highlight w:val="none"/>
              </w:rPr>
              <w:t>营业执照号</w:t>
            </w:r>
          </w:p>
        </w:tc>
        <w:tc>
          <w:tcPr>
            <w:tcW w:w="2277" w:type="dxa"/>
            <w:gridSpan w:val="2"/>
            <w:vAlign w:val="top"/>
          </w:tcPr>
          <w:p>
            <w:pPr>
              <w:rPr>
                <w:rFonts w:hint="eastAsia" w:ascii="宋体" w:hAnsi="宋体" w:eastAsia="宋体" w:cs="宋体"/>
                <w:color w:val="auto"/>
                <w:sz w:val="21"/>
                <w:highlight w:val="none"/>
              </w:rPr>
            </w:pPr>
          </w:p>
        </w:tc>
        <w:tc>
          <w:tcPr>
            <w:tcW w:w="1111" w:type="dxa"/>
            <w:vMerge w:val="continue"/>
            <w:tcBorders>
              <w:top w:val="nil"/>
              <w:bottom w:val="nil"/>
            </w:tcBorders>
            <w:vAlign w:val="top"/>
          </w:tcPr>
          <w:p>
            <w:pPr>
              <w:rPr>
                <w:rFonts w:hint="eastAsia" w:ascii="宋体" w:hAnsi="宋体" w:eastAsia="宋体" w:cs="宋体"/>
                <w:color w:val="auto"/>
                <w:sz w:val="21"/>
                <w:highlight w:val="none"/>
              </w:rPr>
            </w:pPr>
          </w:p>
        </w:tc>
        <w:tc>
          <w:tcPr>
            <w:tcW w:w="1619" w:type="dxa"/>
            <w:gridSpan w:val="2"/>
            <w:vAlign w:val="top"/>
          </w:tcPr>
          <w:p>
            <w:pPr>
              <w:pStyle w:val="10"/>
              <w:spacing w:before="178" w:line="221" w:lineRule="auto"/>
              <w:ind w:left="192"/>
              <w:rPr>
                <w:rFonts w:hint="eastAsia" w:ascii="宋体" w:hAnsi="宋体" w:eastAsia="宋体" w:cs="宋体"/>
                <w:color w:val="auto"/>
                <w:highlight w:val="none"/>
              </w:rPr>
            </w:pPr>
            <w:r>
              <w:rPr>
                <w:rFonts w:hint="eastAsia" w:ascii="宋体" w:hAnsi="宋体" w:eastAsia="宋体" w:cs="宋体"/>
                <w:color w:val="auto"/>
                <w:spacing w:val="-2"/>
                <w:highlight w:val="none"/>
              </w:rPr>
              <w:t>高级职称人员</w:t>
            </w:r>
          </w:p>
        </w:tc>
        <w:tc>
          <w:tcPr>
            <w:tcW w:w="2222" w:type="dxa"/>
            <w:gridSpan w:val="2"/>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Align w:val="top"/>
          </w:tcPr>
          <w:p>
            <w:pPr>
              <w:pStyle w:val="10"/>
              <w:spacing w:before="179" w:line="222" w:lineRule="auto"/>
              <w:ind w:left="329"/>
              <w:rPr>
                <w:rFonts w:hint="eastAsia" w:ascii="宋体" w:hAnsi="宋体" w:eastAsia="宋体" w:cs="宋体"/>
                <w:color w:val="auto"/>
                <w:highlight w:val="none"/>
              </w:rPr>
            </w:pPr>
            <w:r>
              <w:rPr>
                <w:rFonts w:hint="eastAsia" w:ascii="宋体" w:hAnsi="宋体" w:eastAsia="宋体" w:cs="宋体"/>
                <w:color w:val="auto"/>
                <w:spacing w:val="-2"/>
                <w:highlight w:val="none"/>
              </w:rPr>
              <w:t>注册资金</w:t>
            </w:r>
          </w:p>
        </w:tc>
        <w:tc>
          <w:tcPr>
            <w:tcW w:w="2277" w:type="dxa"/>
            <w:gridSpan w:val="2"/>
            <w:vAlign w:val="top"/>
          </w:tcPr>
          <w:p>
            <w:pPr>
              <w:rPr>
                <w:rFonts w:hint="eastAsia" w:ascii="宋体" w:hAnsi="宋体" w:eastAsia="宋体" w:cs="宋体"/>
                <w:color w:val="auto"/>
                <w:sz w:val="21"/>
                <w:highlight w:val="none"/>
              </w:rPr>
            </w:pPr>
          </w:p>
        </w:tc>
        <w:tc>
          <w:tcPr>
            <w:tcW w:w="1111" w:type="dxa"/>
            <w:vMerge w:val="continue"/>
            <w:tcBorders>
              <w:top w:val="nil"/>
              <w:bottom w:val="nil"/>
            </w:tcBorders>
            <w:vAlign w:val="top"/>
          </w:tcPr>
          <w:p>
            <w:pPr>
              <w:rPr>
                <w:rFonts w:hint="eastAsia" w:ascii="宋体" w:hAnsi="宋体" w:eastAsia="宋体" w:cs="宋体"/>
                <w:color w:val="auto"/>
                <w:sz w:val="21"/>
                <w:highlight w:val="none"/>
              </w:rPr>
            </w:pPr>
          </w:p>
        </w:tc>
        <w:tc>
          <w:tcPr>
            <w:tcW w:w="1619" w:type="dxa"/>
            <w:gridSpan w:val="2"/>
            <w:vAlign w:val="top"/>
          </w:tcPr>
          <w:p>
            <w:pPr>
              <w:pStyle w:val="10"/>
              <w:spacing w:before="179" w:line="221" w:lineRule="auto"/>
              <w:ind w:left="206"/>
              <w:rPr>
                <w:rFonts w:hint="eastAsia" w:ascii="宋体" w:hAnsi="宋体" w:eastAsia="宋体" w:cs="宋体"/>
                <w:color w:val="auto"/>
                <w:highlight w:val="none"/>
              </w:rPr>
            </w:pPr>
            <w:r>
              <w:rPr>
                <w:rFonts w:hint="eastAsia" w:ascii="宋体" w:hAnsi="宋体" w:eastAsia="宋体" w:cs="宋体"/>
                <w:color w:val="auto"/>
                <w:spacing w:val="-5"/>
                <w:highlight w:val="none"/>
              </w:rPr>
              <w:t>中级职称人员</w:t>
            </w:r>
          </w:p>
        </w:tc>
        <w:tc>
          <w:tcPr>
            <w:tcW w:w="2222" w:type="dxa"/>
            <w:gridSpan w:val="2"/>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vAlign w:val="top"/>
          </w:tcPr>
          <w:p>
            <w:pPr>
              <w:pStyle w:val="10"/>
              <w:spacing w:before="44" w:line="241" w:lineRule="auto"/>
              <w:ind w:left="329"/>
              <w:rPr>
                <w:rFonts w:hint="eastAsia" w:ascii="宋体" w:hAnsi="宋体" w:eastAsia="宋体" w:cs="宋体"/>
                <w:color w:val="auto"/>
                <w:highlight w:val="none"/>
              </w:rPr>
            </w:pPr>
            <w:r>
              <w:rPr>
                <w:rFonts w:hint="eastAsia" w:ascii="宋体" w:hAnsi="宋体" w:eastAsia="宋体" w:cs="宋体"/>
                <w:color w:val="auto"/>
                <w:spacing w:val="-2"/>
                <w:highlight w:val="none"/>
              </w:rPr>
              <w:t>基本帐户</w:t>
            </w:r>
          </w:p>
          <w:p>
            <w:pPr>
              <w:pStyle w:val="10"/>
              <w:spacing w:line="214" w:lineRule="auto"/>
              <w:ind w:left="330"/>
              <w:rPr>
                <w:rFonts w:hint="eastAsia" w:ascii="宋体" w:hAnsi="宋体" w:eastAsia="宋体" w:cs="宋体"/>
                <w:color w:val="auto"/>
                <w:highlight w:val="none"/>
              </w:rPr>
            </w:pPr>
            <w:r>
              <w:rPr>
                <w:rFonts w:hint="eastAsia" w:ascii="宋体" w:hAnsi="宋体" w:eastAsia="宋体" w:cs="宋体"/>
                <w:color w:val="auto"/>
                <w:spacing w:val="-2"/>
                <w:highlight w:val="none"/>
              </w:rPr>
              <w:t>开户银行</w:t>
            </w:r>
          </w:p>
        </w:tc>
        <w:tc>
          <w:tcPr>
            <w:tcW w:w="2277" w:type="dxa"/>
            <w:gridSpan w:val="2"/>
            <w:vAlign w:val="top"/>
          </w:tcPr>
          <w:p>
            <w:pPr>
              <w:rPr>
                <w:rFonts w:hint="eastAsia" w:ascii="宋体" w:hAnsi="宋体" w:eastAsia="宋体" w:cs="宋体"/>
                <w:color w:val="auto"/>
                <w:sz w:val="21"/>
                <w:highlight w:val="none"/>
              </w:rPr>
            </w:pPr>
          </w:p>
        </w:tc>
        <w:tc>
          <w:tcPr>
            <w:tcW w:w="1111" w:type="dxa"/>
            <w:vMerge w:val="continue"/>
            <w:tcBorders>
              <w:top w:val="nil"/>
              <w:bottom w:val="nil"/>
            </w:tcBorders>
            <w:vAlign w:val="top"/>
          </w:tcPr>
          <w:p>
            <w:pPr>
              <w:rPr>
                <w:rFonts w:hint="eastAsia" w:ascii="宋体" w:hAnsi="宋体" w:eastAsia="宋体" w:cs="宋体"/>
                <w:color w:val="auto"/>
                <w:sz w:val="21"/>
                <w:highlight w:val="none"/>
              </w:rPr>
            </w:pPr>
          </w:p>
        </w:tc>
        <w:tc>
          <w:tcPr>
            <w:tcW w:w="1619" w:type="dxa"/>
            <w:gridSpan w:val="2"/>
            <w:vAlign w:val="top"/>
          </w:tcPr>
          <w:p>
            <w:pPr>
              <w:pStyle w:val="10"/>
              <w:spacing w:before="181" w:line="222" w:lineRule="auto"/>
              <w:ind w:left="185"/>
              <w:rPr>
                <w:rFonts w:hint="eastAsia" w:ascii="宋体" w:hAnsi="宋体" w:eastAsia="宋体" w:cs="宋体"/>
                <w:color w:val="auto"/>
                <w:highlight w:val="none"/>
              </w:rPr>
            </w:pPr>
            <w:r>
              <w:rPr>
                <w:rFonts w:hint="eastAsia" w:ascii="宋体" w:hAnsi="宋体" w:eastAsia="宋体" w:cs="宋体"/>
                <w:color w:val="auto"/>
                <w:spacing w:val="-1"/>
                <w:highlight w:val="none"/>
              </w:rPr>
              <w:t>初级职称人员</w:t>
            </w:r>
          </w:p>
        </w:tc>
        <w:tc>
          <w:tcPr>
            <w:tcW w:w="2222" w:type="dxa"/>
            <w:gridSpan w:val="2"/>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Align w:val="top"/>
          </w:tcPr>
          <w:p>
            <w:pPr>
              <w:pStyle w:val="10"/>
              <w:spacing w:before="45" w:line="238" w:lineRule="auto"/>
              <w:ind w:left="329"/>
              <w:rPr>
                <w:rFonts w:hint="eastAsia" w:ascii="宋体" w:hAnsi="宋体" w:eastAsia="宋体" w:cs="宋体"/>
                <w:color w:val="auto"/>
                <w:highlight w:val="none"/>
              </w:rPr>
            </w:pPr>
            <w:r>
              <w:rPr>
                <w:rFonts w:hint="eastAsia" w:ascii="宋体" w:hAnsi="宋体" w:eastAsia="宋体" w:cs="宋体"/>
                <w:color w:val="auto"/>
                <w:spacing w:val="-2"/>
                <w:highlight w:val="none"/>
              </w:rPr>
              <w:t>基本帐户</w:t>
            </w:r>
          </w:p>
          <w:p>
            <w:pPr>
              <w:pStyle w:val="10"/>
              <w:spacing w:line="214" w:lineRule="auto"/>
              <w:ind w:left="544"/>
              <w:rPr>
                <w:rFonts w:hint="eastAsia" w:ascii="宋体" w:hAnsi="宋体" w:eastAsia="宋体" w:cs="宋体"/>
                <w:color w:val="auto"/>
                <w:highlight w:val="none"/>
              </w:rPr>
            </w:pPr>
            <w:r>
              <w:rPr>
                <w:rFonts w:hint="eastAsia" w:ascii="宋体" w:hAnsi="宋体" w:eastAsia="宋体" w:cs="宋体"/>
                <w:color w:val="auto"/>
                <w:spacing w:val="-3"/>
                <w:highlight w:val="none"/>
              </w:rPr>
              <w:t>账号</w:t>
            </w:r>
          </w:p>
        </w:tc>
        <w:tc>
          <w:tcPr>
            <w:tcW w:w="2277" w:type="dxa"/>
            <w:gridSpan w:val="2"/>
            <w:vAlign w:val="top"/>
          </w:tcPr>
          <w:p>
            <w:pPr>
              <w:rPr>
                <w:rFonts w:hint="eastAsia" w:ascii="宋体" w:hAnsi="宋体" w:eastAsia="宋体" w:cs="宋体"/>
                <w:color w:val="auto"/>
                <w:sz w:val="21"/>
                <w:highlight w:val="none"/>
              </w:rPr>
            </w:pPr>
          </w:p>
        </w:tc>
        <w:tc>
          <w:tcPr>
            <w:tcW w:w="1111" w:type="dxa"/>
            <w:vMerge w:val="continue"/>
            <w:tcBorders>
              <w:top w:val="nil"/>
            </w:tcBorders>
            <w:vAlign w:val="top"/>
          </w:tcPr>
          <w:p>
            <w:pPr>
              <w:rPr>
                <w:rFonts w:hint="eastAsia" w:ascii="宋体" w:hAnsi="宋体" w:eastAsia="宋体" w:cs="宋体"/>
                <w:color w:val="auto"/>
                <w:sz w:val="21"/>
                <w:highlight w:val="none"/>
              </w:rPr>
            </w:pPr>
          </w:p>
        </w:tc>
        <w:tc>
          <w:tcPr>
            <w:tcW w:w="1619" w:type="dxa"/>
            <w:gridSpan w:val="2"/>
            <w:vAlign w:val="top"/>
          </w:tcPr>
          <w:p>
            <w:pPr>
              <w:pStyle w:val="10"/>
              <w:spacing w:before="179" w:line="222" w:lineRule="auto"/>
              <w:ind w:left="501"/>
              <w:rPr>
                <w:rFonts w:hint="eastAsia" w:ascii="宋体" w:hAnsi="宋体" w:eastAsia="宋体" w:cs="宋体"/>
                <w:color w:val="auto"/>
                <w:highlight w:val="none"/>
              </w:rPr>
            </w:pPr>
            <w:r>
              <w:rPr>
                <w:rFonts w:hint="eastAsia" w:ascii="宋体" w:hAnsi="宋体" w:eastAsia="宋体" w:cs="宋体"/>
                <w:color w:val="auto"/>
                <w:spacing w:val="-4"/>
                <w:highlight w:val="none"/>
              </w:rPr>
              <w:t>技</w:t>
            </w:r>
            <w:r>
              <w:rPr>
                <w:rFonts w:hint="eastAsia" w:ascii="宋体" w:hAnsi="宋体" w:eastAsia="宋体" w:cs="宋体"/>
                <w:color w:val="auto"/>
                <w:spacing w:val="5"/>
                <w:highlight w:val="none"/>
              </w:rPr>
              <w:t xml:space="preserve">  </w:t>
            </w:r>
            <w:r>
              <w:rPr>
                <w:rFonts w:hint="eastAsia" w:ascii="宋体" w:hAnsi="宋体" w:eastAsia="宋体" w:cs="宋体"/>
                <w:color w:val="auto"/>
                <w:spacing w:val="-4"/>
                <w:highlight w:val="none"/>
              </w:rPr>
              <w:t>工</w:t>
            </w:r>
          </w:p>
        </w:tc>
        <w:tc>
          <w:tcPr>
            <w:tcW w:w="2222" w:type="dxa"/>
            <w:gridSpan w:val="2"/>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6" w:hRule="atLeast"/>
        </w:trPr>
        <w:tc>
          <w:tcPr>
            <w:tcW w:w="1489" w:type="dxa"/>
            <w:vAlign w:val="top"/>
          </w:tcPr>
          <w:p>
            <w:pPr>
              <w:spacing w:line="276" w:lineRule="auto"/>
              <w:rPr>
                <w:rFonts w:hint="eastAsia" w:ascii="宋体" w:hAnsi="宋体" w:eastAsia="宋体" w:cs="宋体"/>
                <w:color w:val="auto"/>
                <w:sz w:val="21"/>
                <w:highlight w:val="none"/>
              </w:rPr>
            </w:pPr>
          </w:p>
          <w:p>
            <w:pPr>
              <w:spacing w:line="277" w:lineRule="auto"/>
              <w:rPr>
                <w:rFonts w:hint="eastAsia" w:ascii="宋体" w:hAnsi="宋体" w:eastAsia="宋体" w:cs="宋体"/>
                <w:color w:val="auto"/>
                <w:sz w:val="21"/>
                <w:highlight w:val="none"/>
              </w:rPr>
            </w:pPr>
          </w:p>
          <w:p>
            <w:pPr>
              <w:pStyle w:val="10"/>
              <w:spacing w:before="68" w:line="221" w:lineRule="auto"/>
              <w:ind w:left="331"/>
              <w:rPr>
                <w:rFonts w:hint="eastAsia" w:ascii="宋体" w:hAnsi="宋体" w:eastAsia="宋体" w:cs="宋体"/>
                <w:color w:val="auto"/>
                <w:highlight w:val="none"/>
              </w:rPr>
            </w:pPr>
            <w:r>
              <w:rPr>
                <w:rFonts w:hint="eastAsia" w:ascii="宋体" w:hAnsi="宋体" w:eastAsia="宋体" w:cs="宋体"/>
                <w:color w:val="auto"/>
                <w:spacing w:val="-2"/>
                <w:highlight w:val="none"/>
              </w:rPr>
              <w:t>经营范围</w:t>
            </w:r>
          </w:p>
        </w:tc>
        <w:tc>
          <w:tcPr>
            <w:tcW w:w="7229" w:type="dxa"/>
            <w:gridSpan w:val="7"/>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89" w:type="dxa"/>
            <w:vAlign w:val="top"/>
          </w:tcPr>
          <w:p>
            <w:pPr>
              <w:pStyle w:val="10"/>
              <w:spacing w:before="180" w:line="222" w:lineRule="auto"/>
              <w:ind w:left="543"/>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c>
          <w:tcPr>
            <w:tcW w:w="7229" w:type="dxa"/>
            <w:gridSpan w:val="7"/>
            <w:vAlign w:val="top"/>
          </w:tcPr>
          <w:p>
            <w:pPr>
              <w:rPr>
                <w:rFonts w:hint="eastAsia" w:ascii="宋体" w:hAnsi="宋体" w:eastAsia="宋体" w:cs="宋体"/>
                <w:color w:val="auto"/>
                <w:sz w:val="21"/>
                <w:highlight w:val="none"/>
              </w:rPr>
            </w:pPr>
          </w:p>
        </w:tc>
      </w:tr>
    </w:tbl>
    <w:p>
      <w:pPr>
        <w:spacing w:before="151" w:line="221" w:lineRule="auto"/>
        <w:ind w:left="624"/>
        <w:rPr>
          <w:rFonts w:hint="eastAsia" w:ascii="宋体" w:hAnsi="宋体" w:eastAsia="宋体" w:cs="宋体"/>
          <w:color w:val="auto"/>
          <w:spacing w:val="-1"/>
          <w:sz w:val="21"/>
          <w:szCs w:val="21"/>
          <w:highlight w:val="none"/>
        </w:rPr>
      </w:pPr>
      <w:r>
        <w:rPr>
          <w:rFonts w:hint="eastAsia" w:ascii="宋体" w:hAnsi="宋体" w:eastAsia="宋体" w:cs="宋体"/>
          <w:color w:val="auto"/>
          <w:spacing w:val="-1"/>
          <w:sz w:val="21"/>
          <w:szCs w:val="21"/>
          <w:highlight w:val="none"/>
        </w:rPr>
        <w:t>备注： 1.本表后应附企业法人营业执照、企业资质证书、安全生产许可证、基本账户开户许可证（基本存款账户信息）、质量、环境、职业健康安全管理体系认证证书等材料。</w:t>
      </w:r>
    </w:p>
    <w:p>
      <w:pPr>
        <w:spacing w:before="151" w:line="221" w:lineRule="auto"/>
        <w:ind w:left="62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2.联合体投标的，联合体各成员应分别填写。</w:t>
      </w:r>
    </w:p>
    <w:p>
      <w:pPr>
        <w:spacing w:line="221" w:lineRule="auto"/>
        <w:rPr>
          <w:rFonts w:hint="eastAsia" w:ascii="宋体" w:hAnsi="宋体" w:eastAsia="宋体" w:cs="宋体"/>
          <w:color w:val="auto"/>
          <w:sz w:val="21"/>
          <w:szCs w:val="21"/>
          <w:highlight w:val="none"/>
        </w:rPr>
        <w:sectPr>
          <w:footerReference r:id="rId147" w:type="default"/>
          <w:pgSz w:w="11905" w:h="16843"/>
          <w:pgMar w:top="1769" w:right="1548" w:bottom="1003" w:left="1542" w:header="0" w:footer="828" w:gutter="0"/>
          <w:pgNumType w:fmt="numberInDash"/>
          <w:cols w:space="0" w:num="1"/>
          <w:rtlGutter w:val="0"/>
          <w:docGrid w:linePitch="0" w:charSpace="0"/>
        </w:sectPr>
      </w:pPr>
    </w:p>
    <w:p>
      <w:pPr>
        <w:pStyle w:val="2"/>
        <w:spacing w:line="244" w:lineRule="auto"/>
        <w:rPr>
          <w:rFonts w:hint="eastAsia" w:ascii="宋体" w:hAnsi="宋体" w:eastAsia="宋体" w:cs="宋体"/>
          <w:color w:val="auto"/>
          <w:highlight w:val="none"/>
        </w:rPr>
      </w:pPr>
    </w:p>
    <w:p>
      <w:pPr>
        <w:spacing w:before="78" w:line="218" w:lineRule="auto"/>
        <w:ind w:left="349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1-2</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5"/>
          <w:sz w:val="24"/>
          <w:szCs w:val="24"/>
          <w:highlight w:val="none"/>
        </w:rPr>
        <w:t>关联单位情况说明</w:t>
      </w:r>
    </w:p>
    <w:p>
      <w:pPr>
        <w:spacing w:before="32"/>
        <w:rPr>
          <w:rFonts w:hint="eastAsia" w:ascii="宋体" w:hAnsi="宋体" w:eastAsia="宋体" w:cs="宋体"/>
          <w:color w:val="auto"/>
          <w:highlight w:val="none"/>
        </w:rPr>
      </w:pPr>
    </w:p>
    <w:p>
      <w:pPr>
        <w:spacing w:before="31"/>
        <w:rPr>
          <w:rFonts w:hint="eastAsia" w:ascii="宋体" w:hAnsi="宋体" w:eastAsia="宋体" w:cs="宋体"/>
          <w:color w:val="auto"/>
          <w:highlight w:val="none"/>
        </w:rPr>
      </w:pPr>
    </w:p>
    <w:tbl>
      <w:tblPr>
        <w:tblStyle w:val="9"/>
        <w:tblW w:w="924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0" w:hRule="atLeast"/>
        </w:trPr>
        <w:tc>
          <w:tcPr>
            <w:tcW w:w="9241" w:type="dxa"/>
            <w:vAlign w:val="top"/>
          </w:tcPr>
          <w:p>
            <w:pPr>
              <w:spacing w:line="323" w:lineRule="auto"/>
              <w:rPr>
                <w:rFonts w:hint="eastAsia" w:ascii="宋体" w:hAnsi="宋体" w:eastAsia="宋体" w:cs="宋体"/>
                <w:color w:val="auto"/>
                <w:sz w:val="21"/>
                <w:highlight w:val="none"/>
              </w:rPr>
            </w:pPr>
          </w:p>
          <w:p>
            <w:pPr>
              <w:pStyle w:val="10"/>
              <w:spacing w:before="69" w:line="220" w:lineRule="auto"/>
              <w:ind w:left="14"/>
              <w:rPr>
                <w:rFonts w:hint="eastAsia" w:ascii="宋体" w:hAnsi="宋体" w:eastAsia="宋体" w:cs="宋体"/>
                <w:color w:val="auto"/>
                <w:highlight w:val="none"/>
              </w:rPr>
            </w:pPr>
            <w:r>
              <w:rPr>
                <w:rFonts w:hint="eastAsia" w:ascii="宋体" w:hAnsi="宋体" w:eastAsia="宋体" w:cs="宋体"/>
                <w:color w:val="auto"/>
                <w:spacing w:val="-2"/>
                <w:highlight w:val="none"/>
              </w:rPr>
              <w:t>单位负责人与本单位负责人为同一人的单位：</w:t>
            </w:r>
          </w:p>
          <w:p>
            <w:pPr>
              <w:spacing w:line="262" w:lineRule="auto"/>
              <w:rPr>
                <w:rFonts w:hint="eastAsia" w:ascii="宋体" w:hAnsi="宋体" w:eastAsia="宋体" w:cs="宋体"/>
                <w:color w:val="auto"/>
                <w:sz w:val="21"/>
                <w:highlight w:val="none"/>
              </w:rPr>
            </w:pPr>
          </w:p>
          <w:p>
            <w:pPr>
              <w:spacing w:line="263" w:lineRule="auto"/>
              <w:rPr>
                <w:rFonts w:hint="eastAsia" w:ascii="宋体" w:hAnsi="宋体" w:eastAsia="宋体" w:cs="宋体"/>
                <w:color w:val="auto"/>
                <w:sz w:val="21"/>
                <w:highlight w:val="none"/>
              </w:rPr>
            </w:pPr>
          </w:p>
          <w:p>
            <w:pPr>
              <w:spacing w:line="263" w:lineRule="auto"/>
              <w:rPr>
                <w:rFonts w:hint="eastAsia" w:ascii="宋体" w:hAnsi="宋体" w:eastAsia="宋体" w:cs="宋体"/>
                <w:color w:val="auto"/>
                <w:sz w:val="21"/>
                <w:highlight w:val="none"/>
              </w:rPr>
            </w:pPr>
          </w:p>
          <w:p>
            <w:pPr>
              <w:spacing w:line="263" w:lineRule="auto"/>
              <w:rPr>
                <w:rFonts w:hint="eastAsia" w:ascii="宋体" w:hAnsi="宋体" w:eastAsia="宋体" w:cs="宋体"/>
                <w:color w:val="auto"/>
                <w:sz w:val="21"/>
                <w:highlight w:val="none"/>
              </w:rPr>
            </w:pPr>
          </w:p>
          <w:p>
            <w:pPr>
              <w:spacing w:line="263" w:lineRule="auto"/>
              <w:rPr>
                <w:rFonts w:hint="eastAsia" w:ascii="宋体" w:hAnsi="宋体" w:eastAsia="宋体" w:cs="宋体"/>
                <w:color w:val="auto"/>
                <w:sz w:val="21"/>
                <w:highlight w:val="none"/>
              </w:rPr>
            </w:pPr>
          </w:p>
          <w:p>
            <w:pPr>
              <w:spacing w:line="263" w:lineRule="auto"/>
              <w:rPr>
                <w:rFonts w:hint="eastAsia" w:ascii="宋体" w:hAnsi="宋体" w:eastAsia="宋体" w:cs="宋体"/>
                <w:color w:val="auto"/>
                <w:sz w:val="21"/>
                <w:highlight w:val="none"/>
              </w:rPr>
            </w:pPr>
          </w:p>
          <w:p>
            <w:pPr>
              <w:pStyle w:val="10"/>
              <w:spacing w:before="69" w:line="220" w:lineRule="auto"/>
              <w:ind w:left="17"/>
              <w:rPr>
                <w:rFonts w:hint="eastAsia" w:ascii="宋体" w:hAnsi="宋体" w:eastAsia="宋体" w:cs="宋体"/>
                <w:color w:val="auto"/>
                <w:highlight w:val="none"/>
              </w:rPr>
            </w:pPr>
            <w:r>
              <w:rPr>
                <w:rFonts w:hint="eastAsia" w:ascii="宋体" w:hAnsi="宋体" w:eastAsia="宋体" w:cs="宋体"/>
                <w:color w:val="auto"/>
                <w:spacing w:val="-1"/>
                <w:highlight w:val="none"/>
              </w:rPr>
              <w:t>与本单位存在控股与被控股关系的单位：</w:t>
            </w:r>
          </w:p>
          <w:p>
            <w:pPr>
              <w:spacing w:line="265" w:lineRule="auto"/>
              <w:rPr>
                <w:rFonts w:hint="eastAsia" w:ascii="宋体" w:hAnsi="宋体" w:eastAsia="宋体" w:cs="宋体"/>
                <w:color w:val="auto"/>
                <w:sz w:val="21"/>
                <w:highlight w:val="none"/>
              </w:rPr>
            </w:pPr>
          </w:p>
          <w:p>
            <w:pPr>
              <w:spacing w:line="265" w:lineRule="auto"/>
              <w:rPr>
                <w:rFonts w:hint="eastAsia" w:ascii="宋体" w:hAnsi="宋体" w:eastAsia="宋体" w:cs="宋体"/>
                <w:color w:val="auto"/>
                <w:sz w:val="21"/>
                <w:highlight w:val="none"/>
              </w:rPr>
            </w:pPr>
          </w:p>
          <w:p>
            <w:pPr>
              <w:spacing w:line="265" w:lineRule="auto"/>
              <w:rPr>
                <w:rFonts w:hint="eastAsia" w:ascii="宋体" w:hAnsi="宋体" w:eastAsia="宋体" w:cs="宋体"/>
                <w:color w:val="auto"/>
                <w:sz w:val="21"/>
                <w:highlight w:val="none"/>
              </w:rPr>
            </w:pPr>
          </w:p>
          <w:p>
            <w:pPr>
              <w:spacing w:line="266" w:lineRule="auto"/>
              <w:rPr>
                <w:rFonts w:hint="eastAsia" w:ascii="宋体" w:hAnsi="宋体" w:eastAsia="宋体" w:cs="宋体"/>
                <w:color w:val="auto"/>
                <w:sz w:val="21"/>
                <w:highlight w:val="none"/>
              </w:rPr>
            </w:pPr>
          </w:p>
          <w:p>
            <w:pPr>
              <w:spacing w:line="266" w:lineRule="auto"/>
              <w:rPr>
                <w:rFonts w:hint="eastAsia" w:ascii="宋体" w:hAnsi="宋体" w:eastAsia="宋体" w:cs="宋体"/>
                <w:color w:val="auto"/>
                <w:sz w:val="21"/>
                <w:highlight w:val="none"/>
              </w:rPr>
            </w:pPr>
          </w:p>
          <w:p>
            <w:pPr>
              <w:spacing w:line="266" w:lineRule="auto"/>
              <w:rPr>
                <w:rFonts w:hint="eastAsia" w:ascii="宋体" w:hAnsi="宋体" w:eastAsia="宋体" w:cs="宋体"/>
                <w:color w:val="auto"/>
                <w:sz w:val="21"/>
                <w:highlight w:val="none"/>
              </w:rPr>
            </w:pPr>
          </w:p>
          <w:p>
            <w:pPr>
              <w:spacing w:line="266" w:lineRule="auto"/>
              <w:rPr>
                <w:rFonts w:hint="eastAsia" w:ascii="宋体" w:hAnsi="宋体" w:eastAsia="宋体" w:cs="宋体"/>
                <w:color w:val="auto"/>
                <w:sz w:val="21"/>
                <w:highlight w:val="none"/>
              </w:rPr>
            </w:pPr>
          </w:p>
          <w:p>
            <w:pPr>
              <w:spacing w:line="266" w:lineRule="auto"/>
              <w:rPr>
                <w:rFonts w:hint="eastAsia" w:ascii="宋体" w:hAnsi="宋体" w:eastAsia="宋体" w:cs="宋体"/>
                <w:color w:val="auto"/>
                <w:sz w:val="21"/>
                <w:highlight w:val="none"/>
              </w:rPr>
            </w:pPr>
          </w:p>
          <w:p>
            <w:pPr>
              <w:spacing w:line="266" w:lineRule="auto"/>
              <w:rPr>
                <w:rFonts w:hint="eastAsia" w:ascii="宋体" w:hAnsi="宋体" w:eastAsia="宋体" w:cs="宋体"/>
                <w:color w:val="auto"/>
                <w:sz w:val="21"/>
                <w:highlight w:val="none"/>
              </w:rPr>
            </w:pPr>
          </w:p>
          <w:p>
            <w:pPr>
              <w:pStyle w:val="10"/>
              <w:spacing w:before="68" w:line="220" w:lineRule="auto"/>
              <w:ind w:left="17"/>
              <w:rPr>
                <w:rFonts w:hint="eastAsia" w:ascii="宋体" w:hAnsi="宋体" w:eastAsia="宋体" w:cs="宋体"/>
                <w:color w:val="auto"/>
                <w:highlight w:val="none"/>
              </w:rPr>
            </w:pPr>
            <w:r>
              <w:rPr>
                <w:rFonts w:hint="eastAsia" w:ascii="宋体" w:hAnsi="宋体" w:eastAsia="宋体" w:cs="宋体"/>
                <w:color w:val="auto"/>
                <w:spacing w:val="-1"/>
                <w:highlight w:val="none"/>
              </w:rPr>
              <w:t>与本单位存在管理与被管理关系的单位：</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96"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备注：</w:t>
      </w:r>
      <w:r>
        <w:rPr>
          <w:rFonts w:hint="eastAsia" w:ascii="宋体" w:hAnsi="宋体" w:eastAsia="宋体" w:cs="宋体"/>
          <w:color w:val="auto"/>
          <w:sz w:val="21"/>
          <w:szCs w:val="21"/>
          <w:highlight w: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1.投标人应当如实披露相关关联单位的情况。没有相关关联单位的明确填“无”。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2.联合体投标的，联合体各成员应分别填</w:t>
      </w:r>
      <w:r>
        <w:rPr>
          <w:rFonts w:hint="eastAsia" w:ascii="宋体" w:hAnsi="宋体" w:eastAsia="宋体" w:cs="宋体"/>
          <w:color w:val="auto"/>
          <w:spacing w:val="-2"/>
          <w:sz w:val="21"/>
          <w:szCs w:val="21"/>
          <w:highlight w:val="none"/>
        </w:rPr>
        <w:t>写。</w:t>
      </w:r>
    </w:p>
    <w:p>
      <w:pPr>
        <w:spacing w:line="231" w:lineRule="auto"/>
        <w:rPr>
          <w:rFonts w:hint="eastAsia" w:ascii="宋体" w:hAnsi="宋体" w:eastAsia="宋体" w:cs="宋体"/>
          <w:color w:val="auto"/>
          <w:sz w:val="21"/>
          <w:szCs w:val="21"/>
          <w:highlight w:val="none"/>
        </w:rPr>
        <w:sectPr>
          <w:footerReference r:id="rId148" w:type="default"/>
          <w:pgSz w:w="11905" w:h="16843"/>
          <w:pgMar w:top="1769" w:right="1548" w:bottom="1003" w:left="1542" w:header="0" w:footer="828" w:gutter="0"/>
          <w:pgNumType w:fmt="numberInDash"/>
          <w:cols w:space="0" w:num="1"/>
          <w:rtlGutter w:val="0"/>
          <w:docGrid w:linePitch="0" w:charSpace="0"/>
        </w:sectPr>
      </w:pPr>
    </w:p>
    <w:p>
      <w:pPr>
        <w:spacing w:before="78" w:line="218" w:lineRule="auto"/>
        <w:ind w:left="2296"/>
        <w:rPr>
          <w:rFonts w:hint="eastAsia" w:ascii="宋体" w:hAnsi="宋体" w:eastAsia="宋体" w:cs="宋体"/>
          <w:color w:val="auto"/>
          <w:sz w:val="24"/>
          <w:szCs w:val="24"/>
          <w:highlight w:val="none"/>
        </w:rPr>
      </w:pPr>
      <w:bookmarkStart w:id="424" w:name="bookmark465"/>
      <w:bookmarkEnd w:id="424"/>
      <w:r>
        <w:rPr>
          <w:rFonts w:hint="eastAsia" w:ascii="宋体" w:hAnsi="宋体" w:eastAsia="宋体" w:cs="宋体"/>
          <w:color w:val="auto"/>
          <w:spacing w:val="-2"/>
          <w:sz w:val="24"/>
          <w:szCs w:val="24"/>
          <w:highlight w:val="none"/>
        </w:rPr>
        <w:t>1-3 项目管理机构主要人员及简历表</w:t>
      </w:r>
    </w:p>
    <w:p>
      <w:pPr>
        <w:pStyle w:val="2"/>
        <w:spacing w:line="244" w:lineRule="auto"/>
        <w:rPr>
          <w:rFonts w:hint="eastAsia" w:ascii="宋体" w:hAnsi="宋体" w:eastAsia="宋体" w:cs="宋体"/>
          <w:color w:val="auto"/>
          <w:highlight w:val="none"/>
        </w:rPr>
      </w:pPr>
    </w:p>
    <w:p>
      <w:pPr>
        <w:pStyle w:val="2"/>
        <w:spacing w:line="244" w:lineRule="auto"/>
        <w:rPr>
          <w:rFonts w:hint="eastAsia" w:ascii="宋体" w:hAnsi="宋体" w:eastAsia="宋体" w:cs="宋体"/>
          <w:color w:val="auto"/>
          <w:highlight w:val="none"/>
        </w:rPr>
      </w:pPr>
    </w:p>
    <w:p>
      <w:pPr>
        <w:spacing w:before="68" w:line="219" w:lineRule="auto"/>
        <w:ind w:left="33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说明：</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7"/>
          <w:sz w:val="21"/>
          <w:szCs w:val="21"/>
          <w:highlight w:val="none"/>
        </w:rPr>
        <w:t>“项目管理机构主要人员及简历表”同本章第七节。</w:t>
      </w:r>
    </w:p>
    <w:p>
      <w:pPr>
        <w:spacing w:line="219" w:lineRule="auto"/>
        <w:rPr>
          <w:rFonts w:hint="eastAsia" w:ascii="宋体" w:hAnsi="宋体" w:eastAsia="宋体" w:cs="宋体"/>
          <w:color w:val="auto"/>
          <w:sz w:val="21"/>
          <w:szCs w:val="21"/>
          <w:highlight w:val="none"/>
        </w:rPr>
        <w:sectPr>
          <w:footerReference r:id="rId149"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2608"/>
        <w:rPr>
          <w:rFonts w:hint="eastAsia" w:ascii="宋体" w:hAnsi="宋体" w:eastAsia="宋体" w:cs="宋体"/>
          <w:color w:val="auto"/>
          <w:sz w:val="24"/>
          <w:szCs w:val="24"/>
          <w:highlight w:val="none"/>
        </w:rPr>
      </w:pPr>
      <w:bookmarkStart w:id="425" w:name="bookmark466"/>
      <w:bookmarkEnd w:id="425"/>
      <w:r>
        <w:rPr>
          <w:rFonts w:hint="eastAsia" w:ascii="宋体" w:hAnsi="宋体" w:eastAsia="宋体" w:cs="宋体"/>
          <w:color w:val="auto"/>
          <w:spacing w:val="-2"/>
          <w:sz w:val="24"/>
          <w:szCs w:val="24"/>
          <w:highlight w:val="none"/>
        </w:rPr>
        <w:t>1-4 拟投入主要施工机械设备情况表</w:t>
      </w:r>
    </w:p>
    <w:p>
      <w:pPr>
        <w:spacing w:before="160"/>
        <w:rPr>
          <w:rFonts w:hint="eastAsia" w:ascii="宋体" w:hAnsi="宋体" w:eastAsia="宋体" w:cs="宋体"/>
          <w:color w:val="auto"/>
          <w:highlight w:val="none"/>
        </w:rPr>
      </w:pPr>
    </w:p>
    <w:tbl>
      <w:tblPr>
        <w:tblStyle w:val="9"/>
        <w:tblW w:w="88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7"/>
        <w:gridCol w:w="1266"/>
        <w:gridCol w:w="1267"/>
        <w:gridCol w:w="1268"/>
        <w:gridCol w:w="1267"/>
        <w:gridCol w:w="1266"/>
        <w:gridCol w:w="1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77" w:type="dxa"/>
            <w:tcBorders>
              <w:top w:val="single" w:color="000000" w:sz="6" w:space="0"/>
              <w:left w:val="single" w:color="000000" w:sz="6" w:space="0"/>
            </w:tcBorders>
            <w:vAlign w:val="top"/>
          </w:tcPr>
          <w:p>
            <w:pPr>
              <w:pStyle w:val="10"/>
              <w:spacing w:before="100" w:line="232" w:lineRule="auto"/>
              <w:ind w:left="528" w:right="110" w:hanging="419"/>
              <w:rPr>
                <w:rFonts w:hint="eastAsia" w:ascii="宋体" w:hAnsi="宋体" w:eastAsia="宋体" w:cs="宋体"/>
                <w:color w:val="auto"/>
                <w:highlight w:val="none"/>
              </w:rPr>
            </w:pPr>
            <w:r>
              <w:rPr>
                <w:rFonts w:hint="eastAsia" w:ascii="宋体" w:hAnsi="宋体" w:eastAsia="宋体" w:cs="宋体"/>
                <w:color w:val="auto"/>
                <w:spacing w:val="-1"/>
                <w:highlight w:val="none"/>
              </w:rPr>
              <w:t>机械设备名</w:t>
            </w:r>
            <w:r>
              <w:rPr>
                <w:rFonts w:hint="eastAsia" w:ascii="宋体" w:hAnsi="宋体" w:eastAsia="宋体" w:cs="宋体"/>
                <w:color w:val="auto"/>
                <w:highlight w:val="none"/>
              </w:rPr>
              <w:t xml:space="preserve"> 称</w:t>
            </w:r>
          </w:p>
        </w:tc>
        <w:tc>
          <w:tcPr>
            <w:tcW w:w="1266" w:type="dxa"/>
            <w:tcBorders>
              <w:top w:val="single" w:color="000000" w:sz="6" w:space="0"/>
            </w:tcBorders>
            <w:vAlign w:val="top"/>
          </w:tcPr>
          <w:p>
            <w:pPr>
              <w:pStyle w:val="10"/>
              <w:spacing w:before="237" w:line="221" w:lineRule="auto"/>
              <w:ind w:left="220"/>
              <w:rPr>
                <w:rFonts w:hint="eastAsia" w:ascii="宋体" w:hAnsi="宋体" w:eastAsia="宋体" w:cs="宋体"/>
                <w:color w:val="auto"/>
                <w:highlight w:val="none"/>
              </w:rPr>
            </w:pPr>
            <w:r>
              <w:rPr>
                <w:rFonts w:hint="eastAsia" w:ascii="宋体" w:hAnsi="宋体" w:eastAsia="宋体" w:cs="宋体"/>
                <w:color w:val="auto"/>
                <w:spacing w:val="-3"/>
                <w:highlight w:val="none"/>
              </w:rPr>
              <w:t>型号规格</w:t>
            </w:r>
          </w:p>
        </w:tc>
        <w:tc>
          <w:tcPr>
            <w:tcW w:w="1267" w:type="dxa"/>
            <w:tcBorders>
              <w:top w:val="single" w:color="000000" w:sz="6" w:space="0"/>
            </w:tcBorders>
            <w:vAlign w:val="top"/>
          </w:tcPr>
          <w:p>
            <w:pPr>
              <w:pStyle w:val="10"/>
              <w:spacing w:before="237" w:line="221" w:lineRule="auto"/>
              <w:ind w:left="323"/>
              <w:rPr>
                <w:rFonts w:hint="eastAsia" w:ascii="宋体" w:hAnsi="宋体" w:eastAsia="宋体" w:cs="宋体"/>
                <w:color w:val="auto"/>
                <w:highlight w:val="none"/>
              </w:rPr>
            </w:pPr>
            <w:r>
              <w:rPr>
                <w:rFonts w:hint="eastAsia" w:ascii="宋体" w:hAnsi="宋体" w:eastAsia="宋体" w:cs="宋体"/>
                <w:color w:val="auto"/>
                <w:spacing w:val="-5"/>
                <w:highlight w:val="none"/>
              </w:rPr>
              <w:t>数</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5"/>
                <w:highlight w:val="none"/>
              </w:rPr>
              <w:t>量</w:t>
            </w:r>
          </w:p>
        </w:tc>
        <w:tc>
          <w:tcPr>
            <w:tcW w:w="1268" w:type="dxa"/>
            <w:tcBorders>
              <w:top w:val="single" w:color="000000" w:sz="6" w:space="0"/>
            </w:tcBorders>
            <w:vAlign w:val="top"/>
          </w:tcPr>
          <w:p>
            <w:pPr>
              <w:pStyle w:val="10"/>
              <w:spacing w:before="237" w:line="221" w:lineRule="auto"/>
              <w:ind w:left="258"/>
              <w:rPr>
                <w:rFonts w:hint="eastAsia" w:ascii="宋体" w:hAnsi="宋体" w:eastAsia="宋体" w:cs="宋体"/>
                <w:color w:val="auto"/>
                <w:highlight w:val="none"/>
              </w:rPr>
            </w:pPr>
            <w:r>
              <w:rPr>
                <w:rFonts w:hint="eastAsia" w:ascii="宋体" w:hAnsi="宋体" w:eastAsia="宋体" w:cs="宋体"/>
                <w:color w:val="auto"/>
                <w:spacing w:val="-12"/>
                <w:highlight w:val="none"/>
              </w:rPr>
              <w:t>目前状况</w:t>
            </w:r>
          </w:p>
        </w:tc>
        <w:tc>
          <w:tcPr>
            <w:tcW w:w="1267" w:type="dxa"/>
            <w:tcBorders>
              <w:top w:val="single" w:color="000000" w:sz="6" w:space="0"/>
            </w:tcBorders>
            <w:vAlign w:val="top"/>
          </w:tcPr>
          <w:p>
            <w:pPr>
              <w:pStyle w:val="10"/>
              <w:spacing w:before="237" w:line="221" w:lineRule="auto"/>
              <w:ind w:left="326"/>
              <w:rPr>
                <w:rFonts w:hint="eastAsia" w:ascii="宋体" w:hAnsi="宋体" w:eastAsia="宋体" w:cs="宋体"/>
                <w:color w:val="auto"/>
                <w:highlight w:val="none"/>
              </w:rPr>
            </w:pPr>
            <w:r>
              <w:rPr>
                <w:rFonts w:hint="eastAsia" w:ascii="宋体" w:hAnsi="宋体" w:eastAsia="宋体" w:cs="宋体"/>
                <w:color w:val="auto"/>
                <w:spacing w:val="-4"/>
                <w:highlight w:val="none"/>
              </w:rPr>
              <w:t>来</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4"/>
                <w:highlight w:val="none"/>
              </w:rPr>
              <w:t>源</w:t>
            </w:r>
          </w:p>
        </w:tc>
        <w:tc>
          <w:tcPr>
            <w:tcW w:w="1266" w:type="dxa"/>
            <w:tcBorders>
              <w:top w:val="single" w:color="000000" w:sz="6" w:space="0"/>
            </w:tcBorders>
            <w:vAlign w:val="top"/>
          </w:tcPr>
          <w:p>
            <w:pPr>
              <w:pStyle w:val="10"/>
              <w:spacing w:before="238" w:line="221" w:lineRule="auto"/>
              <w:ind w:left="119"/>
              <w:rPr>
                <w:rFonts w:hint="eastAsia" w:ascii="宋体" w:hAnsi="宋体" w:eastAsia="宋体" w:cs="宋体"/>
                <w:color w:val="auto"/>
                <w:highlight w:val="none"/>
              </w:rPr>
            </w:pPr>
            <w:r>
              <w:rPr>
                <w:rFonts w:hint="eastAsia" w:ascii="宋体" w:hAnsi="宋体" w:eastAsia="宋体" w:cs="宋体"/>
                <w:color w:val="auto"/>
                <w:spacing w:val="-2"/>
                <w:highlight w:val="none"/>
              </w:rPr>
              <w:t>现停放地点</w:t>
            </w:r>
          </w:p>
        </w:tc>
        <w:tc>
          <w:tcPr>
            <w:tcW w:w="1277" w:type="dxa"/>
            <w:tcBorders>
              <w:top w:val="single" w:color="000000" w:sz="6" w:space="0"/>
              <w:right w:val="single" w:color="000000" w:sz="6" w:space="0"/>
            </w:tcBorders>
            <w:vAlign w:val="top"/>
          </w:tcPr>
          <w:p>
            <w:pPr>
              <w:pStyle w:val="10"/>
              <w:spacing w:before="237" w:line="222" w:lineRule="auto"/>
              <w:ind w:left="332"/>
              <w:rPr>
                <w:rFonts w:hint="eastAsia" w:ascii="宋体" w:hAnsi="宋体" w:eastAsia="宋体" w:cs="宋体"/>
                <w:color w:val="auto"/>
                <w:highlight w:val="none"/>
              </w:rPr>
            </w:pPr>
            <w:r>
              <w:rPr>
                <w:rFonts w:hint="eastAsia" w:ascii="宋体" w:hAnsi="宋体" w:eastAsia="宋体" w:cs="宋体"/>
                <w:color w:val="auto"/>
                <w:spacing w:val="-5"/>
                <w:highlight w:val="none"/>
              </w:rPr>
              <w:t>备</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5"/>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77" w:type="dxa"/>
            <w:tcBorders>
              <w:left w:val="single" w:color="000000" w:sz="6" w:space="0"/>
            </w:tcBorders>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8" w:type="dxa"/>
            <w:vAlign w:val="top"/>
          </w:tcPr>
          <w:p>
            <w:pPr>
              <w:rPr>
                <w:rFonts w:hint="eastAsia" w:ascii="宋体" w:hAnsi="宋体" w:eastAsia="宋体" w:cs="宋体"/>
                <w:color w:val="auto"/>
                <w:sz w:val="21"/>
                <w:highlight w:val="none"/>
              </w:rPr>
            </w:pPr>
          </w:p>
        </w:tc>
        <w:tc>
          <w:tcPr>
            <w:tcW w:w="1267" w:type="dxa"/>
            <w:vAlign w:val="top"/>
          </w:tcPr>
          <w:p>
            <w:pPr>
              <w:rPr>
                <w:rFonts w:hint="eastAsia" w:ascii="宋体" w:hAnsi="宋体" w:eastAsia="宋体" w:cs="宋体"/>
                <w:color w:val="auto"/>
                <w:sz w:val="21"/>
                <w:highlight w:val="none"/>
              </w:rPr>
            </w:pPr>
          </w:p>
        </w:tc>
        <w:tc>
          <w:tcPr>
            <w:tcW w:w="1266" w:type="dxa"/>
            <w:vAlign w:val="top"/>
          </w:tcPr>
          <w:p>
            <w:pPr>
              <w:rPr>
                <w:rFonts w:hint="eastAsia" w:ascii="宋体" w:hAnsi="宋体" w:eastAsia="宋体" w:cs="宋体"/>
                <w:color w:val="auto"/>
                <w:sz w:val="21"/>
                <w:highlight w:val="none"/>
              </w:rPr>
            </w:pPr>
          </w:p>
        </w:tc>
        <w:tc>
          <w:tcPr>
            <w:tcW w:w="1277"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77" w:type="dxa"/>
            <w:tcBorders>
              <w:left w:val="single" w:color="000000" w:sz="6" w:space="0"/>
              <w:bottom w:val="single" w:color="000000" w:sz="6" w:space="0"/>
            </w:tcBorders>
            <w:vAlign w:val="top"/>
          </w:tcPr>
          <w:p>
            <w:pPr>
              <w:rPr>
                <w:rFonts w:hint="eastAsia" w:ascii="宋体" w:hAnsi="宋体" w:eastAsia="宋体" w:cs="宋体"/>
                <w:color w:val="auto"/>
                <w:sz w:val="21"/>
                <w:highlight w:val="none"/>
              </w:rPr>
            </w:pPr>
          </w:p>
        </w:tc>
        <w:tc>
          <w:tcPr>
            <w:tcW w:w="1266" w:type="dxa"/>
            <w:tcBorders>
              <w:bottom w:val="single" w:color="000000" w:sz="6" w:space="0"/>
            </w:tcBorders>
            <w:vAlign w:val="top"/>
          </w:tcPr>
          <w:p>
            <w:pPr>
              <w:rPr>
                <w:rFonts w:hint="eastAsia" w:ascii="宋体" w:hAnsi="宋体" w:eastAsia="宋体" w:cs="宋体"/>
                <w:color w:val="auto"/>
                <w:sz w:val="21"/>
                <w:highlight w:val="none"/>
              </w:rPr>
            </w:pPr>
          </w:p>
        </w:tc>
        <w:tc>
          <w:tcPr>
            <w:tcW w:w="1267" w:type="dxa"/>
            <w:tcBorders>
              <w:bottom w:val="single" w:color="000000" w:sz="6" w:space="0"/>
            </w:tcBorders>
            <w:vAlign w:val="top"/>
          </w:tcPr>
          <w:p>
            <w:pPr>
              <w:rPr>
                <w:rFonts w:hint="eastAsia" w:ascii="宋体" w:hAnsi="宋体" w:eastAsia="宋体" w:cs="宋体"/>
                <w:color w:val="auto"/>
                <w:sz w:val="21"/>
                <w:highlight w:val="none"/>
              </w:rPr>
            </w:pPr>
          </w:p>
        </w:tc>
        <w:tc>
          <w:tcPr>
            <w:tcW w:w="1268" w:type="dxa"/>
            <w:tcBorders>
              <w:bottom w:val="single" w:color="000000" w:sz="6" w:space="0"/>
            </w:tcBorders>
            <w:vAlign w:val="top"/>
          </w:tcPr>
          <w:p>
            <w:pPr>
              <w:rPr>
                <w:rFonts w:hint="eastAsia" w:ascii="宋体" w:hAnsi="宋体" w:eastAsia="宋体" w:cs="宋体"/>
                <w:color w:val="auto"/>
                <w:sz w:val="21"/>
                <w:highlight w:val="none"/>
              </w:rPr>
            </w:pPr>
          </w:p>
        </w:tc>
        <w:tc>
          <w:tcPr>
            <w:tcW w:w="1267" w:type="dxa"/>
            <w:tcBorders>
              <w:bottom w:val="single" w:color="000000" w:sz="6" w:space="0"/>
            </w:tcBorders>
            <w:vAlign w:val="top"/>
          </w:tcPr>
          <w:p>
            <w:pPr>
              <w:rPr>
                <w:rFonts w:hint="eastAsia" w:ascii="宋体" w:hAnsi="宋体" w:eastAsia="宋体" w:cs="宋体"/>
                <w:color w:val="auto"/>
                <w:sz w:val="21"/>
                <w:highlight w:val="none"/>
              </w:rPr>
            </w:pPr>
          </w:p>
        </w:tc>
        <w:tc>
          <w:tcPr>
            <w:tcW w:w="1266" w:type="dxa"/>
            <w:tcBorders>
              <w:bottom w:val="single" w:color="000000" w:sz="6" w:space="0"/>
            </w:tcBorders>
            <w:vAlign w:val="top"/>
          </w:tcPr>
          <w:p>
            <w:pPr>
              <w:rPr>
                <w:rFonts w:hint="eastAsia" w:ascii="宋体" w:hAnsi="宋体" w:eastAsia="宋体" w:cs="宋体"/>
                <w:color w:val="auto"/>
                <w:sz w:val="21"/>
                <w:highlight w:val="none"/>
              </w:rPr>
            </w:pPr>
          </w:p>
        </w:tc>
        <w:tc>
          <w:tcPr>
            <w:tcW w:w="1277" w:type="dxa"/>
            <w:tcBorders>
              <w:bottom w:val="single" w:color="000000" w:sz="6" w:space="0"/>
              <w:right w:val="single" w:color="000000" w:sz="6" w:space="0"/>
            </w:tcBorders>
            <w:vAlign w:val="top"/>
          </w:tcPr>
          <w:p>
            <w:pPr>
              <w:rPr>
                <w:rFonts w:hint="eastAsia" w:ascii="宋体" w:hAnsi="宋体" w:eastAsia="宋体" w:cs="宋体"/>
                <w:color w:val="auto"/>
                <w:sz w:val="21"/>
                <w:highlight w:val="none"/>
              </w:rPr>
            </w:pPr>
          </w:p>
        </w:tc>
      </w:tr>
    </w:tbl>
    <w:p>
      <w:pPr>
        <w:spacing w:before="136" w:line="352" w:lineRule="auto"/>
        <w:ind w:left="639" w:hanging="629"/>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备注：“目前状况”应说明已使用年限、是否完好以及目前是否正在使用，“来源”分为“自有”</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
          <w:sz w:val="21"/>
          <w:szCs w:val="21"/>
          <w:highlight w:val="none"/>
        </w:rPr>
        <w:t>和“市场租赁”两种情况，</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2"/>
          <w:sz w:val="21"/>
          <w:szCs w:val="21"/>
          <w:highlight w:val="none"/>
        </w:rPr>
        <w:t>正在使用中的设备应在“</w:t>
      </w:r>
      <w:r>
        <w:rPr>
          <w:rFonts w:hint="eastAsia" w:ascii="宋体" w:hAnsi="宋体" w:eastAsia="宋体" w:cs="宋体"/>
          <w:color w:val="auto"/>
          <w:spacing w:val="-3"/>
          <w:sz w:val="21"/>
          <w:szCs w:val="21"/>
          <w:highlight w:val="none"/>
        </w:rPr>
        <w:t>备注”中注明何时能够投入本项目。</w:t>
      </w:r>
      <w:r>
        <w:rPr>
          <w:rFonts w:hint="eastAsia" w:ascii="宋体" w:hAnsi="宋体" w:eastAsia="宋体" w:cs="宋体"/>
          <w:color w:val="auto"/>
          <w:spacing w:val="2"/>
          <w:sz w:val="21"/>
          <w:szCs w:val="21"/>
          <w:highlight w:val="none"/>
        </w:rPr>
        <w:t>本招标项目（标段）投标人资质条件、能力和信誉中要求的主要施</w:t>
      </w:r>
      <w:r>
        <w:rPr>
          <w:rFonts w:hint="eastAsia" w:ascii="宋体" w:hAnsi="宋体" w:eastAsia="宋体" w:cs="宋体"/>
          <w:color w:val="auto"/>
          <w:spacing w:val="1"/>
          <w:sz w:val="21"/>
          <w:szCs w:val="21"/>
          <w:highlight w:val="none"/>
        </w:rPr>
        <w:t>工机械设备，投标人应</w:t>
      </w:r>
      <w:r>
        <w:rPr>
          <w:rFonts w:hint="eastAsia" w:ascii="宋体" w:hAnsi="宋体" w:eastAsia="宋体" w:cs="宋体"/>
          <w:color w:val="auto"/>
          <w:spacing w:val="-1"/>
          <w:sz w:val="21"/>
          <w:szCs w:val="21"/>
          <w:highlight w:val="none"/>
        </w:rPr>
        <w:t>提供相关证明材料。</w:t>
      </w:r>
    </w:p>
    <w:p>
      <w:pPr>
        <w:spacing w:line="219" w:lineRule="auto"/>
        <w:rPr>
          <w:rFonts w:hint="eastAsia" w:ascii="宋体" w:hAnsi="宋体" w:eastAsia="宋体" w:cs="宋体"/>
          <w:color w:val="auto"/>
          <w:sz w:val="21"/>
          <w:szCs w:val="21"/>
          <w:highlight w:val="none"/>
        </w:rPr>
        <w:sectPr>
          <w:footerReference r:id="rId150" w:type="default"/>
          <w:pgSz w:w="11905" w:h="16843"/>
          <w:pgMar w:top="1769" w:right="1548" w:bottom="1003" w:left="1542" w:header="0" w:footer="828" w:gutter="0"/>
          <w:pgNumType w:fmt="numberInDash"/>
          <w:cols w:space="0" w:num="1"/>
          <w:rtlGutter w:val="0"/>
          <w:docGrid w:linePitch="0" w:charSpace="0"/>
        </w:sectPr>
      </w:pPr>
    </w:p>
    <w:p>
      <w:pPr>
        <w:spacing w:before="78" w:line="218" w:lineRule="auto"/>
        <w:ind w:left="3384"/>
        <w:rPr>
          <w:rFonts w:hint="eastAsia" w:ascii="宋体" w:hAnsi="宋体" w:eastAsia="宋体" w:cs="宋体"/>
          <w:color w:val="auto"/>
          <w:sz w:val="24"/>
          <w:szCs w:val="24"/>
          <w:highlight w:val="none"/>
        </w:rPr>
      </w:pPr>
      <w:bookmarkStart w:id="426" w:name="bookmark467"/>
      <w:bookmarkEnd w:id="426"/>
      <w:r>
        <w:rPr>
          <w:rFonts w:hint="eastAsia" w:ascii="宋体" w:hAnsi="宋体" w:eastAsia="宋体" w:cs="宋体"/>
          <w:color w:val="auto"/>
          <w:spacing w:val="-4"/>
          <w:sz w:val="24"/>
          <w:szCs w:val="24"/>
          <w:highlight w:val="none"/>
        </w:rPr>
        <w:t>（二）近年财务状况</w:t>
      </w:r>
    </w:p>
    <w:p>
      <w:pPr>
        <w:spacing w:before="161"/>
        <w:rPr>
          <w:rFonts w:hint="eastAsia" w:ascii="宋体" w:hAnsi="宋体" w:eastAsia="宋体" w:cs="宋体"/>
          <w:color w:val="auto"/>
          <w:highlight w:val="none"/>
        </w:rPr>
      </w:pPr>
    </w:p>
    <w:tbl>
      <w:tblPr>
        <w:tblStyle w:val="9"/>
        <w:tblW w:w="87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7"/>
        <w:gridCol w:w="809"/>
        <w:gridCol w:w="1518"/>
        <w:gridCol w:w="1516"/>
        <w:gridCol w:w="1519"/>
        <w:gridCol w:w="15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907" w:type="dxa"/>
            <w:vAlign w:val="top"/>
          </w:tcPr>
          <w:p>
            <w:pPr>
              <w:pStyle w:val="10"/>
              <w:spacing w:before="154" w:line="223" w:lineRule="auto"/>
              <w:ind w:left="749"/>
              <w:rPr>
                <w:rFonts w:hint="eastAsia" w:ascii="宋体" w:hAnsi="宋体" w:eastAsia="宋体" w:cs="宋体"/>
                <w:color w:val="auto"/>
                <w:highlight w:val="none"/>
              </w:rPr>
            </w:pPr>
            <w:r>
              <w:rPr>
                <w:rFonts w:hint="eastAsia" w:ascii="宋体" w:hAnsi="宋体" w:eastAsia="宋体" w:cs="宋体"/>
                <w:color w:val="auto"/>
                <w:spacing w:val="-3"/>
                <w:highlight w:val="none"/>
                <w14:textOutline w14:w="3831" w14:cap="flat" w14:cmpd="sng">
                  <w14:solidFill>
                    <w14:srgbClr w14:val="000000"/>
                  </w14:solidFill>
                  <w14:prstDash w14:val="solid"/>
                  <w14:miter w14:val="0"/>
                </w14:textOutline>
              </w:rPr>
              <w:t>名称</w:t>
            </w:r>
          </w:p>
        </w:tc>
        <w:tc>
          <w:tcPr>
            <w:tcW w:w="809" w:type="dxa"/>
            <w:vAlign w:val="top"/>
          </w:tcPr>
          <w:p>
            <w:pPr>
              <w:pStyle w:val="10"/>
              <w:spacing w:before="154" w:line="221" w:lineRule="auto"/>
              <w:ind w:left="200"/>
              <w:rPr>
                <w:rFonts w:hint="eastAsia" w:ascii="宋体" w:hAnsi="宋体" w:eastAsia="宋体" w:cs="宋体"/>
                <w:color w:val="auto"/>
                <w:highlight w:val="none"/>
              </w:rPr>
            </w:pPr>
            <w:r>
              <w:rPr>
                <w:rFonts w:hint="eastAsia" w:ascii="宋体" w:hAnsi="宋体" w:eastAsia="宋体" w:cs="宋体"/>
                <w:color w:val="auto"/>
                <w:spacing w:val="-2"/>
                <w:highlight w:val="none"/>
                <w14:textOutline w14:w="3831" w14:cap="flat" w14:cmpd="sng">
                  <w14:solidFill>
                    <w14:srgbClr w14:val="000000"/>
                  </w14:solidFill>
                  <w14:prstDash w14:val="solid"/>
                  <w14:miter w14:val="0"/>
                </w14:textOutline>
              </w:rPr>
              <w:t>单位</w:t>
            </w:r>
          </w:p>
        </w:tc>
        <w:tc>
          <w:tcPr>
            <w:tcW w:w="1518" w:type="dxa"/>
            <w:vAlign w:val="top"/>
          </w:tcPr>
          <w:p>
            <w:pPr>
              <w:pStyle w:val="10"/>
              <w:tabs>
                <w:tab w:val="left" w:pos="1073"/>
              </w:tabs>
              <w:spacing w:before="153" w:line="221" w:lineRule="auto"/>
              <w:ind w:left="440"/>
              <w:rPr>
                <w:rFonts w:hint="eastAsia" w:ascii="宋体" w:hAnsi="宋体" w:eastAsia="宋体" w:cs="宋体"/>
                <w:color w:val="auto"/>
                <w:highlight w:val="none"/>
              </w:rPr>
            </w:pPr>
            <w:r>
              <w:rPr>
                <w:rFonts w:hint="eastAsia" w:ascii="宋体" w:hAnsi="宋体" w:eastAsia="宋体" w:cs="宋体"/>
                <w:color w:val="auto"/>
                <w:highlight w:val="none"/>
                <w:u w:val="single" w:color="auto"/>
              </w:rPr>
              <w:tab/>
            </w:r>
            <w:r>
              <w:rPr>
                <w:rFonts w:hint="eastAsia" w:ascii="宋体" w:hAnsi="宋体" w:eastAsia="宋体" w:cs="宋体"/>
                <w:color w:val="auto"/>
                <w:spacing w:val="-95"/>
                <w:highlight w:val="none"/>
              </w:rPr>
              <w:t xml:space="preserve"> </w:t>
            </w:r>
            <w:r>
              <w:rPr>
                <w:rFonts w:hint="eastAsia" w:ascii="宋体" w:hAnsi="宋体" w:eastAsia="宋体" w:cs="宋体"/>
                <w:color w:val="auto"/>
                <w:highlight w:val="none"/>
                <w14:textOutline w14:w="3831" w14:cap="flat" w14:cmpd="sng">
                  <w14:solidFill>
                    <w14:srgbClr w14:val="000000"/>
                  </w14:solidFill>
                  <w14:prstDash w14:val="solid"/>
                  <w14:miter w14:val="0"/>
                </w14:textOutline>
              </w:rPr>
              <w:t>年</w:t>
            </w:r>
          </w:p>
        </w:tc>
        <w:tc>
          <w:tcPr>
            <w:tcW w:w="1516" w:type="dxa"/>
            <w:vAlign w:val="top"/>
          </w:tcPr>
          <w:p>
            <w:pPr>
              <w:pStyle w:val="10"/>
              <w:tabs>
                <w:tab w:val="left" w:pos="1075"/>
              </w:tabs>
              <w:spacing w:before="153" w:line="221" w:lineRule="auto"/>
              <w:ind w:left="441"/>
              <w:rPr>
                <w:rFonts w:hint="eastAsia" w:ascii="宋体" w:hAnsi="宋体" w:eastAsia="宋体" w:cs="宋体"/>
                <w:color w:val="auto"/>
                <w:highlight w:val="none"/>
              </w:rPr>
            </w:pPr>
            <w:r>
              <w:rPr>
                <w:rFonts w:hint="eastAsia" w:ascii="宋体" w:hAnsi="宋体" w:eastAsia="宋体" w:cs="宋体"/>
                <w:color w:val="auto"/>
                <w:highlight w:val="none"/>
                <w:u w:val="single" w:color="auto"/>
              </w:rPr>
              <w:tab/>
            </w:r>
            <w:r>
              <w:rPr>
                <w:rFonts w:hint="eastAsia" w:ascii="宋体" w:hAnsi="宋体" w:eastAsia="宋体" w:cs="宋体"/>
                <w:color w:val="auto"/>
                <w:spacing w:val="-96"/>
                <w:highlight w:val="none"/>
              </w:rPr>
              <w:t xml:space="preserve"> </w:t>
            </w:r>
            <w:r>
              <w:rPr>
                <w:rFonts w:hint="eastAsia" w:ascii="宋体" w:hAnsi="宋体" w:eastAsia="宋体" w:cs="宋体"/>
                <w:color w:val="auto"/>
                <w:highlight w:val="none"/>
                <w14:textOutline w14:w="3831" w14:cap="flat" w14:cmpd="sng">
                  <w14:solidFill>
                    <w14:srgbClr w14:val="000000"/>
                  </w14:solidFill>
                  <w14:prstDash w14:val="solid"/>
                  <w14:miter w14:val="0"/>
                </w14:textOutline>
              </w:rPr>
              <w:t>年</w:t>
            </w:r>
          </w:p>
        </w:tc>
        <w:tc>
          <w:tcPr>
            <w:tcW w:w="1519" w:type="dxa"/>
            <w:vAlign w:val="top"/>
          </w:tcPr>
          <w:p>
            <w:pPr>
              <w:pStyle w:val="10"/>
              <w:tabs>
                <w:tab w:val="left" w:pos="970"/>
              </w:tabs>
              <w:spacing w:before="153" w:line="221" w:lineRule="auto"/>
              <w:ind w:left="337"/>
              <w:rPr>
                <w:rFonts w:hint="eastAsia" w:ascii="宋体" w:hAnsi="宋体" w:eastAsia="宋体" w:cs="宋体"/>
                <w:color w:val="auto"/>
                <w:highlight w:val="none"/>
              </w:rPr>
            </w:pPr>
            <w:r>
              <w:rPr>
                <w:rFonts w:hint="eastAsia" w:ascii="宋体" w:hAnsi="宋体" w:eastAsia="宋体" w:cs="宋体"/>
                <w:color w:val="auto"/>
                <w:highlight w:val="none"/>
                <w:u w:val="single" w:color="auto"/>
              </w:rPr>
              <w:tab/>
            </w:r>
            <w:r>
              <w:rPr>
                <w:rFonts w:hint="eastAsia" w:ascii="宋体" w:hAnsi="宋体" w:eastAsia="宋体" w:cs="宋体"/>
                <w:color w:val="auto"/>
                <w:spacing w:val="-96"/>
                <w:highlight w:val="none"/>
              </w:rPr>
              <w:t xml:space="preserve"> </w:t>
            </w:r>
            <w:r>
              <w:rPr>
                <w:rFonts w:hint="eastAsia" w:ascii="宋体" w:hAnsi="宋体" w:eastAsia="宋体" w:cs="宋体"/>
                <w:color w:val="auto"/>
                <w:highlight w:val="none"/>
                <w14:textOutline w14:w="3831" w14:cap="flat" w14:cmpd="sng">
                  <w14:solidFill>
                    <w14:srgbClr w14:val="000000"/>
                  </w14:solidFill>
                  <w14:prstDash w14:val="solid"/>
                  <w14:miter w14:val="0"/>
                </w14:textOutline>
              </w:rPr>
              <w:t>年</w:t>
            </w:r>
          </w:p>
        </w:tc>
        <w:tc>
          <w:tcPr>
            <w:tcW w:w="1521" w:type="dxa"/>
            <w:vAlign w:val="top"/>
          </w:tcPr>
          <w:p>
            <w:pPr>
              <w:pStyle w:val="10"/>
              <w:spacing w:before="153" w:line="221" w:lineRule="auto"/>
              <w:ind w:left="237"/>
              <w:rPr>
                <w:rFonts w:hint="eastAsia" w:ascii="宋体" w:hAnsi="宋体" w:eastAsia="宋体" w:cs="宋体"/>
                <w:color w:val="auto"/>
                <w:highlight w:val="none"/>
              </w:rPr>
            </w:pPr>
            <w:r>
              <w:rPr>
                <w:rFonts w:hint="eastAsia" w:ascii="宋体" w:hAnsi="宋体" w:eastAsia="宋体" w:cs="宋体"/>
                <w:color w:val="auto"/>
                <w:spacing w:val="-1"/>
                <w:highlight w:val="none"/>
                <w14:textOutline w14:w="3831" w14:cap="flat" w14:cmpd="sng">
                  <w14:solidFill>
                    <w14:srgbClr w14:val="000000"/>
                  </w14:solidFill>
                  <w14:prstDash w14:val="solid"/>
                  <w14:miter w14:val="0"/>
                </w14:textOutline>
              </w:rPr>
              <w:t>近年平均值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vAlign w:val="top"/>
          </w:tcPr>
          <w:p>
            <w:pPr>
              <w:pStyle w:val="10"/>
              <w:spacing w:before="147" w:line="222" w:lineRule="auto"/>
              <w:ind w:left="119"/>
              <w:rPr>
                <w:rFonts w:hint="eastAsia" w:ascii="宋体" w:hAnsi="宋体" w:eastAsia="宋体" w:cs="宋体"/>
                <w:color w:val="auto"/>
                <w:highlight w:val="none"/>
              </w:rPr>
            </w:pPr>
            <w:r>
              <w:rPr>
                <w:rFonts w:hint="eastAsia" w:ascii="宋体" w:hAnsi="宋体" w:eastAsia="宋体" w:cs="宋体"/>
                <w:color w:val="auto"/>
                <w:spacing w:val="-2"/>
                <w:highlight w:val="none"/>
              </w:rPr>
              <w:t>一．注册资金</w:t>
            </w:r>
          </w:p>
        </w:tc>
        <w:tc>
          <w:tcPr>
            <w:tcW w:w="809" w:type="dxa"/>
            <w:vAlign w:val="top"/>
          </w:tcPr>
          <w:p>
            <w:pPr>
              <w:pStyle w:val="10"/>
              <w:spacing w:before="148"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pStyle w:val="10"/>
              <w:spacing w:before="248" w:line="141" w:lineRule="exact"/>
              <w:ind w:left="711"/>
              <w:rPr>
                <w:rFonts w:hint="eastAsia" w:ascii="宋体" w:hAnsi="宋体" w:eastAsia="宋体" w:cs="宋体"/>
                <w:color w:val="auto"/>
                <w:highlight w:val="none"/>
              </w:rPr>
            </w:pPr>
            <w:r>
              <w:rPr>
                <w:rFonts w:hint="eastAsia" w:ascii="宋体" w:hAnsi="宋体" w:eastAsia="宋体" w:cs="宋体"/>
                <w:color w:val="auto"/>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907" w:type="dxa"/>
            <w:vAlign w:val="top"/>
          </w:tcPr>
          <w:p>
            <w:pPr>
              <w:pStyle w:val="10"/>
              <w:spacing w:before="150" w:line="221" w:lineRule="auto"/>
              <w:ind w:left="119"/>
              <w:rPr>
                <w:rFonts w:hint="eastAsia" w:ascii="宋体" w:hAnsi="宋体" w:eastAsia="宋体" w:cs="宋体"/>
                <w:color w:val="auto"/>
                <w:highlight w:val="none"/>
              </w:rPr>
            </w:pPr>
            <w:r>
              <w:rPr>
                <w:rFonts w:hint="eastAsia" w:ascii="宋体" w:hAnsi="宋体" w:eastAsia="宋体" w:cs="宋体"/>
                <w:color w:val="auto"/>
                <w:spacing w:val="-2"/>
                <w:highlight w:val="none"/>
              </w:rPr>
              <w:t>二．净资产</w:t>
            </w:r>
          </w:p>
        </w:tc>
        <w:tc>
          <w:tcPr>
            <w:tcW w:w="809" w:type="dxa"/>
            <w:vAlign w:val="top"/>
          </w:tcPr>
          <w:p>
            <w:pPr>
              <w:pStyle w:val="10"/>
              <w:spacing w:before="150"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pStyle w:val="10"/>
              <w:spacing w:before="251" w:line="141" w:lineRule="exact"/>
              <w:ind w:left="711"/>
              <w:rPr>
                <w:rFonts w:hint="eastAsia" w:ascii="宋体" w:hAnsi="宋体" w:eastAsia="宋体" w:cs="宋体"/>
                <w:color w:val="auto"/>
                <w:highlight w:val="none"/>
              </w:rPr>
            </w:pPr>
            <w:r>
              <w:rPr>
                <w:rFonts w:hint="eastAsia" w:ascii="宋体" w:hAnsi="宋体" w:eastAsia="宋体" w:cs="宋体"/>
                <w:color w:val="auto"/>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0" w:line="221" w:lineRule="auto"/>
              <w:ind w:left="116"/>
              <w:rPr>
                <w:rFonts w:hint="eastAsia" w:ascii="宋体" w:hAnsi="宋体" w:eastAsia="宋体" w:cs="宋体"/>
                <w:color w:val="auto"/>
                <w:highlight w:val="none"/>
              </w:rPr>
            </w:pPr>
            <w:r>
              <w:rPr>
                <w:rFonts w:hint="eastAsia" w:ascii="宋体" w:hAnsi="宋体" w:eastAsia="宋体" w:cs="宋体"/>
                <w:color w:val="auto"/>
                <w:spacing w:val="-1"/>
                <w:highlight w:val="none"/>
              </w:rPr>
              <w:t>三．总资产</w:t>
            </w:r>
          </w:p>
        </w:tc>
        <w:tc>
          <w:tcPr>
            <w:tcW w:w="809" w:type="dxa"/>
            <w:vAlign w:val="top"/>
          </w:tcPr>
          <w:p>
            <w:pPr>
              <w:pStyle w:val="10"/>
              <w:spacing w:before="151"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vAlign w:val="top"/>
          </w:tcPr>
          <w:p>
            <w:pPr>
              <w:pStyle w:val="10"/>
              <w:spacing w:before="148" w:line="221" w:lineRule="auto"/>
              <w:ind w:left="135"/>
              <w:rPr>
                <w:rFonts w:hint="eastAsia" w:ascii="宋体" w:hAnsi="宋体" w:eastAsia="宋体" w:cs="宋体"/>
                <w:color w:val="auto"/>
                <w:highlight w:val="none"/>
              </w:rPr>
            </w:pPr>
            <w:r>
              <w:rPr>
                <w:rFonts w:hint="eastAsia" w:ascii="宋体" w:hAnsi="宋体" w:eastAsia="宋体" w:cs="宋体"/>
                <w:color w:val="auto"/>
                <w:spacing w:val="-5"/>
                <w:highlight w:val="none"/>
              </w:rPr>
              <w:t>四．固定资产</w:t>
            </w:r>
          </w:p>
        </w:tc>
        <w:tc>
          <w:tcPr>
            <w:tcW w:w="809" w:type="dxa"/>
            <w:vAlign w:val="top"/>
          </w:tcPr>
          <w:p>
            <w:pPr>
              <w:pStyle w:val="10"/>
              <w:spacing w:before="149"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pStyle w:val="10"/>
              <w:spacing w:before="249" w:line="142" w:lineRule="exact"/>
              <w:ind w:left="711"/>
              <w:rPr>
                <w:rFonts w:hint="eastAsia" w:ascii="宋体" w:hAnsi="宋体" w:eastAsia="宋体" w:cs="宋体"/>
                <w:color w:val="auto"/>
                <w:highlight w:val="none"/>
              </w:rPr>
            </w:pPr>
            <w:r>
              <w:rPr>
                <w:rFonts w:hint="eastAsia" w:ascii="宋体" w:hAnsi="宋体" w:eastAsia="宋体" w:cs="宋体"/>
                <w:color w:val="auto"/>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1" w:line="221" w:lineRule="auto"/>
              <w:ind w:left="119"/>
              <w:rPr>
                <w:rFonts w:hint="eastAsia" w:ascii="宋体" w:hAnsi="宋体" w:eastAsia="宋体" w:cs="宋体"/>
                <w:color w:val="auto"/>
                <w:highlight w:val="none"/>
              </w:rPr>
            </w:pPr>
            <w:r>
              <w:rPr>
                <w:rFonts w:hint="eastAsia" w:ascii="宋体" w:hAnsi="宋体" w:eastAsia="宋体" w:cs="宋体"/>
                <w:color w:val="auto"/>
                <w:spacing w:val="-2"/>
                <w:highlight w:val="none"/>
              </w:rPr>
              <w:t>五．流动资产</w:t>
            </w:r>
          </w:p>
        </w:tc>
        <w:tc>
          <w:tcPr>
            <w:tcW w:w="809" w:type="dxa"/>
            <w:vAlign w:val="top"/>
          </w:tcPr>
          <w:p>
            <w:pPr>
              <w:pStyle w:val="10"/>
              <w:spacing w:before="152"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1" w:line="221" w:lineRule="auto"/>
              <w:ind w:left="117"/>
              <w:rPr>
                <w:rFonts w:hint="eastAsia" w:ascii="宋体" w:hAnsi="宋体" w:eastAsia="宋体" w:cs="宋体"/>
                <w:color w:val="auto"/>
                <w:highlight w:val="none"/>
              </w:rPr>
            </w:pPr>
            <w:r>
              <w:rPr>
                <w:rFonts w:hint="eastAsia" w:ascii="宋体" w:hAnsi="宋体" w:eastAsia="宋体" w:cs="宋体"/>
                <w:color w:val="auto"/>
                <w:spacing w:val="-2"/>
                <w:highlight w:val="none"/>
              </w:rPr>
              <w:t>六．流动负债</w:t>
            </w:r>
          </w:p>
        </w:tc>
        <w:tc>
          <w:tcPr>
            <w:tcW w:w="809" w:type="dxa"/>
            <w:vAlign w:val="top"/>
          </w:tcPr>
          <w:p>
            <w:pPr>
              <w:pStyle w:val="10"/>
              <w:spacing w:before="152"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vAlign w:val="top"/>
          </w:tcPr>
          <w:p>
            <w:pPr>
              <w:pStyle w:val="10"/>
              <w:spacing w:before="148" w:line="221" w:lineRule="auto"/>
              <w:ind w:left="115"/>
              <w:rPr>
                <w:rFonts w:hint="eastAsia" w:ascii="宋体" w:hAnsi="宋体" w:eastAsia="宋体" w:cs="宋体"/>
                <w:color w:val="auto"/>
                <w:highlight w:val="none"/>
              </w:rPr>
            </w:pPr>
            <w:r>
              <w:rPr>
                <w:rFonts w:hint="eastAsia" w:ascii="宋体" w:hAnsi="宋体" w:eastAsia="宋体" w:cs="宋体"/>
                <w:color w:val="auto"/>
                <w:spacing w:val="-1"/>
                <w:highlight w:val="none"/>
              </w:rPr>
              <w:t>七．负债合计</w:t>
            </w:r>
          </w:p>
        </w:tc>
        <w:tc>
          <w:tcPr>
            <w:tcW w:w="809" w:type="dxa"/>
            <w:vAlign w:val="top"/>
          </w:tcPr>
          <w:p>
            <w:pPr>
              <w:pStyle w:val="10"/>
              <w:spacing w:before="149"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1" w:line="221" w:lineRule="auto"/>
              <w:ind w:left="119"/>
              <w:rPr>
                <w:rFonts w:hint="eastAsia" w:ascii="宋体" w:hAnsi="宋体" w:eastAsia="宋体" w:cs="宋体"/>
                <w:color w:val="auto"/>
                <w:highlight w:val="none"/>
              </w:rPr>
            </w:pPr>
            <w:r>
              <w:rPr>
                <w:rFonts w:hint="eastAsia" w:ascii="宋体" w:hAnsi="宋体" w:eastAsia="宋体" w:cs="宋体"/>
                <w:color w:val="auto"/>
                <w:spacing w:val="-2"/>
                <w:highlight w:val="none"/>
              </w:rPr>
              <w:t>八．营业收入</w:t>
            </w:r>
          </w:p>
        </w:tc>
        <w:tc>
          <w:tcPr>
            <w:tcW w:w="809" w:type="dxa"/>
            <w:vAlign w:val="top"/>
          </w:tcPr>
          <w:p>
            <w:pPr>
              <w:pStyle w:val="10"/>
              <w:spacing w:before="152"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2" w:line="221" w:lineRule="auto"/>
              <w:ind w:left="121"/>
              <w:rPr>
                <w:rFonts w:hint="eastAsia" w:ascii="宋体" w:hAnsi="宋体" w:eastAsia="宋体" w:cs="宋体"/>
                <w:color w:val="auto"/>
                <w:highlight w:val="none"/>
              </w:rPr>
            </w:pPr>
            <w:r>
              <w:rPr>
                <w:rFonts w:hint="eastAsia" w:ascii="宋体" w:hAnsi="宋体" w:eastAsia="宋体" w:cs="宋体"/>
                <w:color w:val="auto"/>
                <w:spacing w:val="-2"/>
                <w:highlight w:val="none"/>
              </w:rPr>
              <w:t>九．净利润</w:t>
            </w:r>
          </w:p>
        </w:tc>
        <w:tc>
          <w:tcPr>
            <w:tcW w:w="809" w:type="dxa"/>
            <w:vAlign w:val="top"/>
          </w:tcPr>
          <w:p>
            <w:pPr>
              <w:pStyle w:val="10"/>
              <w:spacing w:before="152"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tabs>
                <w:tab w:val="left" w:pos="810"/>
              </w:tabs>
              <w:spacing w:before="59" w:line="241" w:lineRule="exact"/>
              <w:ind w:left="711"/>
              <w:rPr>
                <w:rFonts w:hint="eastAsia" w:ascii="宋体" w:hAnsi="宋体" w:eastAsia="宋体" w:cs="宋体"/>
                <w:color w:val="auto"/>
                <w:sz w:val="21"/>
                <w:highlight w:val="none"/>
              </w:rPr>
            </w:pPr>
            <w:r>
              <w:rPr>
                <w:rFonts w:hint="eastAsia" w:ascii="宋体" w:hAnsi="宋体" w:eastAsia="宋体" w:cs="宋体"/>
                <w:color w:val="auto"/>
                <w:sz w:val="21"/>
                <w:szCs w:val="21"/>
                <w:highlight w:val="none"/>
                <w:u w:val="single" w:color="auto"/>
              </w:rPr>
              <w:tab/>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vAlign w:val="top"/>
          </w:tcPr>
          <w:p>
            <w:pPr>
              <w:pStyle w:val="10"/>
              <w:spacing w:before="149" w:line="221" w:lineRule="auto"/>
              <w:ind w:left="116"/>
              <w:rPr>
                <w:rFonts w:hint="eastAsia" w:ascii="宋体" w:hAnsi="宋体" w:eastAsia="宋体" w:cs="宋体"/>
                <w:color w:val="auto"/>
                <w:highlight w:val="none"/>
              </w:rPr>
            </w:pPr>
            <w:r>
              <w:rPr>
                <w:rFonts w:hint="eastAsia" w:ascii="宋体" w:hAnsi="宋体" w:eastAsia="宋体" w:cs="宋体"/>
                <w:color w:val="auto"/>
                <w:spacing w:val="-1"/>
                <w:highlight w:val="none"/>
              </w:rPr>
              <w:t>十．现金流量净额</w:t>
            </w:r>
          </w:p>
        </w:tc>
        <w:tc>
          <w:tcPr>
            <w:tcW w:w="809" w:type="dxa"/>
            <w:vAlign w:val="top"/>
          </w:tcPr>
          <w:p>
            <w:pPr>
              <w:pStyle w:val="10"/>
              <w:spacing w:before="150" w:line="221" w:lineRule="auto"/>
              <w:ind w:left="206"/>
              <w:rPr>
                <w:rFonts w:hint="eastAsia" w:ascii="宋体" w:hAnsi="宋体" w:eastAsia="宋体" w:cs="宋体"/>
                <w:color w:val="auto"/>
                <w:highlight w:val="none"/>
              </w:rPr>
            </w:pPr>
            <w:r>
              <w:rPr>
                <w:rFonts w:hint="eastAsia" w:ascii="宋体" w:hAnsi="宋体" w:eastAsia="宋体" w:cs="宋体"/>
                <w:color w:val="auto"/>
                <w:spacing w:val="-3"/>
                <w:highlight w:val="none"/>
              </w:rPr>
              <w:t>万元</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pStyle w:val="10"/>
              <w:spacing w:before="250" w:line="141" w:lineRule="exact"/>
              <w:ind w:left="711"/>
              <w:rPr>
                <w:rFonts w:hint="eastAsia" w:ascii="宋体" w:hAnsi="宋体" w:eastAsia="宋体" w:cs="宋体"/>
                <w:color w:val="auto"/>
                <w:highlight w:val="none"/>
              </w:rPr>
            </w:pPr>
            <w:r>
              <w:rPr>
                <w:rFonts w:hint="eastAsia" w:ascii="宋体" w:hAnsi="宋体" w:eastAsia="宋体" w:cs="宋体"/>
                <w:color w:val="auto"/>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907" w:type="dxa"/>
            <w:vAlign w:val="top"/>
          </w:tcPr>
          <w:p>
            <w:pPr>
              <w:pStyle w:val="10"/>
              <w:spacing w:before="35" w:line="222" w:lineRule="auto"/>
              <w:ind w:left="116" w:right="104"/>
              <w:rPr>
                <w:rFonts w:hint="eastAsia" w:ascii="宋体" w:hAnsi="宋体" w:eastAsia="宋体" w:cs="宋体"/>
                <w:color w:val="auto"/>
                <w:highlight w:val="none"/>
              </w:rPr>
            </w:pPr>
            <w:r>
              <w:rPr>
                <w:rFonts w:hint="eastAsia" w:ascii="宋体" w:hAnsi="宋体" w:eastAsia="宋体" w:cs="宋体"/>
                <w:color w:val="auto"/>
                <w:highlight w:val="none"/>
              </w:rPr>
              <w:t>十一．主要财务指 标</w:t>
            </w:r>
          </w:p>
        </w:tc>
        <w:tc>
          <w:tcPr>
            <w:tcW w:w="809" w:type="dxa"/>
            <w:vAlign w:val="top"/>
          </w:tcPr>
          <w:p>
            <w:pPr>
              <w:rPr>
                <w:rFonts w:hint="eastAsia" w:ascii="宋体" w:hAnsi="宋体" w:eastAsia="宋体" w:cs="宋体"/>
                <w:color w:val="auto"/>
                <w:sz w:val="21"/>
                <w:highlight w:val="none"/>
              </w:rPr>
            </w:pP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pStyle w:val="10"/>
              <w:spacing w:before="269" w:line="142" w:lineRule="exact"/>
              <w:ind w:left="711"/>
              <w:rPr>
                <w:rFonts w:hint="eastAsia" w:ascii="宋体" w:hAnsi="宋体" w:eastAsia="宋体" w:cs="宋体"/>
                <w:color w:val="auto"/>
                <w:highlight w:val="none"/>
              </w:rPr>
            </w:pPr>
            <w:r>
              <w:rPr>
                <w:rFonts w:hint="eastAsia" w:ascii="宋体" w:hAnsi="宋体" w:eastAsia="宋体" w:cs="宋体"/>
                <w:color w:val="auto"/>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vAlign w:val="top"/>
          </w:tcPr>
          <w:p>
            <w:pPr>
              <w:pStyle w:val="10"/>
              <w:spacing w:before="150" w:line="221" w:lineRule="auto"/>
              <w:ind w:left="131"/>
              <w:rPr>
                <w:rFonts w:hint="eastAsia" w:ascii="宋体" w:hAnsi="宋体" w:eastAsia="宋体" w:cs="宋体"/>
                <w:color w:val="auto"/>
                <w:highlight w:val="none"/>
              </w:rPr>
            </w:pPr>
            <w:r>
              <w:rPr>
                <w:rFonts w:hint="eastAsia" w:ascii="宋体" w:hAnsi="宋体" w:eastAsia="宋体" w:cs="宋体"/>
                <w:color w:val="auto"/>
                <w:spacing w:val="-3"/>
                <w:highlight w:val="none"/>
              </w:rPr>
              <w:t>1．净资产收益率</w:t>
            </w:r>
          </w:p>
        </w:tc>
        <w:tc>
          <w:tcPr>
            <w:tcW w:w="809" w:type="dxa"/>
            <w:vAlign w:val="top"/>
          </w:tcPr>
          <w:p>
            <w:pPr>
              <w:spacing w:before="207" w:line="295" w:lineRule="exact"/>
              <w:ind w:left="327"/>
              <w:rPr>
                <w:rFonts w:hint="eastAsia" w:ascii="宋体" w:hAnsi="宋体" w:eastAsia="宋体" w:cs="宋体"/>
                <w:color w:val="auto"/>
                <w:sz w:val="21"/>
                <w:szCs w:val="21"/>
                <w:highlight w:val="none"/>
              </w:rPr>
            </w:pPr>
            <w:r>
              <w:rPr>
                <w:rFonts w:hint="eastAsia" w:ascii="宋体" w:hAnsi="宋体" w:eastAsia="宋体" w:cs="宋体"/>
                <w:color w:val="auto"/>
                <w:spacing w:val="37"/>
                <w:w w:val="125"/>
                <w:position w:val="-1"/>
                <w:sz w:val="21"/>
                <w:szCs w:val="21"/>
                <w:highlight w:val="none"/>
              </w:rPr>
              <w:t>*</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3" w:line="221" w:lineRule="auto"/>
              <w:ind w:left="118"/>
              <w:rPr>
                <w:rFonts w:hint="eastAsia" w:ascii="宋体" w:hAnsi="宋体" w:eastAsia="宋体" w:cs="宋体"/>
                <w:color w:val="auto"/>
                <w:highlight w:val="none"/>
              </w:rPr>
            </w:pPr>
            <w:r>
              <w:rPr>
                <w:rFonts w:hint="eastAsia" w:ascii="宋体" w:hAnsi="宋体" w:eastAsia="宋体" w:cs="宋体"/>
                <w:color w:val="auto"/>
                <w:spacing w:val="-1"/>
                <w:highlight w:val="none"/>
              </w:rPr>
              <w:t>2．总资产报酬率</w:t>
            </w:r>
          </w:p>
        </w:tc>
        <w:tc>
          <w:tcPr>
            <w:tcW w:w="809" w:type="dxa"/>
            <w:vAlign w:val="top"/>
          </w:tcPr>
          <w:p>
            <w:pPr>
              <w:spacing w:before="210" w:line="295" w:lineRule="exact"/>
              <w:ind w:left="327"/>
              <w:rPr>
                <w:rFonts w:hint="eastAsia" w:ascii="宋体" w:hAnsi="宋体" w:eastAsia="宋体" w:cs="宋体"/>
                <w:color w:val="auto"/>
                <w:sz w:val="21"/>
                <w:szCs w:val="21"/>
                <w:highlight w:val="none"/>
              </w:rPr>
            </w:pPr>
            <w:r>
              <w:rPr>
                <w:rFonts w:hint="eastAsia" w:ascii="宋体" w:hAnsi="宋体" w:eastAsia="宋体" w:cs="宋体"/>
                <w:color w:val="auto"/>
                <w:spacing w:val="37"/>
                <w:w w:val="125"/>
                <w:position w:val="-1"/>
                <w:sz w:val="21"/>
                <w:szCs w:val="21"/>
                <w:highlight w:val="none"/>
              </w:rPr>
              <w:t>*</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907" w:type="dxa"/>
            <w:vAlign w:val="top"/>
          </w:tcPr>
          <w:p>
            <w:pPr>
              <w:pStyle w:val="10"/>
              <w:spacing w:before="33" w:line="222" w:lineRule="auto"/>
              <w:ind w:left="117" w:right="105" w:firstLine="2"/>
              <w:rPr>
                <w:rFonts w:hint="eastAsia" w:ascii="宋体" w:hAnsi="宋体" w:eastAsia="宋体" w:cs="宋体"/>
                <w:color w:val="auto"/>
                <w:highlight w:val="none"/>
              </w:rPr>
            </w:pPr>
            <w:r>
              <w:rPr>
                <w:rFonts w:hint="eastAsia" w:ascii="宋体" w:hAnsi="宋体" w:eastAsia="宋体" w:cs="宋体"/>
                <w:color w:val="auto"/>
                <w:spacing w:val="6"/>
                <w:highlight w:val="none"/>
              </w:rPr>
              <w:t>3</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6"/>
                <w:highlight w:val="none"/>
              </w:rPr>
              <w:t>．主营业务利润</w:t>
            </w:r>
            <w:r>
              <w:rPr>
                <w:rFonts w:hint="eastAsia" w:ascii="宋体" w:hAnsi="宋体" w:eastAsia="宋体" w:cs="宋体"/>
                <w:color w:val="auto"/>
                <w:highlight w:val="none"/>
              </w:rPr>
              <w:t xml:space="preserve"> 率</w:t>
            </w:r>
          </w:p>
        </w:tc>
        <w:tc>
          <w:tcPr>
            <w:tcW w:w="809" w:type="dxa"/>
            <w:vAlign w:val="top"/>
          </w:tcPr>
          <w:p>
            <w:pPr>
              <w:spacing w:before="210" w:line="298" w:lineRule="exact"/>
              <w:ind w:left="327"/>
              <w:rPr>
                <w:rFonts w:hint="eastAsia" w:ascii="宋体" w:hAnsi="宋体" w:eastAsia="宋体" w:cs="宋体"/>
                <w:color w:val="auto"/>
                <w:sz w:val="21"/>
                <w:szCs w:val="21"/>
                <w:highlight w:val="none"/>
              </w:rPr>
            </w:pPr>
            <w:r>
              <w:rPr>
                <w:rFonts w:hint="eastAsia" w:ascii="宋体" w:hAnsi="宋体" w:eastAsia="宋体" w:cs="宋体"/>
                <w:color w:val="auto"/>
                <w:spacing w:val="37"/>
                <w:w w:val="125"/>
                <w:position w:val="-1"/>
                <w:sz w:val="21"/>
                <w:szCs w:val="21"/>
                <w:highlight w:val="none"/>
              </w:rPr>
              <w:t>*</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pStyle w:val="10"/>
              <w:spacing w:before="270" w:line="142" w:lineRule="exact"/>
              <w:ind w:left="711"/>
              <w:rPr>
                <w:rFonts w:hint="eastAsia" w:ascii="宋体" w:hAnsi="宋体" w:eastAsia="宋体" w:cs="宋体"/>
                <w:color w:val="auto"/>
                <w:highlight w:val="none"/>
              </w:rPr>
            </w:pPr>
            <w:r>
              <w:rPr>
                <w:rFonts w:hint="eastAsia" w:ascii="宋体" w:hAnsi="宋体" w:eastAsia="宋体" w:cs="宋体"/>
                <w:color w:val="auto"/>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vAlign w:val="top"/>
          </w:tcPr>
          <w:p>
            <w:pPr>
              <w:pStyle w:val="10"/>
              <w:spacing w:before="153" w:line="221" w:lineRule="auto"/>
              <w:ind w:left="115"/>
              <w:rPr>
                <w:rFonts w:hint="eastAsia" w:ascii="宋体" w:hAnsi="宋体" w:eastAsia="宋体" w:cs="宋体"/>
                <w:color w:val="auto"/>
                <w:highlight w:val="none"/>
              </w:rPr>
            </w:pPr>
            <w:r>
              <w:rPr>
                <w:rFonts w:hint="eastAsia" w:ascii="宋体" w:hAnsi="宋体" w:eastAsia="宋体" w:cs="宋体"/>
                <w:color w:val="auto"/>
                <w:spacing w:val="-1"/>
                <w:highlight w:val="none"/>
              </w:rPr>
              <w:t>4．资产负债率</w:t>
            </w:r>
          </w:p>
        </w:tc>
        <w:tc>
          <w:tcPr>
            <w:tcW w:w="809" w:type="dxa"/>
            <w:vAlign w:val="top"/>
          </w:tcPr>
          <w:p>
            <w:pPr>
              <w:spacing w:before="210" w:line="295" w:lineRule="exact"/>
              <w:ind w:left="327"/>
              <w:rPr>
                <w:rFonts w:hint="eastAsia" w:ascii="宋体" w:hAnsi="宋体" w:eastAsia="宋体" w:cs="宋体"/>
                <w:color w:val="auto"/>
                <w:sz w:val="21"/>
                <w:szCs w:val="21"/>
                <w:highlight w:val="none"/>
              </w:rPr>
            </w:pPr>
            <w:r>
              <w:rPr>
                <w:rFonts w:hint="eastAsia" w:ascii="宋体" w:hAnsi="宋体" w:eastAsia="宋体" w:cs="宋体"/>
                <w:color w:val="auto"/>
                <w:spacing w:val="37"/>
                <w:w w:val="125"/>
                <w:position w:val="-1"/>
                <w:sz w:val="21"/>
                <w:szCs w:val="21"/>
                <w:highlight w:val="none"/>
              </w:rPr>
              <w:t>*</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vAlign w:val="top"/>
          </w:tcPr>
          <w:p>
            <w:pPr>
              <w:pStyle w:val="10"/>
              <w:spacing w:before="151" w:line="221" w:lineRule="auto"/>
              <w:ind w:left="120"/>
              <w:rPr>
                <w:rFonts w:hint="eastAsia" w:ascii="宋体" w:hAnsi="宋体" w:eastAsia="宋体" w:cs="宋体"/>
                <w:color w:val="auto"/>
                <w:highlight w:val="none"/>
              </w:rPr>
            </w:pPr>
            <w:r>
              <w:rPr>
                <w:rFonts w:hint="eastAsia" w:ascii="宋体" w:hAnsi="宋体" w:eastAsia="宋体" w:cs="宋体"/>
                <w:color w:val="auto"/>
                <w:spacing w:val="-2"/>
                <w:highlight w:val="none"/>
              </w:rPr>
              <w:t>5．流动比率</w:t>
            </w:r>
          </w:p>
        </w:tc>
        <w:tc>
          <w:tcPr>
            <w:tcW w:w="809" w:type="dxa"/>
            <w:vAlign w:val="top"/>
          </w:tcPr>
          <w:p>
            <w:pPr>
              <w:spacing w:before="208" w:line="294" w:lineRule="exact"/>
              <w:ind w:left="327"/>
              <w:rPr>
                <w:rFonts w:hint="eastAsia" w:ascii="宋体" w:hAnsi="宋体" w:eastAsia="宋体" w:cs="宋体"/>
                <w:color w:val="auto"/>
                <w:sz w:val="21"/>
                <w:szCs w:val="21"/>
                <w:highlight w:val="none"/>
              </w:rPr>
            </w:pPr>
            <w:r>
              <w:rPr>
                <w:rFonts w:hint="eastAsia" w:ascii="宋体" w:hAnsi="宋体" w:eastAsia="宋体" w:cs="宋体"/>
                <w:color w:val="auto"/>
                <w:spacing w:val="37"/>
                <w:w w:val="125"/>
                <w:position w:val="-1"/>
                <w:sz w:val="21"/>
                <w:szCs w:val="21"/>
                <w:highlight w:val="none"/>
              </w:rPr>
              <w:t>*</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907" w:type="dxa"/>
            <w:vAlign w:val="top"/>
          </w:tcPr>
          <w:p>
            <w:pPr>
              <w:pStyle w:val="10"/>
              <w:spacing w:before="154" w:line="221" w:lineRule="auto"/>
              <w:ind w:left="117"/>
              <w:rPr>
                <w:rFonts w:hint="eastAsia" w:ascii="宋体" w:hAnsi="宋体" w:eastAsia="宋体" w:cs="宋体"/>
                <w:color w:val="auto"/>
                <w:highlight w:val="none"/>
              </w:rPr>
            </w:pPr>
            <w:r>
              <w:rPr>
                <w:rFonts w:hint="eastAsia" w:ascii="宋体" w:hAnsi="宋体" w:eastAsia="宋体" w:cs="宋体"/>
                <w:color w:val="auto"/>
                <w:spacing w:val="-2"/>
                <w:highlight w:val="none"/>
              </w:rPr>
              <w:t>6．速动比率</w:t>
            </w:r>
          </w:p>
        </w:tc>
        <w:tc>
          <w:tcPr>
            <w:tcW w:w="809" w:type="dxa"/>
            <w:vAlign w:val="top"/>
          </w:tcPr>
          <w:p>
            <w:pPr>
              <w:spacing w:before="211" w:line="298" w:lineRule="exact"/>
              <w:ind w:left="327"/>
              <w:rPr>
                <w:rFonts w:hint="eastAsia" w:ascii="宋体" w:hAnsi="宋体" w:eastAsia="宋体" w:cs="宋体"/>
                <w:color w:val="auto"/>
                <w:sz w:val="21"/>
                <w:szCs w:val="21"/>
                <w:highlight w:val="none"/>
              </w:rPr>
            </w:pPr>
            <w:r>
              <w:rPr>
                <w:rFonts w:hint="eastAsia" w:ascii="宋体" w:hAnsi="宋体" w:eastAsia="宋体" w:cs="宋体"/>
                <w:color w:val="auto"/>
                <w:spacing w:val="37"/>
                <w:w w:val="125"/>
                <w:position w:val="-1"/>
                <w:sz w:val="21"/>
                <w:szCs w:val="21"/>
                <w:highlight w:val="none"/>
              </w:rPr>
              <w:t>*</w:t>
            </w:r>
          </w:p>
        </w:tc>
        <w:tc>
          <w:tcPr>
            <w:tcW w:w="1518" w:type="dxa"/>
            <w:vAlign w:val="top"/>
          </w:tcPr>
          <w:p>
            <w:pPr>
              <w:rPr>
                <w:rFonts w:hint="eastAsia" w:ascii="宋体" w:hAnsi="宋体" w:eastAsia="宋体" w:cs="宋体"/>
                <w:color w:val="auto"/>
                <w:sz w:val="21"/>
                <w:highlight w:val="none"/>
              </w:rPr>
            </w:pPr>
          </w:p>
        </w:tc>
        <w:tc>
          <w:tcPr>
            <w:tcW w:w="1516" w:type="dxa"/>
            <w:vAlign w:val="top"/>
          </w:tcPr>
          <w:p>
            <w:pPr>
              <w:rPr>
                <w:rFonts w:hint="eastAsia" w:ascii="宋体" w:hAnsi="宋体" w:eastAsia="宋体" w:cs="宋体"/>
                <w:color w:val="auto"/>
                <w:sz w:val="21"/>
                <w:highlight w:val="none"/>
              </w:rPr>
            </w:pPr>
          </w:p>
        </w:tc>
        <w:tc>
          <w:tcPr>
            <w:tcW w:w="1519" w:type="dxa"/>
            <w:vAlign w:val="top"/>
          </w:tcPr>
          <w:p>
            <w:pPr>
              <w:rPr>
                <w:rFonts w:hint="eastAsia" w:ascii="宋体" w:hAnsi="宋体" w:eastAsia="宋体" w:cs="宋体"/>
                <w:color w:val="auto"/>
                <w:sz w:val="21"/>
                <w:highlight w:val="none"/>
              </w:rPr>
            </w:pPr>
          </w:p>
        </w:tc>
        <w:tc>
          <w:tcPr>
            <w:tcW w:w="1521" w:type="dxa"/>
            <w:vAlign w:val="top"/>
          </w:tcPr>
          <w:p>
            <w:pPr>
              <w:rPr>
                <w:rFonts w:hint="eastAsia" w:ascii="宋体" w:hAnsi="宋体" w:eastAsia="宋体" w:cs="宋体"/>
                <w:color w:val="auto"/>
                <w:sz w:val="21"/>
                <w:highlight w:val="none"/>
              </w:rPr>
            </w:pPr>
          </w:p>
        </w:tc>
      </w:tr>
    </w:tbl>
    <w:p>
      <w:pPr>
        <w:spacing w:before="77" w:line="220" w:lineRule="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备注： 1.本表后应附近年经会计师事务所或审计机构审计的财务会计报表。</w:t>
      </w:r>
    </w:p>
    <w:p>
      <w:pPr>
        <w:spacing w:before="75" w:line="253" w:lineRule="auto"/>
        <w:ind w:left="960" w:hanging="329"/>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2.本表所列数据必须与本表各附件中的数据相一致。如果有不一致</w:t>
      </w:r>
      <w:r>
        <w:rPr>
          <w:rFonts w:hint="eastAsia" w:ascii="宋体" w:hAnsi="宋体" w:eastAsia="宋体" w:cs="宋体"/>
          <w:color w:val="auto"/>
          <w:spacing w:val="1"/>
          <w:sz w:val="21"/>
          <w:szCs w:val="21"/>
          <w:highlight w:val="none"/>
        </w:rPr>
        <w:t>之处，以不利于投标人</w:t>
      </w:r>
      <w:r>
        <w:rPr>
          <w:rFonts w:hint="eastAsia" w:ascii="宋体" w:hAnsi="宋体" w:eastAsia="宋体" w:cs="宋体"/>
          <w:color w:val="auto"/>
          <w:spacing w:val="-4"/>
          <w:sz w:val="21"/>
          <w:szCs w:val="21"/>
          <w:highlight w:val="none"/>
        </w:rPr>
        <w:t>的数据为准。</w:t>
      </w:r>
    </w:p>
    <w:p>
      <w:pPr>
        <w:spacing w:before="73" w:line="221" w:lineRule="auto"/>
        <w:ind w:left="63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3.联合体投标的，</w:t>
      </w:r>
      <w:r>
        <w:rPr>
          <w:rFonts w:hint="eastAsia" w:ascii="宋体" w:hAnsi="宋体" w:eastAsia="宋体" w:cs="宋体"/>
          <w:color w:val="auto"/>
          <w:spacing w:val="-10"/>
          <w:sz w:val="21"/>
          <w:szCs w:val="21"/>
          <w:highlight w:val="none"/>
        </w:rPr>
        <w:t xml:space="preserve"> </w:t>
      </w:r>
      <w:r>
        <w:rPr>
          <w:rFonts w:hint="eastAsia" w:ascii="宋体" w:hAnsi="宋体" w:eastAsia="宋体" w:cs="宋体"/>
          <w:color w:val="auto"/>
          <w:spacing w:val="-5"/>
          <w:sz w:val="21"/>
          <w:szCs w:val="21"/>
          <w:highlight w:val="none"/>
        </w:rPr>
        <w:t>联合体各成员应分别填写。</w:t>
      </w:r>
    </w:p>
    <w:p>
      <w:pPr>
        <w:spacing w:line="221" w:lineRule="auto"/>
        <w:rPr>
          <w:rFonts w:hint="eastAsia" w:ascii="宋体" w:hAnsi="宋体" w:eastAsia="宋体" w:cs="宋体"/>
          <w:color w:val="auto"/>
          <w:sz w:val="21"/>
          <w:szCs w:val="21"/>
          <w:highlight w:val="none"/>
        </w:rPr>
        <w:sectPr>
          <w:footerReference r:id="rId151" w:type="default"/>
          <w:pgSz w:w="11905" w:h="16843"/>
          <w:pgMar w:top="1769" w:right="1548" w:bottom="1003" w:left="1542" w:header="0" w:footer="828" w:gutter="0"/>
          <w:pgNumType w:fmt="numberInDash"/>
          <w:cols w:space="0" w:num="1"/>
          <w:rtlGutter w:val="0"/>
          <w:docGrid w:linePitch="0" w:charSpace="0"/>
        </w:sectPr>
      </w:pPr>
    </w:p>
    <w:p>
      <w:pPr>
        <w:pStyle w:val="2"/>
        <w:spacing w:line="266" w:lineRule="auto"/>
        <w:rPr>
          <w:rFonts w:hint="eastAsia" w:ascii="宋体" w:hAnsi="宋体" w:eastAsia="宋体" w:cs="宋体"/>
          <w:color w:val="auto"/>
          <w:highlight w:val="none"/>
        </w:rPr>
      </w:pPr>
    </w:p>
    <w:p>
      <w:pPr>
        <w:spacing w:before="78" w:line="218" w:lineRule="auto"/>
        <w:ind w:left="2644"/>
        <w:rPr>
          <w:rFonts w:hint="eastAsia" w:ascii="宋体" w:hAnsi="宋体" w:eastAsia="宋体" w:cs="宋体"/>
          <w:color w:val="auto"/>
          <w:sz w:val="24"/>
          <w:szCs w:val="24"/>
          <w:highlight w:val="none"/>
        </w:rPr>
      </w:pPr>
      <w:bookmarkStart w:id="427" w:name="bookmark468"/>
      <w:bookmarkEnd w:id="427"/>
      <w:r>
        <w:rPr>
          <w:rFonts w:hint="eastAsia" w:ascii="宋体" w:hAnsi="宋体" w:eastAsia="宋体" w:cs="宋体"/>
          <w:color w:val="auto"/>
          <w:spacing w:val="-3"/>
          <w:sz w:val="24"/>
          <w:szCs w:val="24"/>
          <w:highlight w:val="none"/>
        </w:rPr>
        <w:t>（三）近年完成的类似项目情况表</w:t>
      </w:r>
    </w:p>
    <w:p>
      <w:pPr>
        <w:pStyle w:val="2"/>
        <w:spacing w:line="475" w:lineRule="auto"/>
        <w:rPr>
          <w:rFonts w:hint="eastAsia" w:ascii="宋体" w:hAnsi="宋体" w:eastAsia="宋体" w:cs="宋体"/>
          <w:color w:val="auto"/>
          <w:highlight w:val="none"/>
        </w:rPr>
      </w:pPr>
    </w:p>
    <w:p>
      <w:pPr>
        <w:spacing w:before="78" w:line="218" w:lineRule="auto"/>
        <w:ind w:left="277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3"/>
          <w:sz w:val="24"/>
          <w:szCs w:val="24"/>
          <w:highlight w:val="none"/>
        </w:rPr>
        <w:t>1  近年完成的类似项目汇总表</w:t>
      </w:r>
    </w:p>
    <w:p>
      <w:pPr>
        <w:spacing w:before="201"/>
        <w:rPr>
          <w:rFonts w:hint="eastAsia" w:ascii="宋体" w:hAnsi="宋体" w:eastAsia="宋体" w:cs="宋体"/>
          <w:color w:val="auto"/>
          <w:highlight w:val="none"/>
        </w:rPr>
      </w:pPr>
    </w:p>
    <w:tbl>
      <w:tblPr>
        <w:tblStyle w:val="9"/>
        <w:tblW w:w="88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682"/>
        <w:gridCol w:w="1394"/>
        <w:gridCol w:w="1080"/>
        <w:gridCol w:w="1110"/>
        <w:gridCol w:w="1778"/>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707" w:type="dxa"/>
            <w:vAlign w:val="top"/>
          </w:tcPr>
          <w:p>
            <w:pPr>
              <w:spacing w:line="293" w:lineRule="auto"/>
              <w:rPr>
                <w:rFonts w:hint="eastAsia" w:ascii="宋体" w:hAnsi="宋体" w:eastAsia="宋体" w:cs="宋体"/>
                <w:color w:val="auto"/>
                <w:sz w:val="21"/>
                <w:highlight w:val="none"/>
              </w:rPr>
            </w:pPr>
          </w:p>
          <w:p>
            <w:pPr>
              <w:pStyle w:val="10"/>
              <w:spacing w:before="68" w:line="222" w:lineRule="auto"/>
              <w:ind w:left="148"/>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682" w:type="dxa"/>
            <w:vAlign w:val="top"/>
          </w:tcPr>
          <w:p>
            <w:pPr>
              <w:spacing w:line="293" w:lineRule="auto"/>
              <w:rPr>
                <w:rFonts w:hint="eastAsia" w:ascii="宋体" w:hAnsi="宋体" w:eastAsia="宋体" w:cs="宋体"/>
                <w:color w:val="auto"/>
                <w:sz w:val="21"/>
                <w:highlight w:val="none"/>
              </w:rPr>
            </w:pPr>
          </w:p>
          <w:p>
            <w:pPr>
              <w:pStyle w:val="10"/>
              <w:spacing w:before="68" w:line="221" w:lineRule="auto"/>
              <w:ind w:left="427"/>
              <w:rPr>
                <w:rFonts w:hint="eastAsia" w:ascii="宋体" w:hAnsi="宋体" w:eastAsia="宋体" w:cs="宋体"/>
                <w:color w:val="auto"/>
                <w:highlight w:val="none"/>
              </w:rPr>
            </w:pPr>
            <w:r>
              <w:rPr>
                <w:rFonts w:hint="eastAsia" w:ascii="宋体" w:hAnsi="宋体" w:eastAsia="宋体" w:cs="宋体"/>
                <w:color w:val="auto"/>
                <w:spacing w:val="-3"/>
                <w:highlight w:val="none"/>
              </w:rPr>
              <w:t>项目名称</w:t>
            </w:r>
          </w:p>
        </w:tc>
        <w:tc>
          <w:tcPr>
            <w:tcW w:w="1394" w:type="dxa"/>
            <w:vAlign w:val="top"/>
          </w:tcPr>
          <w:p>
            <w:pPr>
              <w:spacing w:line="293" w:lineRule="auto"/>
              <w:rPr>
                <w:rFonts w:hint="eastAsia" w:ascii="宋体" w:hAnsi="宋体" w:eastAsia="宋体" w:cs="宋体"/>
                <w:color w:val="auto"/>
                <w:sz w:val="21"/>
                <w:highlight w:val="none"/>
              </w:rPr>
            </w:pPr>
          </w:p>
          <w:p>
            <w:pPr>
              <w:pStyle w:val="10"/>
              <w:spacing w:before="68" w:line="221" w:lineRule="auto"/>
              <w:ind w:left="178"/>
              <w:rPr>
                <w:rFonts w:hint="eastAsia" w:ascii="宋体" w:hAnsi="宋体" w:eastAsia="宋体" w:cs="宋体"/>
                <w:color w:val="auto"/>
                <w:highlight w:val="none"/>
              </w:rPr>
            </w:pPr>
            <w:r>
              <w:rPr>
                <w:rFonts w:hint="eastAsia" w:ascii="宋体" w:hAnsi="宋体" w:eastAsia="宋体" w:cs="宋体"/>
                <w:color w:val="auto"/>
                <w:spacing w:val="-2"/>
                <w:highlight w:val="none"/>
              </w:rPr>
              <w:t>发包人名称</w:t>
            </w:r>
          </w:p>
        </w:tc>
        <w:tc>
          <w:tcPr>
            <w:tcW w:w="1080" w:type="dxa"/>
            <w:vAlign w:val="top"/>
          </w:tcPr>
          <w:p>
            <w:pPr>
              <w:spacing w:line="292" w:lineRule="auto"/>
              <w:rPr>
                <w:rFonts w:hint="eastAsia" w:ascii="宋体" w:hAnsi="宋体" w:eastAsia="宋体" w:cs="宋体"/>
                <w:color w:val="auto"/>
                <w:sz w:val="21"/>
                <w:highlight w:val="none"/>
              </w:rPr>
            </w:pPr>
          </w:p>
          <w:p>
            <w:pPr>
              <w:pStyle w:val="10"/>
              <w:spacing w:before="68" w:line="221" w:lineRule="auto"/>
              <w:ind w:left="128"/>
              <w:rPr>
                <w:rFonts w:hint="eastAsia" w:ascii="宋体" w:hAnsi="宋体" w:eastAsia="宋体" w:cs="宋体"/>
                <w:color w:val="auto"/>
                <w:highlight w:val="none"/>
              </w:rPr>
            </w:pPr>
            <w:r>
              <w:rPr>
                <w:rFonts w:hint="eastAsia" w:ascii="宋体" w:hAnsi="宋体" w:eastAsia="宋体" w:cs="宋体"/>
                <w:color w:val="auto"/>
                <w:spacing w:val="-2"/>
                <w:highlight w:val="none"/>
              </w:rPr>
              <w:t>工程规模</w:t>
            </w:r>
          </w:p>
        </w:tc>
        <w:tc>
          <w:tcPr>
            <w:tcW w:w="1110" w:type="dxa"/>
            <w:vAlign w:val="top"/>
          </w:tcPr>
          <w:p>
            <w:pPr>
              <w:pStyle w:val="10"/>
              <w:spacing w:before="163" w:line="399" w:lineRule="exact"/>
              <w:ind w:left="141"/>
              <w:rPr>
                <w:rFonts w:hint="eastAsia" w:ascii="宋体" w:hAnsi="宋体" w:eastAsia="宋体" w:cs="宋体"/>
                <w:color w:val="auto"/>
                <w:highlight w:val="none"/>
              </w:rPr>
            </w:pPr>
            <w:r>
              <w:rPr>
                <w:rFonts w:hint="eastAsia" w:ascii="宋体" w:hAnsi="宋体" w:eastAsia="宋体" w:cs="宋体"/>
                <w:color w:val="auto"/>
                <w:spacing w:val="-2"/>
                <w:position w:val="14"/>
                <w:highlight w:val="none"/>
              </w:rPr>
              <w:t>合同价格</w:t>
            </w:r>
          </w:p>
          <w:p>
            <w:pPr>
              <w:pStyle w:val="10"/>
              <w:spacing w:line="207" w:lineRule="auto"/>
              <w:ind w:left="93"/>
              <w:rPr>
                <w:rFonts w:hint="eastAsia" w:ascii="宋体" w:hAnsi="宋体" w:eastAsia="宋体" w:cs="宋体"/>
                <w:color w:val="auto"/>
                <w:highlight w:val="none"/>
              </w:rPr>
            </w:pPr>
            <w:r>
              <w:rPr>
                <w:rFonts w:hint="eastAsia" w:ascii="宋体" w:hAnsi="宋体" w:eastAsia="宋体" w:cs="宋体"/>
                <w:color w:val="auto"/>
                <w:spacing w:val="-6"/>
                <w:highlight w:val="none"/>
              </w:rPr>
              <w:t>（万元）</w:t>
            </w:r>
          </w:p>
        </w:tc>
        <w:tc>
          <w:tcPr>
            <w:tcW w:w="1778" w:type="dxa"/>
            <w:vAlign w:val="top"/>
          </w:tcPr>
          <w:p>
            <w:pPr>
              <w:spacing w:line="292" w:lineRule="auto"/>
              <w:rPr>
                <w:rFonts w:hint="eastAsia" w:ascii="宋体" w:hAnsi="宋体" w:eastAsia="宋体" w:cs="宋体"/>
                <w:color w:val="auto"/>
                <w:sz w:val="21"/>
                <w:highlight w:val="none"/>
              </w:rPr>
            </w:pPr>
          </w:p>
          <w:p>
            <w:pPr>
              <w:pStyle w:val="10"/>
              <w:spacing w:before="68" w:line="221" w:lineRule="auto"/>
              <w:ind w:left="269"/>
              <w:rPr>
                <w:rFonts w:hint="eastAsia" w:ascii="宋体" w:hAnsi="宋体" w:eastAsia="宋体" w:cs="宋体"/>
                <w:color w:val="auto"/>
                <w:highlight w:val="none"/>
              </w:rPr>
            </w:pPr>
            <w:r>
              <w:rPr>
                <w:rFonts w:hint="eastAsia" w:ascii="宋体" w:hAnsi="宋体" w:eastAsia="宋体" w:cs="宋体"/>
                <w:color w:val="auto"/>
                <w:spacing w:val="-1"/>
                <w:highlight w:val="none"/>
              </w:rPr>
              <w:t>开、竣工日期</w:t>
            </w:r>
          </w:p>
        </w:tc>
        <w:tc>
          <w:tcPr>
            <w:tcW w:w="1084" w:type="dxa"/>
            <w:vAlign w:val="top"/>
          </w:tcPr>
          <w:p>
            <w:pPr>
              <w:spacing w:line="293" w:lineRule="auto"/>
              <w:rPr>
                <w:rFonts w:hint="eastAsia" w:ascii="宋体" w:hAnsi="宋体" w:eastAsia="宋体" w:cs="宋体"/>
                <w:color w:val="auto"/>
                <w:sz w:val="21"/>
                <w:highlight w:val="none"/>
              </w:rPr>
            </w:pPr>
          </w:p>
          <w:p>
            <w:pPr>
              <w:pStyle w:val="10"/>
              <w:spacing w:before="68" w:line="221" w:lineRule="auto"/>
              <w:ind w:left="131"/>
              <w:rPr>
                <w:rFonts w:hint="eastAsia" w:ascii="宋体" w:hAnsi="宋体" w:eastAsia="宋体" w:cs="宋体"/>
                <w:color w:val="auto"/>
                <w:highlight w:val="none"/>
              </w:rPr>
            </w:pPr>
            <w:r>
              <w:rPr>
                <w:rFonts w:hint="eastAsia" w:ascii="宋体" w:hAnsi="宋体" w:eastAsia="宋体" w:cs="宋体"/>
                <w:color w:val="auto"/>
                <w:spacing w:val="-3"/>
                <w:highlight w:val="none"/>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52" w:type="default"/>
          <w:pgSz w:w="11905" w:h="16843"/>
          <w:pgMar w:top="1769" w:right="1548" w:bottom="1003" w:left="1542" w:header="0" w:footer="828" w:gutter="0"/>
          <w:pgNumType w:fmt="numberInDash"/>
          <w:cols w:space="0" w:num="1"/>
          <w:rtlGutter w:val="0"/>
          <w:docGrid w:linePitch="0" w:charSpace="0"/>
        </w:sectPr>
      </w:pPr>
    </w:p>
    <w:p>
      <w:pPr>
        <w:pStyle w:val="2"/>
        <w:spacing w:line="266" w:lineRule="auto"/>
        <w:rPr>
          <w:rFonts w:hint="eastAsia" w:ascii="宋体" w:hAnsi="宋体" w:eastAsia="宋体" w:cs="宋体"/>
          <w:color w:val="auto"/>
          <w:highlight w:val="none"/>
        </w:rPr>
      </w:pPr>
    </w:p>
    <w:p>
      <w:pPr>
        <w:spacing w:before="78" w:line="218" w:lineRule="auto"/>
        <w:ind w:left="2607"/>
        <w:rPr>
          <w:rFonts w:hint="eastAsia" w:ascii="宋体" w:hAnsi="宋体" w:eastAsia="宋体" w:cs="宋体"/>
          <w:color w:val="auto"/>
          <w:sz w:val="24"/>
          <w:szCs w:val="24"/>
          <w:highlight w:val="none"/>
        </w:rPr>
      </w:pPr>
      <w:bookmarkStart w:id="428" w:name="bookmark469"/>
      <w:bookmarkEnd w:id="428"/>
      <w:r>
        <w:rPr>
          <w:rFonts w:hint="eastAsia" w:ascii="宋体" w:hAnsi="宋体" w:eastAsia="宋体" w:cs="宋体"/>
          <w:color w:val="auto"/>
          <w:spacing w:val="-1"/>
          <w:sz w:val="24"/>
          <w:szCs w:val="24"/>
          <w:highlight w:val="none"/>
        </w:rPr>
        <w:t>3-2  近年完成的类似项目情况表</w:t>
      </w:r>
    </w:p>
    <w:p>
      <w:pPr>
        <w:spacing w:before="201"/>
        <w:rPr>
          <w:rFonts w:hint="eastAsia" w:ascii="宋体" w:hAnsi="宋体" w:eastAsia="宋体" w:cs="宋体"/>
          <w:color w:val="auto"/>
          <w:highlight w:val="none"/>
        </w:rPr>
      </w:pPr>
    </w:p>
    <w:tbl>
      <w:tblPr>
        <w:tblStyle w:val="9"/>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6"/>
        <w:gridCol w:w="6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6" w:type="dxa"/>
            <w:vAlign w:val="top"/>
          </w:tcPr>
          <w:p>
            <w:pPr>
              <w:pStyle w:val="10"/>
              <w:spacing w:before="209" w:line="221" w:lineRule="auto"/>
              <w:ind w:left="796"/>
              <w:rPr>
                <w:rFonts w:hint="eastAsia" w:ascii="宋体" w:hAnsi="宋体" w:eastAsia="宋体" w:cs="宋体"/>
                <w:color w:val="auto"/>
                <w:highlight w:val="none"/>
              </w:rPr>
            </w:pPr>
            <w:r>
              <w:rPr>
                <w:rFonts w:hint="eastAsia" w:ascii="宋体" w:hAnsi="宋体" w:eastAsia="宋体" w:cs="宋体"/>
                <w:color w:val="auto"/>
                <w:spacing w:val="-3"/>
                <w:highlight w:val="none"/>
              </w:rPr>
              <w:t>项目名称</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vAlign w:val="top"/>
          </w:tcPr>
          <w:p>
            <w:pPr>
              <w:pStyle w:val="10"/>
              <w:spacing w:before="205"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项目所在地</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vAlign w:val="top"/>
          </w:tcPr>
          <w:p>
            <w:pPr>
              <w:pStyle w:val="10"/>
              <w:spacing w:before="208"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发包人名称</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vAlign w:val="top"/>
          </w:tcPr>
          <w:p>
            <w:pPr>
              <w:pStyle w:val="10"/>
              <w:spacing w:before="209"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发包人地址</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6" w:type="dxa"/>
            <w:vAlign w:val="top"/>
          </w:tcPr>
          <w:p>
            <w:pPr>
              <w:pStyle w:val="10"/>
              <w:spacing w:before="209" w:line="221" w:lineRule="auto"/>
              <w:ind w:left="270"/>
              <w:rPr>
                <w:rFonts w:hint="eastAsia" w:ascii="宋体" w:hAnsi="宋体" w:eastAsia="宋体" w:cs="宋体"/>
                <w:color w:val="auto"/>
                <w:highlight w:val="none"/>
              </w:rPr>
            </w:pPr>
            <w:r>
              <w:rPr>
                <w:rFonts w:hint="eastAsia" w:ascii="宋体" w:hAnsi="宋体" w:eastAsia="宋体" w:cs="宋体"/>
                <w:color w:val="auto"/>
                <w:spacing w:val="-1"/>
                <w:highlight w:val="none"/>
              </w:rPr>
              <w:t>发包人联系人及电话</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vAlign w:val="top"/>
          </w:tcPr>
          <w:p>
            <w:pPr>
              <w:pStyle w:val="10"/>
              <w:spacing w:before="206" w:line="219" w:lineRule="auto"/>
              <w:ind w:left="793"/>
              <w:rPr>
                <w:rFonts w:hint="eastAsia" w:ascii="宋体" w:hAnsi="宋体" w:eastAsia="宋体" w:cs="宋体"/>
                <w:color w:val="auto"/>
                <w:highlight w:val="none"/>
              </w:rPr>
            </w:pPr>
            <w:r>
              <w:rPr>
                <w:rFonts w:hint="eastAsia" w:ascii="宋体" w:hAnsi="宋体" w:eastAsia="宋体" w:cs="宋体"/>
                <w:color w:val="auto"/>
                <w:spacing w:val="-2"/>
                <w:highlight w:val="none"/>
              </w:rPr>
              <w:t>合同价格</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vAlign w:val="top"/>
          </w:tcPr>
          <w:p>
            <w:pPr>
              <w:pStyle w:val="10"/>
              <w:spacing w:before="207" w:line="221" w:lineRule="auto"/>
              <w:ind w:left="793"/>
              <w:rPr>
                <w:rFonts w:hint="eastAsia" w:ascii="宋体" w:hAnsi="宋体" w:eastAsia="宋体" w:cs="宋体"/>
                <w:color w:val="auto"/>
                <w:highlight w:val="none"/>
              </w:rPr>
            </w:pPr>
            <w:r>
              <w:rPr>
                <w:rFonts w:hint="eastAsia" w:ascii="宋体" w:hAnsi="宋体" w:eastAsia="宋体" w:cs="宋体"/>
                <w:color w:val="auto"/>
                <w:spacing w:val="-2"/>
                <w:highlight w:val="none"/>
              </w:rPr>
              <w:t>开工日期</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vAlign w:val="top"/>
          </w:tcPr>
          <w:p>
            <w:pPr>
              <w:pStyle w:val="10"/>
              <w:spacing w:before="207" w:line="221" w:lineRule="auto"/>
              <w:ind w:left="793"/>
              <w:rPr>
                <w:rFonts w:hint="eastAsia" w:ascii="宋体" w:hAnsi="宋体" w:eastAsia="宋体" w:cs="宋体"/>
                <w:color w:val="auto"/>
                <w:highlight w:val="none"/>
              </w:rPr>
            </w:pPr>
            <w:r>
              <w:rPr>
                <w:rFonts w:hint="eastAsia" w:ascii="宋体" w:hAnsi="宋体" w:eastAsia="宋体" w:cs="宋体"/>
                <w:color w:val="auto"/>
                <w:spacing w:val="-2"/>
                <w:highlight w:val="none"/>
              </w:rPr>
              <w:t>竣工日期</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vAlign w:val="top"/>
          </w:tcPr>
          <w:p>
            <w:pPr>
              <w:pStyle w:val="10"/>
              <w:spacing w:before="210" w:line="221" w:lineRule="auto"/>
              <w:ind w:left="687"/>
              <w:rPr>
                <w:rFonts w:hint="eastAsia" w:ascii="宋体" w:hAnsi="宋体" w:eastAsia="宋体" w:cs="宋体"/>
                <w:color w:val="auto"/>
                <w:highlight w:val="none"/>
              </w:rPr>
            </w:pPr>
            <w:r>
              <w:rPr>
                <w:rFonts w:hint="eastAsia" w:ascii="宋体" w:hAnsi="宋体" w:eastAsia="宋体" w:cs="宋体"/>
                <w:color w:val="auto"/>
                <w:spacing w:val="-1"/>
                <w:highlight w:val="none"/>
              </w:rPr>
              <w:t>承担的工作</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vAlign w:val="top"/>
          </w:tcPr>
          <w:p>
            <w:pPr>
              <w:pStyle w:val="10"/>
              <w:spacing w:before="211" w:line="221" w:lineRule="auto"/>
              <w:ind w:left="795"/>
              <w:rPr>
                <w:rFonts w:hint="eastAsia" w:ascii="宋体" w:hAnsi="宋体" w:eastAsia="宋体" w:cs="宋体"/>
                <w:color w:val="auto"/>
                <w:highlight w:val="none"/>
              </w:rPr>
            </w:pPr>
            <w:r>
              <w:rPr>
                <w:rFonts w:hint="eastAsia" w:ascii="宋体" w:hAnsi="宋体" w:eastAsia="宋体" w:cs="宋体"/>
                <w:color w:val="auto"/>
                <w:spacing w:val="-2"/>
                <w:highlight w:val="none"/>
              </w:rPr>
              <w:t>工程质量</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6" w:type="dxa"/>
            <w:vAlign w:val="top"/>
          </w:tcPr>
          <w:p>
            <w:pPr>
              <w:pStyle w:val="10"/>
              <w:spacing w:before="210" w:line="221" w:lineRule="auto"/>
              <w:ind w:left="796"/>
              <w:rPr>
                <w:rFonts w:hint="eastAsia" w:ascii="宋体" w:hAnsi="宋体" w:eastAsia="宋体" w:cs="宋体"/>
                <w:color w:val="auto"/>
                <w:highlight w:val="none"/>
              </w:rPr>
            </w:pPr>
            <w:r>
              <w:rPr>
                <w:rFonts w:hint="eastAsia" w:ascii="宋体" w:hAnsi="宋体" w:eastAsia="宋体" w:cs="宋体"/>
                <w:color w:val="auto"/>
                <w:spacing w:val="-3"/>
                <w:highlight w:val="none"/>
              </w:rPr>
              <w:t>项目经理</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vAlign w:val="top"/>
          </w:tcPr>
          <w:p>
            <w:pPr>
              <w:pStyle w:val="10"/>
              <w:spacing w:before="207" w:line="221" w:lineRule="auto"/>
              <w:ind w:left="688"/>
              <w:rPr>
                <w:rFonts w:hint="eastAsia" w:ascii="宋体" w:hAnsi="宋体" w:eastAsia="宋体" w:cs="宋体"/>
                <w:color w:val="auto"/>
                <w:highlight w:val="none"/>
              </w:rPr>
            </w:pPr>
            <w:r>
              <w:rPr>
                <w:rFonts w:hint="eastAsia" w:ascii="宋体" w:hAnsi="宋体" w:eastAsia="宋体" w:cs="宋体"/>
                <w:color w:val="auto"/>
                <w:spacing w:val="-2"/>
                <w:highlight w:val="none"/>
              </w:rPr>
              <w:t>技术负责人</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vAlign w:val="top"/>
          </w:tcPr>
          <w:p>
            <w:pPr>
              <w:pStyle w:val="10"/>
              <w:spacing w:before="208" w:line="221" w:lineRule="auto"/>
              <w:ind w:left="272"/>
              <w:rPr>
                <w:rFonts w:hint="eastAsia" w:ascii="宋体" w:hAnsi="宋体" w:eastAsia="宋体" w:cs="宋体"/>
                <w:color w:val="auto"/>
                <w:highlight w:val="none"/>
              </w:rPr>
            </w:pPr>
            <w:r>
              <w:rPr>
                <w:rFonts w:hint="eastAsia" w:ascii="宋体" w:hAnsi="宋体" w:eastAsia="宋体" w:cs="宋体"/>
                <w:color w:val="auto"/>
                <w:spacing w:val="-2"/>
                <w:highlight w:val="none"/>
              </w:rPr>
              <w:t>总监理工程师及电话</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416" w:type="dxa"/>
            <w:vAlign w:val="top"/>
          </w:tcPr>
          <w:p>
            <w:pPr>
              <w:pStyle w:val="10"/>
              <w:spacing w:before="300" w:line="221" w:lineRule="auto"/>
              <w:ind w:left="796"/>
              <w:rPr>
                <w:rFonts w:hint="eastAsia" w:ascii="宋体" w:hAnsi="宋体" w:eastAsia="宋体" w:cs="宋体"/>
                <w:color w:val="auto"/>
                <w:highlight w:val="none"/>
              </w:rPr>
            </w:pPr>
            <w:r>
              <w:rPr>
                <w:rFonts w:hint="eastAsia" w:ascii="宋体" w:hAnsi="宋体" w:eastAsia="宋体" w:cs="宋体"/>
                <w:color w:val="auto"/>
                <w:spacing w:val="-3"/>
                <w:highlight w:val="none"/>
              </w:rPr>
              <w:t>项目描述</w:t>
            </w:r>
          </w:p>
        </w:tc>
        <w:tc>
          <w:tcPr>
            <w:tcW w:w="6095"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6" w:type="dxa"/>
            <w:vAlign w:val="top"/>
          </w:tcPr>
          <w:p>
            <w:pPr>
              <w:pStyle w:val="10"/>
              <w:spacing w:before="211" w:line="222" w:lineRule="auto"/>
              <w:ind w:left="1006"/>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c>
          <w:tcPr>
            <w:tcW w:w="6095" w:type="dxa"/>
            <w:vAlign w:val="top"/>
          </w:tcPr>
          <w:p>
            <w:pPr>
              <w:rPr>
                <w:rFonts w:hint="eastAsia" w:ascii="宋体" w:hAnsi="宋体" w:eastAsia="宋体" w:cs="宋体"/>
                <w:color w:val="auto"/>
                <w:sz w:val="21"/>
                <w:highlight w:val="none"/>
              </w:rPr>
            </w:pPr>
          </w:p>
        </w:tc>
      </w:tr>
    </w:tbl>
    <w:p>
      <w:pPr>
        <w:spacing w:before="29" w:line="220" w:lineRule="auto"/>
        <w:ind w:left="13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备注： 1.类似项目含义和近年具体要求见投标人须知前附表，</w:t>
      </w:r>
    </w:p>
    <w:p>
      <w:pPr>
        <w:spacing w:before="23" w:line="220" w:lineRule="auto"/>
        <w:ind w:left="76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2.本表后附业绩证明材料。每张表格只填写一个项目，并</w:t>
      </w:r>
      <w:r>
        <w:rPr>
          <w:rFonts w:hint="eastAsia" w:ascii="宋体" w:hAnsi="宋体" w:eastAsia="宋体" w:cs="宋体"/>
          <w:color w:val="auto"/>
          <w:spacing w:val="-1"/>
          <w:sz w:val="21"/>
          <w:szCs w:val="21"/>
          <w:highlight w:val="none"/>
        </w:rPr>
        <w:t>标明序号。</w:t>
      </w:r>
    </w:p>
    <w:p>
      <w:pPr>
        <w:spacing w:line="220" w:lineRule="auto"/>
        <w:rPr>
          <w:rFonts w:hint="eastAsia" w:ascii="宋体" w:hAnsi="宋体" w:eastAsia="宋体" w:cs="宋体"/>
          <w:color w:val="auto"/>
          <w:sz w:val="21"/>
          <w:szCs w:val="21"/>
          <w:highlight w:val="none"/>
        </w:rPr>
        <w:sectPr>
          <w:footerReference r:id="rId153" w:type="default"/>
          <w:pgSz w:w="11905" w:h="16843"/>
          <w:pgMar w:top="1769" w:right="1548" w:bottom="1003" w:left="1542" w:header="0" w:footer="828" w:gutter="0"/>
          <w:pgNumType w:fmt="numberInDash"/>
          <w:cols w:space="0" w:num="1"/>
          <w:rtlGutter w:val="0"/>
          <w:docGrid w:linePitch="0" w:charSpace="0"/>
        </w:sectPr>
      </w:pPr>
    </w:p>
    <w:p>
      <w:pPr>
        <w:pStyle w:val="2"/>
        <w:spacing w:line="266" w:lineRule="auto"/>
        <w:rPr>
          <w:rFonts w:hint="eastAsia" w:ascii="宋体" w:hAnsi="宋体" w:eastAsia="宋体" w:cs="宋体"/>
          <w:color w:val="auto"/>
          <w:highlight w:val="none"/>
        </w:rPr>
      </w:pPr>
    </w:p>
    <w:p>
      <w:pPr>
        <w:spacing w:before="78" w:line="401" w:lineRule="exact"/>
        <w:ind w:left="2404"/>
        <w:rPr>
          <w:rFonts w:hint="eastAsia" w:ascii="宋体" w:hAnsi="宋体" w:eastAsia="宋体" w:cs="宋体"/>
          <w:color w:val="auto"/>
          <w:sz w:val="24"/>
          <w:szCs w:val="24"/>
          <w:highlight w:val="none"/>
        </w:rPr>
      </w:pPr>
      <w:bookmarkStart w:id="429" w:name="bookmark470"/>
      <w:bookmarkEnd w:id="429"/>
      <w:r>
        <w:rPr>
          <w:rFonts w:hint="eastAsia" w:ascii="宋体" w:hAnsi="宋体" w:eastAsia="宋体" w:cs="宋体"/>
          <w:color w:val="auto"/>
          <w:spacing w:val="-2"/>
          <w:position w:val="11"/>
          <w:sz w:val="24"/>
          <w:szCs w:val="24"/>
          <w:highlight w:val="none"/>
        </w:rPr>
        <w:t>（四）正在实施的和新承接的项目情况</w:t>
      </w:r>
    </w:p>
    <w:p>
      <w:pPr>
        <w:spacing w:line="218" w:lineRule="auto"/>
        <w:ind w:left="24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5"/>
          <w:sz w:val="24"/>
          <w:szCs w:val="24"/>
          <w:highlight w:val="none"/>
        </w:rPr>
        <w:t xml:space="preserve"> </w:t>
      </w:r>
      <w:r>
        <w:rPr>
          <w:rFonts w:hint="eastAsia" w:ascii="宋体" w:hAnsi="宋体" w:eastAsia="宋体" w:cs="宋体"/>
          <w:color w:val="auto"/>
          <w:spacing w:val="-2"/>
          <w:sz w:val="24"/>
          <w:szCs w:val="24"/>
          <w:highlight w:val="none"/>
        </w:rPr>
        <w:t>1  正在实施的和新承接的项目汇总表</w:t>
      </w:r>
    </w:p>
    <w:p>
      <w:pPr>
        <w:spacing w:line="19" w:lineRule="auto"/>
        <w:rPr>
          <w:rFonts w:hint="eastAsia" w:ascii="宋体" w:hAnsi="宋体" w:eastAsia="宋体" w:cs="宋体"/>
          <w:color w:val="auto"/>
          <w:sz w:val="2"/>
          <w:highlight w:val="none"/>
        </w:rPr>
      </w:pPr>
    </w:p>
    <w:tbl>
      <w:tblPr>
        <w:tblStyle w:val="9"/>
        <w:tblW w:w="88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682"/>
        <w:gridCol w:w="1394"/>
        <w:gridCol w:w="1080"/>
        <w:gridCol w:w="1110"/>
        <w:gridCol w:w="1778"/>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707" w:type="dxa"/>
            <w:vAlign w:val="top"/>
          </w:tcPr>
          <w:p>
            <w:pPr>
              <w:spacing w:line="293" w:lineRule="auto"/>
              <w:rPr>
                <w:rFonts w:hint="eastAsia" w:ascii="宋体" w:hAnsi="宋体" w:eastAsia="宋体" w:cs="宋体"/>
                <w:color w:val="auto"/>
                <w:sz w:val="21"/>
                <w:highlight w:val="none"/>
              </w:rPr>
            </w:pPr>
          </w:p>
          <w:p>
            <w:pPr>
              <w:pStyle w:val="10"/>
              <w:spacing w:before="68" w:line="222" w:lineRule="auto"/>
              <w:ind w:left="148"/>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682" w:type="dxa"/>
            <w:vAlign w:val="top"/>
          </w:tcPr>
          <w:p>
            <w:pPr>
              <w:spacing w:line="293" w:lineRule="auto"/>
              <w:rPr>
                <w:rFonts w:hint="eastAsia" w:ascii="宋体" w:hAnsi="宋体" w:eastAsia="宋体" w:cs="宋体"/>
                <w:color w:val="auto"/>
                <w:sz w:val="21"/>
                <w:highlight w:val="none"/>
              </w:rPr>
            </w:pPr>
          </w:p>
          <w:p>
            <w:pPr>
              <w:pStyle w:val="10"/>
              <w:spacing w:before="68" w:line="221" w:lineRule="auto"/>
              <w:ind w:left="427"/>
              <w:rPr>
                <w:rFonts w:hint="eastAsia" w:ascii="宋体" w:hAnsi="宋体" w:eastAsia="宋体" w:cs="宋体"/>
                <w:color w:val="auto"/>
                <w:highlight w:val="none"/>
              </w:rPr>
            </w:pPr>
            <w:r>
              <w:rPr>
                <w:rFonts w:hint="eastAsia" w:ascii="宋体" w:hAnsi="宋体" w:eastAsia="宋体" w:cs="宋体"/>
                <w:color w:val="auto"/>
                <w:spacing w:val="-3"/>
                <w:highlight w:val="none"/>
              </w:rPr>
              <w:t>项目名称</w:t>
            </w:r>
          </w:p>
        </w:tc>
        <w:tc>
          <w:tcPr>
            <w:tcW w:w="1394" w:type="dxa"/>
            <w:vAlign w:val="top"/>
          </w:tcPr>
          <w:p>
            <w:pPr>
              <w:spacing w:line="293" w:lineRule="auto"/>
              <w:rPr>
                <w:rFonts w:hint="eastAsia" w:ascii="宋体" w:hAnsi="宋体" w:eastAsia="宋体" w:cs="宋体"/>
                <w:color w:val="auto"/>
                <w:sz w:val="21"/>
                <w:highlight w:val="none"/>
              </w:rPr>
            </w:pPr>
          </w:p>
          <w:p>
            <w:pPr>
              <w:pStyle w:val="10"/>
              <w:spacing w:before="68" w:line="221" w:lineRule="auto"/>
              <w:ind w:left="178"/>
              <w:rPr>
                <w:rFonts w:hint="eastAsia" w:ascii="宋体" w:hAnsi="宋体" w:eastAsia="宋体" w:cs="宋体"/>
                <w:color w:val="auto"/>
                <w:highlight w:val="none"/>
              </w:rPr>
            </w:pPr>
            <w:r>
              <w:rPr>
                <w:rFonts w:hint="eastAsia" w:ascii="宋体" w:hAnsi="宋体" w:eastAsia="宋体" w:cs="宋体"/>
                <w:color w:val="auto"/>
                <w:spacing w:val="-2"/>
                <w:highlight w:val="none"/>
              </w:rPr>
              <w:t>发包人名称</w:t>
            </w:r>
          </w:p>
        </w:tc>
        <w:tc>
          <w:tcPr>
            <w:tcW w:w="1080" w:type="dxa"/>
            <w:vAlign w:val="top"/>
          </w:tcPr>
          <w:p>
            <w:pPr>
              <w:spacing w:line="292" w:lineRule="auto"/>
              <w:rPr>
                <w:rFonts w:hint="eastAsia" w:ascii="宋体" w:hAnsi="宋体" w:eastAsia="宋体" w:cs="宋体"/>
                <w:color w:val="auto"/>
                <w:sz w:val="21"/>
                <w:highlight w:val="none"/>
              </w:rPr>
            </w:pPr>
          </w:p>
          <w:p>
            <w:pPr>
              <w:pStyle w:val="10"/>
              <w:spacing w:before="68" w:line="221" w:lineRule="auto"/>
              <w:ind w:left="128"/>
              <w:rPr>
                <w:rFonts w:hint="eastAsia" w:ascii="宋体" w:hAnsi="宋体" w:eastAsia="宋体" w:cs="宋体"/>
                <w:color w:val="auto"/>
                <w:highlight w:val="none"/>
              </w:rPr>
            </w:pPr>
            <w:r>
              <w:rPr>
                <w:rFonts w:hint="eastAsia" w:ascii="宋体" w:hAnsi="宋体" w:eastAsia="宋体" w:cs="宋体"/>
                <w:color w:val="auto"/>
                <w:spacing w:val="-2"/>
                <w:highlight w:val="none"/>
              </w:rPr>
              <w:t>工程规模</w:t>
            </w:r>
          </w:p>
        </w:tc>
        <w:tc>
          <w:tcPr>
            <w:tcW w:w="1110" w:type="dxa"/>
            <w:vAlign w:val="top"/>
          </w:tcPr>
          <w:p>
            <w:pPr>
              <w:pStyle w:val="10"/>
              <w:spacing w:before="163" w:line="401" w:lineRule="exact"/>
              <w:ind w:left="141"/>
              <w:rPr>
                <w:rFonts w:hint="eastAsia" w:ascii="宋体" w:hAnsi="宋体" w:eastAsia="宋体" w:cs="宋体"/>
                <w:color w:val="auto"/>
                <w:highlight w:val="none"/>
              </w:rPr>
            </w:pPr>
            <w:r>
              <w:rPr>
                <w:rFonts w:hint="eastAsia" w:ascii="宋体" w:hAnsi="宋体" w:eastAsia="宋体" w:cs="宋体"/>
                <w:color w:val="auto"/>
                <w:spacing w:val="-2"/>
                <w:position w:val="14"/>
                <w:highlight w:val="none"/>
              </w:rPr>
              <w:t>合同价格</w:t>
            </w:r>
          </w:p>
          <w:p>
            <w:pPr>
              <w:pStyle w:val="10"/>
              <w:spacing w:line="207" w:lineRule="auto"/>
              <w:ind w:left="93"/>
              <w:rPr>
                <w:rFonts w:hint="eastAsia" w:ascii="宋体" w:hAnsi="宋体" w:eastAsia="宋体" w:cs="宋体"/>
                <w:color w:val="auto"/>
                <w:highlight w:val="none"/>
              </w:rPr>
            </w:pPr>
            <w:r>
              <w:rPr>
                <w:rFonts w:hint="eastAsia" w:ascii="宋体" w:hAnsi="宋体" w:eastAsia="宋体" w:cs="宋体"/>
                <w:color w:val="auto"/>
                <w:spacing w:val="-6"/>
                <w:highlight w:val="none"/>
              </w:rPr>
              <w:t>（万元）</w:t>
            </w:r>
          </w:p>
        </w:tc>
        <w:tc>
          <w:tcPr>
            <w:tcW w:w="1778" w:type="dxa"/>
            <w:vAlign w:val="top"/>
          </w:tcPr>
          <w:p>
            <w:pPr>
              <w:pStyle w:val="10"/>
              <w:spacing w:before="163" w:line="401" w:lineRule="exact"/>
              <w:ind w:left="371"/>
              <w:rPr>
                <w:rFonts w:hint="eastAsia" w:ascii="宋体" w:hAnsi="宋体" w:eastAsia="宋体" w:cs="宋体"/>
                <w:color w:val="auto"/>
                <w:highlight w:val="none"/>
              </w:rPr>
            </w:pPr>
            <w:r>
              <w:rPr>
                <w:rFonts w:hint="eastAsia" w:ascii="宋体" w:hAnsi="宋体" w:eastAsia="宋体" w:cs="宋体"/>
                <w:color w:val="auto"/>
                <w:spacing w:val="-3"/>
                <w:position w:val="14"/>
                <w:highlight w:val="none"/>
              </w:rPr>
              <w:t>计划开、竣</w:t>
            </w:r>
          </w:p>
          <w:p>
            <w:pPr>
              <w:pStyle w:val="10"/>
              <w:spacing w:line="207" w:lineRule="auto"/>
              <w:ind w:left="585"/>
              <w:rPr>
                <w:rFonts w:hint="eastAsia" w:ascii="宋体" w:hAnsi="宋体" w:eastAsia="宋体" w:cs="宋体"/>
                <w:color w:val="auto"/>
                <w:highlight w:val="none"/>
              </w:rPr>
            </w:pPr>
            <w:r>
              <w:rPr>
                <w:rFonts w:hint="eastAsia" w:ascii="宋体" w:hAnsi="宋体" w:eastAsia="宋体" w:cs="宋体"/>
                <w:color w:val="auto"/>
                <w:spacing w:val="-2"/>
                <w:highlight w:val="none"/>
              </w:rPr>
              <w:t>工日期</w:t>
            </w:r>
          </w:p>
        </w:tc>
        <w:tc>
          <w:tcPr>
            <w:tcW w:w="1084" w:type="dxa"/>
            <w:vAlign w:val="top"/>
          </w:tcPr>
          <w:p>
            <w:pPr>
              <w:spacing w:line="293" w:lineRule="auto"/>
              <w:rPr>
                <w:rFonts w:hint="eastAsia" w:ascii="宋体" w:hAnsi="宋体" w:eastAsia="宋体" w:cs="宋体"/>
                <w:color w:val="auto"/>
                <w:sz w:val="21"/>
                <w:highlight w:val="none"/>
              </w:rPr>
            </w:pPr>
          </w:p>
          <w:p>
            <w:pPr>
              <w:pStyle w:val="10"/>
              <w:spacing w:before="68" w:line="221" w:lineRule="auto"/>
              <w:ind w:left="131"/>
              <w:rPr>
                <w:rFonts w:hint="eastAsia" w:ascii="宋体" w:hAnsi="宋体" w:eastAsia="宋体" w:cs="宋体"/>
                <w:color w:val="auto"/>
                <w:highlight w:val="none"/>
              </w:rPr>
            </w:pPr>
            <w:r>
              <w:rPr>
                <w:rFonts w:hint="eastAsia" w:ascii="宋体" w:hAnsi="宋体" w:eastAsia="宋体" w:cs="宋体"/>
                <w:color w:val="auto"/>
                <w:spacing w:val="-3"/>
                <w:highlight w:val="none"/>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07" w:type="dxa"/>
            <w:vAlign w:val="top"/>
          </w:tcPr>
          <w:p>
            <w:pPr>
              <w:rPr>
                <w:rFonts w:hint="eastAsia" w:ascii="宋体" w:hAnsi="宋体" w:eastAsia="宋体" w:cs="宋体"/>
                <w:color w:val="auto"/>
                <w:sz w:val="21"/>
                <w:highlight w:val="none"/>
              </w:rPr>
            </w:pPr>
          </w:p>
        </w:tc>
        <w:tc>
          <w:tcPr>
            <w:tcW w:w="1682" w:type="dxa"/>
            <w:vAlign w:val="top"/>
          </w:tcPr>
          <w:p>
            <w:pPr>
              <w:rPr>
                <w:rFonts w:hint="eastAsia" w:ascii="宋体" w:hAnsi="宋体" w:eastAsia="宋体" w:cs="宋体"/>
                <w:color w:val="auto"/>
                <w:sz w:val="21"/>
                <w:highlight w:val="none"/>
              </w:rPr>
            </w:pPr>
          </w:p>
        </w:tc>
        <w:tc>
          <w:tcPr>
            <w:tcW w:w="1394" w:type="dxa"/>
            <w:vAlign w:val="top"/>
          </w:tcPr>
          <w:p>
            <w:pPr>
              <w:rPr>
                <w:rFonts w:hint="eastAsia" w:ascii="宋体" w:hAnsi="宋体" w:eastAsia="宋体" w:cs="宋体"/>
                <w:color w:val="auto"/>
                <w:sz w:val="21"/>
                <w:highlight w:val="none"/>
              </w:rPr>
            </w:pPr>
          </w:p>
        </w:tc>
        <w:tc>
          <w:tcPr>
            <w:tcW w:w="1080" w:type="dxa"/>
            <w:vAlign w:val="top"/>
          </w:tcPr>
          <w:p>
            <w:pPr>
              <w:rPr>
                <w:rFonts w:hint="eastAsia" w:ascii="宋体" w:hAnsi="宋体" w:eastAsia="宋体" w:cs="宋体"/>
                <w:color w:val="auto"/>
                <w:sz w:val="21"/>
                <w:highlight w:val="none"/>
              </w:rPr>
            </w:pPr>
          </w:p>
        </w:tc>
        <w:tc>
          <w:tcPr>
            <w:tcW w:w="1110" w:type="dxa"/>
            <w:vAlign w:val="top"/>
          </w:tcPr>
          <w:p>
            <w:pPr>
              <w:rPr>
                <w:rFonts w:hint="eastAsia" w:ascii="宋体" w:hAnsi="宋体" w:eastAsia="宋体" w:cs="宋体"/>
                <w:color w:val="auto"/>
                <w:sz w:val="21"/>
                <w:highlight w:val="none"/>
              </w:rPr>
            </w:pPr>
          </w:p>
        </w:tc>
        <w:tc>
          <w:tcPr>
            <w:tcW w:w="1778" w:type="dxa"/>
            <w:vAlign w:val="top"/>
          </w:tcPr>
          <w:p>
            <w:pPr>
              <w:rPr>
                <w:rFonts w:hint="eastAsia" w:ascii="宋体" w:hAnsi="宋体" w:eastAsia="宋体" w:cs="宋体"/>
                <w:color w:val="auto"/>
                <w:sz w:val="21"/>
                <w:highlight w:val="none"/>
              </w:rPr>
            </w:pPr>
          </w:p>
        </w:tc>
        <w:tc>
          <w:tcPr>
            <w:tcW w:w="1084" w:type="dxa"/>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54" w:type="default"/>
          <w:pgSz w:w="11905" w:h="16843"/>
          <w:pgMar w:top="1769" w:right="1548" w:bottom="1003" w:left="1542" w:header="0" w:footer="828" w:gutter="0"/>
          <w:pgNumType w:fmt="numberInDash"/>
          <w:cols w:space="0" w:num="1"/>
          <w:rtlGutter w:val="0"/>
          <w:docGrid w:linePitch="0" w:charSpace="0"/>
        </w:sectPr>
      </w:pPr>
    </w:p>
    <w:p>
      <w:pPr>
        <w:pStyle w:val="2"/>
        <w:spacing w:line="266" w:lineRule="auto"/>
        <w:rPr>
          <w:rFonts w:hint="eastAsia" w:ascii="宋体" w:hAnsi="宋体" w:eastAsia="宋体" w:cs="宋体"/>
          <w:color w:val="auto"/>
          <w:highlight w:val="none"/>
        </w:rPr>
      </w:pPr>
    </w:p>
    <w:p>
      <w:pPr>
        <w:spacing w:before="78" w:line="218" w:lineRule="auto"/>
        <w:ind w:left="2241"/>
        <w:rPr>
          <w:rFonts w:hint="eastAsia" w:ascii="宋体" w:hAnsi="宋体" w:eastAsia="宋体" w:cs="宋体"/>
          <w:color w:val="auto"/>
          <w:sz w:val="24"/>
          <w:szCs w:val="24"/>
          <w:highlight w:val="none"/>
        </w:rPr>
      </w:pPr>
      <w:bookmarkStart w:id="430" w:name="bookmark471"/>
      <w:bookmarkEnd w:id="430"/>
      <w:r>
        <w:rPr>
          <w:rFonts w:hint="eastAsia" w:ascii="宋体" w:hAnsi="宋体" w:eastAsia="宋体" w:cs="宋体"/>
          <w:color w:val="auto"/>
          <w:spacing w:val="-1"/>
          <w:sz w:val="24"/>
          <w:szCs w:val="24"/>
          <w:highlight w:val="none"/>
        </w:rPr>
        <w:t>4-2  正在实施的和新承接的项目情况表</w:t>
      </w:r>
    </w:p>
    <w:p>
      <w:pPr>
        <w:spacing w:line="19" w:lineRule="auto"/>
        <w:rPr>
          <w:rFonts w:hint="eastAsia" w:ascii="宋体" w:hAnsi="宋体" w:eastAsia="宋体" w:cs="宋体"/>
          <w:color w:val="auto"/>
          <w:sz w:val="2"/>
          <w:highlight w:val="none"/>
        </w:rPr>
      </w:pPr>
    </w:p>
    <w:tbl>
      <w:tblPr>
        <w:tblStyle w:val="9"/>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3"/>
        <w:gridCol w:w="6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2413" w:type="dxa"/>
            <w:vAlign w:val="top"/>
          </w:tcPr>
          <w:p>
            <w:pPr>
              <w:pStyle w:val="10"/>
              <w:spacing w:before="212" w:line="221" w:lineRule="auto"/>
              <w:ind w:left="796"/>
              <w:rPr>
                <w:rFonts w:hint="eastAsia" w:ascii="宋体" w:hAnsi="宋体" w:eastAsia="宋体" w:cs="宋体"/>
                <w:color w:val="auto"/>
                <w:highlight w:val="none"/>
              </w:rPr>
            </w:pPr>
            <w:r>
              <w:rPr>
                <w:rFonts w:hint="eastAsia" w:ascii="宋体" w:hAnsi="宋体" w:eastAsia="宋体" w:cs="宋体"/>
                <w:color w:val="auto"/>
                <w:spacing w:val="-3"/>
                <w:highlight w:val="none"/>
              </w:rPr>
              <w:t>项目名称</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04"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项目所在地</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05"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发包人名称</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3" w:type="dxa"/>
            <w:vAlign w:val="top"/>
          </w:tcPr>
          <w:p>
            <w:pPr>
              <w:pStyle w:val="10"/>
              <w:spacing w:before="206"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发包人地址</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08" w:line="221" w:lineRule="auto"/>
              <w:ind w:left="690"/>
              <w:rPr>
                <w:rFonts w:hint="eastAsia" w:ascii="宋体" w:hAnsi="宋体" w:eastAsia="宋体" w:cs="宋体"/>
                <w:color w:val="auto"/>
                <w:highlight w:val="none"/>
              </w:rPr>
            </w:pPr>
            <w:r>
              <w:rPr>
                <w:rFonts w:hint="eastAsia" w:ascii="宋体" w:hAnsi="宋体" w:eastAsia="宋体" w:cs="宋体"/>
                <w:color w:val="auto"/>
                <w:spacing w:val="-2"/>
                <w:highlight w:val="none"/>
              </w:rPr>
              <w:t>发包人电话</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3" w:type="dxa"/>
            <w:vAlign w:val="top"/>
          </w:tcPr>
          <w:p>
            <w:pPr>
              <w:pStyle w:val="10"/>
              <w:spacing w:before="209" w:line="219" w:lineRule="auto"/>
              <w:ind w:left="687"/>
              <w:rPr>
                <w:rFonts w:hint="eastAsia" w:ascii="宋体" w:hAnsi="宋体" w:eastAsia="宋体" w:cs="宋体"/>
                <w:color w:val="auto"/>
                <w:highlight w:val="none"/>
              </w:rPr>
            </w:pPr>
            <w:r>
              <w:rPr>
                <w:rFonts w:hint="eastAsia" w:ascii="宋体" w:hAnsi="宋体" w:eastAsia="宋体" w:cs="宋体"/>
                <w:color w:val="auto"/>
                <w:spacing w:val="-1"/>
                <w:highlight w:val="none"/>
              </w:rPr>
              <w:t>签约合同价</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3" w:type="dxa"/>
            <w:vAlign w:val="top"/>
          </w:tcPr>
          <w:p>
            <w:pPr>
              <w:pStyle w:val="10"/>
              <w:spacing w:before="208" w:line="221" w:lineRule="auto"/>
              <w:ind w:left="793"/>
              <w:rPr>
                <w:rFonts w:hint="eastAsia" w:ascii="宋体" w:hAnsi="宋体" w:eastAsia="宋体" w:cs="宋体"/>
                <w:color w:val="auto"/>
                <w:highlight w:val="none"/>
              </w:rPr>
            </w:pPr>
            <w:r>
              <w:rPr>
                <w:rFonts w:hint="eastAsia" w:ascii="宋体" w:hAnsi="宋体" w:eastAsia="宋体" w:cs="宋体"/>
                <w:color w:val="auto"/>
                <w:spacing w:val="-2"/>
                <w:highlight w:val="none"/>
              </w:rPr>
              <w:t>开工日期</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05" w:line="221" w:lineRule="auto"/>
              <w:ind w:left="581"/>
              <w:rPr>
                <w:rFonts w:hint="eastAsia" w:ascii="宋体" w:hAnsi="宋体" w:eastAsia="宋体" w:cs="宋体"/>
                <w:color w:val="auto"/>
                <w:highlight w:val="none"/>
              </w:rPr>
            </w:pPr>
            <w:r>
              <w:rPr>
                <w:rFonts w:hint="eastAsia" w:ascii="宋体" w:hAnsi="宋体" w:eastAsia="宋体" w:cs="宋体"/>
                <w:color w:val="auto"/>
                <w:spacing w:val="-1"/>
                <w:highlight w:val="none"/>
              </w:rPr>
              <w:t>计划竣工日期</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3" w:type="dxa"/>
            <w:vAlign w:val="top"/>
          </w:tcPr>
          <w:p>
            <w:pPr>
              <w:pStyle w:val="10"/>
              <w:spacing w:before="206" w:line="221" w:lineRule="auto"/>
              <w:ind w:left="687"/>
              <w:rPr>
                <w:rFonts w:hint="eastAsia" w:ascii="宋体" w:hAnsi="宋体" w:eastAsia="宋体" w:cs="宋体"/>
                <w:color w:val="auto"/>
                <w:highlight w:val="none"/>
              </w:rPr>
            </w:pPr>
            <w:r>
              <w:rPr>
                <w:rFonts w:hint="eastAsia" w:ascii="宋体" w:hAnsi="宋体" w:eastAsia="宋体" w:cs="宋体"/>
                <w:color w:val="auto"/>
                <w:spacing w:val="-1"/>
                <w:highlight w:val="none"/>
              </w:rPr>
              <w:t>承担的工作</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07" w:line="221" w:lineRule="auto"/>
              <w:ind w:left="795"/>
              <w:rPr>
                <w:rFonts w:hint="eastAsia" w:ascii="宋体" w:hAnsi="宋体" w:eastAsia="宋体" w:cs="宋体"/>
                <w:color w:val="auto"/>
                <w:highlight w:val="none"/>
              </w:rPr>
            </w:pPr>
            <w:r>
              <w:rPr>
                <w:rFonts w:hint="eastAsia" w:ascii="宋体" w:hAnsi="宋体" w:eastAsia="宋体" w:cs="宋体"/>
                <w:color w:val="auto"/>
                <w:spacing w:val="-2"/>
                <w:highlight w:val="none"/>
              </w:rPr>
              <w:t>工程质量</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10" w:line="221" w:lineRule="auto"/>
              <w:ind w:left="796"/>
              <w:rPr>
                <w:rFonts w:hint="eastAsia" w:ascii="宋体" w:hAnsi="宋体" w:eastAsia="宋体" w:cs="宋体"/>
                <w:color w:val="auto"/>
                <w:highlight w:val="none"/>
              </w:rPr>
            </w:pPr>
            <w:r>
              <w:rPr>
                <w:rFonts w:hint="eastAsia" w:ascii="宋体" w:hAnsi="宋体" w:eastAsia="宋体" w:cs="宋体"/>
                <w:color w:val="auto"/>
                <w:spacing w:val="-3"/>
                <w:highlight w:val="none"/>
              </w:rPr>
              <w:t>项目经理</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vAlign w:val="top"/>
          </w:tcPr>
          <w:p>
            <w:pPr>
              <w:pStyle w:val="10"/>
              <w:spacing w:before="209" w:line="221" w:lineRule="auto"/>
              <w:ind w:left="688"/>
              <w:rPr>
                <w:rFonts w:hint="eastAsia" w:ascii="宋体" w:hAnsi="宋体" w:eastAsia="宋体" w:cs="宋体"/>
                <w:color w:val="auto"/>
                <w:highlight w:val="none"/>
              </w:rPr>
            </w:pPr>
            <w:r>
              <w:rPr>
                <w:rFonts w:hint="eastAsia" w:ascii="宋体" w:hAnsi="宋体" w:eastAsia="宋体" w:cs="宋体"/>
                <w:color w:val="auto"/>
                <w:spacing w:val="-2"/>
                <w:highlight w:val="none"/>
              </w:rPr>
              <w:t>技术负责人</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3" w:type="dxa"/>
            <w:vAlign w:val="top"/>
          </w:tcPr>
          <w:p>
            <w:pPr>
              <w:pStyle w:val="10"/>
              <w:spacing w:before="210" w:line="221" w:lineRule="auto"/>
              <w:ind w:left="272"/>
              <w:rPr>
                <w:rFonts w:hint="eastAsia" w:ascii="宋体" w:hAnsi="宋体" w:eastAsia="宋体" w:cs="宋体"/>
                <w:color w:val="auto"/>
                <w:highlight w:val="none"/>
              </w:rPr>
            </w:pPr>
            <w:r>
              <w:rPr>
                <w:rFonts w:hint="eastAsia" w:ascii="宋体" w:hAnsi="宋体" w:eastAsia="宋体" w:cs="宋体"/>
                <w:color w:val="auto"/>
                <w:spacing w:val="-2"/>
                <w:highlight w:val="none"/>
              </w:rPr>
              <w:t>总监理工程师及电话</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5" w:hRule="atLeast"/>
        </w:trPr>
        <w:tc>
          <w:tcPr>
            <w:tcW w:w="2413" w:type="dxa"/>
            <w:vAlign w:val="top"/>
          </w:tcPr>
          <w:p>
            <w:pPr>
              <w:spacing w:line="274" w:lineRule="auto"/>
              <w:rPr>
                <w:rFonts w:hint="eastAsia" w:ascii="宋体" w:hAnsi="宋体" w:eastAsia="宋体" w:cs="宋体"/>
                <w:color w:val="auto"/>
                <w:sz w:val="21"/>
                <w:highlight w:val="none"/>
              </w:rPr>
            </w:pPr>
          </w:p>
          <w:p>
            <w:pPr>
              <w:spacing w:line="275" w:lineRule="auto"/>
              <w:rPr>
                <w:rFonts w:hint="eastAsia" w:ascii="宋体" w:hAnsi="宋体" w:eastAsia="宋体" w:cs="宋体"/>
                <w:color w:val="auto"/>
                <w:sz w:val="21"/>
                <w:highlight w:val="none"/>
              </w:rPr>
            </w:pPr>
          </w:p>
          <w:p>
            <w:pPr>
              <w:spacing w:line="275" w:lineRule="auto"/>
              <w:rPr>
                <w:rFonts w:hint="eastAsia" w:ascii="宋体" w:hAnsi="宋体" w:eastAsia="宋体" w:cs="宋体"/>
                <w:color w:val="auto"/>
                <w:sz w:val="21"/>
                <w:highlight w:val="none"/>
              </w:rPr>
            </w:pPr>
          </w:p>
          <w:p>
            <w:pPr>
              <w:spacing w:line="275" w:lineRule="auto"/>
              <w:rPr>
                <w:rFonts w:hint="eastAsia" w:ascii="宋体" w:hAnsi="宋体" w:eastAsia="宋体" w:cs="宋体"/>
                <w:color w:val="auto"/>
                <w:sz w:val="21"/>
                <w:highlight w:val="none"/>
              </w:rPr>
            </w:pPr>
          </w:p>
          <w:p>
            <w:pPr>
              <w:pStyle w:val="10"/>
              <w:spacing w:before="68" w:line="221" w:lineRule="auto"/>
              <w:ind w:left="796"/>
              <w:rPr>
                <w:rFonts w:hint="eastAsia" w:ascii="宋体" w:hAnsi="宋体" w:eastAsia="宋体" w:cs="宋体"/>
                <w:color w:val="auto"/>
                <w:highlight w:val="none"/>
              </w:rPr>
            </w:pPr>
            <w:r>
              <w:rPr>
                <w:rFonts w:hint="eastAsia" w:ascii="宋体" w:hAnsi="宋体" w:eastAsia="宋体" w:cs="宋体"/>
                <w:color w:val="auto"/>
                <w:spacing w:val="-3"/>
                <w:highlight w:val="none"/>
              </w:rPr>
              <w:t>项目描述</w:t>
            </w:r>
          </w:p>
        </w:tc>
        <w:tc>
          <w:tcPr>
            <w:tcW w:w="6098"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3" w:type="dxa"/>
            <w:vAlign w:val="top"/>
          </w:tcPr>
          <w:p>
            <w:pPr>
              <w:pStyle w:val="10"/>
              <w:spacing w:before="212" w:line="222" w:lineRule="auto"/>
              <w:ind w:left="1004"/>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c>
          <w:tcPr>
            <w:tcW w:w="6098" w:type="dxa"/>
            <w:vAlign w:val="top"/>
          </w:tcPr>
          <w:p>
            <w:pPr>
              <w:rPr>
                <w:rFonts w:hint="eastAsia" w:ascii="宋体" w:hAnsi="宋体" w:eastAsia="宋体" w:cs="宋体"/>
                <w:color w:val="auto"/>
                <w:sz w:val="21"/>
                <w:highlight w:val="none"/>
              </w:rPr>
            </w:pPr>
          </w:p>
        </w:tc>
      </w:tr>
    </w:tbl>
    <w:p>
      <w:pPr>
        <w:spacing w:before="29" w:line="220" w:lineRule="auto"/>
        <w:ind w:left="13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备注： 类似项目含义和近年具体要求见投标人须知前</w:t>
      </w:r>
      <w:r>
        <w:rPr>
          <w:rFonts w:hint="eastAsia" w:ascii="宋体" w:hAnsi="宋体" w:eastAsia="宋体" w:cs="宋体"/>
          <w:color w:val="auto"/>
          <w:spacing w:val="-5"/>
          <w:sz w:val="21"/>
          <w:szCs w:val="21"/>
          <w:highlight w:val="none"/>
        </w:rPr>
        <w:t>附表。</w:t>
      </w:r>
    </w:p>
    <w:p>
      <w:pPr>
        <w:spacing w:line="220" w:lineRule="auto"/>
        <w:rPr>
          <w:rFonts w:hint="eastAsia" w:ascii="宋体" w:hAnsi="宋体" w:eastAsia="宋体" w:cs="宋体"/>
          <w:color w:val="auto"/>
          <w:sz w:val="21"/>
          <w:szCs w:val="21"/>
          <w:highlight w:val="none"/>
        </w:rPr>
        <w:sectPr>
          <w:footerReference r:id="rId155" w:type="default"/>
          <w:pgSz w:w="11905" w:h="16843"/>
          <w:pgMar w:top="1769" w:right="1548" w:bottom="1003" w:left="1542" w:header="0" w:footer="828" w:gutter="0"/>
          <w:pgNumType w:fmt="numberInDash"/>
          <w:cols w:space="0" w:num="1"/>
          <w:rtlGutter w:val="0"/>
          <w:docGrid w:linePitch="0" w:charSpace="0"/>
        </w:sectPr>
      </w:pPr>
    </w:p>
    <w:p>
      <w:pPr>
        <w:spacing w:before="78" w:line="220" w:lineRule="auto"/>
        <w:ind w:left="339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（五）企业信誉情况</w:t>
      </w:r>
    </w:p>
    <w:p>
      <w:pPr>
        <w:pStyle w:val="2"/>
        <w:spacing w:line="347" w:lineRule="auto"/>
        <w:rPr>
          <w:rFonts w:hint="eastAsia" w:ascii="宋体" w:hAnsi="宋体" w:eastAsia="宋体" w:cs="宋体"/>
          <w:color w:val="auto"/>
          <w:highlight w:val="none"/>
        </w:rPr>
      </w:pPr>
    </w:p>
    <w:p>
      <w:pPr>
        <w:spacing w:before="78" w:line="586" w:lineRule="exact"/>
        <w:ind w:left="3552"/>
        <w:rPr>
          <w:rFonts w:hint="eastAsia" w:ascii="宋体" w:hAnsi="宋体" w:eastAsia="宋体" w:cs="宋体"/>
          <w:color w:val="auto"/>
          <w:sz w:val="24"/>
          <w:szCs w:val="24"/>
          <w:highlight w:val="none"/>
        </w:rPr>
      </w:pPr>
      <w:r>
        <w:rPr>
          <w:rFonts w:hint="eastAsia" w:ascii="宋体" w:hAnsi="宋体" w:eastAsia="宋体" w:cs="宋体"/>
          <w:color w:val="auto"/>
          <w:spacing w:val="-4"/>
          <w:position w:val="26"/>
          <w:sz w:val="24"/>
          <w:szCs w:val="24"/>
          <w:highlight w:val="none"/>
        </w:rPr>
        <w:t>5-</w:t>
      </w:r>
      <w:r>
        <w:rPr>
          <w:rFonts w:hint="eastAsia" w:ascii="宋体" w:hAnsi="宋体" w:eastAsia="宋体" w:cs="宋体"/>
          <w:color w:val="auto"/>
          <w:spacing w:val="-33"/>
          <w:position w:val="26"/>
          <w:sz w:val="24"/>
          <w:szCs w:val="24"/>
          <w:highlight w:val="none"/>
        </w:rPr>
        <w:t xml:space="preserve"> </w:t>
      </w:r>
      <w:r>
        <w:rPr>
          <w:rFonts w:hint="eastAsia" w:ascii="宋体" w:hAnsi="宋体" w:eastAsia="宋体" w:cs="宋体"/>
          <w:color w:val="auto"/>
          <w:spacing w:val="-4"/>
          <w:position w:val="26"/>
          <w:sz w:val="24"/>
          <w:szCs w:val="24"/>
          <w:highlight w:val="none"/>
        </w:rPr>
        <w:t>1 企业信誉声明</w:t>
      </w:r>
    </w:p>
    <w:p>
      <w:pPr>
        <w:tabs>
          <w:tab w:val="left" w:pos="2205"/>
        </w:tabs>
        <w:spacing w:line="221"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z w:val="21"/>
          <w:szCs w:val="21"/>
          <w:highlight w:val="none"/>
        </w:rPr>
        <w:t>（招标人名称</w:t>
      </w:r>
      <w:r>
        <w:rPr>
          <w:rFonts w:hint="eastAsia" w:ascii="宋体" w:hAnsi="宋体" w:eastAsia="宋体" w:cs="宋体"/>
          <w:color w:val="auto"/>
          <w:spacing w:val="-54"/>
          <w:w w:val="97"/>
          <w:sz w:val="21"/>
          <w:szCs w:val="21"/>
          <w:highlight w:val="none"/>
        </w:rPr>
        <w:t>）：</w:t>
      </w:r>
    </w:p>
    <w:p>
      <w:pPr>
        <w:pStyle w:val="2"/>
        <w:spacing w:line="364" w:lineRule="auto"/>
        <w:rPr>
          <w:rFonts w:hint="eastAsia" w:ascii="宋体" w:hAnsi="宋体" w:eastAsia="宋体" w:cs="宋体"/>
          <w:color w:val="auto"/>
          <w:highlight w:val="no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我方在此声明，截止本招标项目投标截止时间，我方处于正常的经营状态，不存在下列任何一种情形。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1.被依法暂停或取消投标资格；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2.被责令停产停业、暂扣或者吊销许可证、暂扣或者吊销执照；</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3.进入清算程序，或被宣告破产，或其他丧失履约能力的情形；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4.在最近三年内有骗取中标或严重违约或重大工程质量问题的；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5.在“国家企业信用信息公示系统”（www.gsxt.gov.cn）被列入严重违法失信企业名单；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6. 在 “ 信 用 中 国 ” 网 站 （</w:t>
      </w:r>
      <w:r>
        <w:rPr>
          <w:rFonts w:hint="eastAsia" w:ascii="宋体" w:hAnsi="宋体" w:eastAsia="宋体" w:cs="宋体"/>
          <w:color w:val="auto"/>
          <w:spacing w:val="2"/>
          <w:position w:val="17"/>
          <w:sz w:val="21"/>
          <w:szCs w:val="21"/>
          <w:highlight w:val="none"/>
        </w:rPr>
        <w:fldChar w:fldCharType="begin"/>
      </w:r>
      <w:r>
        <w:rPr>
          <w:rFonts w:hint="eastAsia" w:ascii="宋体" w:hAnsi="宋体" w:eastAsia="宋体" w:cs="宋体"/>
          <w:color w:val="auto"/>
          <w:spacing w:val="2"/>
          <w:position w:val="17"/>
          <w:sz w:val="21"/>
          <w:szCs w:val="21"/>
          <w:highlight w:val="none"/>
        </w:rPr>
        <w:instrText xml:space="preserve"> HYPERLINK "http://www.creditchina.gov.cn/" </w:instrText>
      </w:r>
      <w:r>
        <w:rPr>
          <w:rFonts w:hint="eastAsia" w:ascii="宋体" w:hAnsi="宋体" w:eastAsia="宋体" w:cs="宋体"/>
          <w:color w:val="auto"/>
          <w:spacing w:val="2"/>
          <w:position w:val="17"/>
          <w:sz w:val="21"/>
          <w:szCs w:val="21"/>
          <w:highlight w:val="none"/>
        </w:rPr>
        <w:fldChar w:fldCharType="separate"/>
      </w:r>
      <w:r>
        <w:rPr>
          <w:rFonts w:hint="eastAsia" w:ascii="宋体" w:hAnsi="宋体" w:eastAsia="宋体" w:cs="宋体"/>
          <w:color w:val="auto"/>
          <w:spacing w:val="2"/>
          <w:position w:val="17"/>
          <w:sz w:val="21"/>
          <w:szCs w:val="21"/>
          <w:highlight w:val="none"/>
        </w:rPr>
        <w:t>www.creditchina.gov.cn ）</w:t>
      </w:r>
      <w:r>
        <w:rPr>
          <w:rFonts w:hint="eastAsia" w:ascii="宋体" w:hAnsi="宋体" w:eastAsia="宋体" w:cs="宋体"/>
          <w:color w:val="auto"/>
          <w:spacing w:val="2"/>
          <w:position w:val="17"/>
          <w:sz w:val="21"/>
          <w:szCs w:val="21"/>
          <w:highlight w:val="none"/>
        </w:rPr>
        <w:fldChar w:fldCharType="end"/>
      </w:r>
      <w:r>
        <w:rPr>
          <w:rFonts w:hint="eastAsia" w:ascii="宋体" w:hAnsi="宋体" w:eastAsia="宋体" w:cs="宋体"/>
          <w:color w:val="auto"/>
          <w:spacing w:val="2"/>
          <w:position w:val="17"/>
          <w:sz w:val="21"/>
          <w:szCs w:val="21"/>
          <w:highlight w:val="none"/>
        </w:rPr>
        <w:t xml:space="preserve"> 或 “ 中 国 执 行 信 息 公 开 网 ” （</w:t>
      </w:r>
      <w:r>
        <w:rPr>
          <w:rFonts w:hint="eastAsia" w:ascii="宋体" w:hAnsi="宋体" w:eastAsia="宋体" w:cs="宋体"/>
          <w:color w:val="auto"/>
          <w:spacing w:val="2"/>
          <w:position w:val="17"/>
          <w:sz w:val="21"/>
          <w:szCs w:val="21"/>
          <w:highlight w:val="none"/>
        </w:rPr>
        <w:fldChar w:fldCharType="begin"/>
      </w:r>
      <w:r>
        <w:rPr>
          <w:rFonts w:hint="eastAsia" w:ascii="宋体" w:hAnsi="宋体" w:eastAsia="宋体" w:cs="宋体"/>
          <w:color w:val="auto"/>
          <w:spacing w:val="2"/>
          <w:position w:val="17"/>
          <w:sz w:val="21"/>
          <w:szCs w:val="21"/>
          <w:highlight w:val="none"/>
        </w:rPr>
        <w:instrText xml:space="preserve"> HYPERLINK "http://zxgk.court.gov.cn/shixin/" </w:instrText>
      </w:r>
      <w:r>
        <w:rPr>
          <w:rFonts w:hint="eastAsia" w:ascii="宋体" w:hAnsi="宋体" w:eastAsia="宋体" w:cs="宋体"/>
          <w:color w:val="auto"/>
          <w:spacing w:val="2"/>
          <w:position w:val="17"/>
          <w:sz w:val="21"/>
          <w:szCs w:val="21"/>
          <w:highlight w:val="none"/>
        </w:rPr>
        <w:fldChar w:fldCharType="separate"/>
      </w:r>
      <w:r>
        <w:rPr>
          <w:rFonts w:hint="eastAsia" w:ascii="宋体" w:hAnsi="宋体" w:eastAsia="宋体" w:cs="宋体"/>
          <w:color w:val="auto"/>
          <w:spacing w:val="2"/>
          <w:position w:val="17"/>
          <w:sz w:val="21"/>
          <w:szCs w:val="21"/>
          <w:highlight w:val="none"/>
        </w:rPr>
        <w:t>http://zxgk.court.gov.cn/shixin/</w:t>
      </w:r>
      <w:r>
        <w:rPr>
          <w:rFonts w:hint="eastAsia" w:ascii="宋体" w:hAnsi="宋体" w:eastAsia="宋体" w:cs="宋体"/>
          <w:color w:val="auto"/>
          <w:spacing w:val="2"/>
          <w:position w:val="17"/>
          <w:sz w:val="21"/>
          <w:szCs w:val="21"/>
          <w:highlight w:val="none"/>
        </w:rPr>
        <w:fldChar w:fldCharType="end"/>
      </w:r>
      <w:r>
        <w:rPr>
          <w:rFonts w:hint="eastAsia" w:ascii="宋体" w:hAnsi="宋体" w:eastAsia="宋体" w:cs="宋体"/>
          <w:color w:val="auto"/>
          <w:spacing w:val="2"/>
          <w:position w:val="17"/>
          <w:sz w:val="21"/>
          <w:szCs w:val="21"/>
          <w:highlight w:val="none"/>
        </w:rPr>
        <w:t xml:space="preserve"> ）被列入失信被执行人名单；</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8" w:firstLineChars="200"/>
        <w:textAlignment w:val="baseline"/>
        <w:rPr>
          <w:rFonts w:hint="eastAsia" w:ascii="宋体" w:hAnsi="宋体" w:eastAsia="宋体" w:cs="宋体"/>
          <w:color w:val="auto"/>
          <w:spacing w:val="2"/>
          <w:position w:val="17"/>
          <w:sz w:val="21"/>
          <w:szCs w:val="21"/>
          <w:highlight w:val="none"/>
        </w:rPr>
      </w:pPr>
      <w:r>
        <w:rPr>
          <w:rFonts w:hint="eastAsia" w:ascii="宋体" w:hAnsi="宋体" w:eastAsia="宋体" w:cs="宋体"/>
          <w:color w:val="auto"/>
          <w:spacing w:val="2"/>
          <w:position w:val="17"/>
          <w:sz w:val="21"/>
          <w:szCs w:val="21"/>
          <w:highlight w:val="none"/>
        </w:rPr>
        <w:t>7.投标人须知前附表第 1.4.3（16）目规定的其他情形。</w:t>
      </w:r>
    </w:p>
    <w:p>
      <w:pPr>
        <w:spacing w:before="182" w:line="439" w:lineRule="exact"/>
        <w:ind w:left="429"/>
        <w:rPr>
          <w:rFonts w:hint="eastAsia" w:ascii="宋体" w:hAnsi="宋体" w:eastAsia="宋体" w:cs="宋体"/>
          <w:color w:val="auto"/>
          <w:sz w:val="21"/>
          <w:szCs w:val="21"/>
          <w:highlight w:val="none"/>
        </w:rPr>
      </w:pPr>
      <w:r>
        <w:rPr>
          <w:rFonts w:hint="eastAsia" w:ascii="宋体" w:hAnsi="宋体" w:eastAsia="宋体" w:cs="宋体"/>
          <w:color w:val="auto"/>
          <w:spacing w:val="-1"/>
          <w:position w:val="17"/>
          <w:sz w:val="21"/>
          <w:szCs w:val="21"/>
          <w:highlight w:val="none"/>
        </w:rPr>
        <w:t>我方对上述声明的真实性和准确性负责，并承担相应的法律责任。</w:t>
      </w:r>
    </w:p>
    <w:p>
      <w:pPr>
        <w:spacing w:before="1" w:line="219" w:lineRule="auto"/>
        <w:ind w:left="429"/>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后附： 上述条款</w:t>
      </w:r>
      <w:r>
        <w:rPr>
          <w:rFonts w:hint="eastAsia" w:ascii="宋体" w:hAnsi="宋体" w:eastAsia="宋体" w:cs="宋体"/>
          <w:color w:val="auto"/>
          <w:spacing w:val="-26"/>
          <w:sz w:val="21"/>
          <w:szCs w:val="21"/>
          <w:highlight w:val="none"/>
        </w:rPr>
        <w:t xml:space="preserve"> </w:t>
      </w:r>
      <w:r>
        <w:rPr>
          <w:rFonts w:hint="eastAsia" w:ascii="宋体" w:hAnsi="宋体" w:eastAsia="宋体" w:cs="宋体"/>
          <w:color w:val="auto"/>
          <w:spacing w:val="-8"/>
          <w:sz w:val="21"/>
          <w:szCs w:val="21"/>
          <w:highlight w:val="none"/>
        </w:rPr>
        <w:t>5、6网站查询结果截图。</w:t>
      </w:r>
    </w:p>
    <w:p>
      <w:pPr>
        <w:pStyle w:val="2"/>
        <w:spacing w:line="279" w:lineRule="auto"/>
        <w:rPr>
          <w:rFonts w:hint="eastAsia" w:ascii="宋体" w:hAnsi="宋体" w:eastAsia="宋体" w:cs="宋体"/>
          <w:color w:val="auto"/>
          <w:highlight w:val="none"/>
        </w:rPr>
      </w:pPr>
    </w:p>
    <w:p>
      <w:pPr>
        <w:pStyle w:val="2"/>
        <w:spacing w:line="280" w:lineRule="auto"/>
        <w:rPr>
          <w:rFonts w:hint="eastAsia" w:ascii="宋体" w:hAnsi="宋体" w:eastAsia="宋体" w:cs="宋体"/>
          <w:color w:val="auto"/>
          <w:highlight w:val="none"/>
        </w:rPr>
      </w:pPr>
    </w:p>
    <w:p>
      <w:pPr>
        <w:spacing w:before="68" w:line="386" w:lineRule="auto"/>
        <w:ind w:firstLine="2568" w:firstLineChars="120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投标人</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12"/>
          <w:sz w:val="21"/>
          <w:szCs w:val="21"/>
          <w:highlight w:val="none"/>
        </w:rPr>
        <w:t>（</w:t>
      </w:r>
      <w:r>
        <w:rPr>
          <w:rFonts w:hint="eastAsia" w:ascii="宋体" w:hAnsi="宋体" w:eastAsia="宋体" w:cs="宋体"/>
          <w:color w:val="auto"/>
          <w:spacing w:val="2"/>
          <w:sz w:val="21"/>
          <w:szCs w:val="21"/>
          <w:highlight w:val="none"/>
        </w:rPr>
        <w:t>盖单位章）</w:t>
      </w:r>
    </w:p>
    <w:p>
      <w:pPr>
        <w:spacing w:before="1" w:line="219" w:lineRule="auto"/>
        <w:ind w:firstLine="2574" w:firstLineChars="13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法定代表人或授权委托人</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49"/>
          <w:sz w:val="21"/>
          <w:szCs w:val="21"/>
          <w:highlight w:val="none"/>
        </w:rPr>
        <w:t xml:space="preserve"> </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6"/>
          <w:sz w:val="21"/>
          <w:szCs w:val="21"/>
          <w:highlight w:val="none"/>
        </w:rPr>
        <w:t>签章）</w:t>
      </w:r>
    </w:p>
    <w:p>
      <w:pPr>
        <w:pStyle w:val="2"/>
        <w:spacing w:line="279" w:lineRule="auto"/>
        <w:rPr>
          <w:rFonts w:hint="eastAsia" w:ascii="宋体" w:hAnsi="宋体" w:eastAsia="宋体" w:cs="宋体"/>
          <w:color w:val="auto"/>
          <w:highlight w:val="none"/>
        </w:rPr>
      </w:pPr>
    </w:p>
    <w:p>
      <w:pPr>
        <w:tabs>
          <w:tab w:val="left" w:pos="6092"/>
        </w:tabs>
        <w:spacing w:before="68" w:line="221" w:lineRule="auto"/>
        <w:ind w:firstLine="5152" w:firstLineChars="23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u w:val="single"/>
          <w:lang w:val="en-US" w:eastAsia="zh-CN"/>
        </w:rPr>
        <w:t xml:space="preserve">     </w:t>
      </w:r>
      <w:r>
        <w:rPr>
          <w:rFonts w:hint="eastAsia" w:ascii="宋体" w:hAnsi="宋体" w:eastAsia="宋体" w:cs="宋体"/>
          <w:color w:val="auto"/>
          <w:spacing w:val="-5"/>
          <w:sz w:val="21"/>
          <w:szCs w:val="21"/>
          <w:highlight w:val="none"/>
        </w:rPr>
        <w:t xml:space="preserve">年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5"/>
          <w:sz w:val="21"/>
          <w:szCs w:val="21"/>
          <w:highlight w:val="none"/>
        </w:rPr>
        <w:t>月</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25"/>
          <w:sz w:val="21"/>
          <w:szCs w:val="21"/>
          <w:highlight w:val="none"/>
          <w:u w:val="single" w:color="auto"/>
        </w:rPr>
        <w:t xml:space="preserve">    </w:t>
      </w:r>
      <w:r>
        <w:rPr>
          <w:rFonts w:hint="eastAsia" w:ascii="宋体" w:hAnsi="宋体" w:eastAsia="宋体" w:cs="宋体"/>
          <w:color w:val="auto"/>
          <w:spacing w:val="48"/>
          <w:sz w:val="21"/>
          <w:szCs w:val="21"/>
          <w:highlight w:val="none"/>
        </w:rPr>
        <w:t xml:space="preserve"> </w:t>
      </w:r>
      <w:r>
        <w:rPr>
          <w:rFonts w:hint="eastAsia" w:ascii="宋体" w:hAnsi="宋体" w:eastAsia="宋体" w:cs="宋体"/>
          <w:color w:val="auto"/>
          <w:spacing w:val="-5"/>
          <w:sz w:val="21"/>
          <w:szCs w:val="21"/>
          <w:highlight w:val="none"/>
        </w:rPr>
        <w:t>日</w:t>
      </w:r>
    </w:p>
    <w:p>
      <w:pPr>
        <w:pStyle w:val="2"/>
        <w:spacing w:line="285" w:lineRule="auto"/>
        <w:rPr>
          <w:rFonts w:hint="eastAsia" w:ascii="宋体" w:hAnsi="宋体" w:eastAsia="宋体" w:cs="宋体"/>
          <w:color w:val="auto"/>
          <w:highlight w:val="none"/>
        </w:rPr>
      </w:pPr>
    </w:p>
    <w:p>
      <w:pPr>
        <w:pStyle w:val="2"/>
        <w:spacing w:line="285" w:lineRule="auto"/>
        <w:rPr>
          <w:rFonts w:hint="eastAsia" w:ascii="宋体" w:hAnsi="宋体" w:eastAsia="宋体" w:cs="宋体"/>
          <w:color w:val="auto"/>
          <w:highlight w:val="none"/>
        </w:rPr>
      </w:pPr>
    </w:p>
    <w:p>
      <w:pPr>
        <w:pStyle w:val="2"/>
        <w:spacing w:line="285" w:lineRule="auto"/>
        <w:rPr>
          <w:rFonts w:hint="eastAsia" w:ascii="宋体" w:hAnsi="宋体" w:eastAsia="宋体" w:cs="宋体"/>
          <w:color w:val="auto"/>
          <w:highlight w:val="none"/>
        </w:rPr>
      </w:pPr>
    </w:p>
    <w:p>
      <w:pPr>
        <w:spacing w:before="69" w:line="229" w:lineRule="auto"/>
        <w:ind w:left="849" w:right="102" w:hanging="839"/>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备注： 1.投标人应针对第二章“投标人须知”第 1.4.1</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4"/>
          <w:sz w:val="21"/>
          <w:szCs w:val="21"/>
          <w:highlight w:val="none"/>
        </w:rPr>
        <w:t>项和第 1.4.3</w:t>
      </w:r>
      <w:r>
        <w:rPr>
          <w:rFonts w:hint="eastAsia" w:ascii="宋体" w:hAnsi="宋体" w:eastAsia="宋体" w:cs="宋体"/>
          <w:color w:val="auto"/>
          <w:spacing w:val="-24"/>
          <w:sz w:val="21"/>
          <w:szCs w:val="21"/>
          <w:highlight w:val="none"/>
        </w:rPr>
        <w:t xml:space="preserve"> </w:t>
      </w:r>
      <w:r>
        <w:rPr>
          <w:rFonts w:hint="eastAsia" w:ascii="宋体" w:hAnsi="宋体" w:eastAsia="宋体" w:cs="宋体"/>
          <w:color w:val="auto"/>
          <w:spacing w:val="-4"/>
          <w:sz w:val="21"/>
          <w:szCs w:val="21"/>
          <w:highlight w:val="none"/>
        </w:rPr>
        <w:t>项的要求，在此对其信誉情</w:t>
      </w:r>
      <w:r>
        <w:rPr>
          <w:rFonts w:hint="eastAsia" w:ascii="宋体" w:hAnsi="宋体" w:eastAsia="宋体" w:cs="宋体"/>
          <w:color w:val="auto"/>
          <w:spacing w:val="-1"/>
          <w:sz w:val="21"/>
          <w:szCs w:val="21"/>
          <w:highlight w:val="none"/>
        </w:rPr>
        <w:t>况做出说明。如上格式文件所示。</w:t>
      </w:r>
    </w:p>
    <w:p>
      <w:pPr>
        <w:spacing w:before="22" w:line="221" w:lineRule="auto"/>
        <w:ind w:left="641"/>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2.联合体投标的，</w:t>
      </w:r>
      <w:r>
        <w:rPr>
          <w:rFonts w:hint="eastAsia" w:ascii="宋体" w:hAnsi="宋体" w:eastAsia="宋体" w:cs="宋体"/>
          <w:color w:val="auto"/>
          <w:spacing w:val="-19"/>
          <w:sz w:val="21"/>
          <w:szCs w:val="21"/>
          <w:highlight w:val="none"/>
        </w:rPr>
        <w:t xml:space="preserve"> </w:t>
      </w:r>
      <w:r>
        <w:rPr>
          <w:rFonts w:hint="eastAsia" w:ascii="宋体" w:hAnsi="宋体" w:eastAsia="宋体" w:cs="宋体"/>
          <w:color w:val="auto"/>
          <w:spacing w:val="-4"/>
          <w:sz w:val="21"/>
          <w:szCs w:val="21"/>
          <w:highlight w:val="none"/>
        </w:rPr>
        <w:t>联合体各成员单位均应按要求做出说明。</w:t>
      </w:r>
    </w:p>
    <w:p>
      <w:pPr>
        <w:spacing w:line="221" w:lineRule="auto"/>
        <w:rPr>
          <w:rFonts w:hint="eastAsia" w:ascii="宋体" w:hAnsi="宋体" w:eastAsia="宋体" w:cs="宋体"/>
          <w:color w:val="auto"/>
          <w:sz w:val="21"/>
          <w:szCs w:val="21"/>
          <w:highlight w:val="none"/>
        </w:rPr>
        <w:sectPr>
          <w:footerReference r:id="rId156" w:type="default"/>
          <w:pgSz w:w="11905" w:h="16843"/>
          <w:pgMar w:top="1769" w:right="1548" w:bottom="1003" w:left="1542" w:header="0" w:footer="828" w:gutter="0"/>
          <w:pgNumType w:fmt="numberInDash"/>
          <w:cols w:space="0" w:num="1"/>
          <w:rtlGutter w:val="0"/>
          <w:docGrid w:linePitch="0" w:charSpace="0"/>
        </w:sectPr>
      </w:pPr>
    </w:p>
    <w:p>
      <w:pPr>
        <w:spacing w:before="78" w:line="217" w:lineRule="auto"/>
        <w:ind w:left="280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5-2  近年发生的诉讼和仲裁情况</w:t>
      </w:r>
    </w:p>
    <w:p>
      <w:pPr>
        <w:spacing w:before="27"/>
        <w:rPr>
          <w:rFonts w:hint="eastAsia" w:ascii="宋体" w:hAnsi="宋体" w:eastAsia="宋体" w:cs="宋体"/>
          <w:color w:val="auto"/>
          <w:highlight w:val="none"/>
        </w:rPr>
      </w:pPr>
    </w:p>
    <w:p>
      <w:pPr>
        <w:spacing w:before="26"/>
        <w:rPr>
          <w:rFonts w:hint="eastAsia" w:ascii="宋体" w:hAnsi="宋体" w:eastAsia="宋体" w:cs="宋体"/>
          <w:color w:val="auto"/>
          <w:highlight w:val="none"/>
        </w:rPr>
      </w:pPr>
    </w:p>
    <w:p>
      <w:pPr>
        <w:spacing w:before="26"/>
        <w:rPr>
          <w:rFonts w:hint="eastAsia" w:ascii="宋体" w:hAnsi="宋体" w:eastAsia="宋体" w:cs="宋体"/>
          <w:color w:val="auto"/>
          <w:highlight w:val="none"/>
        </w:rPr>
      </w:pPr>
    </w:p>
    <w:tbl>
      <w:tblPr>
        <w:tblStyle w:val="9"/>
        <w:tblW w:w="872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951"/>
        <w:gridCol w:w="1259"/>
        <w:gridCol w:w="3594"/>
        <w:gridCol w:w="19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963" w:type="dxa"/>
            <w:tcBorders>
              <w:top w:val="single" w:color="000000" w:sz="6" w:space="0"/>
              <w:left w:val="single" w:color="000000" w:sz="6" w:space="0"/>
            </w:tcBorders>
            <w:vAlign w:val="top"/>
          </w:tcPr>
          <w:p>
            <w:pPr>
              <w:pStyle w:val="10"/>
              <w:spacing w:before="237" w:line="221" w:lineRule="auto"/>
              <w:ind w:left="269"/>
              <w:rPr>
                <w:rFonts w:hint="eastAsia" w:ascii="宋体" w:hAnsi="宋体" w:eastAsia="宋体" w:cs="宋体"/>
                <w:color w:val="auto"/>
                <w:highlight w:val="none"/>
              </w:rPr>
            </w:pPr>
            <w:r>
              <w:rPr>
                <w:rFonts w:hint="eastAsia" w:ascii="宋体" w:hAnsi="宋体" w:eastAsia="宋体" w:cs="宋体"/>
                <w:color w:val="auto"/>
                <w:spacing w:val="-2"/>
                <w:highlight w:val="none"/>
              </w:rPr>
              <w:t>类别</w:t>
            </w:r>
          </w:p>
        </w:tc>
        <w:tc>
          <w:tcPr>
            <w:tcW w:w="951" w:type="dxa"/>
            <w:tcBorders>
              <w:top w:val="single" w:color="000000" w:sz="6" w:space="0"/>
            </w:tcBorders>
            <w:vAlign w:val="top"/>
          </w:tcPr>
          <w:p>
            <w:pPr>
              <w:pStyle w:val="10"/>
              <w:spacing w:before="237" w:line="222" w:lineRule="auto"/>
              <w:ind w:left="265"/>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259" w:type="dxa"/>
            <w:tcBorders>
              <w:top w:val="single" w:color="000000" w:sz="6" w:space="0"/>
            </w:tcBorders>
            <w:vAlign w:val="top"/>
          </w:tcPr>
          <w:p>
            <w:pPr>
              <w:pStyle w:val="10"/>
              <w:spacing w:before="238" w:line="221" w:lineRule="auto"/>
              <w:ind w:left="213"/>
              <w:rPr>
                <w:rFonts w:hint="eastAsia" w:ascii="宋体" w:hAnsi="宋体" w:eastAsia="宋体" w:cs="宋体"/>
                <w:color w:val="auto"/>
                <w:highlight w:val="none"/>
              </w:rPr>
            </w:pPr>
            <w:r>
              <w:rPr>
                <w:rFonts w:hint="eastAsia" w:ascii="宋体" w:hAnsi="宋体" w:eastAsia="宋体" w:cs="宋体"/>
                <w:color w:val="auto"/>
                <w:spacing w:val="-3"/>
                <w:highlight w:val="none"/>
              </w:rPr>
              <w:t>发生时间</w:t>
            </w:r>
          </w:p>
        </w:tc>
        <w:tc>
          <w:tcPr>
            <w:tcW w:w="3594" w:type="dxa"/>
            <w:tcBorders>
              <w:top w:val="single" w:color="000000" w:sz="6" w:space="0"/>
            </w:tcBorders>
            <w:vAlign w:val="top"/>
          </w:tcPr>
          <w:p>
            <w:pPr>
              <w:pStyle w:val="10"/>
              <w:spacing w:before="237" w:line="220" w:lineRule="auto"/>
              <w:ind w:left="1384"/>
              <w:rPr>
                <w:rFonts w:hint="eastAsia" w:ascii="宋体" w:hAnsi="宋体" w:eastAsia="宋体" w:cs="宋体"/>
                <w:color w:val="auto"/>
                <w:highlight w:val="none"/>
              </w:rPr>
            </w:pPr>
            <w:r>
              <w:rPr>
                <w:rFonts w:hint="eastAsia" w:ascii="宋体" w:hAnsi="宋体" w:eastAsia="宋体" w:cs="宋体"/>
                <w:color w:val="auto"/>
                <w:spacing w:val="-2"/>
                <w:highlight w:val="none"/>
              </w:rPr>
              <w:t>情况简介</w:t>
            </w:r>
          </w:p>
        </w:tc>
        <w:tc>
          <w:tcPr>
            <w:tcW w:w="1960" w:type="dxa"/>
            <w:tcBorders>
              <w:top w:val="single" w:color="000000" w:sz="6" w:space="0"/>
              <w:right w:val="single" w:color="000000" w:sz="6" w:space="0"/>
            </w:tcBorders>
            <w:vAlign w:val="top"/>
          </w:tcPr>
          <w:p>
            <w:pPr>
              <w:pStyle w:val="10"/>
              <w:spacing w:before="237" w:line="220" w:lineRule="auto"/>
              <w:ind w:left="355"/>
              <w:rPr>
                <w:rFonts w:hint="eastAsia" w:ascii="宋体" w:hAnsi="宋体" w:eastAsia="宋体" w:cs="宋体"/>
                <w:color w:val="auto"/>
                <w:highlight w:val="none"/>
              </w:rPr>
            </w:pPr>
            <w:r>
              <w:rPr>
                <w:rFonts w:hint="eastAsia" w:ascii="宋体" w:hAnsi="宋体" w:eastAsia="宋体" w:cs="宋体"/>
                <w:color w:val="auto"/>
                <w:spacing w:val="-1"/>
                <w:highlight w:val="none"/>
              </w:rPr>
              <w:t>证明材料索引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63" w:type="dxa"/>
            <w:vMerge w:val="restart"/>
            <w:tcBorders>
              <w:left w:val="single" w:color="000000" w:sz="6" w:space="0"/>
              <w:bottom w:val="nil"/>
            </w:tcBorders>
            <w:textDirection w:val="tbRlV"/>
            <w:vAlign w:val="top"/>
          </w:tcPr>
          <w:p>
            <w:pPr>
              <w:spacing w:line="298" w:lineRule="auto"/>
              <w:rPr>
                <w:rFonts w:hint="eastAsia" w:ascii="宋体" w:hAnsi="宋体" w:eastAsia="宋体" w:cs="宋体"/>
                <w:color w:val="auto"/>
                <w:sz w:val="21"/>
                <w:highlight w:val="none"/>
              </w:rPr>
            </w:pPr>
          </w:p>
          <w:p>
            <w:pPr>
              <w:pStyle w:val="10"/>
              <w:spacing w:before="70" w:line="210" w:lineRule="auto"/>
              <w:ind w:left="1584"/>
              <w:rPr>
                <w:rFonts w:hint="eastAsia" w:ascii="宋体" w:hAnsi="宋体" w:eastAsia="宋体" w:cs="宋体"/>
                <w:color w:val="auto"/>
                <w:highlight w:val="none"/>
              </w:rPr>
            </w:pPr>
            <w:r>
              <w:rPr>
                <w:rFonts w:hint="eastAsia" w:ascii="宋体" w:hAnsi="宋体" w:eastAsia="宋体" w:cs="宋体"/>
                <w:color w:val="auto"/>
                <w:spacing w:val="22"/>
                <w:highlight w:val="none"/>
              </w:rPr>
              <w:t>诉讼情况</w:t>
            </w:r>
          </w:p>
        </w:tc>
        <w:tc>
          <w:tcPr>
            <w:tcW w:w="951" w:type="dxa"/>
            <w:vAlign w:val="top"/>
          </w:tcPr>
          <w:p>
            <w:pPr>
              <w:rPr>
                <w:rFonts w:hint="eastAsia" w:ascii="宋体" w:hAnsi="宋体" w:eastAsia="宋体" w:cs="宋体"/>
                <w:color w:val="auto"/>
                <w:sz w:val="21"/>
                <w:highlight w:val="none"/>
              </w:rPr>
            </w:pPr>
          </w:p>
        </w:tc>
        <w:tc>
          <w:tcPr>
            <w:tcW w:w="1259" w:type="dxa"/>
            <w:vAlign w:val="top"/>
          </w:tcPr>
          <w:p>
            <w:pPr>
              <w:rPr>
                <w:rFonts w:hint="eastAsia" w:ascii="宋体" w:hAnsi="宋体" w:eastAsia="宋体" w:cs="宋体"/>
                <w:color w:val="auto"/>
                <w:sz w:val="21"/>
                <w:highlight w:val="none"/>
              </w:rPr>
            </w:pPr>
          </w:p>
        </w:tc>
        <w:tc>
          <w:tcPr>
            <w:tcW w:w="3594" w:type="dxa"/>
            <w:vAlign w:val="top"/>
          </w:tcPr>
          <w:p>
            <w:pPr>
              <w:rPr>
                <w:rFonts w:hint="eastAsia" w:ascii="宋体" w:hAnsi="宋体" w:eastAsia="宋体" w:cs="宋体"/>
                <w:color w:val="auto"/>
                <w:sz w:val="21"/>
                <w:highlight w:val="none"/>
              </w:rPr>
            </w:pPr>
          </w:p>
        </w:tc>
        <w:tc>
          <w:tcPr>
            <w:tcW w:w="1960"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continue"/>
            <w:tcBorders>
              <w:top w:val="nil"/>
              <w:left w:val="single" w:color="000000" w:sz="6" w:space="0"/>
              <w:bottom w:val="nil"/>
            </w:tcBorders>
            <w:textDirection w:val="tbRlV"/>
            <w:vAlign w:val="top"/>
          </w:tcPr>
          <w:p>
            <w:pPr>
              <w:rPr>
                <w:rFonts w:hint="eastAsia" w:ascii="宋体" w:hAnsi="宋体" w:eastAsia="宋体" w:cs="宋体"/>
                <w:color w:val="auto"/>
                <w:sz w:val="21"/>
                <w:highlight w:val="none"/>
              </w:rPr>
            </w:pPr>
          </w:p>
        </w:tc>
        <w:tc>
          <w:tcPr>
            <w:tcW w:w="951" w:type="dxa"/>
            <w:vAlign w:val="top"/>
          </w:tcPr>
          <w:p>
            <w:pPr>
              <w:rPr>
                <w:rFonts w:hint="eastAsia" w:ascii="宋体" w:hAnsi="宋体" w:eastAsia="宋体" w:cs="宋体"/>
                <w:color w:val="auto"/>
                <w:sz w:val="21"/>
                <w:highlight w:val="none"/>
              </w:rPr>
            </w:pPr>
          </w:p>
        </w:tc>
        <w:tc>
          <w:tcPr>
            <w:tcW w:w="1259" w:type="dxa"/>
            <w:vAlign w:val="top"/>
          </w:tcPr>
          <w:p>
            <w:pPr>
              <w:rPr>
                <w:rFonts w:hint="eastAsia" w:ascii="宋体" w:hAnsi="宋体" w:eastAsia="宋体" w:cs="宋体"/>
                <w:color w:val="auto"/>
                <w:sz w:val="21"/>
                <w:highlight w:val="none"/>
              </w:rPr>
            </w:pPr>
          </w:p>
        </w:tc>
        <w:tc>
          <w:tcPr>
            <w:tcW w:w="3594" w:type="dxa"/>
            <w:vAlign w:val="top"/>
          </w:tcPr>
          <w:p>
            <w:pPr>
              <w:rPr>
                <w:rFonts w:hint="eastAsia" w:ascii="宋体" w:hAnsi="宋体" w:eastAsia="宋体" w:cs="宋体"/>
                <w:color w:val="auto"/>
                <w:sz w:val="21"/>
                <w:highlight w:val="none"/>
              </w:rPr>
            </w:pPr>
          </w:p>
        </w:tc>
        <w:tc>
          <w:tcPr>
            <w:tcW w:w="1960"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continue"/>
            <w:tcBorders>
              <w:top w:val="nil"/>
              <w:left w:val="single" w:color="000000" w:sz="6" w:space="0"/>
            </w:tcBorders>
            <w:textDirection w:val="tbRlV"/>
            <w:vAlign w:val="top"/>
          </w:tcPr>
          <w:p>
            <w:pPr>
              <w:rPr>
                <w:rFonts w:hint="eastAsia" w:ascii="宋体" w:hAnsi="宋体" w:eastAsia="宋体" w:cs="宋体"/>
                <w:color w:val="auto"/>
                <w:sz w:val="21"/>
                <w:highlight w:val="none"/>
              </w:rPr>
            </w:pPr>
          </w:p>
        </w:tc>
        <w:tc>
          <w:tcPr>
            <w:tcW w:w="951" w:type="dxa"/>
            <w:vAlign w:val="top"/>
          </w:tcPr>
          <w:p>
            <w:pPr>
              <w:rPr>
                <w:rFonts w:hint="eastAsia" w:ascii="宋体" w:hAnsi="宋体" w:eastAsia="宋体" w:cs="宋体"/>
                <w:color w:val="auto"/>
                <w:sz w:val="21"/>
                <w:highlight w:val="none"/>
              </w:rPr>
            </w:pPr>
          </w:p>
        </w:tc>
        <w:tc>
          <w:tcPr>
            <w:tcW w:w="1259" w:type="dxa"/>
            <w:vAlign w:val="top"/>
          </w:tcPr>
          <w:p>
            <w:pPr>
              <w:rPr>
                <w:rFonts w:hint="eastAsia" w:ascii="宋体" w:hAnsi="宋体" w:eastAsia="宋体" w:cs="宋体"/>
                <w:color w:val="auto"/>
                <w:sz w:val="21"/>
                <w:highlight w:val="none"/>
              </w:rPr>
            </w:pPr>
          </w:p>
        </w:tc>
        <w:tc>
          <w:tcPr>
            <w:tcW w:w="3594" w:type="dxa"/>
            <w:vAlign w:val="top"/>
          </w:tcPr>
          <w:p>
            <w:pPr>
              <w:rPr>
                <w:rFonts w:hint="eastAsia" w:ascii="宋体" w:hAnsi="宋体" w:eastAsia="宋体" w:cs="宋体"/>
                <w:color w:val="auto"/>
                <w:sz w:val="21"/>
                <w:highlight w:val="none"/>
              </w:rPr>
            </w:pPr>
          </w:p>
        </w:tc>
        <w:tc>
          <w:tcPr>
            <w:tcW w:w="1960"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restart"/>
            <w:tcBorders>
              <w:left w:val="single" w:color="000000" w:sz="6" w:space="0"/>
              <w:bottom w:val="nil"/>
            </w:tcBorders>
            <w:textDirection w:val="tbRlV"/>
            <w:vAlign w:val="top"/>
          </w:tcPr>
          <w:p>
            <w:pPr>
              <w:spacing w:line="297" w:lineRule="auto"/>
              <w:rPr>
                <w:rFonts w:hint="eastAsia" w:ascii="宋体" w:hAnsi="宋体" w:eastAsia="宋体" w:cs="宋体"/>
                <w:color w:val="auto"/>
                <w:sz w:val="21"/>
                <w:highlight w:val="none"/>
              </w:rPr>
            </w:pPr>
          </w:p>
          <w:p>
            <w:pPr>
              <w:pStyle w:val="10"/>
              <w:spacing w:before="70" w:line="210" w:lineRule="auto"/>
              <w:ind w:left="1588"/>
              <w:rPr>
                <w:rFonts w:hint="eastAsia" w:ascii="宋体" w:hAnsi="宋体" w:eastAsia="宋体" w:cs="宋体"/>
                <w:color w:val="auto"/>
                <w:highlight w:val="none"/>
              </w:rPr>
            </w:pPr>
            <w:r>
              <w:rPr>
                <w:rFonts w:hint="eastAsia" w:ascii="宋体" w:hAnsi="宋体" w:eastAsia="宋体" w:cs="宋体"/>
                <w:color w:val="auto"/>
                <w:spacing w:val="22"/>
                <w:highlight w:val="none"/>
              </w:rPr>
              <w:t>仲裁情况</w:t>
            </w:r>
          </w:p>
        </w:tc>
        <w:tc>
          <w:tcPr>
            <w:tcW w:w="951" w:type="dxa"/>
            <w:vAlign w:val="top"/>
          </w:tcPr>
          <w:p>
            <w:pPr>
              <w:rPr>
                <w:rFonts w:hint="eastAsia" w:ascii="宋体" w:hAnsi="宋体" w:eastAsia="宋体" w:cs="宋体"/>
                <w:color w:val="auto"/>
                <w:sz w:val="21"/>
                <w:highlight w:val="none"/>
              </w:rPr>
            </w:pPr>
          </w:p>
        </w:tc>
        <w:tc>
          <w:tcPr>
            <w:tcW w:w="1259" w:type="dxa"/>
            <w:vAlign w:val="top"/>
          </w:tcPr>
          <w:p>
            <w:pPr>
              <w:rPr>
                <w:rFonts w:hint="eastAsia" w:ascii="宋体" w:hAnsi="宋体" w:eastAsia="宋体" w:cs="宋体"/>
                <w:color w:val="auto"/>
                <w:sz w:val="21"/>
                <w:highlight w:val="none"/>
              </w:rPr>
            </w:pPr>
          </w:p>
        </w:tc>
        <w:tc>
          <w:tcPr>
            <w:tcW w:w="3594" w:type="dxa"/>
            <w:vAlign w:val="top"/>
          </w:tcPr>
          <w:p>
            <w:pPr>
              <w:rPr>
                <w:rFonts w:hint="eastAsia" w:ascii="宋体" w:hAnsi="宋体" w:eastAsia="宋体" w:cs="宋体"/>
                <w:color w:val="auto"/>
                <w:sz w:val="21"/>
                <w:highlight w:val="none"/>
              </w:rPr>
            </w:pPr>
          </w:p>
        </w:tc>
        <w:tc>
          <w:tcPr>
            <w:tcW w:w="1960"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continue"/>
            <w:tcBorders>
              <w:top w:val="nil"/>
              <w:left w:val="single" w:color="000000" w:sz="6" w:space="0"/>
              <w:bottom w:val="nil"/>
            </w:tcBorders>
            <w:textDirection w:val="tbRlV"/>
            <w:vAlign w:val="top"/>
          </w:tcPr>
          <w:p>
            <w:pPr>
              <w:rPr>
                <w:rFonts w:hint="eastAsia" w:ascii="宋体" w:hAnsi="宋体" w:eastAsia="宋体" w:cs="宋体"/>
                <w:color w:val="auto"/>
                <w:sz w:val="21"/>
                <w:highlight w:val="none"/>
              </w:rPr>
            </w:pPr>
          </w:p>
        </w:tc>
        <w:tc>
          <w:tcPr>
            <w:tcW w:w="951" w:type="dxa"/>
            <w:vAlign w:val="top"/>
          </w:tcPr>
          <w:p>
            <w:pPr>
              <w:rPr>
                <w:rFonts w:hint="eastAsia" w:ascii="宋体" w:hAnsi="宋体" w:eastAsia="宋体" w:cs="宋体"/>
                <w:color w:val="auto"/>
                <w:sz w:val="21"/>
                <w:highlight w:val="none"/>
              </w:rPr>
            </w:pPr>
          </w:p>
        </w:tc>
        <w:tc>
          <w:tcPr>
            <w:tcW w:w="1259" w:type="dxa"/>
            <w:vAlign w:val="top"/>
          </w:tcPr>
          <w:p>
            <w:pPr>
              <w:rPr>
                <w:rFonts w:hint="eastAsia" w:ascii="宋体" w:hAnsi="宋体" w:eastAsia="宋体" w:cs="宋体"/>
                <w:color w:val="auto"/>
                <w:sz w:val="21"/>
                <w:highlight w:val="none"/>
              </w:rPr>
            </w:pPr>
          </w:p>
        </w:tc>
        <w:tc>
          <w:tcPr>
            <w:tcW w:w="3594" w:type="dxa"/>
            <w:vAlign w:val="top"/>
          </w:tcPr>
          <w:p>
            <w:pPr>
              <w:rPr>
                <w:rFonts w:hint="eastAsia" w:ascii="宋体" w:hAnsi="宋体" w:eastAsia="宋体" w:cs="宋体"/>
                <w:color w:val="auto"/>
                <w:sz w:val="21"/>
                <w:highlight w:val="none"/>
              </w:rPr>
            </w:pPr>
          </w:p>
        </w:tc>
        <w:tc>
          <w:tcPr>
            <w:tcW w:w="1960" w:type="dxa"/>
            <w:tcBorders>
              <w:right w:val="single" w:color="000000" w:sz="6"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963" w:type="dxa"/>
            <w:vMerge w:val="continue"/>
            <w:tcBorders>
              <w:top w:val="nil"/>
              <w:left w:val="single" w:color="000000" w:sz="6" w:space="0"/>
              <w:bottom w:val="single" w:color="000000" w:sz="6" w:space="0"/>
            </w:tcBorders>
            <w:textDirection w:val="tbRlV"/>
            <w:vAlign w:val="top"/>
          </w:tcPr>
          <w:p>
            <w:pPr>
              <w:rPr>
                <w:rFonts w:hint="eastAsia" w:ascii="宋体" w:hAnsi="宋体" w:eastAsia="宋体" w:cs="宋体"/>
                <w:color w:val="auto"/>
                <w:sz w:val="21"/>
                <w:highlight w:val="none"/>
              </w:rPr>
            </w:pPr>
          </w:p>
        </w:tc>
        <w:tc>
          <w:tcPr>
            <w:tcW w:w="951" w:type="dxa"/>
            <w:tcBorders>
              <w:bottom w:val="single" w:color="000000" w:sz="6" w:space="0"/>
            </w:tcBorders>
            <w:vAlign w:val="top"/>
          </w:tcPr>
          <w:p>
            <w:pPr>
              <w:rPr>
                <w:rFonts w:hint="eastAsia" w:ascii="宋体" w:hAnsi="宋体" w:eastAsia="宋体" w:cs="宋体"/>
                <w:color w:val="auto"/>
                <w:sz w:val="21"/>
                <w:highlight w:val="none"/>
              </w:rPr>
            </w:pPr>
          </w:p>
        </w:tc>
        <w:tc>
          <w:tcPr>
            <w:tcW w:w="1259" w:type="dxa"/>
            <w:tcBorders>
              <w:bottom w:val="single" w:color="000000" w:sz="6" w:space="0"/>
            </w:tcBorders>
            <w:vAlign w:val="top"/>
          </w:tcPr>
          <w:p>
            <w:pPr>
              <w:rPr>
                <w:rFonts w:hint="eastAsia" w:ascii="宋体" w:hAnsi="宋体" w:eastAsia="宋体" w:cs="宋体"/>
                <w:color w:val="auto"/>
                <w:sz w:val="21"/>
                <w:highlight w:val="none"/>
              </w:rPr>
            </w:pPr>
          </w:p>
        </w:tc>
        <w:tc>
          <w:tcPr>
            <w:tcW w:w="3594" w:type="dxa"/>
            <w:tcBorders>
              <w:bottom w:val="single" w:color="000000" w:sz="6" w:space="0"/>
            </w:tcBorders>
            <w:vAlign w:val="top"/>
          </w:tcPr>
          <w:p>
            <w:pPr>
              <w:rPr>
                <w:rFonts w:hint="eastAsia" w:ascii="宋体" w:hAnsi="宋体" w:eastAsia="宋体" w:cs="宋体"/>
                <w:color w:val="auto"/>
                <w:sz w:val="21"/>
                <w:highlight w:val="none"/>
              </w:rPr>
            </w:pPr>
          </w:p>
        </w:tc>
        <w:tc>
          <w:tcPr>
            <w:tcW w:w="1960" w:type="dxa"/>
            <w:tcBorders>
              <w:bottom w:val="single" w:color="000000" w:sz="6" w:space="0"/>
              <w:right w:val="single" w:color="000000" w:sz="6" w:space="0"/>
            </w:tcBorders>
            <w:vAlign w:val="top"/>
          </w:tcPr>
          <w:p>
            <w:pPr>
              <w:rPr>
                <w:rFonts w:hint="eastAsia" w:ascii="宋体" w:hAnsi="宋体" w:eastAsia="宋体" w:cs="宋体"/>
                <w:color w:val="auto"/>
                <w:sz w:val="21"/>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备注： 1.招标文件将近年发生的诉讼和仲裁情况作为资格条件或评分项的， 投标人应当如实填报相关情况。 没有可不填。</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2.近年发生的诉讼和仲裁情况仅限于申请人败诉的，且与签订或履行施工承包合同有关的 案件，不包括调解结案以及未终审判决的诉讼或未裁决的仲裁。附法院或仲裁机构作出的判决或裁决等有关法律文书。以仲裁裁决或判决书的制发时间为准。</w:t>
      </w:r>
    </w:p>
    <w:p>
      <w:pPr>
        <w:spacing w:line="219" w:lineRule="auto"/>
        <w:rPr>
          <w:rFonts w:hint="eastAsia" w:ascii="宋体" w:hAnsi="宋体" w:eastAsia="宋体" w:cs="宋体"/>
          <w:color w:val="auto"/>
          <w:sz w:val="21"/>
          <w:szCs w:val="21"/>
          <w:highlight w:val="none"/>
        </w:rPr>
        <w:sectPr>
          <w:footerReference r:id="rId157"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280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5-3  近年投标人工程获奖情况表</w:t>
      </w:r>
    </w:p>
    <w:p>
      <w:pPr>
        <w:spacing w:before="160"/>
        <w:rPr>
          <w:rFonts w:hint="eastAsia" w:ascii="宋体" w:hAnsi="宋体" w:eastAsia="宋体" w:cs="宋体"/>
          <w:color w:val="auto"/>
          <w:highlight w:val="none"/>
        </w:rPr>
      </w:pPr>
    </w:p>
    <w:tbl>
      <w:tblPr>
        <w:tblStyle w:val="9"/>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2402"/>
        <w:gridCol w:w="1799"/>
        <w:gridCol w:w="1439"/>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0" w:type="dxa"/>
            <w:vAlign w:val="top"/>
          </w:tcPr>
          <w:p>
            <w:pPr>
              <w:pStyle w:val="10"/>
              <w:spacing w:before="163" w:line="222" w:lineRule="auto"/>
              <w:ind w:left="179"/>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2402" w:type="dxa"/>
            <w:vAlign w:val="top"/>
          </w:tcPr>
          <w:p>
            <w:pPr>
              <w:pStyle w:val="10"/>
              <w:spacing w:before="164" w:line="221" w:lineRule="auto"/>
              <w:ind w:left="786"/>
              <w:rPr>
                <w:rFonts w:hint="eastAsia" w:ascii="宋体" w:hAnsi="宋体" w:eastAsia="宋体" w:cs="宋体"/>
                <w:color w:val="auto"/>
                <w:highlight w:val="none"/>
              </w:rPr>
            </w:pPr>
            <w:r>
              <w:rPr>
                <w:rFonts w:hint="eastAsia" w:ascii="宋体" w:hAnsi="宋体" w:eastAsia="宋体" w:cs="宋体"/>
                <w:color w:val="auto"/>
                <w:spacing w:val="-3"/>
                <w:highlight w:val="none"/>
              </w:rPr>
              <w:t>项目名称</w:t>
            </w:r>
          </w:p>
        </w:tc>
        <w:tc>
          <w:tcPr>
            <w:tcW w:w="1799" w:type="dxa"/>
            <w:vAlign w:val="top"/>
          </w:tcPr>
          <w:p>
            <w:pPr>
              <w:pStyle w:val="10"/>
              <w:spacing w:before="163" w:line="221" w:lineRule="auto"/>
              <w:ind w:left="487"/>
              <w:rPr>
                <w:rFonts w:hint="eastAsia" w:ascii="宋体" w:hAnsi="宋体" w:eastAsia="宋体" w:cs="宋体"/>
                <w:color w:val="auto"/>
                <w:highlight w:val="none"/>
              </w:rPr>
            </w:pPr>
            <w:r>
              <w:rPr>
                <w:rFonts w:hint="eastAsia" w:ascii="宋体" w:hAnsi="宋体" w:eastAsia="宋体" w:cs="宋体"/>
                <w:color w:val="auto"/>
                <w:spacing w:val="-3"/>
                <w:highlight w:val="none"/>
              </w:rPr>
              <w:t>获奖名称</w:t>
            </w:r>
          </w:p>
        </w:tc>
        <w:tc>
          <w:tcPr>
            <w:tcW w:w="1439" w:type="dxa"/>
            <w:vAlign w:val="top"/>
          </w:tcPr>
          <w:p>
            <w:pPr>
              <w:pStyle w:val="10"/>
              <w:spacing w:before="163" w:line="221" w:lineRule="auto"/>
              <w:ind w:left="309"/>
              <w:rPr>
                <w:rFonts w:hint="eastAsia" w:ascii="宋体" w:hAnsi="宋体" w:eastAsia="宋体" w:cs="宋体"/>
                <w:color w:val="auto"/>
                <w:highlight w:val="none"/>
              </w:rPr>
            </w:pPr>
            <w:r>
              <w:rPr>
                <w:rFonts w:hint="eastAsia" w:ascii="宋体" w:hAnsi="宋体" w:eastAsia="宋体" w:cs="宋体"/>
                <w:color w:val="auto"/>
                <w:spacing w:val="-3"/>
                <w:highlight w:val="none"/>
              </w:rPr>
              <w:t>获奖日期</w:t>
            </w:r>
          </w:p>
        </w:tc>
        <w:tc>
          <w:tcPr>
            <w:tcW w:w="2164" w:type="dxa"/>
            <w:vAlign w:val="top"/>
          </w:tcPr>
          <w:p>
            <w:pPr>
              <w:pStyle w:val="10"/>
              <w:spacing w:before="164" w:line="221" w:lineRule="auto"/>
              <w:ind w:left="666"/>
              <w:rPr>
                <w:rFonts w:hint="eastAsia" w:ascii="宋体" w:hAnsi="宋体" w:eastAsia="宋体" w:cs="宋体"/>
                <w:color w:val="auto"/>
                <w:highlight w:val="none"/>
              </w:rPr>
            </w:pPr>
            <w:r>
              <w:rPr>
                <w:rFonts w:hint="eastAsia" w:ascii="宋体" w:hAnsi="宋体" w:eastAsia="宋体" w:cs="宋体"/>
                <w:color w:val="auto"/>
                <w:spacing w:val="-2"/>
                <w:highlight w:val="none"/>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备注： 1.本表后应附表彰文件、获奖证书及其他证明材料等。以表彰文件、获奖证书的颁发时间为准。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2.颁奖单位应当是国家机关或民政部门注册登记的合法颁奖单位。</w:t>
      </w:r>
    </w:p>
    <w:p>
      <w:pPr>
        <w:spacing w:line="220" w:lineRule="auto"/>
        <w:rPr>
          <w:rFonts w:hint="eastAsia" w:ascii="宋体" w:hAnsi="宋体" w:eastAsia="宋体" w:cs="宋体"/>
          <w:color w:val="auto"/>
          <w:sz w:val="21"/>
          <w:szCs w:val="21"/>
          <w:highlight w:val="none"/>
        </w:rPr>
        <w:sectPr>
          <w:footerReference r:id="rId158"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268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5-4  近年项目经理工程获奖情况表</w:t>
      </w:r>
    </w:p>
    <w:p>
      <w:pPr>
        <w:spacing w:before="160"/>
        <w:rPr>
          <w:rFonts w:hint="eastAsia" w:ascii="宋体" w:hAnsi="宋体" w:eastAsia="宋体" w:cs="宋体"/>
          <w:color w:val="auto"/>
          <w:highlight w:val="none"/>
        </w:rPr>
      </w:pPr>
    </w:p>
    <w:tbl>
      <w:tblPr>
        <w:tblStyle w:val="9"/>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2402"/>
        <w:gridCol w:w="1799"/>
        <w:gridCol w:w="1439"/>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0" w:type="dxa"/>
            <w:vAlign w:val="top"/>
          </w:tcPr>
          <w:p>
            <w:pPr>
              <w:pStyle w:val="10"/>
              <w:spacing w:before="163" w:line="222" w:lineRule="auto"/>
              <w:ind w:left="179"/>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2402" w:type="dxa"/>
            <w:vAlign w:val="top"/>
          </w:tcPr>
          <w:p>
            <w:pPr>
              <w:pStyle w:val="10"/>
              <w:spacing w:before="164" w:line="221" w:lineRule="auto"/>
              <w:ind w:left="786"/>
              <w:rPr>
                <w:rFonts w:hint="eastAsia" w:ascii="宋体" w:hAnsi="宋体" w:eastAsia="宋体" w:cs="宋体"/>
                <w:color w:val="auto"/>
                <w:highlight w:val="none"/>
              </w:rPr>
            </w:pPr>
            <w:r>
              <w:rPr>
                <w:rFonts w:hint="eastAsia" w:ascii="宋体" w:hAnsi="宋体" w:eastAsia="宋体" w:cs="宋体"/>
                <w:color w:val="auto"/>
                <w:spacing w:val="-3"/>
                <w:highlight w:val="none"/>
              </w:rPr>
              <w:t>项目名称</w:t>
            </w:r>
          </w:p>
        </w:tc>
        <w:tc>
          <w:tcPr>
            <w:tcW w:w="1799" w:type="dxa"/>
            <w:vAlign w:val="top"/>
          </w:tcPr>
          <w:p>
            <w:pPr>
              <w:pStyle w:val="10"/>
              <w:spacing w:before="163" w:line="221" w:lineRule="auto"/>
              <w:ind w:left="487"/>
              <w:rPr>
                <w:rFonts w:hint="eastAsia" w:ascii="宋体" w:hAnsi="宋体" w:eastAsia="宋体" w:cs="宋体"/>
                <w:color w:val="auto"/>
                <w:highlight w:val="none"/>
              </w:rPr>
            </w:pPr>
            <w:r>
              <w:rPr>
                <w:rFonts w:hint="eastAsia" w:ascii="宋体" w:hAnsi="宋体" w:eastAsia="宋体" w:cs="宋体"/>
                <w:color w:val="auto"/>
                <w:spacing w:val="-3"/>
                <w:highlight w:val="none"/>
              </w:rPr>
              <w:t>获奖名称</w:t>
            </w:r>
          </w:p>
        </w:tc>
        <w:tc>
          <w:tcPr>
            <w:tcW w:w="1439" w:type="dxa"/>
            <w:vAlign w:val="top"/>
          </w:tcPr>
          <w:p>
            <w:pPr>
              <w:pStyle w:val="10"/>
              <w:spacing w:before="163" w:line="221" w:lineRule="auto"/>
              <w:ind w:left="309"/>
              <w:rPr>
                <w:rFonts w:hint="eastAsia" w:ascii="宋体" w:hAnsi="宋体" w:eastAsia="宋体" w:cs="宋体"/>
                <w:color w:val="auto"/>
                <w:highlight w:val="none"/>
              </w:rPr>
            </w:pPr>
            <w:r>
              <w:rPr>
                <w:rFonts w:hint="eastAsia" w:ascii="宋体" w:hAnsi="宋体" w:eastAsia="宋体" w:cs="宋体"/>
                <w:color w:val="auto"/>
                <w:spacing w:val="-3"/>
                <w:highlight w:val="none"/>
              </w:rPr>
              <w:t>获奖日期</w:t>
            </w:r>
          </w:p>
        </w:tc>
        <w:tc>
          <w:tcPr>
            <w:tcW w:w="2164" w:type="dxa"/>
            <w:vAlign w:val="top"/>
          </w:tcPr>
          <w:p>
            <w:pPr>
              <w:pStyle w:val="10"/>
              <w:spacing w:before="164" w:line="221" w:lineRule="auto"/>
              <w:ind w:left="666"/>
              <w:rPr>
                <w:rFonts w:hint="eastAsia" w:ascii="宋体" w:hAnsi="宋体" w:eastAsia="宋体" w:cs="宋体"/>
                <w:color w:val="auto"/>
                <w:highlight w:val="none"/>
              </w:rPr>
            </w:pPr>
            <w:r>
              <w:rPr>
                <w:rFonts w:hint="eastAsia" w:ascii="宋体" w:hAnsi="宋体" w:eastAsia="宋体" w:cs="宋体"/>
                <w:color w:val="auto"/>
                <w:spacing w:val="-2"/>
                <w:highlight w:val="none"/>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0" w:type="dxa"/>
            <w:vAlign w:val="top"/>
          </w:tcPr>
          <w:p>
            <w:pPr>
              <w:rPr>
                <w:rFonts w:hint="eastAsia" w:ascii="宋体" w:hAnsi="宋体" w:eastAsia="宋体" w:cs="宋体"/>
                <w:color w:val="auto"/>
                <w:sz w:val="21"/>
                <w:highlight w:val="none"/>
              </w:rPr>
            </w:pPr>
          </w:p>
        </w:tc>
        <w:tc>
          <w:tcPr>
            <w:tcW w:w="2402"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1439" w:type="dxa"/>
            <w:vAlign w:val="top"/>
          </w:tcPr>
          <w:p>
            <w:pPr>
              <w:rPr>
                <w:rFonts w:hint="eastAsia" w:ascii="宋体" w:hAnsi="宋体" w:eastAsia="宋体" w:cs="宋体"/>
                <w:color w:val="auto"/>
                <w:sz w:val="21"/>
                <w:highlight w:val="none"/>
              </w:rPr>
            </w:pPr>
          </w:p>
        </w:tc>
        <w:tc>
          <w:tcPr>
            <w:tcW w:w="2164" w:type="dxa"/>
            <w:vAlign w:val="top"/>
          </w:tcPr>
          <w:p>
            <w:pPr>
              <w:rPr>
                <w:rFonts w:hint="eastAsia" w:ascii="宋体" w:hAnsi="宋体" w:eastAsia="宋体" w:cs="宋体"/>
                <w:color w:val="auto"/>
                <w:sz w:val="21"/>
                <w:highlight w:val="none"/>
              </w:rPr>
            </w:pPr>
          </w:p>
        </w:tc>
      </w:tr>
    </w:tbl>
    <w:p>
      <w:pPr>
        <w:spacing w:before="29" w:line="220" w:lineRule="auto"/>
        <w:ind w:left="10"/>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备注： 1.本表后应附表彰文件、获奖证书及其他证明材料等。</w:t>
      </w:r>
    </w:p>
    <w:p>
      <w:pPr>
        <w:spacing w:before="150" w:line="220" w:lineRule="auto"/>
        <w:ind w:left="63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2.颁奖单位应当是国家机关或民政部门注册登记的合法颁奖单位。</w:t>
      </w:r>
    </w:p>
    <w:p>
      <w:pPr>
        <w:spacing w:line="220" w:lineRule="auto"/>
        <w:rPr>
          <w:rFonts w:hint="eastAsia" w:ascii="宋体" w:hAnsi="宋体" w:eastAsia="宋体" w:cs="宋体"/>
          <w:color w:val="auto"/>
          <w:sz w:val="21"/>
          <w:szCs w:val="21"/>
          <w:highlight w:val="none"/>
        </w:rPr>
        <w:sectPr>
          <w:footerReference r:id="rId159" w:type="default"/>
          <w:pgSz w:w="11905" w:h="16843"/>
          <w:pgMar w:top="1769" w:right="1548" w:bottom="1003" w:left="1542" w:header="0" w:footer="828" w:gutter="0"/>
          <w:pgNumType w:fmt="numberInDash"/>
          <w:cols w:space="0" w:num="1"/>
          <w:rtlGutter w:val="0"/>
          <w:docGrid w:linePitch="0" w:charSpace="0"/>
        </w:sectPr>
      </w:pPr>
    </w:p>
    <w:p>
      <w:pPr>
        <w:spacing w:before="78" w:line="219" w:lineRule="auto"/>
        <w:ind w:left="280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5-5  近年项目经理获表彰情况表</w:t>
      </w:r>
    </w:p>
    <w:p>
      <w:pPr>
        <w:spacing w:before="201"/>
        <w:rPr>
          <w:rFonts w:hint="eastAsia" w:ascii="宋体" w:hAnsi="宋体" w:eastAsia="宋体" w:cs="宋体"/>
          <w:color w:val="auto"/>
          <w:highlight w:val="none"/>
        </w:rPr>
      </w:pPr>
    </w:p>
    <w:tbl>
      <w:tblPr>
        <w:tblStyle w:val="9"/>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3481"/>
        <w:gridCol w:w="1799"/>
        <w:gridCol w:w="2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0" w:type="dxa"/>
            <w:vAlign w:val="top"/>
          </w:tcPr>
          <w:p>
            <w:pPr>
              <w:pStyle w:val="10"/>
              <w:spacing w:before="163" w:line="222" w:lineRule="auto"/>
              <w:ind w:left="179"/>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3481" w:type="dxa"/>
            <w:vAlign w:val="top"/>
          </w:tcPr>
          <w:p>
            <w:pPr>
              <w:pStyle w:val="10"/>
              <w:spacing w:before="163" w:line="221" w:lineRule="auto"/>
              <w:ind w:left="1326"/>
              <w:rPr>
                <w:rFonts w:hint="eastAsia" w:ascii="宋体" w:hAnsi="宋体" w:eastAsia="宋体" w:cs="宋体"/>
                <w:color w:val="auto"/>
                <w:highlight w:val="none"/>
              </w:rPr>
            </w:pPr>
            <w:r>
              <w:rPr>
                <w:rFonts w:hint="eastAsia" w:ascii="宋体" w:hAnsi="宋体" w:eastAsia="宋体" w:cs="宋体"/>
                <w:color w:val="auto"/>
                <w:spacing w:val="-3"/>
                <w:highlight w:val="none"/>
              </w:rPr>
              <w:t>获奖名称</w:t>
            </w:r>
          </w:p>
        </w:tc>
        <w:tc>
          <w:tcPr>
            <w:tcW w:w="1799" w:type="dxa"/>
            <w:vAlign w:val="top"/>
          </w:tcPr>
          <w:p>
            <w:pPr>
              <w:pStyle w:val="10"/>
              <w:spacing w:before="163" w:line="221" w:lineRule="auto"/>
              <w:ind w:left="488"/>
              <w:rPr>
                <w:rFonts w:hint="eastAsia" w:ascii="宋体" w:hAnsi="宋体" w:eastAsia="宋体" w:cs="宋体"/>
                <w:color w:val="auto"/>
                <w:highlight w:val="none"/>
              </w:rPr>
            </w:pPr>
            <w:r>
              <w:rPr>
                <w:rFonts w:hint="eastAsia" w:ascii="宋体" w:hAnsi="宋体" w:eastAsia="宋体" w:cs="宋体"/>
                <w:color w:val="auto"/>
                <w:spacing w:val="-3"/>
                <w:highlight w:val="none"/>
              </w:rPr>
              <w:t>获奖日期</w:t>
            </w:r>
          </w:p>
        </w:tc>
        <w:tc>
          <w:tcPr>
            <w:tcW w:w="2524" w:type="dxa"/>
            <w:vAlign w:val="top"/>
          </w:tcPr>
          <w:p>
            <w:pPr>
              <w:pStyle w:val="10"/>
              <w:spacing w:before="164" w:line="221" w:lineRule="auto"/>
              <w:ind w:left="846"/>
              <w:rPr>
                <w:rFonts w:hint="eastAsia" w:ascii="宋体" w:hAnsi="宋体" w:eastAsia="宋体" w:cs="宋体"/>
                <w:color w:val="auto"/>
                <w:highlight w:val="none"/>
              </w:rPr>
            </w:pPr>
            <w:r>
              <w:rPr>
                <w:rFonts w:hint="eastAsia" w:ascii="宋体" w:hAnsi="宋体" w:eastAsia="宋体" w:cs="宋体"/>
                <w:color w:val="auto"/>
                <w:spacing w:val="-2"/>
                <w:highlight w:val="none"/>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0" w:type="dxa"/>
            <w:vAlign w:val="top"/>
          </w:tcPr>
          <w:p>
            <w:pPr>
              <w:rPr>
                <w:rFonts w:hint="eastAsia" w:ascii="宋体" w:hAnsi="宋体" w:eastAsia="宋体" w:cs="宋体"/>
                <w:color w:val="auto"/>
                <w:sz w:val="21"/>
                <w:highlight w:val="none"/>
              </w:rPr>
            </w:pPr>
          </w:p>
        </w:tc>
        <w:tc>
          <w:tcPr>
            <w:tcW w:w="3481" w:type="dxa"/>
            <w:vAlign w:val="top"/>
          </w:tcPr>
          <w:p>
            <w:pPr>
              <w:rPr>
                <w:rFonts w:hint="eastAsia" w:ascii="宋体" w:hAnsi="宋体" w:eastAsia="宋体" w:cs="宋体"/>
                <w:color w:val="auto"/>
                <w:sz w:val="21"/>
                <w:highlight w:val="none"/>
              </w:rPr>
            </w:pPr>
          </w:p>
        </w:tc>
        <w:tc>
          <w:tcPr>
            <w:tcW w:w="1799" w:type="dxa"/>
            <w:vAlign w:val="top"/>
          </w:tcPr>
          <w:p>
            <w:pPr>
              <w:rPr>
                <w:rFonts w:hint="eastAsia" w:ascii="宋体" w:hAnsi="宋体" w:eastAsia="宋体" w:cs="宋体"/>
                <w:color w:val="auto"/>
                <w:sz w:val="21"/>
                <w:highlight w:val="none"/>
              </w:rPr>
            </w:pPr>
          </w:p>
        </w:tc>
        <w:tc>
          <w:tcPr>
            <w:tcW w:w="2524" w:type="dxa"/>
            <w:vAlign w:val="top"/>
          </w:tcPr>
          <w:p>
            <w:pPr>
              <w:rPr>
                <w:rFonts w:hint="eastAsia" w:ascii="宋体" w:hAnsi="宋体" w:eastAsia="宋体" w:cs="宋体"/>
                <w:color w:val="auto"/>
                <w:sz w:val="21"/>
                <w:highlight w:val="none"/>
              </w:rPr>
            </w:pPr>
          </w:p>
        </w:tc>
      </w:tr>
    </w:tbl>
    <w:p>
      <w:pPr>
        <w:spacing w:before="156" w:line="220" w:lineRule="auto"/>
        <w:ind w:left="1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备注： 1.本表后应附表彰文件、获奖证书。</w:t>
      </w:r>
    </w:p>
    <w:p>
      <w:pPr>
        <w:spacing w:before="150" w:line="220" w:lineRule="auto"/>
        <w:ind w:left="63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2.颁奖单位应当是国家机关或民政部门注册登记的合法颁奖单位。</w:t>
      </w:r>
    </w:p>
    <w:p>
      <w:pPr>
        <w:spacing w:line="220" w:lineRule="auto"/>
        <w:rPr>
          <w:rFonts w:hint="eastAsia" w:ascii="宋体" w:hAnsi="宋体" w:eastAsia="宋体" w:cs="宋体"/>
          <w:color w:val="auto"/>
          <w:sz w:val="21"/>
          <w:szCs w:val="21"/>
          <w:highlight w:val="none"/>
        </w:rPr>
        <w:sectPr>
          <w:footerReference r:id="rId160" w:type="default"/>
          <w:pgSz w:w="11905" w:h="16843"/>
          <w:pgMar w:top="1769" w:right="1548" w:bottom="1003" w:left="1542" w:header="0" w:footer="828" w:gutter="0"/>
          <w:pgNumType w:fmt="numberInDash"/>
          <w:cols w:space="0" w:num="1"/>
          <w:rtlGutter w:val="0"/>
          <w:docGrid w:linePitch="0" w:charSpace="0"/>
        </w:sectPr>
      </w:pPr>
    </w:p>
    <w:p>
      <w:pPr>
        <w:spacing w:before="91" w:line="219" w:lineRule="auto"/>
        <w:ind w:left="3050"/>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lang w:eastAsia="zh-CN"/>
        </w:rPr>
        <w:t>九</w:t>
      </w:r>
      <w:r>
        <w:rPr>
          <w:rFonts w:hint="eastAsia" w:ascii="宋体" w:hAnsi="宋体" w:eastAsia="宋体" w:cs="宋体"/>
          <w:color w:val="auto"/>
          <w:spacing w:val="-2"/>
          <w:sz w:val="28"/>
          <w:szCs w:val="28"/>
          <w:highlight w:val="none"/>
        </w:rPr>
        <w:t>、已标价工程量清单</w:t>
      </w:r>
    </w:p>
    <w:p>
      <w:pPr>
        <w:pStyle w:val="2"/>
        <w:spacing w:line="282" w:lineRule="auto"/>
        <w:rPr>
          <w:rFonts w:hint="eastAsia" w:ascii="宋体" w:hAnsi="宋体" w:eastAsia="宋体" w:cs="宋体"/>
          <w:color w:val="auto"/>
          <w:highlight w:val="none"/>
        </w:rPr>
      </w:pPr>
    </w:p>
    <w:p>
      <w:pPr>
        <w:pStyle w:val="2"/>
        <w:spacing w:line="283" w:lineRule="auto"/>
        <w:rPr>
          <w:rFonts w:hint="eastAsia" w:ascii="宋体" w:hAnsi="宋体" w:eastAsia="宋体" w:cs="宋体"/>
          <w:color w:val="auto"/>
          <w:highlight w:val="none"/>
        </w:rPr>
      </w:pPr>
    </w:p>
    <w:p>
      <w:pPr>
        <w:spacing w:before="68" w:line="404" w:lineRule="auto"/>
        <w:ind w:left="12" w:right="237" w:hanging="13"/>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说明： 已标价工程量清单按第五章“工程量清单”中的相关清单表格式填写。构成合同文件</w:t>
      </w:r>
      <w:r>
        <w:rPr>
          <w:rFonts w:hint="eastAsia" w:ascii="宋体" w:hAnsi="宋体" w:eastAsia="宋体" w:cs="宋体"/>
          <w:color w:val="auto"/>
          <w:sz w:val="21"/>
          <w:szCs w:val="21"/>
          <w:highlight w:val="none"/>
        </w:rPr>
        <w:t>的已标价工程量清单包括第五章“工程量清单”</w:t>
      </w:r>
      <w:r>
        <w:rPr>
          <w:rFonts w:hint="eastAsia" w:ascii="宋体" w:hAnsi="宋体" w:eastAsia="宋体" w:cs="宋体"/>
          <w:color w:val="auto"/>
          <w:spacing w:val="-1"/>
          <w:sz w:val="21"/>
          <w:szCs w:val="21"/>
          <w:highlight w:val="none"/>
        </w:rPr>
        <w:t>有关工程量清单、投标报价以及其他说明的</w:t>
      </w:r>
      <w:r>
        <w:rPr>
          <w:rFonts w:hint="eastAsia" w:ascii="宋体" w:hAnsi="宋体" w:eastAsia="宋体" w:cs="宋体"/>
          <w:color w:val="auto"/>
          <w:spacing w:val="-14"/>
          <w:sz w:val="21"/>
          <w:szCs w:val="21"/>
          <w:highlight w:val="none"/>
        </w:rPr>
        <w:t>内容。</w:t>
      </w:r>
    </w:p>
    <w:p>
      <w:pPr>
        <w:spacing w:line="220" w:lineRule="auto"/>
        <w:rPr>
          <w:rFonts w:hint="eastAsia" w:ascii="宋体" w:hAnsi="宋体" w:eastAsia="宋体" w:cs="宋体"/>
          <w:color w:val="auto"/>
          <w:sz w:val="21"/>
          <w:szCs w:val="21"/>
          <w:highlight w:val="none"/>
        </w:rPr>
        <w:sectPr>
          <w:footerReference r:id="rId161" w:type="default"/>
          <w:pgSz w:w="11905" w:h="16843"/>
          <w:pgMar w:top="1769" w:right="1548" w:bottom="1003" w:left="1542" w:header="0" w:footer="828" w:gutter="0"/>
          <w:pgNumType w:fmt="numberInDash"/>
          <w:cols w:space="0" w:num="1"/>
          <w:rtlGutter w:val="0"/>
          <w:docGrid w:linePitch="0" w:charSpace="0"/>
        </w:sectPr>
      </w:pPr>
    </w:p>
    <w:p>
      <w:pPr>
        <w:spacing w:before="91" w:line="219" w:lineRule="auto"/>
        <w:ind w:left="3342"/>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lang w:eastAsia="zh-CN"/>
        </w:rPr>
        <w:t>十</w:t>
      </w:r>
      <w:r>
        <w:rPr>
          <w:rFonts w:hint="eastAsia" w:ascii="宋体" w:hAnsi="宋体" w:eastAsia="宋体" w:cs="宋体"/>
          <w:color w:val="auto"/>
          <w:spacing w:val="-2"/>
          <w:sz w:val="28"/>
          <w:szCs w:val="28"/>
          <w:highlight w:val="none"/>
        </w:rPr>
        <w:t>、施工组织设计</w:t>
      </w:r>
    </w:p>
    <w:p>
      <w:pPr>
        <w:spacing w:before="142" w:line="369" w:lineRule="auto"/>
        <w:ind w:firstLine="436"/>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1．投标人应根据招标文件和对现场的勘察情况，采用文字并结合图表形式，按照中华人民</w:t>
      </w:r>
      <w:r>
        <w:rPr>
          <w:rFonts w:hint="eastAsia" w:ascii="宋体" w:hAnsi="宋体" w:eastAsia="宋体" w:cs="宋体"/>
          <w:color w:val="auto"/>
          <w:spacing w:val="1"/>
          <w:sz w:val="21"/>
          <w:szCs w:val="21"/>
          <w:highlight w:val="none"/>
        </w:rPr>
        <w:t>共和国</w:t>
      </w:r>
      <w:bookmarkStart w:id="432" w:name="_GoBack"/>
      <w:bookmarkEnd w:id="432"/>
      <w:r>
        <w:rPr>
          <w:rFonts w:hint="eastAsia" w:ascii="宋体" w:hAnsi="宋体" w:eastAsia="宋体" w:cs="宋体"/>
          <w:color w:val="auto"/>
          <w:spacing w:val="1"/>
          <w:sz w:val="21"/>
          <w:szCs w:val="21"/>
          <w:highlight w:val="none"/>
        </w:rPr>
        <w:t>标准《建筑施工组织设计规范》（</w:t>
      </w:r>
      <w:r>
        <w:rPr>
          <w:rFonts w:hint="eastAsia" w:ascii="宋体" w:hAnsi="宋体" w:eastAsia="宋体" w:cs="宋体"/>
          <w:color w:val="auto"/>
          <w:sz w:val="21"/>
          <w:szCs w:val="21"/>
          <w:highlight w:val="none"/>
        </w:rPr>
        <w:t>GB</w:t>
      </w:r>
      <w:r>
        <w:rPr>
          <w:rFonts w:hint="eastAsia" w:ascii="宋体" w:hAnsi="宋体" w:eastAsia="宋体" w:cs="宋体"/>
          <w:color w:val="auto"/>
          <w:spacing w:val="1"/>
          <w:sz w:val="21"/>
          <w:szCs w:val="21"/>
          <w:highlight w:val="none"/>
        </w:rPr>
        <w:t>/T50502</w:t>
      </w:r>
      <w:r>
        <w:rPr>
          <w:rFonts w:hint="eastAsia" w:ascii="宋体" w:hAnsi="宋体" w:eastAsia="宋体" w:cs="宋体"/>
          <w:color w:val="auto"/>
          <w:sz w:val="21"/>
          <w:szCs w:val="21"/>
          <w:highlight w:val="none"/>
        </w:rPr>
        <w:t>-2009）的要求编制本工程的施工组织设计，</w:t>
      </w:r>
      <w:r>
        <w:rPr>
          <w:rFonts w:hint="eastAsia" w:ascii="宋体" w:hAnsi="宋体" w:eastAsia="宋体" w:cs="宋体"/>
          <w:color w:val="auto"/>
          <w:spacing w:val="-1"/>
          <w:sz w:val="21"/>
          <w:szCs w:val="21"/>
          <w:highlight w:val="none"/>
        </w:rPr>
        <w:t>其要点如下：</w:t>
      </w:r>
    </w:p>
    <w:p>
      <w:pPr>
        <w:spacing w:before="167" w:line="221"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w:t>
      </w:r>
      <w:r>
        <w:rPr>
          <w:rFonts w:hint="eastAsia"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工程概况</w:t>
      </w:r>
    </w:p>
    <w:p>
      <w:pPr>
        <w:spacing w:before="170" w:line="420" w:lineRule="exact"/>
        <w:ind w:left="946"/>
        <w:rPr>
          <w:rFonts w:hint="eastAsia" w:ascii="宋体" w:hAnsi="宋体" w:eastAsia="宋体" w:cs="宋体"/>
          <w:color w:val="auto"/>
          <w:sz w:val="21"/>
          <w:szCs w:val="21"/>
          <w:highlight w:val="none"/>
        </w:rPr>
      </w:pPr>
      <w:r>
        <w:rPr>
          <w:rFonts w:hint="eastAsia" w:ascii="宋体" w:hAnsi="宋体" w:eastAsia="宋体" w:cs="宋体"/>
          <w:color w:val="auto"/>
          <w:spacing w:val="-2"/>
          <w:position w:val="15"/>
          <w:sz w:val="21"/>
          <w:szCs w:val="21"/>
          <w:highlight w:val="none"/>
        </w:rPr>
        <w:t>包括工程主要情况、各专业设计简介、工程施工条件等；</w:t>
      </w:r>
    </w:p>
    <w:p>
      <w:pPr>
        <w:spacing w:line="220"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w:t>
      </w:r>
      <w:r>
        <w:rPr>
          <w:rFonts w:hint="eastAsia"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施工部署</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20" w:leftChars="200" w:right="0" w:firstLine="436"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包括工程施工目标、主要施工内容及其进度安排、施工流水段划分、施工的重点和难点分析、工程管理的组织机构形式、项目经理部的工作岗位设置及其职责划分、新技</w:t>
      </w:r>
      <w:r>
        <w:rPr>
          <w:rFonts w:hint="eastAsia" w:ascii="宋体" w:hAnsi="宋体" w:eastAsia="宋体" w:cs="宋体"/>
          <w:color w:val="auto"/>
          <w:spacing w:val="-1"/>
          <w:sz w:val="21"/>
          <w:szCs w:val="21"/>
          <w:highlight w:val="none"/>
        </w:rPr>
        <w:t>术、新工艺部署及其技术和管理要求（如有）、主要分包工</w:t>
      </w:r>
      <w:r>
        <w:rPr>
          <w:rFonts w:hint="eastAsia" w:ascii="宋体" w:hAnsi="宋体" w:eastAsia="宋体" w:cs="宋体"/>
          <w:color w:val="auto"/>
          <w:spacing w:val="-2"/>
          <w:sz w:val="21"/>
          <w:szCs w:val="21"/>
          <w:highlight w:val="none"/>
        </w:rPr>
        <w:t>程施工单位的选择要求及管</w:t>
      </w:r>
      <w:r>
        <w:rPr>
          <w:rFonts w:hint="eastAsia" w:ascii="宋体" w:hAnsi="宋体" w:eastAsia="宋体" w:cs="宋体"/>
          <w:color w:val="auto"/>
          <w:spacing w:val="-13"/>
          <w:sz w:val="21"/>
          <w:szCs w:val="21"/>
          <w:highlight w:val="none"/>
        </w:rPr>
        <w:t>理方式（如有</w:t>
      </w:r>
      <w:r>
        <w:rPr>
          <w:rFonts w:hint="eastAsia" w:ascii="宋体" w:hAnsi="宋体" w:eastAsia="宋体" w:cs="宋体"/>
          <w:color w:val="auto"/>
          <w:spacing w:val="-25"/>
          <w:sz w:val="21"/>
          <w:szCs w:val="21"/>
          <w:highlight w:val="none"/>
        </w:rPr>
        <w:t>）；</w:t>
      </w:r>
    </w:p>
    <w:p>
      <w:pPr>
        <w:spacing w:before="168" w:line="221"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w:t>
      </w:r>
      <w:r>
        <w:rPr>
          <w:rFonts w:hint="eastAsia"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施工进度计划</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420" w:leftChars="20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可采用网络图或横道图表示，并附必要说明，对于规模较大或较复杂的工程，宜采用网络图表示；</w:t>
      </w:r>
    </w:p>
    <w:p>
      <w:pPr>
        <w:spacing w:before="167" w:line="222"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（4）</w:t>
      </w:r>
      <w:r>
        <w:rPr>
          <w:rFonts w:hint="eastAsia"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施工准备与资源配置计划</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420" w:leftChars="20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施工准备包括技术准备、现场准备和资金准备；资源配置计划包括劳动力配置计划、主要工程材料和设备配置计划、主要周转材料和施工机具配置计划等；</w:t>
      </w:r>
    </w:p>
    <w:p>
      <w:pPr>
        <w:spacing w:before="170" w:line="221"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w:t>
      </w:r>
      <w:r>
        <w:rPr>
          <w:rFonts w:hint="eastAsia"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主要施工方案</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420" w:leftChars="20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对主要分部、分项工程制定施工方案；对脚手架工程、起重吊装工程、临时用水用电工程、季节性施工等专项工程所采用的施工方案进行必要的验算和说明；对易发生质 量通病、易出现安全问题、施工难度大、技术含量高的分项工程（工序）等做出重点说明；</w:t>
      </w:r>
    </w:p>
    <w:p>
      <w:pPr>
        <w:spacing w:before="169" w:line="220"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（6）</w:t>
      </w:r>
      <w:r>
        <w:rPr>
          <w:rFonts w:hint="eastAsia"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施工现场平面布置</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420" w:leftChars="20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按不同施工阶段绘制施工现场平面布置图并附文字说明，说明施工场地状况；拟建建（构）筑物的位置轮廓、尺寸、层数；加工设施、存储设施、办公和生活用房的位置和  面积；布置垂直运输设施、供电设施、供水、供热设施、排水排污设施和临时施工道路；必备的安全、消防、保卫和环境保护设施；相邻的地上地下既有建（构） 筑物及相关环境等；</w:t>
      </w:r>
    </w:p>
    <w:p>
      <w:pPr>
        <w:spacing w:before="169" w:line="221" w:lineRule="auto"/>
        <w:ind w:left="427"/>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（7）</w:t>
      </w:r>
      <w:r>
        <w:rPr>
          <w:rFonts w:hint="eastAsia"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主要施工管理计划</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420" w:leftChars="20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pPr>
        <w:spacing w:before="169" w:line="420" w:lineRule="exact"/>
        <w:jc w:val="right"/>
        <w:rPr>
          <w:rFonts w:hint="eastAsia" w:ascii="宋体" w:hAnsi="宋体" w:eastAsia="宋体" w:cs="宋体"/>
          <w:color w:val="auto"/>
          <w:sz w:val="21"/>
          <w:szCs w:val="21"/>
          <w:highlight w:val="none"/>
        </w:rPr>
      </w:pPr>
      <w:r>
        <w:rPr>
          <w:rFonts w:hint="eastAsia" w:ascii="宋体" w:hAnsi="宋体" w:eastAsia="宋体" w:cs="宋体"/>
          <w:color w:val="auto"/>
          <w:spacing w:val="4"/>
          <w:position w:val="15"/>
          <w:sz w:val="21"/>
          <w:szCs w:val="21"/>
          <w:highlight w:val="none"/>
        </w:rPr>
        <w:t>2．施工组织设计除采用文字表述外可附下列图表，图表及格式要求附后。下述表格应按照</w:t>
      </w:r>
    </w:p>
    <w:p>
      <w:pPr>
        <w:spacing w:line="219" w:lineRule="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章节内容，</w:t>
      </w:r>
      <w:r>
        <w:rPr>
          <w:rFonts w:hint="eastAsia" w:ascii="宋体" w:hAnsi="宋体" w:eastAsia="宋体" w:cs="宋体"/>
          <w:color w:val="auto"/>
          <w:spacing w:val="-22"/>
          <w:sz w:val="21"/>
          <w:szCs w:val="21"/>
          <w:highlight w:val="none"/>
        </w:rPr>
        <w:t xml:space="preserve"> </w:t>
      </w:r>
      <w:r>
        <w:rPr>
          <w:rFonts w:hint="eastAsia" w:ascii="宋体" w:hAnsi="宋体" w:eastAsia="宋体" w:cs="宋体"/>
          <w:color w:val="auto"/>
          <w:spacing w:val="-5"/>
          <w:sz w:val="21"/>
          <w:szCs w:val="21"/>
          <w:highlight w:val="none"/>
        </w:rPr>
        <w:t>严格按给定的格式附在相应的章节中。</w:t>
      </w:r>
    </w:p>
    <w:p>
      <w:pPr>
        <w:spacing w:line="170" w:lineRule="exact"/>
        <w:rPr>
          <w:rFonts w:hint="eastAsia" w:ascii="宋体" w:hAnsi="宋体" w:eastAsia="宋体" w:cs="宋体"/>
          <w:color w:val="auto"/>
          <w:highlight w:val="none"/>
        </w:rPr>
      </w:pPr>
    </w:p>
    <w:tbl>
      <w:tblPr>
        <w:tblStyle w:val="9"/>
        <w:tblW w:w="4389" w:type="dxa"/>
        <w:tblInd w:w="42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7"/>
        <w:gridCol w:w="367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7" w:type="dxa"/>
            <w:vAlign w:val="top"/>
          </w:tcPr>
          <w:p>
            <w:pPr>
              <w:pStyle w:val="10"/>
              <w:spacing w:line="219" w:lineRule="auto"/>
              <w:rPr>
                <w:rFonts w:hint="eastAsia" w:ascii="宋体" w:hAnsi="宋体" w:eastAsia="宋体" w:cs="宋体"/>
                <w:color w:val="auto"/>
                <w:highlight w:val="none"/>
              </w:rPr>
            </w:pPr>
            <w:r>
              <w:rPr>
                <w:rFonts w:hint="eastAsia" w:ascii="宋体" w:hAnsi="宋体" w:eastAsia="宋体" w:cs="宋体"/>
                <w:color w:val="auto"/>
                <w:spacing w:val="-4"/>
                <w:highlight w:val="none"/>
              </w:rPr>
              <w:t>附表一</w:t>
            </w:r>
          </w:p>
        </w:tc>
        <w:tc>
          <w:tcPr>
            <w:tcW w:w="3672" w:type="dxa"/>
            <w:vAlign w:val="top"/>
          </w:tcPr>
          <w:p>
            <w:pPr>
              <w:pStyle w:val="10"/>
              <w:spacing w:line="219" w:lineRule="auto"/>
              <w:ind w:left="108"/>
              <w:rPr>
                <w:rFonts w:hint="eastAsia" w:ascii="宋体" w:hAnsi="宋体" w:eastAsia="宋体" w:cs="宋体"/>
                <w:color w:val="auto"/>
                <w:highlight w:val="none"/>
              </w:rPr>
            </w:pPr>
            <w:r>
              <w:rPr>
                <w:rFonts w:hint="eastAsia" w:ascii="宋体" w:hAnsi="宋体" w:eastAsia="宋体" w:cs="宋体"/>
                <w:color w:val="auto"/>
                <w:spacing w:val="-1"/>
                <w:highlight w:val="none"/>
              </w:rPr>
              <w:t>拟投入本工程的主要施工设备表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vAlign w:val="top"/>
          </w:tcPr>
          <w:p>
            <w:pPr>
              <w:pStyle w:val="10"/>
              <w:spacing w:before="104" w:line="220" w:lineRule="auto"/>
              <w:rPr>
                <w:rFonts w:hint="eastAsia" w:ascii="宋体" w:hAnsi="宋体" w:eastAsia="宋体" w:cs="宋体"/>
                <w:color w:val="auto"/>
                <w:highlight w:val="none"/>
              </w:rPr>
            </w:pPr>
            <w:r>
              <w:rPr>
                <w:rFonts w:hint="eastAsia" w:ascii="宋体" w:hAnsi="宋体" w:eastAsia="宋体" w:cs="宋体"/>
                <w:color w:val="auto"/>
                <w:spacing w:val="-5"/>
                <w:highlight w:val="none"/>
              </w:rPr>
              <w:t>附表二</w:t>
            </w:r>
          </w:p>
        </w:tc>
        <w:tc>
          <w:tcPr>
            <w:tcW w:w="3672" w:type="dxa"/>
            <w:vAlign w:val="top"/>
          </w:tcPr>
          <w:p>
            <w:pPr>
              <w:pStyle w:val="10"/>
              <w:spacing w:before="104" w:line="220" w:lineRule="auto"/>
              <w:jc w:val="right"/>
              <w:rPr>
                <w:rFonts w:hint="eastAsia" w:ascii="宋体" w:hAnsi="宋体" w:eastAsia="宋体" w:cs="宋体"/>
                <w:color w:val="auto"/>
                <w:highlight w:val="none"/>
              </w:rPr>
            </w:pPr>
            <w:r>
              <w:rPr>
                <w:rFonts w:hint="eastAsia" w:ascii="宋体" w:hAnsi="宋体" w:eastAsia="宋体" w:cs="宋体"/>
                <w:color w:val="auto"/>
                <w:spacing w:val="-1"/>
                <w:highlight w:val="none"/>
              </w:rPr>
              <w:t>拟配备本工程的试验和检测仪器设备表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vAlign w:val="top"/>
          </w:tcPr>
          <w:p>
            <w:pPr>
              <w:pStyle w:val="10"/>
              <w:spacing w:before="105" w:line="220" w:lineRule="auto"/>
              <w:rPr>
                <w:rFonts w:hint="eastAsia" w:ascii="宋体" w:hAnsi="宋体" w:eastAsia="宋体" w:cs="宋体"/>
                <w:color w:val="auto"/>
                <w:highlight w:val="none"/>
              </w:rPr>
            </w:pPr>
            <w:r>
              <w:rPr>
                <w:rFonts w:hint="eastAsia" w:ascii="宋体" w:hAnsi="宋体" w:eastAsia="宋体" w:cs="宋体"/>
                <w:color w:val="auto"/>
                <w:spacing w:val="-5"/>
                <w:highlight w:val="none"/>
              </w:rPr>
              <w:t>附表三</w:t>
            </w:r>
          </w:p>
        </w:tc>
        <w:tc>
          <w:tcPr>
            <w:tcW w:w="3672" w:type="dxa"/>
            <w:vAlign w:val="top"/>
          </w:tcPr>
          <w:p>
            <w:pPr>
              <w:pStyle w:val="10"/>
              <w:spacing w:before="105" w:line="221" w:lineRule="auto"/>
              <w:ind w:left="113"/>
              <w:rPr>
                <w:rFonts w:hint="eastAsia" w:ascii="宋体" w:hAnsi="宋体" w:eastAsia="宋体" w:cs="宋体"/>
                <w:color w:val="auto"/>
                <w:highlight w:val="none"/>
              </w:rPr>
            </w:pPr>
            <w:r>
              <w:rPr>
                <w:rFonts w:hint="eastAsia" w:ascii="宋体" w:hAnsi="宋体" w:eastAsia="宋体" w:cs="宋体"/>
                <w:color w:val="auto"/>
                <w:spacing w:val="-2"/>
                <w:highlight w:val="none"/>
              </w:rPr>
              <w:t>劳动力计划表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vAlign w:val="top"/>
          </w:tcPr>
          <w:p>
            <w:pPr>
              <w:pStyle w:val="10"/>
              <w:spacing w:before="105" w:line="220" w:lineRule="auto"/>
              <w:rPr>
                <w:rFonts w:hint="eastAsia" w:ascii="宋体" w:hAnsi="宋体" w:eastAsia="宋体" w:cs="宋体"/>
                <w:color w:val="auto"/>
                <w:highlight w:val="none"/>
              </w:rPr>
            </w:pPr>
            <w:r>
              <w:rPr>
                <w:rFonts w:hint="eastAsia" w:ascii="宋体" w:hAnsi="宋体" w:eastAsia="宋体" w:cs="宋体"/>
                <w:color w:val="auto"/>
                <w:spacing w:val="-5"/>
                <w:highlight w:val="none"/>
              </w:rPr>
              <w:t>附表四</w:t>
            </w:r>
          </w:p>
        </w:tc>
        <w:tc>
          <w:tcPr>
            <w:tcW w:w="3672" w:type="dxa"/>
            <w:vAlign w:val="top"/>
          </w:tcPr>
          <w:p>
            <w:pPr>
              <w:pStyle w:val="10"/>
              <w:spacing w:before="105" w:line="221" w:lineRule="auto"/>
              <w:ind w:left="108"/>
              <w:rPr>
                <w:rFonts w:hint="eastAsia" w:ascii="宋体" w:hAnsi="宋体" w:eastAsia="宋体" w:cs="宋体"/>
                <w:color w:val="auto"/>
                <w:highlight w:val="none"/>
              </w:rPr>
            </w:pPr>
            <w:r>
              <w:rPr>
                <w:rFonts w:hint="eastAsia" w:ascii="宋体" w:hAnsi="宋体" w:eastAsia="宋体" w:cs="宋体"/>
                <w:color w:val="auto"/>
                <w:spacing w:val="-1"/>
                <w:highlight w:val="none"/>
              </w:rPr>
              <w:t>计划开、竣工日期和施工进度网络图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vAlign w:val="top"/>
          </w:tcPr>
          <w:p>
            <w:pPr>
              <w:pStyle w:val="10"/>
              <w:spacing w:before="105" w:line="220" w:lineRule="auto"/>
              <w:rPr>
                <w:rFonts w:hint="eastAsia" w:ascii="宋体" w:hAnsi="宋体" w:eastAsia="宋体" w:cs="宋体"/>
                <w:color w:val="auto"/>
                <w:highlight w:val="none"/>
              </w:rPr>
            </w:pPr>
            <w:r>
              <w:rPr>
                <w:rFonts w:hint="eastAsia" w:ascii="宋体" w:hAnsi="宋体" w:eastAsia="宋体" w:cs="宋体"/>
                <w:color w:val="auto"/>
                <w:spacing w:val="-5"/>
                <w:highlight w:val="none"/>
              </w:rPr>
              <w:t>附表五</w:t>
            </w:r>
          </w:p>
        </w:tc>
        <w:tc>
          <w:tcPr>
            <w:tcW w:w="3672" w:type="dxa"/>
            <w:vAlign w:val="top"/>
          </w:tcPr>
          <w:p>
            <w:pPr>
              <w:pStyle w:val="10"/>
              <w:spacing w:before="105" w:line="222" w:lineRule="auto"/>
              <w:ind w:left="108"/>
              <w:rPr>
                <w:rFonts w:hint="eastAsia" w:ascii="宋体" w:hAnsi="宋体" w:eastAsia="宋体" w:cs="宋体"/>
                <w:color w:val="auto"/>
                <w:highlight w:val="none"/>
              </w:rPr>
            </w:pPr>
            <w:r>
              <w:rPr>
                <w:rFonts w:hint="eastAsia" w:ascii="宋体" w:hAnsi="宋体" w:eastAsia="宋体" w:cs="宋体"/>
                <w:color w:val="auto"/>
                <w:spacing w:val="-2"/>
                <w:highlight w:val="none"/>
              </w:rPr>
              <w:t>施工总平面图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717" w:type="dxa"/>
            <w:vAlign w:val="top"/>
          </w:tcPr>
          <w:p>
            <w:pPr>
              <w:pStyle w:val="10"/>
              <w:spacing w:before="105" w:line="176" w:lineRule="auto"/>
              <w:rPr>
                <w:rFonts w:hint="eastAsia" w:ascii="宋体" w:hAnsi="宋体" w:eastAsia="宋体" w:cs="宋体"/>
                <w:color w:val="auto"/>
                <w:highlight w:val="none"/>
              </w:rPr>
            </w:pPr>
            <w:r>
              <w:rPr>
                <w:rFonts w:hint="eastAsia" w:ascii="宋体" w:hAnsi="宋体" w:eastAsia="宋体" w:cs="宋体"/>
                <w:color w:val="auto"/>
                <w:spacing w:val="-5"/>
                <w:highlight w:val="none"/>
              </w:rPr>
              <w:t>附表六</w:t>
            </w:r>
          </w:p>
        </w:tc>
        <w:tc>
          <w:tcPr>
            <w:tcW w:w="3672" w:type="dxa"/>
            <w:vAlign w:val="top"/>
          </w:tcPr>
          <w:p>
            <w:pPr>
              <w:pStyle w:val="10"/>
              <w:spacing w:before="105" w:line="176" w:lineRule="auto"/>
              <w:ind w:left="120"/>
              <w:rPr>
                <w:rFonts w:hint="eastAsia" w:ascii="宋体" w:hAnsi="宋体" w:eastAsia="宋体" w:cs="宋体"/>
                <w:color w:val="auto"/>
                <w:highlight w:val="none"/>
              </w:rPr>
            </w:pPr>
            <w:r>
              <w:rPr>
                <w:rFonts w:hint="eastAsia" w:ascii="宋体" w:hAnsi="宋体" w:eastAsia="宋体" w:cs="宋体"/>
                <w:color w:val="auto"/>
                <w:spacing w:val="-4"/>
                <w:highlight w:val="none"/>
              </w:rPr>
              <w:t>临时用地表</w:t>
            </w: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62" w:type="default"/>
          <w:pgSz w:w="11905" w:h="16843"/>
          <w:pgMar w:top="1769" w:right="1548" w:bottom="1003" w:left="1542" w:header="0" w:footer="828" w:gutter="0"/>
          <w:pgNumType w:fmt="numberInDash"/>
          <w:cols w:space="0" w:num="1"/>
          <w:rtlGutter w:val="0"/>
          <w:docGrid w:linePitch="0" w:charSpace="0"/>
        </w:sectPr>
      </w:pPr>
    </w:p>
    <w:p>
      <w:pPr>
        <w:spacing w:before="78" w:line="219" w:lineRule="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附表一：拟投入本工程的主要施工设备表</w:t>
      </w:r>
    </w:p>
    <w:tbl>
      <w:tblPr>
        <w:tblStyle w:val="9"/>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065"/>
        <w:gridCol w:w="672"/>
        <w:gridCol w:w="1022"/>
        <w:gridCol w:w="708"/>
        <w:gridCol w:w="708"/>
        <w:gridCol w:w="1175"/>
        <w:gridCol w:w="873"/>
        <w:gridCol w:w="871"/>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47" w:type="dxa"/>
            <w:vAlign w:val="top"/>
          </w:tcPr>
          <w:p>
            <w:pPr>
              <w:pStyle w:val="10"/>
              <w:spacing w:before="209" w:line="222" w:lineRule="auto"/>
              <w:ind w:left="117"/>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065" w:type="dxa"/>
            <w:vAlign w:val="top"/>
          </w:tcPr>
          <w:p>
            <w:pPr>
              <w:pStyle w:val="10"/>
              <w:spacing w:before="209" w:line="222" w:lineRule="auto"/>
              <w:ind w:left="120"/>
              <w:rPr>
                <w:rFonts w:hint="eastAsia" w:ascii="宋体" w:hAnsi="宋体" w:eastAsia="宋体" w:cs="宋体"/>
                <w:color w:val="auto"/>
                <w:highlight w:val="none"/>
              </w:rPr>
            </w:pPr>
            <w:r>
              <w:rPr>
                <w:rFonts w:hint="eastAsia" w:ascii="宋体" w:hAnsi="宋体" w:eastAsia="宋体" w:cs="宋体"/>
                <w:color w:val="auto"/>
                <w:spacing w:val="-3"/>
                <w:highlight w:val="none"/>
              </w:rPr>
              <w:t>设备名称</w:t>
            </w:r>
          </w:p>
        </w:tc>
        <w:tc>
          <w:tcPr>
            <w:tcW w:w="672" w:type="dxa"/>
            <w:vAlign w:val="top"/>
          </w:tcPr>
          <w:p>
            <w:pPr>
              <w:pStyle w:val="10"/>
              <w:spacing w:before="76" w:line="229" w:lineRule="auto"/>
              <w:ind w:left="130" w:right="123" w:firstLine="5"/>
              <w:rPr>
                <w:rFonts w:hint="eastAsia" w:ascii="宋体" w:hAnsi="宋体" w:eastAsia="宋体" w:cs="宋体"/>
                <w:color w:val="auto"/>
                <w:highlight w:val="none"/>
              </w:rPr>
            </w:pPr>
            <w:r>
              <w:rPr>
                <w:rFonts w:hint="eastAsia" w:ascii="宋体" w:hAnsi="宋体" w:eastAsia="宋体" w:cs="宋体"/>
                <w:color w:val="auto"/>
                <w:spacing w:val="-7"/>
                <w:highlight w:val="none"/>
              </w:rPr>
              <w:t>型号</w:t>
            </w:r>
            <w:r>
              <w:rPr>
                <w:rFonts w:hint="eastAsia" w:ascii="宋体" w:hAnsi="宋体" w:eastAsia="宋体" w:cs="宋体"/>
                <w:color w:val="auto"/>
                <w:highlight w:val="none"/>
              </w:rPr>
              <w:t xml:space="preserve"> </w:t>
            </w:r>
            <w:r>
              <w:rPr>
                <w:rFonts w:hint="eastAsia" w:ascii="宋体" w:hAnsi="宋体" w:eastAsia="宋体" w:cs="宋体"/>
                <w:color w:val="auto"/>
                <w:spacing w:val="-4"/>
                <w:highlight w:val="none"/>
              </w:rPr>
              <w:t>规格</w:t>
            </w:r>
          </w:p>
        </w:tc>
        <w:tc>
          <w:tcPr>
            <w:tcW w:w="1022" w:type="dxa"/>
            <w:vAlign w:val="top"/>
          </w:tcPr>
          <w:p>
            <w:pPr>
              <w:pStyle w:val="10"/>
              <w:spacing w:before="209" w:line="221" w:lineRule="auto"/>
              <w:ind w:left="201"/>
              <w:rPr>
                <w:rFonts w:hint="eastAsia" w:ascii="宋体" w:hAnsi="宋体" w:eastAsia="宋体" w:cs="宋体"/>
                <w:color w:val="auto"/>
                <w:highlight w:val="none"/>
              </w:rPr>
            </w:pPr>
            <w:r>
              <w:rPr>
                <w:rFonts w:hint="eastAsia" w:ascii="宋体" w:hAnsi="宋体" w:eastAsia="宋体" w:cs="宋体"/>
                <w:color w:val="auto"/>
                <w:spacing w:val="-5"/>
                <w:highlight w:val="none"/>
              </w:rPr>
              <w:t>数</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5"/>
                <w:highlight w:val="none"/>
              </w:rPr>
              <w:t>量</w:t>
            </w:r>
          </w:p>
        </w:tc>
        <w:tc>
          <w:tcPr>
            <w:tcW w:w="708" w:type="dxa"/>
            <w:vAlign w:val="top"/>
          </w:tcPr>
          <w:p>
            <w:pPr>
              <w:pStyle w:val="10"/>
              <w:spacing w:before="76" w:line="229" w:lineRule="auto"/>
              <w:ind w:left="149" w:right="139" w:firstLine="20"/>
              <w:rPr>
                <w:rFonts w:hint="eastAsia" w:ascii="宋体" w:hAnsi="宋体" w:eastAsia="宋体" w:cs="宋体"/>
                <w:color w:val="auto"/>
                <w:highlight w:val="none"/>
              </w:rPr>
            </w:pPr>
            <w:r>
              <w:rPr>
                <w:rFonts w:hint="eastAsia" w:ascii="宋体" w:hAnsi="宋体" w:eastAsia="宋体" w:cs="宋体"/>
                <w:color w:val="auto"/>
                <w:spacing w:val="-14"/>
                <w:highlight w:val="none"/>
              </w:rPr>
              <w:t>国别</w:t>
            </w:r>
            <w:r>
              <w:rPr>
                <w:rFonts w:hint="eastAsia" w:ascii="宋体" w:hAnsi="宋体" w:eastAsia="宋体" w:cs="宋体"/>
                <w:color w:val="auto"/>
                <w:highlight w:val="none"/>
              </w:rPr>
              <w:t xml:space="preserve"> </w:t>
            </w:r>
            <w:r>
              <w:rPr>
                <w:rFonts w:hint="eastAsia" w:ascii="宋体" w:hAnsi="宋体" w:eastAsia="宋体" w:cs="宋体"/>
                <w:color w:val="auto"/>
                <w:spacing w:val="-3"/>
                <w:highlight w:val="none"/>
              </w:rPr>
              <w:t>产地</w:t>
            </w:r>
          </w:p>
        </w:tc>
        <w:tc>
          <w:tcPr>
            <w:tcW w:w="708" w:type="dxa"/>
            <w:vAlign w:val="top"/>
          </w:tcPr>
          <w:p>
            <w:pPr>
              <w:pStyle w:val="10"/>
              <w:spacing w:before="76" w:line="229" w:lineRule="auto"/>
              <w:ind w:left="150" w:right="139"/>
              <w:rPr>
                <w:rFonts w:hint="eastAsia" w:ascii="宋体" w:hAnsi="宋体" w:eastAsia="宋体" w:cs="宋体"/>
                <w:color w:val="auto"/>
                <w:highlight w:val="none"/>
              </w:rPr>
            </w:pPr>
            <w:r>
              <w:rPr>
                <w:rFonts w:hint="eastAsia" w:ascii="宋体" w:hAnsi="宋体" w:eastAsia="宋体" w:cs="宋体"/>
                <w:color w:val="auto"/>
                <w:spacing w:val="-4"/>
                <w:highlight w:val="none"/>
              </w:rPr>
              <w:t>制造</w:t>
            </w:r>
            <w:r>
              <w:rPr>
                <w:rFonts w:hint="eastAsia" w:ascii="宋体" w:hAnsi="宋体" w:eastAsia="宋体" w:cs="宋体"/>
                <w:color w:val="auto"/>
                <w:highlight w:val="none"/>
              </w:rPr>
              <w:t xml:space="preserve"> </w:t>
            </w:r>
            <w:r>
              <w:rPr>
                <w:rFonts w:hint="eastAsia" w:ascii="宋体" w:hAnsi="宋体" w:eastAsia="宋体" w:cs="宋体"/>
                <w:color w:val="auto"/>
                <w:spacing w:val="-4"/>
                <w:highlight w:val="none"/>
              </w:rPr>
              <w:t>年份</w:t>
            </w:r>
          </w:p>
        </w:tc>
        <w:tc>
          <w:tcPr>
            <w:tcW w:w="1175" w:type="dxa"/>
            <w:vAlign w:val="top"/>
          </w:tcPr>
          <w:p>
            <w:pPr>
              <w:pStyle w:val="10"/>
              <w:spacing w:before="74" w:line="236" w:lineRule="auto"/>
              <w:ind w:left="285" w:right="159" w:hanging="109"/>
              <w:rPr>
                <w:rFonts w:hint="eastAsia" w:ascii="宋体" w:hAnsi="宋体" w:eastAsia="宋体" w:cs="宋体"/>
                <w:color w:val="auto"/>
                <w:highlight w:val="none"/>
              </w:rPr>
            </w:pPr>
            <w:r>
              <w:rPr>
                <w:rFonts w:hint="eastAsia" w:ascii="宋体" w:hAnsi="宋体" w:eastAsia="宋体" w:cs="宋体"/>
                <w:color w:val="auto"/>
                <w:spacing w:val="-2"/>
                <w:highlight w:val="none"/>
              </w:rPr>
              <w:t>额定功率</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4"/>
                <w:highlight w:val="none"/>
              </w:rPr>
              <w:t>（KW）</w:t>
            </w:r>
          </w:p>
        </w:tc>
        <w:tc>
          <w:tcPr>
            <w:tcW w:w="873" w:type="dxa"/>
            <w:vAlign w:val="top"/>
          </w:tcPr>
          <w:p>
            <w:pPr>
              <w:pStyle w:val="10"/>
              <w:spacing w:before="75" w:line="238" w:lineRule="auto"/>
              <w:ind w:left="236"/>
              <w:rPr>
                <w:rFonts w:hint="eastAsia" w:ascii="宋体" w:hAnsi="宋体" w:eastAsia="宋体" w:cs="宋体"/>
                <w:color w:val="auto"/>
                <w:highlight w:val="none"/>
              </w:rPr>
            </w:pPr>
            <w:r>
              <w:rPr>
                <w:rFonts w:hint="eastAsia" w:ascii="宋体" w:hAnsi="宋体" w:eastAsia="宋体" w:cs="宋体"/>
                <w:color w:val="auto"/>
                <w:spacing w:val="-2"/>
                <w:highlight w:val="none"/>
              </w:rPr>
              <w:t>生产</w:t>
            </w:r>
          </w:p>
          <w:p>
            <w:pPr>
              <w:pStyle w:val="10"/>
              <w:spacing w:line="220" w:lineRule="auto"/>
              <w:ind w:left="243"/>
              <w:rPr>
                <w:rFonts w:hint="eastAsia" w:ascii="宋体" w:hAnsi="宋体" w:eastAsia="宋体" w:cs="宋体"/>
                <w:color w:val="auto"/>
                <w:highlight w:val="none"/>
              </w:rPr>
            </w:pPr>
            <w:r>
              <w:rPr>
                <w:rFonts w:hint="eastAsia" w:ascii="宋体" w:hAnsi="宋体" w:eastAsia="宋体" w:cs="宋体"/>
                <w:color w:val="auto"/>
                <w:spacing w:val="-4"/>
                <w:highlight w:val="none"/>
              </w:rPr>
              <w:t>能力</w:t>
            </w:r>
          </w:p>
        </w:tc>
        <w:tc>
          <w:tcPr>
            <w:tcW w:w="871" w:type="dxa"/>
            <w:vAlign w:val="top"/>
          </w:tcPr>
          <w:p>
            <w:pPr>
              <w:pStyle w:val="10"/>
              <w:spacing w:before="76" w:line="229" w:lineRule="auto"/>
              <w:ind w:left="129" w:right="112"/>
              <w:rPr>
                <w:rFonts w:hint="eastAsia" w:ascii="宋体" w:hAnsi="宋体" w:eastAsia="宋体" w:cs="宋体"/>
                <w:color w:val="auto"/>
                <w:highlight w:val="none"/>
              </w:rPr>
            </w:pPr>
            <w:r>
              <w:rPr>
                <w:rFonts w:hint="eastAsia" w:ascii="宋体" w:hAnsi="宋体" w:eastAsia="宋体" w:cs="宋体"/>
                <w:color w:val="auto"/>
                <w:spacing w:val="-3"/>
                <w:highlight w:val="none"/>
              </w:rPr>
              <w:t>用于施</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3"/>
                <w:highlight w:val="none"/>
              </w:rPr>
              <w:t>工部位</w:t>
            </w:r>
          </w:p>
        </w:tc>
        <w:tc>
          <w:tcPr>
            <w:tcW w:w="770" w:type="dxa"/>
            <w:vAlign w:val="top"/>
          </w:tcPr>
          <w:p>
            <w:pPr>
              <w:pStyle w:val="10"/>
              <w:spacing w:before="209" w:line="222" w:lineRule="auto"/>
              <w:ind w:left="183"/>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873" w:type="dxa"/>
            <w:vAlign w:val="top"/>
          </w:tcPr>
          <w:p>
            <w:pPr>
              <w:rPr>
                <w:rFonts w:hint="eastAsia" w:ascii="宋体" w:hAnsi="宋体" w:eastAsia="宋体" w:cs="宋体"/>
                <w:color w:val="auto"/>
                <w:sz w:val="21"/>
                <w:highlight w:val="none"/>
              </w:rPr>
            </w:pPr>
          </w:p>
        </w:tc>
        <w:tc>
          <w:tcPr>
            <w:tcW w:w="871" w:type="dxa"/>
            <w:vAlign w:val="top"/>
          </w:tcPr>
          <w:p>
            <w:pPr>
              <w:rPr>
                <w:rFonts w:hint="eastAsia" w:ascii="宋体" w:hAnsi="宋体" w:eastAsia="宋体" w:cs="宋体"/>
                <w:color w:val="auto"/>
                <w:sz w:val="21"/>
                <w:highlight w:val="none"/>
              </w:rPr>
            </w:pPr>
          </w:p>
        </w:tc>
        <w:tc>
          <w:tcPr>
            <w:tcW w:w="770" w:type="dxa"/>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63" w:type="default"/>
          <w:pgSz w:w="11905" w:h="16843"/>
          <w:pgMar w:top="1769" w:right="1548" w:bottom="1003" w:left="1542" w:header="0" w:footer="828" w:gutter="0"/>
          <w:pgNumType w:fmt="numberInDash"/>
          <w:cols w:space="0" w:num="1"/>
          <w:rtlGutter w:val="0"/>
          <w:docGrid w:linePitch="0" w:charSpace="0"/>
        </w:sectPr>
      </w:pPr>
    </w:p>
    <w:p>
      <w:pPr>
        <w:spacing w:before="78" w:line="218" w:lineRule="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附表二：拟配备本工程的试验和检测仪器设</w:t>
      </w:r>
      <w:r>
        <w:rPr>
          <w:rFonts w:hint="eastAsia" w:ascii="宋体" w:hAnsi="宋体" w:eastAsia="宋体" w:cs="宋体"/>
          <w:color w:val="auto"/>
          <w:spacing w:val="-2"/>
          <w:sz w:val="24"/>
          <w:szCs w:val="24"/>
          <w:highlight w:val="none"/>
        </w:rPr>
        <w:t>备表</w:t>
      </w:r>
    </w:p>
    <w:p>
      <w:pPr>
        <w:spacing w:line="19" w:lineRule="auto"/>
        <w:rPr>
          <w:rFonts w:hint="eastAsia" w:ascii="宋体" w:hAnsi="宋体" w:eastAsia="宋体" w:cs="宋体"/>
          <w:color w:val="auto"/>
          <w:sz w:val="2"/>
          <w:highlight w:val="none"/>
        </w:rPr>
      </w:pPr>
    </w:p>
    <w:tbl>
      <w:tblPr>
        <w:tblStyle w:val="9"/>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065"/>
        <w:gridCol w:w="672"/>
        <w:gridCol w:w="1022"/>
        <w:gridCol w:w="708"/>
        <w:gridCol w:w="708"/>
        <w:gridCol w:w="1175"/>
        <w:gridCol w:w="1660"/>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47" w:type="dxa"/>
            <w:vAlign w:val="top"/>
          </w:tcPr>
          <w:p>
            <w:pPr>
              <w:pStyle w:val="10"/>
              <w:spacing w:before="209" w:line="222" w:lineRule="auto"/>
              <w:ind w:left="117"/>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065" w:type="dxa"/>
            <w:vAlign w:val="top"/>
          </w:tcPr>
          <w:p>
            <w:pPr>
              <w:pStyle w:val="10"/>
              <w:spacing w:before="74" w:line="231" w:lineRule="auto"/>
              <w:ind w:left="118" w:right="108" w:hanging="1"/>
              <w:rPr>
                <w:rFonts w:hint="eastAsia" w:ascii="宋体" w:hAnsi="宋体" w:eastAsia="宋体" w:cs="宋体"/>
                <w:color w:val="auto"/>
                <w:highlight w:val="none"/>
              </w:rPr>
            </w:pPr>
            <w:r>
              <w:rPr>
                <w:rFonts w:hint="eastAsia" w:ascii="宋体" w:hAnsi="宋体" w:eastAsia="宋体" w:cs="宋体"/>
                <w:color w:val="auto"/>
                <w:spacing w:val="-2"/>
                <w:highlight w:val="none"/>
              </w:rPr>
              <w:t>仪器设备</w:t>
            </w:r>
            <w:r>
              <w:rPr>
                <w:rFonts w:hint="eastAsia" w:ascii="宋体" w:hAnsi="宋体" w:eastAsia="宋体" w:cs="宋体"/>
                <w:color w:val="auto"/>
                <w:highlight w:val="none"/>
              </w:rPr>
              <w:t xml:space="preserve"> </w:t>
            </w:r>
            <w:r>
              <w:rPr>
                <w:rFonts w:hint="eastAsia" w:ascii="宋体" w:hAnsi="宋体" w:eastAsia="宋体" w:cs="宋体"/>
                <w:color w:val="auto"/>
                <w:spacing w:val="-8"/>
                <w:highlight w:val="none"/>
              </w:rPr>
              <w:t>名</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8"/>
                <w:highlight w:val="none"/>
              </w:rPr>
              <w:t>称</w:t>
            </w:r>
          </w:p>
        </w:tc>
        <w:tc>
          <w:tcPr>
            <w:tcW w:w="672" w:type="dxa"/>
            <w:vAlign w:val="top"/>
          </w:tcPr>
          <w:p>
            <w:pPr>
              <w:pStyle w:val="10"/>
              <w:spacing w:before="76" w:line="229" w:lineRule="auto"/>
              <w:ind w:left="130" w:right="123" w:firstLine="5"/>
              <w:rPr>
                <w:rFonts w:hint="eastAsia" w:ascii="宋体" w:hAnsi="宋体" w:eastAsia="宋体" w:cs="宋体"/>
                <w:color w:val="auto"/>
                <w:highlight w:val="none"/>
              </w:rPr>
            </w:pPr>
            <w:r>
              <w:rPr>
                <w:rFonts w:hint="eastAsia" w:ascii="宋体" w:hAnsi="宋体" w:eastAsia="宋体" w:cs="宋体"/>
                <w:color w:val="auto"/>
                <w:spacing w:val="-7"/>
                <w:highlight w:val="none"/>
              </w:rPr>
              <w:t>型号</w:t>
            </w:r>
            <w:r>
              <w:rPr>
                <w:rFonts w:hint="eastAsia" w:ascii="宋体" w:hAnsi="宋体" w:eastAsia="宋体" w:cs="宋体"/>
                <w:color w:val="auto"/>
                <w:highlight w:val="none"/>
              </w:rPr>
              <w:t xml:space="preserve"> </w:t>
            </w:r>
            <w:r>
              <w:rPr>
                <w:rFonts w:hint="eastAsia" w:ascii="宋体" w:hAnsi="宋体" w:eastAsia="宋体" w:cs="宋体"/>
                <w:color w:val="auto"/>
                <w:spacing w:val="-4"/>
                <w:highlight w:val="none"/>
              </w:rPr>
              <w:t>规格</w:t>
            </w:r>
          </w:p>
        </w:tc>
        <w:tc>
          <w:tcPr>
            <w:tcW w:w="1022" w:type="dxa"/>
            <w:vAlign w:val="top"/>
          </w:tcPr>
          <w:p>
            <w:pPr>
              <w:pStyle w:val="10"/>
              <w:spacing w:before="209" w:line="221" w:lineRule="auto"/>
              <w:ind w:left="201"/>
              <w:rPr>
                <w:rFonts w:hint="eastAsia" w:ascii="宋体" w:hAnsi="宋体" w:eastAsia="宋体" w:cs="宋体"/>
                <w:color w:val="auto"/>
                <w:highlight w:val="none"/>
              </w:rPr>
            </w:pPr>
            <w:r>
              <w:rPr>
                <w:rFonts w:hint="eastAsia" w:ascii="宋体" w:hAnsi="宋体" w:eastAsia="宋体" w:cs="宋体"/>
                <w:color w:val="auto"/>
                <w:spacing w:val="-5"/>
                <w:highlight w:val="none"/>
              </w:rPr>
              <w:t>数</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5"/>
                <w:highlight w:val="none"/>
              </w:rPr>
              <w:t>量</w:t>
            </w:r>
          </w:p>
        </w:tc>
        <w:tc>
          <w:tcPr>
            <w:tcW w:w="708" w:type="dxa"/>
            <w:vAlign w:val="top"/>
          </w:tcPr>
          <w:p>
            <w:pPr>
              <w:pStyle w:val="10"/>
              <w:spacing w:before="76" w:line="229" w:lineRule="auto"/>
              <w:ind w:left="149" w:right="139" w:firstLine="20"/>
              <w:rPr>
                <w:rFonts w:hint="eastAsia" w:ascii="宋体" w:hAnsi="宋体" w:eastAsia="宋体" w:cs="宋体"/>
                <w:color w:val="auto"/>
                <w:highlight w:val="none"/>
              </w:rPr>
            </w:pPr>
            <w:r>
              <w:rPr>
                <w:rFonts w:hint="eastAsia" w:ascii="宋体" w:hAnsi="宋体" w:eastAsia="宋体" w:cs="宋体"/>
                <w:color w:val="auto"/>
                <w:spacing w:val="-14"/>
                <w:highlight w:val="none"/>
              </w:rPr>
              <w:t>国别</w:t>
            </w:r>
            <w:r>
              <w:rPr>
                <w:rFonts w:hint="eastAsia" w:ascii="宋体" w:hAnsi="宋体" w:eastAsia="宋体" w:cs="宋体"/>
                <w:color w:val="auto"/>
                <w:highlight w:val="none"/>
              </w:rPr>
              <w:t xml:space="preserve"> </w:t>
            </w:r>
            <w:r>
              <w:rPr>
                <w:rFonts w:hint="eastAsia" w:ascii="宋体" w:hAnsi="宋体" w:eastAsia="宋体" w:cs="宋体"/>
                <w:color w:val="auto"/>
                <w:spacing w:val="-3"/>
                <w:highlight w:val="none"/>
              </w:rPr>
              <w:t>产地</w:t>
            </w:r>
          </w:p>
        </w:tc>
        <w:tc>
          <w:tcPr>
            <w:tcW w:w="708" w:type="dxa"/>
            <w:vAlign w:val="top"/>
          </w:tcPr>
          <w:p>
            <w:pPr>
              <w:pStyle w:val="10"/>
              <w:spacing w:before="76" w:line="229" w:lineRule="auto"/>
              <w:ind w:left="150" w:right="139"/>
              <w:rPr>
                <w:rFonts w:hint="eastAsia" w:ascii="宋体" w:hAnsi="宋体" w:eastAsia="宋体" w:cs="宋体"/>
                <w:color w:val="auto"/>
                <w:highlight w:val="none"/>
              </w:rPr>
            </w:pPr>
            <w:r>
              <w:rPr>
                <w:rFonts w:hint="eastAsia" w:ascii="宋体" w:hAnsi="宋体" w:eastAsia="宋体" w:cs="宋体"/>
                <w:color w:val="auto"/>
                <w:spacing w:val="-4"/>
                <w:highlight w:val="none"/>
              </w:rPr>
              <w:t>制造</w:t>
            </w:r>
            <w:r>
              <w:rPr>
                <w:rFonts w:hint="eastAsia" w:ascii="宋体" w:hAnsi="宋体" w:eastAsia="宋体" w:cs="宋体"/>
                <w:color w:val="auto"/>
                <w:highlight w:val="none"/>
              </w:rPr>
              <w:t xml:space="preserve"> </w:t>
            </w:r>
            <w:r>
              <w:rPr>
                <w:rFonts w:hint="eastAsia" w:ascii="宋体" w:hAnsi="宋体" w:eastAsia="宋体" w:cs="宋体"/>
                <w:color w:val="auto"/>
                <w:spacing w:val="-4"/>
                <w:highlight w:val="none"/>
              </w:rPr>
              <w:t>年份</w:t>
            </w:r>
          </w:p>
        </w:tc>
        <w:tc>
          <w:tcPr>
            <w:tcW w:w="1175" w:type="dxa"/>
            <w:vAlign w:val="top"/>
          </w:tcPr>
          <w:p>
            <w:pPr>
              <w:pStyle w:val="10"/>
              <w:spacing w:before="76" w:line="229" w:lineRule="auto"/>
              <w:ind w:left="186" w:right="159" w:firstLine="13"/>
              <w:rPr>
                <w:rFonts w:hint="eastAsia" w:ascii="宋体" w:hAnsi="宋体" w:eastAsia="宋体" w:cs="宋体"/>
                <w:color w:val="auto"/>
                <w:highlight w:val="none"/>
              </w:rPr>
            </w:pPr>
            <w:r>
              <w:rPr>
                <w:rFonts w:hint="eastAsia" w:ascii="宋体" w:hAnsi="宋体" w:eastAsia="宋体" w:cs="宋体"/>
                <w:color w:val="auto"/>
                <w:spacing w:val="-8"/>
                <w:highlight w:val="none"/>
              </w:rPr>
              <w:t>已使用台</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13"/>
                <w:highlight w:val="none"/>
              </w:rPr>
              <w:t>时</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13"/>
                <w:highlight w:val="none"/>
              </w:rPr>
              <w:t>数</w:t>
            </w:r>
          </w:p>
        </w:tc>
        <w:tc>
          <w:tcPr>
            <w:tcW w:w="1660" w:type="dxa"/>
            <w:vAlign w:val="top"/>
          </w:tcPr>
          <w:p>
            <w:pPr>
              <w:pStyle w:val="10"/>
              <w:spacing w:before="209" w:line="222" w:lineRule="auto"/>
              <w:ind w:left="524"/>
              <w:rPr>
                <w:rFonts w:hint="eastAsia" w:ascii="宋体" w:hAnsi="宋体" w:eastAsia="宋体" w:cs="宋体"/>
                <w:color w:val="auto"/>
                <w:highlight w:val="none"/>
              </w:rPr>
            </w:pPr>
            <w:r>
              <w:rPr>
                <w:rFonts w:hint="eastAsia" w:ascii="宋体" w:hAnsi="宋体" w:eastAsia="宋体" w:cs="宋体"/>
                <w:color w:val="auto"/>
                <w:spacing w:val="-5"/>
                <w:highlight w:val="none"/>
              </w:rPr>
              <w:t>用</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5"/>
                <w:highlight w:val="none"/>
              </w:rPr>
              <w:t>途</w:t>
            </w:r>
          </w:p>
        </w:tc>
        <w:tc>
          <w:tcPr>
            <w:tcW w:w="854" w:type="dxa"/>
            <w:vAlign w:val="top"/>
          </w:tcPr>
          <w:p>
            <w:pPr>
              <w:pStyle w:val="10"/>
              <w:spacing w:before="209" w:line="222" w:lineRule="auto"/>
              <w:ind w:left="224"/>
              <w:rPr>
                <w:rFonts w:hint="eastAsia" w:ascii="宋体" w:hAnsi="宋体" w:eastAsia="宋体" w:cs="宋体"/>
                <w:color w:val="auto"/>
                <w:highlight w:val="none"/>
              </w:rPr>
            </w:pPr>
            <w:r>
              <w:rPr>
                <w:rFonts w:hint="eastAsia" w:ascii="宋体" w:hAnsi="宋体" w:eastAsia="宋体" w:cs="宋体"/>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7" w:type="dxa"/>
            <w:vAlign w:val="top"/>
          </w:tcPr>
          <w:p>
            <w:pPr>
              <w:rPr>
                <w:rFonts w:hint="eastAsia" w:ascii="宋体" w:hAnsi="宋体" w:eastAsia="宋体" w:cs="宋体"/>
                <w:color w:val="auto"/>
                <w:sz w:val="21"/>
                <w:highlight w:val="none"/>
              </w:rPr>
            </w:pPr>
          </w:p>
        </w:tc>
        <w:tc>
          <w:tcPr>
            <w:tcW w:w="1065" w:type="dxa"/>
            <w:vAlign w:val="top"/>
          </w:tcPr>
          <w:p>
            <w:pPr>
              <w:rPr>
                <w:rFonts w:hint="eastAsia" w:ascii="宋体" w:hAnsi="宋体" w:eastAsia="宋体" w:cs="宋体"/>
                <w:color w:val="auto"/>
                <w:sz w:val="21"/>
                <w:highlight w:val="none"/>
              </w:rPr>
            </w:pPr>
          </w:p>
        </w:tc>
        <w:tc>
          <w:tcPr>
            <w:tcW w:w="672" w:type="dxa"/>
            <w:vAlign w:val="top"/>
          </w:tcPr>
          <w:p>
            <w:pPr>
              <w:rPr>
                <w:rFonts w:hint="eastAsia" w:ascii="宋体" w:hAnsi="宋体" w:eastAsia="宋体" w:cs="宋体"/>
                <w:color w:val="auto"/>
                <w:sz w:val="21"/>
                <w:highlight w:val="none"/>
              </w:rPr>
            </w:pPr>
          </w:p>
        </w:tc>
        <w:tc>
          <w:tcPr>
            <w:tcW w:w="1022"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708" w:type="dxa"/>
            <w:vAlign w:val="top"/>
          </w:tcPr>
          <w:p>
            <w:pPr>
              <w:rPr>
                <w:rFonts w:hint="eastAsia" w:ascii="宋体" w:hAnsi="宋体" w:eastAsia="宋体" w:cs="宋体"/>
                <w:color w:val="auto"/>
                <w:sz w:val="21"/>
                <w:highlight w:val="none"/>
              </w:rPr>
            </w:pPr>
          </w:p>
        </w:tc>
        <w:tc>
          <w:tcPr>
            <w:tcW w:w="1175" w:type="dxa"/>
            <w:vAlign w:val="top"/>
          </w:tcPr>
          <w:p>
            <w:pPr>
              <w:rPr>
                <w:rFonts w:hint="eastAsia" w:ascii="宋体" w:hAnsi="宋体" w:eastAsia="宋体" w:cs="宋体"/>
                <w:color w:val="auto"/>
                <w:sz w:val="21"/>
                <w:highlight w:val="none"/>
              </w:rPr>
            </w:pPr>
          </w:p>
        </w:tc>
        <w:tc>
          <w:tcPr>
            <w:tcW w:w="1660" w:type="dxa"/>
            <w:vAlign w:val="top"/>
          </w:tcPr>
          <w:p>
            <w:pPr>
              <w:rPr>
                <w:rFonts w:hint="eastAsia" w:ascii="宋体" w:hAnsi="宋体" w:eastAsia="宋体" w:cs="宋体"/>
                <w:color w:val="auto"/>
                <w:sz w:val="21"/>
                <w:highlight w:val="none"/>
              </w:rPr>
            </w:pPr>
          </w:p>
        </w:tc>
        <w:tc>
          <w:tcPr>
            <w:tcW w:w="854" w:type="dxa"/>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64" w:type="default"/>
          <w:pgSz w:w="11905" w:h="16843"/>
          <w:pgMar w:top="1769" w:right="1548" w:bottom="1003" w:left="1542" w:header="0" w:footer="828" w:gutter="0"/>
          <w:pgNumType w:fmt="numberInDash"/>
          <w:cols w:space="0" w:num="1"/>
          <w:rtlGutter w:val="0"/>
          <w:docGrid w:linePitch="0" w:charSpace="0"/>
        </w:sectPr>
      </w:pPr>
    </w:p>
    <w:p>
      <w:pPr>
        <w:spacing w:before="78" w:line="219" w:lineRule="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附表三：劳动力计划表</w:t>
      </w:r>
    </w:p>
    <w:p>
      <w:pPr>
        <w:spacing w:before="155" w:line="221" w:lineRule="auto"/>
        <w:ind w:left="7320"/>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单位：</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26"/>
          <w:sz w:val="21"/>
          <w:szCs w:val="21"/>
          <w:highlight w:val="none"/>
        </w:rPr>
        <w:t>人</w:t>
      </w:r>
    </w:p>
    <w:p>
      <w:pPr>
        <w:spacing w:line="14" w:lineRule="exact"/>
        <w:rPr>
          <w:rFonts w:hint="eastAsia" w:ascii="宋体" w:hAnsi="宋体" w:eastAsia="宋体" w:cs="宋体"/>
          <w:color w:val="auto"/>
          <w:highlight w:val="none"/>
        </w:rPr>
      </w:pPr>
    </w:p>
    <w:tbl>
      <w:tblPr>
        <w:tblStyle w:val="9"/>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415"/>
        <w:gridCol w:w="1063"/>
        <w:gridCol w:w="1062"/>
        <w:gridCol w:w="1063"/>
        <w:gridCol w:w="1063"/>
        <w:gridCol w:w="1063"/>
        <w:gridCol w:w="1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15" w:type="dxa"/>
            <w:vAlign w:val="top"/>
          </w:tcPr>
          <w:p>
            <w:pPr>
              <w:pStyle w:val="10"/>
              <w:spacing w:before="209" w:line="221" w:lineRule="auto"/>
              <w:ind w:left="154"/>
              <w:rPr>
                <w:rFonts w:hint="eastAsia" w:ascii="宋体" w:hAnsi="宋体" w:eastAsia="宋体" w:cs="宋体"/>
                <w:color w:val="auto"/>
                <w:highlight w:val="none"/>
              </w:rPr>
            </w:pPr>
            <w:r>
              <w:rPr>
                <w:rFonts w:hint="eastAsia" w:ascii="宋体" w:hAnsi="宋体" w:eastAsia="宋体" w:cs="宋体"/>
                <w:color w:val="auto"/>
                <w:spacing w:val="-3"/>
                <w:highlight w:val="none"/>
              </w:rPr>
              <w:t>工种</w:t>
            </w:r>
          </w:p>
        </w:tc>
        <w:tc>
          <w:tcPr>
            <w:tcW w:w="7796" w:type="dxa"/>
            <w:gridSpan w:val="7"/>
            <w:vAlign w:val="top"/>
          </w:tcPr>
          <w:p>
            <w:pPr>
              <w:pStyle w:val="10"/>
              <w:spacing w:before="209" w:line="221" w:lineRule="auto"/>
              <w:ind w:left="2432"/>
              <w:rPr>
                <w:rFonts w:hint="eastAsia" w:ascii="宋体" w:hAnsi="宋体" w:eastAsia="宋体" w:cs="宋体"/>
                <w:color w:val="auto"/>
                <w:highlight w:val="none"/>
              </w:rPr>
            </w:pPr>
            <w:r>
              <w:rPr>
                <w:rFonts w:hint="eastAsia" w:ascii="宋体" w:hAnsi="宋体" w:eastAsia="宋体" w:cs="宋体"/>
                <w:color w:val="auto"/>
                <w:spacing w:val="-1"/>
                <w:highlight w:val="none"/>
              </w:rPr>
              <w:t>按工程施工阶段投入劳动力情况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15" w:type="dxa"/>
            <w:vAlign w:val="top"/>
          </w:tcPr>
          <w:p>
            <w:pPr>
              <w:rPr>
                <w:rFonts w:hint="eastAsia" w:ascii="宋体" w:hAnsi="宋体" w:eastAsia="宋体" w:cs="宋体"/>
                <w:color w:val="auto"/>
                <w:sz w:val="21"/>
                <w:highlight w:val="none"/>
              </w:rPr>
            </w:pPr>
          </w:p>
        </w:tc>
        <w:tc>
          <w:tcPr>
            <w:tcW w:w="1415"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2"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3" w:type="dxa"/>
            <w:vAlign w:val="top"/>
          </w:tcPr>
          <w:p>
            <w:pPr>
              <w:rPr>
                <w:rFonts w:hint="eastAsia" w:ascii="宋体" w:hAnsi="宋体" w:eastAsia="宋体" w:cs="宋体"/>
                <w:color w:val="auto"/>
                <w:sz w:val="21"/>
                <w:highlight w:val="none"/>
              </w:rPr>
            </w:pPr>
          </w:p>
        </w:tc>
        <w:tc>
          <w:tcPr>
            <w:tcW w:w="1067" w:type="dxa"/>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65" w:type="default"/>
          <w:pgSz w:w="11905" w:h="16843"/>
          <w:pgMar w:top="1769" w:right="1548" w:bottom="1003" w:left="1542" w:header="0" w:footer="828" w:gutter="0"/>
          <w:pgNumType w:fmt="numberInDash"/>
          <w:cols w:space="0" w:num="1"/>
          <w:rtlGutter w:val="0"/>
          <w:docGrid w:linePitch="0" w:charSpace="0"/>
        </w:sectPr>
      </w:pPr>
    </w:p>
    <w:p>
      <w:pPr>
        <w:spacing w:before="78" w:line="218" w:lineRule="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附表四：计划开、竣工日期和施工进度网络图</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leftChars="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1．投标人应递交施工进度网络图或施工进度表，说明按招标文件要求的计划工期进行施工的各个关键日期。</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leftChars="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2．施工进度表可采用网络图和（或） 横道图表示。</w:t>
      </w:r>
    </w:p>
    <w:p>
      <w:pPr>
        <w:spacing w:line="220" w:lineRule="auto"/>
        <w:rPr>
          <w:rFonts w:hint="eastAsia" w:ascii="宋体" w:hAnsi="宋体" w:eastAsia="宋体" w:cs="宋体"/>
          <w:color w:val="auto"/>
          <w:sz w:val="21"/>
          <w:szCs w:val="21"/>
          <w:highlight w:val="none"/>
        </w:rPr>
        <w:sectPr>
          <w:footerReference r:id="rId166" w:type="default"/>
          <w:pgSz w:w="11905" w:h="16843"/>
          <w:pgMar w:top="1769" w:right="1548" w:bottom="1003" w:left="1542" w:header="0" w:footer="828" w:gutter="0"/>
          <w:pgNumType w:fmt="numberInDash"/>
          <w:cols w:space="0" w:num="1"/>
          <w:rtlGutter w:val="0"/>
          <w:docGrid w:linePitch="0" w:charSpace="0"/>
        </w:sectPr>
      </w:pPr>
    </w:p>
    <w:p>
      <w:pPr>
        <w:spacing w:before="78" w:line="220" w:lineRule="auto"/>
        <w:ind w:left="1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附表五：施工总平面图</w:t>
      </w:r>
    </w:p>
    <w:p>
      <w:pPr>
        <w:keepNext w:val="0"/>
        <w:keepLines w:val="0"/>
        <w:pageBreakBefore w:val="0"/>
        <w:widowControl/>
        <w:kinsoku w:val="0"/>
        <w:wordWrap/>
        <w:overflowPunct/>
        <w:topLinePunct w:val="0"/>
        <w:autoSpaceDE w:val="0"/>
        <w:autoSpaceDN w:val="0"/>
        <w:bidi w:val="0"/>
        <w:adjustRightInd w:val="0"/>
        <w:snapToGrid w:val="0"/>
        <w:spacing w:before="0" w:beforeLines="50" w:line="360" w:lineRule="auto"/>
        <w:ind w:left="0" w:leftChars="0" w:right="0" w:firstLine="436" w:firstLineChars="200"/>
        <w:jc w:val="both"/>
        <w:textAlignment w:val="baseline"/>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投标人应递交一份施工总平面图， 绘出现场临时设施布置图表并附文字说明， 说明临时设施、加工车间、现场办公、设备及仓储、供电、供水、卫生、生活、道路、消防等设施的情况和布置。</w:t>
      </w:r>
    </w:p>
    <w:p>
      <w:pPr>
        <w:spacing w:line="219" w:lineRule="auto"/>
        <w:rPr>
          <w:rFonts w:hint="eastAsia" w:ascii="宋体" w:hAnsi="宋体" w:eastAsia="宋体" w:cs="宋体"/>
          <w:color w:val="auto"/>
          <w:sz w:val="21"/>
          <w:szCs w:val="21"/>
          <w:highlight w:val="none"/>
        </w:rPr>
        <w:sectPr>
          <w:footerReference r:id="rId167" w:type="default"/>
          <w:pgSz w:w="11905" w:h="16843"/>
          <w:pgMar w:top="1769" w:right="1548" w:bottom="1003" w:left="1542" w:header="0" w:footer="828" w:gutter="0"/>
          <w:pgNumType w:fmt="numberInDash"/>
          <w:cols w:space="0" w:num="1"/>
          <w:rtlGutter w:val="0"/>
          <w:docGrid w:linePitch="0" w:charSpace="0"/>
        </w:sectPr>
      </w:pPr>
    </w:p>
    <w:p>
      <w:pPr>
        <w:spacing w:before="78" w:line="220" w:lineRule="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附表六：临时用地表</w:t>
      </w:r>
    </w:p>
    <w:tbl>
      <w:tblPr>
        <w:tblStyle w:val="9"/>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2077"/>
        <w:gridCol w:w="2080"/>
        <w:gridCol w:w="2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272" w:type="dxa"/>
            <w:vAlign w:val="top"/>
          </w:tcPr>
          <w:p>
            <w:pPr>
              <w:pStyle w:val="10"/>
              <w:spacing w:before="99" w:line="222" w:lineRule="auto"/>
              <w:ind w:left="828"/>
              <w:rPr>
                <w:rFonts w:hint="eastAsia" w:ascii="宋体" w:hAnsi="宋体" w:eastAsia="宋体" w:cs="宋体"/>
                <w:color w:val="auto"/>
                <w:highlight w:val="none"/>
              </w:rPr>
            </w:pPr>
            <w:r>
              <w:rPr>
                <w:rFonts w:hint="eastAsia" w:ascii="宋体" w:hAnsi="宋体" w:eastAsia="宋体" w:cs="宋体"/>
                <w:color w:val="auto"/>
                <w:spacing w:val="-5"/>
                <w:highlight w:val="none"/>
              </w:rPr>
              <w:t>用</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5"/>
                <w:highlight w:val="none"/>
              </w:rPr>
              <w:t>途</w:t>
            </w:r>
          </w:p>
        </w:tc>
        <w:tc>
          <w:tcPr>
            <w:tcW w:w="2077" w:type="dxa"/>
            <w:vAlign w:val="top"/>
          </w:tcPr>
          <w:p>
            <w:pPr>
              <w:pStyle w:val="10"/>
              <w:spacing w:before="98" w:line="221" w:lineRule="auto"/>
              <w:ind w:left="257"/>
              <w:rPr>
                <w:rFonts w:hint="eastAsia" w:ascii="宋体" w:hAnsi="宋体" w:eastAsia="宋体" w:cs="宋体"/>
                <w:color w:val="auto"/>
                <w:highlight w:val="none"/>
              </w:rPr>
            </w:pPr>
            <w:r>
              <w:rPr>
                <w:rFonts w:hint="eastAsia" w:ascii="宋体" w:hAnsi="宋体" w:eastAsia="宋体" w:cs="宋体"/>
                <w:color w:val="auto"/>
                <w:spacing w:val="-1"/>
                <w:highlight w:val="none"/>
              </w:rPr>
              <w:t>面 积（平方米）</w:t>
            </w:r>
          </w:p>
        </w:tc>
        <w:tc>
          <w:tcPr>
            <w:tcW w:w="2080" w:type="dxa"/>
            <w:vAlign w:val="top"/>
          </w:tcPr>
          <w:p>
            <w:pPr>
              <w:pStyle w:val="10"/>
              <w:spacing w:before="99" w:line="222" w:lineRule="auto"/>
              <w:ind w:left="728"/>
              <w:rPr>
                <w:rFonts w:hint="eastAsia" w:ascii="宋体" w:hAnsi="宋体" w:eastAsia="宋体" w:cs="宋体"/>
                <w:color w:val="auto"/>
                <w:highlight w:val="none"/>
              </w:rPr>
            </w:pPr>
            <w:r>
              <w:rPr>
                <w:rFonts w:hint="eastAsia" w:ascii="宋体" w:hAnsi="宋体" w:eastAsia="宋体" w:cs="宋体"/>
                <w:color w:val="auto"/>
                <w:spacing w:val="-4"/>
                <w:highlight w:val="none"/>
              </w:rPr>
              <w:t>位</w:t>
            </w:r>
            <w:r>
              <w:rPr>
                <w:rFonts w:hint="eastAsia" w:ascii="宋体" w:hAnsi="宋体" w:eastAsia="宋体" w:cs="宋体"/>
                <w:color w:val="auto"/>
                <w:spacing w:val="3"/>
                <w:highlight w:val="none"/>
              </w:rPr>
              <w:t xml:space="preserve">  </w:t>
            </w:r>
            <w:r>
              <w:rPr>
                <w:rFonts w:hint="eastAsia" w:ascii="宋体" w:hAnsi="宋体" w:eastAsia="宋体" w:cs="宋体"/>
                <w:color w:val="auto"/>
                <w:spacing w:val="-4"/>
                <w:highlight w:val="none"/>
              </w:rPr>
              <w:t>置</w:t>
            </w:r>
          </w:p>
        </w:tc>
        <w:tc>
          <w:tcPr>
            <w:tcW w:w="2082" w:type="dxa"/>
            <w:vAlign w:val="top"/>
          </w:tcPr>
          <w:p>
            <w:pPr>
              <w:pStyle w:val="10"/>
              <w:spacing w:before="99" w:line="221" w:lineRule="auto"/>
              <w:ind w:left="637"/>
              <w:rPr>
                <w:rFonts w:hint="eastAsia" w:ascii="宋体" w:hAnsi="宋体" w:eastAsia="宋体" w:cs="宋体"/>
                <w:color w:val="auto"/>
                <w:highlight w:val="none"/>
              </w:rPr>
            </w:pPr>
            <w:r>
              <w:rPr>
                <w:rFonts w:hint="eastAsia" w:ascii="宋体" w:hAnsi="宋体" w:eastAsia="宋体" w:cs="宋体"/>
                <w:color w:val="auto"/>
                <w:spacing w:val="-5"/>
                <w:highlight w:val="none"/>
              </w:rPr>
              <w:t>需用时间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Borders>
              <w:bottom w:val="single" w:color="000000" w:sz="4" w:space="0"/>
            </w:tcBorders>
            <w:vAlign w:val="top"/>
          </w:tcPr>
          <w:p>
            <w:pPr>
              <w:rPr>
                <w:rFonts w:hint="eastAsia" w:ascii="宋体" w:hAnsi="宋体" w:eastAsia="宋体" w:cs="宋体"/>
                <w:color w:val="auto"/>
                <w:sz w:val="21"/>
                <w:highlight w:val="none"/>
              </w:rPr>
            </w:pPr>
          </w:p>
        </w:tc>
        <w:tc>
          <w:tcPr>
            <w:tcW w:w="2077" w:type="dxa"/>
            <w:tcBorders>
              <w:bottom w:val="single" w:color="000000" w:sz="4" w:space="0"/>
            </w:tcBorders>
            <w:vAlign w:val="top"/>
          </w:tcPr>
          <w:p>
            <w:pPr>
              <w:rPr>
                <w:rFonts w:hint="eastAsia" w:ascii="宋体" w:hAnsi="宋体" w:eastAsia="宋体" w:cs="宋体"/>
                <w:color w:val="auto"/>
                <w:sz w:val="21"/>
                <w:highlight w:val="none"/>
              </w:rPr>
            </w:pPr>
          </w:p>
        </w:tc>
        <w:tc>
          <w:tcPr>
            <w:tcW w:w="2080" w:type="dxa"/>
            <w:tcBorders>
              <w:bottom w:val="single" w:color="000000" w:sz="4" w:space="0"/>
            </w:tcBorders>
            <w:vAlign w:val="top"/>
          </w:tcPr>
          <w:p>
            <w:pPr>
              <w:rPr>
                <w:rFonts w:hint="eastAsia" w:ascii="宋体" w:hAnsi="宋体" w:eastAsia="宋体" w:cs="宋体"/>
                <w:color w:val="auto"/>
                <w:sz w:val="21"/>
                <w:highlight w:val="none"/>
              </w:rPr>
            </w:pPr>
          </w:p>
        </w:tc>
        <w:tc>
          <w:tcPr>
            <w:tcW w:w="2082" w:type="dxa"/>
            <w:tcBorders>
              <w:bottom w:val="single" w:color="000000" w:sz="4"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272" w:type="dxa"/>
            <w:tcBorders>
              <w:top w:val="single" w:color="000000" w:sz="4" w:space="0"/>
            </w:tcBorders>
            <w:vAlign w:val="top"/>
          </w:tcPr>
          <w:p>
            <w:pPr>
              <w:rPr>
                <w:rFonts w:hint="eastAsia" w:ascii="宋体" w:hAnsi="宋体" w:eastAsia="宋体" w:cs="宋体"/>
                <w:color w:val="auto"/>
                <w:sz w:val="21"/>
                <w:highlight w:val="none"/>
              </w:rPr>
            </w:pPr>
          </w:p>
        </w:tc>
        <w:tc>
          <w:tcPr>
            <w:tcW w:w="2077" w:type="dxa"/>
            <w:tcBorders>
              <w:top w:val="single" w:color="000000" w:sz="4" w:space="0"/>
            </w:tcBorders>
            <w:vAlign w:val="top"/>
          </w:tcPr>
          <w:p>
            <w:pPr>
              <w:rPr>
                <w:rFonts w:hint="eastAsia" w:ascii="宋体" w:hAnsi="宋体" w:eastAsia="宋体" w:cs="宋体"/>
                <w:color w:val="auto"/>
                <w:sz w:val="21"/>
                <w:highlight w:val="none"/>
              </w:rPr>
            </w:pPr>
          </w:p>
        </w:tc>
        <w:tc>
          <w:tcPr>
            <w:tcW w:w="2080" w:type="dxa"/>
            <w:tcBorders>
              <w:top w:val="single" w:color="000000" w:sz="4" w:space="0"/>
            </w:tcBorders>
            <w:vAlign w:val="top"/>
          </w:tcPr>
          <w:p>
            <w:pPr>
              <w:rPr>
                <w:rFonts w:hint="eastAsia" w:ascii="宋体" w:hAnsi="宋体" w:eastAsia="宋体" w:cs="宋体"/>
                <w:color w:val="auto"/>
                <w:sz w:val="21"/>
                <w:highlight w:val="none"/>
              </w:rPr>
            </w:pPr>
          </w:p>
        </w:tc>
        <w:tc>
          <w:tcPr>
            <w:tcW w:w="2082" w:type="dxa"/>
            <w:tcBorders>
              <w:top w:val="single" w:color="000000" w:sz="4" w:space="0"/>
            </w:tcBorders>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272" w:type="dxa"/>
            <w:vAlign w:val="top"/>
          </w:tcPr>
          <w:p>
            <w:pPr>
              <w:rPr>
                <w:rFonts w:hint="eastAsia" w:ascii="宋体" w:hAnsi="宋体" w:eastAsia="宋体" w:cs="宋体"/>
                <w:color w:val="auto"/>
                <w:sz w:val="21"/>
                <w:highlight w:val="none"/>
              </w:rPr>
            </w:pPr>
          </w:p>
        </w:tc>
        <w:tc>
          <w:tcPr>
            <w:tcW w:w="2077" w:type="dxa"/>
            <w:vAlign w:val="top"/>
          </w:tcPr>
          <w:p>
            <w:pPr>
              <w:rPr>
                <w:rFonts w:hint="eastAsia" w:ascii="宋体" w:hAnsi="宋体" w:eastAsia="宋体" w:cs="宋体"/>
                <w:color w:val="auto"/>
                <w:sz w:val="21"/>
                <w:highlight w:val="none"/>
              </w:rPr>
            </w:pPr>
          </w:p>
        </w:tc>
        <w:tc>
          <w:tcPr>
            <w:tcW w:w="2080" w:type="dxa"/>
            <w:vAlign w:val="top"/>
          </w:tcPr>
          <w:p>
            <w:pPr>
              <w:rPr>
                <w:rFonts w:hint="eastAsia" w:ascii="宋体" w:hAnsi="宋体" w:eastAsia="宋体" w:cs="宋体"/>
                <w:color w:val="auto"/>
                <w:sz w:val="21"/>
                <w:highlight w:val="none"/>
              </w:rPr>
            </w:pPr>
          </w:p>
        </w:tc>
        <w:tc>
          <w:tcPr>
            <w:tcW w:w="2082" w:type="dxa"/>
            <w:vAlign w:val="top"/>
          </w:tcPr>
          <w:p>
            <w:pPr>
              <w:rPr>
                <w:rFonts w:hint="eastAsia" w:ascii="宋体" w:hAnsi="宋体" w:eastAsia="宋体" w:cs="宋体"/>
                <w:color w:val="auto"/>
                <w:sz w:val="21"/>
                <w:highlight w:val="none"/>
              </w:rPr>
            </w:pPr>
          </w:p>
        </w:tc>
      </w:tr>
    </w:tbl>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sectPr>
          <w:footerReference r:id="rId168" w:type="default"/>
          <w:pgSz w:w="11905" w:h="16843"/>
          <w:pgMar w:top="1769" w:right="1548" w:bottom="1003" w:left="1542" w:header="0" w:footer="828" w:gutter="0"/>
          <w:pgNumType w:fmt="numberInDash"/>
          <w:cols w:space="0" w:num="1"/>
          <w:rtlGutter w:val="0"/>
          <w:docGrid w:linePitch="0" w:charSpace="0"/>
        </w:sect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pStyle w:val="2"/>
        <w:spacing w:line="241" w:lineRule="auto"/>
        <w:rPr>
          <w:rFonts w:hint="eastAsia" w:ascii="宋体" w:hAnsi="宋体" w:eastAsia="宋体" w:cs="宋体"/>
          <w:color w:val="auto"/>
          <w:highlight w:val="none"/>
        </w:rPr>
      </w:pPr>
    </w:p>
    <w:p>
      <w:pPr>
        <w:spacing w:before="91" w:line="219" w:lineRule="auto"/>
        <w:ind w:left="3312"/>
        <w:rPr>
          <w:rFonts w:hint="eastAsia" w:ascii="宋体" w:hAnsi="宋体" w:eastAsia="宋体" w:cs="宋体"/>
          <w:color w:val="auto"/>
          <w:sz w:val="28"/>
          <w:szCs w:val="28"/>
          <w:highlight w:val="none"/>
        </w:rPr>
      </w:pPr>
      <w:r>
        <w:rPr>
          <w:rFonts w:hint="eastAsia" w:ascii="宋体" w:hAnsi="宋体" w:eastAsia="宋体" w:cs="宋体"/>
          <w:color w:val="auto"/>
          <w:spacing w:val="-2"/>
          <w:sz w:val="28"/>
          <w:szCs w:val="28"/>
          <w:highlight w:val="none"/>
        </w:rPr>
        <w:t>十</w:t>
      </w:r>
      <w:r>
        <w:rPr>
          <w:rFonts w:hint="eastAsia" w:ascii="宋体" w:hAnsi="宋体" w:eastAsia="宋体" w:cs="宋体"/>
          <w:color w:val="auto"/>
          <w:spacing w:val="-2"/>
          <w:sz w:val="28"/>
          <w:szCs w:val="28"/>
          <w:highlight w:val="none"/>
          <w:lang w:eastAsia="zh-CN"/>
        </w:rPr>
        <w:t>一</w:t>
      </w:r>
      <w:r>
        <w:rPr>
          <w:rFonts w:hint="eastAsia" w:ascii="宋体" w:hAnsi="宋体" w:eastAsia="宋体" w:cs="宋体"/>
          <w:color w:val="auto"/>
          <w:spacing w:val="-2"/>
          <w:sz w:val="28"/>
          <w:szCs w:val="28"/>
          <w:highlight w:val="none"/>
        </w:rPr>
        <w:t>、其他资料</w:t>
      </w: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p>
      <w:pPr>
        <w:spacing w:before="91" w:line="219" w:lineRule="auto"/>
        <w:ind w:left="3312"/>
        <w:rPr>
          <w:rFonts w:hint="eastAsia" w:ascii="黑体" w:hAnsi="黑体" w:eastAsia="黑体" w:cs="黑体"/>
          <w:color w:val="auto"/>
          <w:sz w:val="28"/>
          <w:szCs w:val="28"/>
          <w:highlight w:val="none"/>
          <w:lang w:val="en-US" w:eastAsia="zh-CN"/>
        </w:rPr>
      </w:pPr>
    </w:p>
    <w:sectPr>
      <w:footerReference r:id="rId169" w:type="default"/>
      <w:pgSz w:w="11905" w:h="16843"/>
      <w:pgMar w:top="1769" w:right="1548" w:bottom="1003" w:left="1542" w:header="0" w:footer="828" w:gutter="0"/>
      <w:pgNumType w:fmt="numberInDash"/>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25"/>
      <w:rPr>
        <w:rFonts w:hint="default" w:ascii="Times New Roman" w:hAnsi="Times New Roman" w:eastAsia="宋体" w:cs="Times New Roman"/>
        <w:sz w:val="18"/>
        <w:szCs w:val="18"/>
        <w:lang w:val="en-US"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7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jS9w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Y0vc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f1UA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y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39VA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4"/>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6hma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oZmi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Yo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iiw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6"/>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kPF8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e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JDxf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5"/>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cL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Vpwv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VmOM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lZjj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pBn8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ykGf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72"/>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zoPQ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6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s6D0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coo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f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cXKK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N7BY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zewW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013c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PTXd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6"/>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Se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SEn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2"/>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m5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ipuV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2"/>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2BQk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DYFC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57V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e1X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Fc8s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kVzy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pwr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oYlmCiW//Ph+&#10;+fn78usbiYeQqLZ+jsidRWxo3pkGjTOcexxG5k3hVPyCE4EfYOerwKIJhMdLs8lslsLF4Rs2wE+e&#10;rlvnw3thFIlGRh0q2ArLTlsfutAhJGbTZlNJ2VZRalJn9Gb6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KcKy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lVwu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jlA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J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45Q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9"/>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rEMw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6xDM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SK60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a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0iut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17"/>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utTE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byj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rUx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17"/>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sZ08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1OZ5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rGdP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17"/>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Q+dM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EPnT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fEY0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UXjNFEp++fH9&#10;8vP35dc3Eg8hUW39HJE7i9jQvDMNGmc49ziMzJvCqfgFJwI/BD5fBRZNIDxemk1msxQuDt+wAX7y&#10;dN06H94Lo0g0MupQwVZYdtr60IUOITGbNptKyraKUpM6ozfT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3xGN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35"/>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jjxE0AgAAZQQAAA4AAABkcnMvZTJvRG9jLnhtbK1UzY7TMBC+I/EO&#10;lu80aStW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Y48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0"/>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Qpds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NDFMo+Sn799O&#10;P36dfn4l6RASNS7MEPngEBvbt7ZF4wznAYeJeVt5nb7gROAH2PEisGgj4enSdDKd5nBx+IYN8LPH&#10;686H+E5YTZJRUI8KdsKywybEPnQISdmMXUuluioqQ5qCXl+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0KXb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sO0c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e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bDtH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u6T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1hB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7pO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Sd6U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Enel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rTMQ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ytMx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X0lg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fSW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VACY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XU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VQAm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nro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meuj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48"/>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mdu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Cm+YRslP37+d&#10;fvw6/fxK0iEkalyYIfLBITa2b22LxhnOAw4T87byOn3BicAPgY8XgUUbCU+XppPpNIeLwzdsgJ89&#10;Xnc+xHfCapKMgnpUsBOWHTYh9qFDSMpm7Foq1VVRGdIU9PrqT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Jnbk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a6Hg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Zroe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2WQE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Q9lkBMQIAAGU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0i38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It/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NsB4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w2wHj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500"/>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xLoI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sS6C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17"/>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z/Pw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cTi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c/z8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9"/>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PYmA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89iY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18"/>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98"/>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8FK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bwUoj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35"/>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aLL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oYlmCiW//Ph+&#10;+fn78usbiYeQqLZ+jsidRWxo3pkGjTOcexxG5k3hVPyCE4EfYOerwKIJhMdLs8lslsLF4Rs2wE+e&#10;rlvnw3thFIlGRh0q2ArLTlsfutAhJGbTZlNJ2VZRalJndHrz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miy1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98"/>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4msik0AgAAZQQAAA4AAABkcnMvZTJvRG9jLnhtbK1UzY7TMBC+I/EO&#10;lu80aVdU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b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rIp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135"/>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kYFc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5GBX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Y/ss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WP7L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hxa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YcWq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dWzY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Mby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3Vs2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fiUg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H4lI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jF9Q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oxfU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4"/>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QYRY0AgAAZQQAAA4AAABkcnMvZTJvRG9jLnhtbK1UzY7TMBC+I/EO&#10;lu80aVdU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Q0GEW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80G8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NDFMo+Sn799O&#10;P36dfn4l6RASNS7MEPngEBvbt7ZF4wznAYeJeVt5nb7gROAH2PEisGgj4enSdDKd5nBx+IYN8LPH&#10;686H+E5YTZJRUI8KdsKywybEPnQISdmMXUuluioqQ5qCXl+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vNBv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ATvM0AgAAZQQAAA4AAABkcnMvZTJvRG9jLnhtbK1UzY7TMBC+I/EO&#10;lu80aVcs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qd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AE7z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CnI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sKcj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hE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fgI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HOXA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2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kc5c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7p+w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un7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17"/>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5dZI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OXWS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49"/>
      <w:rPr>
        <w:rFonts w:ascii="仿宋" w:hAnsi="仿宋" w:eastAsia="仿宋" w:cs="仿宋"/>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2"/>
      <w:rPr>
        <w:rFonts w:ascii="仿宋" w:hAnsi="仿宋" w:eastAsia="仿宋" w:cs="仿宋"/>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59"/>
      <w:rPr>
        <w:rFonts w:ascii="仿宋" w:hAnsi="仿宋" w:eastAsia="仿宋" w:cs="仿宋"/>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4"/>
      <w:rPr>
        <w:rFonts w:ascii="仿宋" w:hAnsi="仿宋" w:eastAsia="仿宋" w:cs="仿宋"/>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576"/>
      <w:rPr>
        <w:rFonts w:ascii="仿宋" w:hAnsi="仿宋" w:eastAsia="仿宋" w:cs="仿宋"/>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6"/>
      <w:rPr>
        <w:rFonts w:ascii="仿宋" w:hAnsi="仿宋" w:eastAsia="仿宋" w:cs="仿宋"/>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8"/>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6"/>
      <w:rPr>
        <w:rFonts w:ascii="仿宋" w:hAnsi="仿宋" w:eastAsia="仿宋" w:cs="仿宋"/>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648"/>
      <w:rPr>
        <w:rFonts w:ascii="仿宋" w:hAnsi="仿宋" w:eastAsia="仿宋" w:cs="仿宋"/>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82"/>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53"/>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24"/>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95"/>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943"/>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63"/>
      <w:rPr>
        <w:rFonts w:ascii="仿宋" w:hAnsi="仿宋" w:eastAsia="仿宋" w:cs="仿宋"/>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336"/>
      <w:rPr>
        <w:rFonts w:ascii="仿宋" w:hAnsi="仿宋" w:eastAsia="仿宋" w:cs="仿宋"/>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81"/>
      <w:rPr>
        <w:rFonts w:ascii="仿宋" w:hAnsi="仿宋" w:eastAsia="仿宋" w:cs="仿宋"/>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7"/>
      <w:rPr>
        <w:rFonts w:ascii="仿宋" w:hAnsi="仿宋" w:eastAsia="仿宋" w:cs="仿宋"/>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94"/>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6"/>
      <w:rPr>
        <w:rFonts w:ascii="仿宋" w:hAnsi="仿宋" w:eastAsia="仿宋" w:cs="仿宋"/>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E3m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N5i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38"/>
      <w:rPr>
        <w:rFonts w:ascii="仿宋" w:hAnsi="仿宋" w:eastAsia="仿宋" w:cs="仿宋"/>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9"/>
      <w:rPr>
        <w:rFonts w:ascii="仿宋" w:hAnsi="仿宋" w:eastAsia="仿宋" w:cs="仿宋"/>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7"/>
      <w:rPr>
        <w:rFonts w:ascii="仿宋" w:hAnsi="仿宋" w:eastAsia="仿宋" w:cs="仿宋"/>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66"/>
      <w:rPr>
        <w:rFonts w:ascii="仿宋" w:hAnsi="仿宋" w:eastAsia="仿宋" w:cs="仿宋"/>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5"/>
      <w:rPr>
        <w:rFonts w:ascii="仿宋" w:hAnsi="仿宋" w:eastAsia="仿宋" w:cs="仿宋"/>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3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18"/>
      <w:rPr>
        <w:rFonts w:ascii="仿宋" w:hAnsi="仿宋" w:eastAsia="仿宋" w:cs="仿宋"/>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77"/>
      <w:rPr>
        <w:rFonts w:ascii="仿宋" w:hAnsi="仿宋" w:eastAsia="仿宋" w:cs="仿宋"/>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802"/>
      <w:rPr>
        <w:rFonts w:ascii="仿宋" w:hAnsi="仿宋" w:eastAsia="仿宋" w:cs="仿宋"/>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802"/>
      <w:rPr>
        <w:rFonts w:ascii="仿宋" w:hAnsi="仿宋" w:eastAsia="仿宋" w:cs="仿宋"/>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TQs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E0LJ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W5zQ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luc0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a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p5qD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5"/>
      <w:rPr>
        <w:rFonts w:ascii="仿宋" w:hAnsi="仿宋" w:eastAsia="仿宋" w:cs="仿宋"/>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oq9Y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6KvW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46"/>
      <w:rPr>
        <w:rFonts w:ascii="仿宋" w:hAnsi="仿宋" w:eastAsia="仿宋" w:cs="仿宋"/>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UNUo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1Q1Sj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46"/>
      <w:rPr>
        <w:rFonts w:ascii="仿宋" w:hAnsi="仿宋" w:eastAsia="仿宋" w:cs="仿宋"/>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122"/>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4PS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4PSM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6"/>
      <w:rPr>
        <w:rFonts w:ascii="仿宋" w:hAnsi="仿宋" w:eastAsia="仿宋" w:cs="仿宋"/>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8"/>
      <w:rPr>
        <w:rFonts w:ascii="仿宋" w:hAnsi="仿宋" w:eastAsia="仿宋" w:cs="仿宋"/>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4"/>
      <w:rPr>
        <w:rFonts w:ascii="仿宋" w:hAnsi="仿宋" w:eastAsia="仿宋" w:cs="仿宋"/>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- 181 -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- 181 -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557"/>
      <w:rPr>
        <w:rFonts w:ascii="仿宋" w:hAnsi="仿宋" w:eastAsia="仿宋" w:cs="仿宋"/>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740"/>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799"/>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Es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BLG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0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7++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f5hB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O/vk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Xh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T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vl4Z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8"/>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AEv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5v3q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wBL7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zZDk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qb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s2Q5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P+qU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7D/ql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83DEB"/>
    <w:multiLevelType w:val="singleLevel"/>
    <w:tmpl w:val="94983DEB"/>
    <w:lvl w:ilvl="0" w:tentative="0">
      <w:start w:val="1"/>
      <w:numFmt w:val="decimal"/>
      <w:suff w:val="space"/>
      <w:lvlText w:val="%1．"/>
      <w:lvlJc w:val="left"/>
    </w:lvl>
  </w:abstractNum>
  <w:abstractNum w:abstractNumId="1">
    <w:nsid w:val="AA2D7D18"/>
    <w:multiLevelType w:val="singleLevel"/>
    <w:tmpl w:val="AA2D7D18"/>
    <w:lvl w:ilvl="0" w:tentative="0">
      <w:start w:val="1"/>
      <w:numFmt w:val="decimal"/>
      <w:suff w:val="space"/>
      <w:lvlText w:val="%1."/>
      <w:lvlJc w:val="left"/>
    </w:lvl>
  </w:abstractNum>
  <w:abstractNum w:abstractNumId="2">
    <w:nsid w:val="ECA537C4"/>
    <w:multiLevelType w:val="singleLevel"/>
    <w:tmpl w:val="ECA537C4"/>
    <w:lvl w:ilvl="0" w:tentative="0">
      <w:start w:val="1"/>
      <w:numFmt w:val="decimal"/>
      <w:suff w:val="nothing"/>
      <w:lvlText w:val="%1、"/>
      <w:lvlJc w:val="left"/>
    </w:lvl>
  </w:abstractNum>
  <w:abstractNum w:abstractNumId="3">
    <w:nsid w:val="F7387F0A"/>
    <w:multiLevelType w:val="singleLevel"/>
    <w:tmpl w:val="F7387F0A"/>
    <w:lvl w:ilvl="0" w:tentative="0">
      <w:start w:val="3"/>
      <w:numFmt w:val="chineseCounting"/>
      <w:suff w:val="nothing"/>
      <w:lvlText w:val="%1、"/>
      <w:lvlJc w:val="left"/>
      <w:rPr>
        <w:rFonts w:hint="eastAsia"/>
      </w:rPr>
    </w:lvl>
  </w:abstractNum>
  <w:abstractNum w:abstractNumId="4">
    <w:nsid w:val="47431B37"/>
    <w:multiLevelType w:val="singleLevel"/>
    <w:tmpl w:val="47431B37"/>
    <w:lvl w:ilvl="0" w:tentative="0">
      <w:start w:val="1"/>
      <w:numFmt w:val="decimal"/>
      <w:suff w:val="nothing"/>
      <w:lvlText w:val="%1、"/>
      <w:lvlJc w:val="left"/>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WIzYjM1YzM5MTQ1NjE3NjkzYTYyYmMyZjk1YjNmMDYifQ=="/>
    <w:docVar w:name="KSO_WPS_MARK_KEY" w:val="60577a03-49e5-4ac7-92eb-e614cbabc0e9"/>
  </w:docVars>
  <w:rsids>
    <w:rsidRoot w:val="00000000"/>
    <w:rsid w:val="0366773D"/>
    <w:rsid w:val="06D40797"/>
    <w:rsid w:val="07B455C5"/>
    <w:rsid w:val="08760957"/>
    <w:rsid w:val="08AE1063"/>
    <w:rsid w:val="09872FD6"/>
    <w:rsid w:val="0BE0558A"/>
    <w:rsid w:val="0D1E48D9"/>
    <w:rsid w:val="0EC7363A"/>
    <w:rsid w:val="0FE523C5"/>
    <w:rsid w:val="10540E6E"/>
    <w:rsid w:val="10F17004"/>
    <w:rsid w:val="11BC27A1"/>
    <w:rsid w:val="12F60936"/>
    <w:rsid w:val="14377DE4"/>
    <w:rsid w:val="1585667E"/>
    <w:rsid w:val="19516FA3"/>
    <w:rsid w:val="196A1C72"/>
    <w:rsid w:val="1A1F6D0C"/>
    <w:rsid w:val="1A963378"/>
    <w:rsid w:val="1F737902"/>
    <w:rsid w:val="2143220D"/>
    <w:rsid w:val="22611142"/>
    <w:rsid w:val="28441BA8"/>
    <w:rsid w:val="285D43C8"/>
    <w:rsid w:val="28DB391A"/>
    <w:rsid w:val="2A3876D2"/>
    <w:rsid w:val="2A9036A3"/>
    <w:rsid w:val="2B716931"/>
    <w:rsid w:val="2D58403D"/>
    <w:rsid w:val="2D775D20"/>
    <w:rsid w:val="2D9A74B7"/>
    <w:rsid w:val="310A4378"/>
    <w:rsid w:val="32676A97"/>
    <w:rsid w:val="36361534"/>
    <w:rsid w:val="36FC360D"/>
    <w:rsid w:val="37A3262F"/>
    <w:rsid w:val="37C16FFA"/>
    <w:rsid w:val="3949339B"/>
    <w:rsid w:val="3C405F23"/>
    <w:rsid w:val="3E750D14"/>
    <w:rsid w:val="3FB11B66"/>
    <w:rsid w:val="3FCB2675"/>
    <w:rsid w:val="40BE641C"/>
    <w:rsid w:val="40C9686A"/>
    <w:rsid w:val="448466CD"/>
    <w:rsid w:val="45094044"/>
    <w:rsid w:val="4AA748D4"/>
    <w:rsid w:val="4AA77F21"/>
    <w:rsid w:val="4AFC109A"/>
    <w:rsid w:val="4BAB2B2B"/>
    <w:rsid w:val="4E573C1C"/>
    <w:rsid w:val="4F1D2EA8"/>
    <w:rsid w:val="4F20647E"/>
    <w:rsid w:val="4FF35147"/>
    <w:rsid w:val="510D4856"/>
    <w:rsid w:val="515E4B4E"/>
    <w:rsid w:val="56A9637A"/>
    <w:rsid w:val="58405511"/>
    <w:rsid w:val="585954DB"/>
    <w:rsid w:val="5AFB557B"/>
    <w:rsid w:val="5B4D4A03"/>
    <w:rsid w:val="5C7F2852"/>
    <w:rsid w:val="5D495C2B"/>
    <w:rsid w:val="5D7824AF"/>
    <w:rsid w:val="5DAA7FFC"/>
    <w:rsid w:val="5DAC30AD"/>
    <w:rsid w:val="5E766DBA"/>
    <w:rsid w:val="5FB012FB"/>
    <w:rsid w:val="60E344DC"/>
    <w:rsid w:val="61700C15"/>
    <w:rsid w:val="64DA0850"/>
    <w:rsid w:val="65D142EC"/>
    <w:rsid w:val="669B2BD8"/>
    <w:rsid w:val="6832163E"/>
    <w:rsid w:val="686B65DA"/>
    <w:rsid w:val="690A1854"/>
    <w:rsid w:val="69834101"/>
    <w:rsid w:val="69A04EB6"/>
    <w:rsid w:val="6B092BF0"/>
    <w:rsid w:val="6C636D2C"/>
    <w:rsid w:val="6D1B5580"/>
    <w:rsid w:val="6D5835D1"/>
    <w:rsid w:val="6D604548"/>
    <w:rsid w:val="700C1FEC"/>
    <w:rsid w:val="71437544"/>
    <w:rsid w:val="748C53BC"/>
    <w:rsid w:val="773F7AF0"/>
    <w:rsid w:val="77FB460B"/>
    <w:rsid w:val="786D6D22"/>
    <w:rsid w:val="7A4E24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Arial" w:hAnsi="Arial" w:eastAsia="Arial" w:cs="Arial"/>
      <w:sz w:val="21"/>
      <w:szCs w:val="21"/>
      <w:lang w:val="en-US" w:eastAsia="en-US" w:bidi="ar-SA"/>
    </w:rPr>
  </w:style>
  <w:style w:type="paragraph" w:styleId="3">
    <w:name w:val="annotation text"/>
    <w:basedOn w:val="1"/>
    <w:qFormat/>
    <w:uiPriority w:val="0"/>
    <w:pPr>
      <w:jc w:val="left"/>
    </w:pPr>
  </w:style>
  <w:style w:type="paragraph" w:styleId="4">
    <w:name w:val="Body Text Indent 2"/>
    <w:basedOn w:val="1"/>
    <w:qFormat/>
    <w:uiPriority w:val="0"/>
    <w:pPr>
      <w:spacing w:after="120" w:afterLines="0" w:line="480" w:lineRule="auto"/>
      <w:ind w:left="420" w:leftChars="200"/>
    </w:pPr>
    <w:rPr>
      <w:rFonts w:ascii="Times New Roman" w:hAnsi="Times New Roman"/>
      <w:kern w:val="2"/>
      <w:sz w:val="21"/>
      <w:szCs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1"/>
      <w:szCs w:val="21"/>
      <w:lang w:val="en-US" w:eastAsia="en-US" w:bidi="ar-SA"/>
    </w:rPr>
  </w:style>
  <w:style w:type="character" w:customStyle="1" w:styleId="11">
    <w:name w:val="font51"/>
    <w:basedOn w:val="8"/>
    <w:qFormat/>
    <w:uiPriority w:val="0"/>
    <w:rPr>
      <w:rFonts w:hint="eastAsia" w:ascii="宋体" w:hAnsi="宋体" w:eastAsia="宋体" w:cs="宋体"/>
      <w:color w:val="000000"/>
      <w:sz w:val="24"/>
      <w:szCs w:val="24"/>
      <w:u w:val="none"/>
      <w:vertAlign w:val="superscript"/>
    </w:rPr>
  </w:style>
  <w:style w:type="character" w:customStyle="1" w:styleId="12">
    <w:name w:val="font61"/>
    <w:basedOn w:val="8"/>
    <w:qFormat/>
    <w:uiPriority w:val="0"/>
    <w:rPr>
      <w:rFonts w:hint="eastAsia" w:ascii="宋体" w:hAnsi="宋体" w:eastAsia="宋体" w:cs="宋体"/>
      <w:color w:val="FF0000"/>
      <w:sz w:val="24"/>
      <w:szCs w:val="24"/>
      <w:u w:val="none"/>
      <w:vertAlign w:val="superscript"/>
    </w:rPr>
  </w:style>
  <w:style w:type="character" w:customStyle="1" w:styleId="13">
    <w:name w:val="font71"/>
    <w:basedOn w:val="8"/>
    <w:qFormat/>
    <w:uiPriority w:val="0"/>
    <w:rPr>
      <w:rFonts w:hint="default" w:ascii="Times New Roman" w:hAnsi="Times New Roman" w:cs="Times New Roman"/>
      <w:color w:val="000000"/>
      <w:sz w:val="24"/>
      <w:szCs w:val="24"/>
      <w:u w:val="none"/>
      <w:vertAlign w:val="superscript"/>
    </w:rPr>
  </w:style>
  <w:style w:type="character" w:customStyle="1" w:styleId="14">
    <w:name w:val="font41"/>
    <w:basedOn w:val="8"/>
    <w:qFormat/>
    <w:uiPriority w:val="0"/>
    <w:rPr>
      <w:rFonts w:hint="default" w:ascii="Times New Roman" w:hAnsi="Times New Roman" w:cs="Times New Roman"/>
      <w:color w:val="000000"/>
      <w:sz w:val="24"/>
      <w:szCs w:val="24"/>
      <w:u w:val="none"/>
    </w:rPr>
  </w:style>
  <w:style w:type="character" w:customStyle="1" w:styleId="15">
    <w:name w:val="font01"/>
    <w:basedOn w:val="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5.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3.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2.xml"/><Relationship Id="rId59" Type="http://schemas.openxmlformats.org/officeDocument/2006/relationships/header" Target="header1.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6" Type="http://schemas.openxmlformats.org/officeDocument/2006/relationships/fontTable" Target="fontTable.xml"/><Relationship Id="rId175" Type="http://schemas.openxmlformats.org/officeDocument/2006/relationships/numbering" Target="numbering.xml"/><Relationship Id="rId174" Type="http://schemas.openxmlformats.org/officeDocument/2006/relationships/customXml" Target="../customXml/item1.xml"/><Relationship Id="rId173" Type="http://schemas.openxmlformats.org/officeDocument/2006/relationships/image" Target="media/image3.png"/><Relationship Id="rId172" Type="http://schemas.openxmlformats.org/officeDocument/2006/relationships/image" Target="media/image2.jpeg"/><Relationship Id="rId171" Type="http://schemas.openxmlformats.org/officeDocument/2006/relationships/image" Target="media/image1.png"/><Relationship Id="rId170" Type="http://schemas.openxmlformats.org/officeDocument/2006/relationships/theme" Target="theme/theme1.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1.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10.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9.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8.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7.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31"/>
    <customShpInfo spid="_x0000_s1032"/>
    <customShpInfo spid="_x0000_s1033"/>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290</Pages>
  <Words>129391</Words>
  <Characters>138468</Characters>
  <TotalTime>70</TotalTime>
  <ScaleCrop>false</ScaleCrop>
  <LinksUpToDate>false</LinksUpToDate>
  <CharactersWithSpaces>158642</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2023-11-21T15:41:00Z</dcterms:created>
  <dc:creator>微软用户</dc:creator>
  <cp:lastModifiedBy>于朝晖</cp:lastModifiedBy>
  <cp:lastPrinted>2024-05-28T08:08:00Z</cp:lastPrinted>
  <dcterms:modified xsi:type="dcterms:W3CDTF">2024-05-31T14:36:01Z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2023-12-01T17:54:13Z</vt:filetime>
  </property>
  <property fmtid="{D5CDD505-2E9C-101B-9397-08002B2CF9AE}" pid="4" name="KSOProductBuildVer">
    <vt:lpwstr>2052-11.1.0.14309</vt:lpwstr>
  </property>
  <property fmtid="{D5CDD505-2E9C-101B-9397-08002B2CF9AE}" pid="5" name="ICV">
    <vt:lpwstr>A5219653AE78424C9A688124F3B4ECDE_13</vt:lpwstr>
  </property>
</Properties>
</file>