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bookmarkStart w:id="0" w:name="EB6b76363171624fdb85a678cc78a350d3"/>
      <w:bookmarkEnd w:id="0"/>
      <w:bookmarkStart w:id="1" w:name="EB6eb5aff867f840fba3e2b725f87e3bab"/>
      <w:bookmarkEnd w:id="1"/>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sz w:val="27"/>
          <w:szCs w:val="27"/>
          <w:highlight w:val="none"/>
          <w:u w:val="single"/>
        </w:rPr>
      </w:pP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w:t>
      </w:r>
      <w:r>
        <w:rPr>
          <w:rFonts w:hint="eastAsia" w:ascii="仿宋_GB2312" w:eastAsia="仿宋_GB2312"/>
          <w:sz w:val="27"/>
          <w:szCs w:val="27"/>
          <w:highlight w:val="none"/>
        </w:rPr>
        <w:t>项目名称</w:t>
      </w:r>
      <w:r>
        <w:rPr>
          <w:rFonts w:hint="eastAsia" w:ascii="黑体" w:eastAsia="黑体"/>
          <w:sz w:val="27"/>
          <w:szCs w:val="27"/>
          <w:highlight w:val="none"/>
        </w:rPr>
        <w:t>）</w:t>
      </w: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盖州市2024年大中型水库移民后期扶持规划项目（水利工程）施工</w:t>
      </w:r>
      <w:r>
        <w:rPr>
          <w:rFonts w:hint="eastAsia" w:ascii="黑体" w:eastAsia="黑体"/>
          <w:sz w:val="27"/>
          <w:szCs w:val="27"/>
          <w:highlight w:val="none"/>
          <w:lang w:eastAsia="zh-CN"/>
        </w:rPr>
        <w:t>五</w:t>
      </w:r>
      <w:r>
        <w:rPr>
          <w:rFonts w:hint="eastAsia" w:ascii="黑体" w:eastAsia="黑体"/>
          <w:sz w:val="27"/>
          <w:szCs w:val="27"/>
          <w:highlight w:val="none"/>
        </w:rPr>
        <w:t>标段（</w:t>
      </w:r>
      <w:r>
        <w:rPr>
          <w:rFonts w:hint="eastAsia" w:ascii="仿宋_GB2312" w:eastAsia="仿宋_GB2312"/>
          <w:sz w:val="27"/>
          <w:szCs w:val="27"/>
          <w:highlight w:val="none"/>
        </w:rPr>
        <w:t>标段名称</w:t>
      </w:r>
      <w:r>
        <w:rPr>
          <w:rFonts w:hint="eastAsia" w:ascii="黑体" w:eastAsia="黑体"/>
          <w:sz w:val="27"/>
          <w:szCs w:val="27"/>
          <w:highlight w:val="none"/>
        </w:rPr>
        <w:t xml:space="preserve">） </w:t>
      </w:r>
    </w:p>
    <w:p>
      <w:pPr>
        <w:spacing w:line="400" w:lineRule="exact"/>
        <w:rPr>
          <w:sz w:val="27"/>
          <w:szCs w:val="27"/>
          <w:highlight w:val="none"/>
        </w:rPr>
      </w:pPr>
    </w:p>
    <w:p>
      <w:pPr>
        <w:spacing w:line="400" w:lineRule="exact"/>
        <w:rPr>
          <w:sz w:val="27"/>
          <w:szCs w:val="27"/>
          <w:highlight w:val="none"/>
        </w:rPr>
      </w:pPr>
    </w:p>
    <w:p>
      <w:pPr>
        <w:spacing w:line="400" w:lineRule="exact"/>
        <w:jc w:val="center"/>
        <w:rPr>
          <w:rFonts w:ascii="黑体" w:eastAsia="黑体"/>
          <w:sz w:val="42"/>
          <w:szCs w:val="42"/>
          <w:highlight w:val="none"/>
        </w:rPr>
      </w:pPr>
      <w:r>
        <w:rPr>
          <w:rFonts w:hint="eastAsia" w:ascii="黑体" w:eastAsia="黑体"/>
          <w:sz w:val="42"/>
          <w:szCs w:val="42"/>
          <w:highlight w:val="none"/>
        </w:rPr>
        <w:t>招 标 文 件</w:t>
      </w: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(合同编号:</w:t>
      </w:r>
      <w:r>
        <w:rPr>
          <w:rFonts w:hint="eastAsia" w:ascii="黑体" w:eastAsia="黑体"/>
          <w:sz w:val="27"/>
          <w:szCs w:val="27"/>
          <w:highlight w:val="none"/>
          <w:lang w:val="en-US" w:eastAsia="zh-CN"/>
        </w:rPr>
        <w:t xml:space="preserve">                    </w:t>
      </w:r>
      <w:r>
        <w:rPr>
          <w:rFonts w:hint="eastAsia" w:ascii="黑体" w:eastAsia="黑体"/>
          <w:sz w:val="27"/>
          <w:szCs w:val="27"/>
          <w:highlight w:val="none"/>
        </w:rPr>
        <w:t>)</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r>
        <w:rPr>
          <w:sz w:val="20"/>
          <w:szCs w:val="20"/>
          <w:highlight w:val="none"/>
        </w:rPr>
        <w:t xml:space="preserve"> </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招标人：盖州市水利事务中心（盖单位章）</w:t>
      </w:r>
    </w:p>
    <w:p>
      <w:pPr>
        <w:spacing w:line="400" w:lineRule="exact"/>
        <w:jc w:val="center"/>
        <w:rPr>
          <w:rFonts w:ascii="黑体" w:eastAsia="黑体"/>
          <w:sz w:val="27"/>
          <w:szCs w:val="27"/>
          <w:highlight w:val="none"/>
        </w:rPr>
      </w:pPr>
      <w:r>
        <w:rPr>
          <w:rFonts w:hint="eastAsia" w:ascii="黑体" w:eastAsia="黑体"/>
          <w:sz w:val="27"/>
          <w:szCs w:val="27"/>
          <w:highlight w:val="none"/>
        </w:rPr>
        <w:t>2024年</w:t>
      </w:r>
      <w:r>
        <w:rPr>
          <w:rFonts w:hint="eastAsia" w:ascii="黑体" w:eastAsia="黑体"/>
          <w:sz w:val="27"/>
          <w:szCs w:val="27"/>
          <w:highlight w:val="none"/>
          <w:lang w:val="en-US" w:eastAsia="zh-CN"/>
        </w:rPr>
        <w:t>4</w:t>
      </w:r>
      <w:r>
        <w:rPr>
          <w:rFonts w:hint="eastAsia" w:ascii="黑体" w:eastAsia="黑体"/>
          <w:sz w:val="27"/>
          <w:szCs w:val="27"/>
          <w:highlight w:val="none"/>
        </w:rPr>
        <w:t>月</w:t>
      </w:r>
      <w:r>
        <w:rPr>
          <w:rFonts w:hint="eastAsia" w:ascii="黑体" w:eastAsia="黑体"/>
          <w:sz w:val="27"/>
          <w:szCs w:val="27"/>
          <w:highlight w:val="none"/>
          <w:lang w:val="en-US" w:eastAsia="zh-CN"/>
        </w:rPr>
        <w:t>16</w:t>
      </w:r>
      <w:r>
        <w:rPr>
          <w:rFonts w:hint="eastAsia" w:ascii="黑体" w:eastAsia="黑体"/>
          <w:sz w:val="27"/>
          <w:szCs w:val="27"/>
          <w:highlight w:val="none"/>
        </w:rPr>
        <w:t>日</w:t>
      </w:r>
    </w:p>
    <w:p>
      <w:pPr>
        <w:spacing w:line="400" w:lineRule="exact"/>
        <w:ind w:firstLine="2025" w:firstLineChars="750"/>
        <w:rPr>
          <w:rFonts w:ascii="黑体" w:eastAsia="黑体"/>
          <w:color w:val="000000"/>
          <w:sz w:val="27"/>
          <w:szCs w:val="27"/>
          <w:highlight w:val="none"/>
        </w:rPr>
      </w:pPr>
    </w:p>
    <w:p>
      <w:pPr>
        <w:spacing w:line="400" w:lineRule="exact"/>
        <w:ind w:firstLine="2025" w:firstLineChars="750"/>
        <w:rPr>
          <w:rFonts w:ascii="黑体" w:eastAsia="黑体"/>
          <w:color w:val="000000"/>
          <w:sz w:val="27"/>
          <w:szCs w:val="27"/>
          <w:highlight w:val="none"/>
        </w:rPr>
      </w:pPr>
    </w:p>
    <w:p>
      <w:pPr>
        <w:pStyle w:val="26"/>
        <w:tabs>
          <w:tab w:val="left" w:pos="3990"/>
          <w:tab w:val="center" w:pos="4535"/>
        </w:tabs>
        <w:spacing w:line="400" w:lineRule="exact"/>
        <w:rPr>
          <w:color w:val="000000"/>
          <w:sz w:val="23"/>
          <w:szCs w:val="23"/>
          <w:highlight w:val="none"/>
        </w:rPr>
      </w:pPr>
      <w:r>
        <w:rPr>
          <w:color w:val="000000"/>
          <w:sz w:val="23"/>
          <w:szCs w:val="23"/>
          <w:highlight w:val="none"/>
        </w:rPr>
        <w:tab/>
      </w:r>
    </w:p>
    <w:p>
      <w:pPr>
        <w:rPr>
          <w:highlight w:val="none"/>
        </w:rPr>
      </w:pPr>
      <w:bookmarkStart w:id="2" w:name="EB2deba7ff2b58457faaf5bdb472763dc0"/>
      <w:bookmarkEnd w:id="2"/>
    </w:p>
    <w:p>
      <w:pPr>
        <w:pStyle w:val="3"/>
        <w:spacing w:before="120" w:after="120" w:line="400" w:lineRule="exact"/>
        <w:jc w:val="center"/>
        <w:rPr>
          <w:highlight w:val="none"/>
        </w:rPr>
      </w:pPr>
      <w:r>
        <w:rPr>
          <w:highlight w:val="none"/>
        </w:rPr>
        <w:br w:type="page"/>
      </w:r>
      <w:bookmarkStart w:id="3" w:name="_Toc30140"/>
      <w:r>
        <w:rPr>
          <w:rFonts w:hint="eastAsia" w:ascii="黑体" w:hAnsi="黑体" w:eastAsia="黑体"/>
          <w:b w:val="0"/>
          <w:bCs w:val="0"/>
          <w:color w:val="000000"/>
          <w:sz w:val="31"/>
          <w:szCs w:val="31"/>
          <w:highlight w:val="none"/>
        </w:rPr>
        <w:t>目录</w:t>
      </w:r>
      <w:bookmarkEnd w:id="3"/>
    </w:p>
    <w:p>
      <w:pPr>
        <w:pStyle w:val="26"/>
        <w:tabs>
          <w:tab w:val="right" w:leader="dot" w:pos="8382"/>
        </w:tabs>
      </w:pPr>
      <w:r>
        <w:rPr>
          <w:highlight w:val="none"/>
        </w:rPr>
        <w:fldChar w:fldCharType="begin"/>
      </w:r>
      <w:r>
        <w:rPr>
          <w:highlight w:val="none"/>
        </w:rPr>
        <w:instrText xml:space="preserve"> </w:instrText>
      </w:r>
      <w:r>
        <w:rPr>
          <w:rFonts w:hint="eastAsia"/>
          <w:highlight w:val="none"/>
        </w:rPr>
        <w:instrText xml:space="preserve">TOC \o "1-3" \h \z \u</w:instrText>
      </w:r>
      <w:r>
        <w:rPr>
          <w:highlight w:val="none"/>
        </w:rPr>
        <w:instrText xml:space="preserve"> </w:instrText>
      </w:r>
      <w:r>
        <w:rPr>
          <w:highlight w:val="none"/>
        </w:rPr>
        <w:fldChar w:fldCharType="separate"/>
      </w:r>
      <w:r>
        <w:rPr>
          <w:highlight w:val="none"/>
        </w:rPr>
        <w:fldChar w:fldCharType="begin"/>
      </w:r>
      <w:r>
        <w:rPr>
          <w:highlight w:val="none"/>
        </w:rPr>
        <w:instrText xml:space="preserve"> HYPERLINK \l _Toc30140 </w:instrText>
      </w:r>
      <w:r>
        <w:rPr>
          <w:highlight w:val="none"/>
        </w:rPr>
        <w:fldChar w:fldCharType="separate"/>
      </w:r>
      <w:r>
        <w:rPr>
          <w:rFonts w:hint="eastAsia" w:ascii="黑体" w:hAnsi="黑体" w:eastAsia="黑体"/>
          <w:bCs w:val="0"/>
          <w:szCs w:val="31"/>
          <w:highlight w:val="none"/>
        </w:rPr>
        <w:t>目录</w:t>
      </w:r>
      <w:r>
        <w:tab/>
      </w:r>
      <w:r>
        <w:fldChar w:fldCharType="begin"/>
      </w:r>
      <w:r>
        <w:instrText xml:space="preserve"> PAGEREF _Toc30140 \h </w:instrText>
      </w:r>
      <w:r>
        <w:fldChar w:fldCharType="separate"/>
      </w:r>
      <w:r>
        <w:t>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_Toc15787 </w:instrText>
      </w:r>
      <w:r>
        <w:rPr>
          <w:highlight w:val="none"/>
        </w:rPr>
        <w:fldChar w:fldCharType="separate"/>
      </w:r>
      <w:r>
        <w:rPr>
          <w:rFonts w:hint="eastAsia" w:ascii="宋体" w:hAnsi="宋体"/>
          <w:bCs w:val="0"/>
          <w:szCs w:val="31"/>
          <w:highlight w:val="none"/>
        </w:rPr>
        <w:t>第 一 卷</w:t>
      </w:r>
      <w:r>
        <w:tab/>
      </w:r>
      <w:r>
        <w:fldChar w:fldCharType="begin"/>
      </w:r>
      <w:r>
        <w:instrText xml:space="preserve"> PAGEREF _Toc15787 \h </w:instrText>
      </w:r>
      <w:r>
        <w:fldChar w:fldCharType="separate"/>
      </w:r>
      <w:r>
        <w:t>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_Toc2941 </w:instrText>
      </w:r>
      <w:r>
        <w:rPr>
          <w:highlight w:val="none"/>
        </w:rPr>
        <w:fldChar w:fldCharType="separate"/>
      </w:r>
      <w:r>
        <w:rPr>
          <w:rFonts w:hint="default" w:ascii="黑体" w:hAnsi="黑体" w:eastAsia="黑体"/>
          <w:bCs w:val="0"/>
          <w:szCs w:val="31"/>
        </w:rPr>
        <w:t xml:space="preserve">第一章 </w:t>
      </w:r>
      <w:r>
        <w:rPr>
          <w:rFonts w:hint="eastAsia" w:ascii="黑体" w:hAnsi="黑体" w:eastAsia="黑体"/>
          <w:bCs w:val="0"/>
          <w:szCs w:val="31"/>
          <w:highlight w:val="none"/>
        </w:rPr>
        <w:t>招标公告（适用于未进行资格预审）</w:t>
      </w:r>
      <w:r>
        <w:tab/>
      </w:r>
      <w:r>
        <w:fldChar w:fldCharType="begin"/>
      </w:r>
      <w:r>
        <w:instrText xml:space="preserve"> PAGEREF _Toc2941 \h </w:instrText>
      </w:r>
      <w:r>
        <w:fldChar w:fldCharType="separate"/>
      </w:r>
      <w:r>
        <w:t>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_Toc21270 </w:instrText>
      </w:r>
      <w:r>
        <w:rPr>
          <w:highlight w:val="none"/>
        </w:rPr>
        <w:fldChar w:fldCharType="separate"/>
      </w:r>
      <w:r>
        <w:rPr>
          <w:rFonts w:hint="eastAsia" w:ascii="黑体" w:hAnsi="黑体" w:eastAsia="黑体"/>
          <w:bCs w:val="0"/>
          <w:szCs w:val="31"/>
          <w:highlight w:val="none"/>
        </w:rPr>
        <w:t>第二章 投标人须知</w:t>
      </w:r>
      <w:r>
        <w:tab/>
      </w:r>
      <w:r>
        <w:fldChar w:fldCharType="begin"/>
      </w:r>
      <w:r>
        <w:instrText xml:space="preserve"> PAGEREF _Toc21270 \h </w:instrText>
      </w:r>
      <w:r>
        <w:fldChar w:fldCharType="separate"/>
      </w:r>
      <w:r>
        <w:t>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_Toc17225 </w:instrText>
      </w:r>
      <w:r>
        <w:rPr>
          <w:highlight w:val="none"/>
        </w:rPr>
        <w:fldChar w:fldCharType="separate"/>
      </w:r>
      <w:r>
        <w:rPr>
          <w:rFonts w:hint="eastAsia"/>
          <w:szCs w:val="27"/>
          <w:highlight w:val="none"/>
        </w:rPr>
        <w:t>1. 总则</w:t>
      </w:r>
      <w:r>
        <w:tab/>
      </w:r>
      <w:r>
        <w:fldChar w:fldCharType="begin"/>
      </w:r>
      <w:r>
        <w:instrText xml:space="preserve"> PAGEREF _Toc17225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_Toc20265 </w:instrText>
      </w:r>
      <w:r>
        <w:rPr>
          <w:highlight w:val="none"/>
        </w:rPr>
        <w:fldChar w:fldCharType="separate"/>
      </w:r>
      <w:r>
        <w:rPr>
          <w:rFonts w:hint="eastAsia"/>
          <w:szCs w:val="27"/>
          <w:highlight w:val="none"/>
        </w:rPr>
        <w:t>2. 招标文件</w:t>
      </w:r>
      <w:r>
        <w:tab/>
      </w:r>
      <w:r>
        <w:fldChar w:fldCharType="begin"/>
      </w:r>
      <w:r>
        <w:instrText xml:space="preserve"> PAGEREF _Toc20265 \h </w:instrText>
      </w:r>
      <w:r>
        <w:fldChar w:fldCharType="separate"/>
      </w:r>
      <w:r>
        <w:t>17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_Toc16852 </w:instrText>
      </w:r>
      <w:r>
        <w:rPr>
          <w:highlight w:val="none"/>
        </w:rPr>
        <w:fldChar w:fldCharType="separate"/>
      </w:r>
      <w:r>
        <w:rPr>
          <w:rFonts w:hint="eastAsia"/>
          <w:szCs w:val="27"/>
          <w:highlight w:val="none"/>
        </w:rPr>
        <w:t>3. 投标文件</w:t>
      </w:r>
      <w:r>
        <w:tab/>
      </w:r>
      <w:r>
        <w:fldChar w:fldCharType="begin"/>
      </w:r>
      <w:r>
        <w:instrText xml:space="preserve"> PAGEREF _Toc16852 \h </w:instrText>
      </w:r>
      <w:r>
        <w:fldChar w:fldCharType="separate"/>
      </w:r>
      <w:r>
        <w:t>17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_Toc25570 </w:instrText>
      </w:r>
      <w:r>
        <w:rPr>
          <w:highlight w:val="none"/>
        </w:rPr>
        <w:fldChar w:fldCharType="separate"/>
      </w:r>
      <w:r>
        <w:rPr>
          <w:rFonts w:hint="eastAsia"/>
          <w:szCs w:val="27"/>
          <w:highlight w:val="none"/>
        </w:rPr>
        <w:t>4. 投标</w:t>
      </w:r>
      <w:r>
        <w:tab/>
      </w:r>
      <w:r>
        <w:fldChar w:fldCharType="begin"/>
      </w:r>
      <w:r>
        <w:instrText xml:space="preserve"> PAGEREF _Toc25570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_Toc6325 </w:instrText>
      </w:r>
      <w:r>
        <w:rPr>
          <w:highlight w:val="none"/>
        </w:rPr>
        <w:fldChar w:fldCharType="separate"/>
      </w:r>
      <w:r>
        <w:rPr>
          <w:rFonts w:hint="eastAsia"/>
          <w:szCs w:val="27"/>
          <w:highlight w:val="none"/>
        </w:rPr>
        <w:t>5. 开标</w:t>
      </w:r>
      <w:r>
        <w:tab/>
      </w:r>
      <w:r>
        <w:fldChar w:fldCharType="begin"/>
      </w:r>
      <w:r>
        <w:instrText xml:space="preserve"> PAGEREF _Toc6325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_Toc19890 </w:instrText>
      </w:r>
      <w:r>
        <w:rPr>
          <w:highlight w:val="none"/>
        </w:rPr>
        <w:fldChar w:fldCharType="separate"/>
      </w:r>
      <w:r>
        <w:rPr>
          <w:rFonts w:hint="eastAsia"/>
          <w:szCs w:val="27"/>
          <w:highlight w:val="none"/>
        </w:rPr>
        <w:t>6. 评标</w:t>
      </w:r>
      <w:r>
        <w:tab/>
      </w:r>
      <w:r>
        <w:fldChar w:fldCharType="begin"/>
      </w:r>
      <w:r>
        <w:instrText xml:space="preserve"> PAGEREF _Toc19890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_Toc1804 </w:instrText>
      </w:r>
      <w:r>
        <w:rPr>
          <w:highlight w:val="none"/>
        </w:rPr>
        <w:fldChar w:fldCharType="separate"/>
      </w:r>
      <w:r>
        <w:rPr>
          <w:rFonts w:hint="eastAsia"/>
          <w:szCs w:val="27"/>
          <w:highlight w:val="none"/>
        </w:rPr>
        <w:t>7. 合同授予</w:t>
      </w:r>
      <w:r>
        <w:tab/>
      </w:r>
      <w:r>
        <w:fldChar w:fldCharType="begin"/>
      </w:r>
      <w:r>
        <w:instrText xml:space="preserve"> PAGEREF _Toc1804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_Toc6650 </w:instrText>
      </w:r>
      <w:r>
        <w:rPr>
          <w:highlight w:val="none"/>
        </w:rPr>
        <w:fldChar w:fldCharType="separate"/>
      </w:r>
      <w:r>
        <w:rPr>
          <w:rFonts w:hint="eastAsia"/>
          <w:szCs w:val="27"/>
          <w:highlight w:val="none"/>
        </w:rPr>
        <w:t>8. 重新招标或经批准不招标</w:t>
      </w:r>
      <w:r>
        <w:tab/>
      </w:r>
      <w:r>
        <w:fldChar w:fldCharType="begin"/>
      </w:r>
      <w:r>
        <w:instrText xml:space="preserve"> PAGEREF _Toc6650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_Toc3179 </w:instrText>
      </w:r>
      <w:r>
        <w:rPr>
          <w:highlight w:val="none"/>
        </w:rPr>
        <w:fldChar w:fldCharType="separate"/>
      </w:r>
      <w:r>
        <w:rPr>
          <w:rFonts w:hint="eastAsia"/>
          <w:szCs w:val="27"/>
          <w:highlight w:val="none"/>
        </w:rPr>
        <w:t>9. 纪律和监督</w:t>
      </w:r>
      <w:r>
        <w:tab/>
      </w:r>
      <w:r>
        <w:fldChar w:fldCharType="begin"/>
      </w:r>
      <w:r>
        <w:instrText xml:space="preserve"> PAGEREF _Toc3179 \h </w:instrText>
      </w:r>
      <w:r>
        <w:fldChar w:fldCharType="separate"/>
      </w:r>
      <w:r>
        <w:t>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_Toc15063 </w:instrText>
      </w:r>
      <w:r>
        <w:rPr>
          <w:highlight w:val="none"/>
        </w:rPr>
        <w:fldChar w:fldCharType="separate"/>
      </w:r>
      <w:r>
        <w:rPr>
          <w:rFonts w:hint="eastAsia"/>
          <w:szCs w:val="27"/>
          <w:highlight w:val="none"/>
        </w:rPr>
        <w:t>10需要补充的其他内容</w:t>
      </w:r>
      <w:r>
        <w:tab/>
      </w:r>
      <w:r>
        <w:fldChar w:fldCharType="begin"/>
      </w:r>
      <w:r>
        <w:instrText xml:space="preserve"> PAGEREF _Toc15063 \h </w:instrText>
      </w:r>
      <w:r>
        <w:fldChar w:fldCharType="separate"/>
      </w:r>
      <w:r>
        <w:t>23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_Toc18441 </w:instrText>
      </w:r>
      <w:r>
        <w:rPr>
          <w:highlight w:val="none"/>
        </w:rPr>
        <w:fldChar w:fldCharType="separate"/>
      </w:r>
      <w:r>
        <w:rPr>
          <w:rFonts w:hint="eastAsia"/>
          <w:szCs w:val="27"/>
          <w:highlight w:val="none"/>
        </w:rPr>
        <w:t>附表一：招标文件澄清申请函（格式）</w:t>
      </w:r>
      <w:r>
        <w:tab/>
      </w:r>
      <w:r>
        <w:fldChar w:fldCharType="begin"/>
      </w:r>
      <w:r>
        <w:instrText xml:space="preserve"> PAGEREF _Toc18441 \h </w:instrText>
      </w:r>
      <w:r>
        <w:fldChar w:fldCharType="separate"/>
      </w:r>
      <w:r>
        <w:t>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_Toc6662 </w:instrText>
      </w:r>
      <w:r>
        <w:rPr>
          <w:highlight w:val="none"/>
        </w:rPr>
        <w:fldChar w:fldCharType="separate"/>
      </w:r>
      <w:r>
        <w:rPr>
          <w:rFonts w:hint="eastAsia"/>
          <w:szCs w:val="27"/>
          <w:highlight w:val="none"/>
        </w:rPr>
        <w:t>附表二：招标文件澄清通知（格式）</w:t>
      </w:r>
      <w:r>
        <w:tab/>
      </w:r>
      <w:r>
        <w:fldChar w:fldCharType="begin"/>
      </w:r>
      <w:r>
        <w:instrText xml:space="preserve"> PAGEREF _Toc6662 \h </w:instrText>
      </w:r>
      <w:r>
        <w:fldChar w:fldCharType="separate"/>
      </w:r>
      <w:r>
        <w:t>25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_Toc11907 </w:instrText>
      </w:r>
      <w:r>
        <w:rPr>
          <w:highlight w:val="none"/>
        </w:rPr>
        <w:fldChar w:fldCharType="separate"/>
      </w:r>
      <w:r>
        <w:rPr>
          <w:rFonts w:hint="eastAsia"/>
          <w:szCs w:val="27"/>
          <w:highlight w:val="none"/>
        </w:rPr>
        <w:t>附表三：招标文件修改通知（格式）</w:t>
      </w:r>
      <w:r>
        <w:tab/>
      </w:r>
      <w:r>
        <w:fldChar w:fldCharType="begin"/>
      </w:r>
      <w:r>
        <w:instrText xml:space="preserve"> PAGEREF _Toc11907 \h </w:instrText>
      </w:r>
      <w:r>
        <w:fldChar w:fldCharType="separate"/>
      </w:r>
      <w:r>
        <w:t>26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_Toc11296 </w:instrText>
      </w:r>
      <w:r>
        <w:rPr>
          <w:highlight w:val="none"/>
        </w:rPr>
        <w:fldChar w:fldCharType="separate"/>
      </w:r>
      <w:r>
        <w:rPr>
          <w:rFonts w:hint="eastAsia"/>
          <w:szCs w:val="27"/>
          <w:highlight w:val="none"/>
        </w:rPr>
        <w:t>附表四：招标文件澄清通知、修改通知确认函（格式）</w:t>
      </w:r>
      <w:r>
        <w:tab/>
      </w:r>
      <w:r>
        <w:fldChar w:fldCharType="begin"/>
      </w:r>
      <w:r>
        <w:instrText xml:space="preserve"> PAGEREF _Toc11296 \h </w:instrText>
      </w:r>
      <w:r>
        <w:fldChar w:fldCharType="separate"/>
      </w:r>
      <w:r>
        <w:t>27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_Toc12987 </w:instrText>
      </w:r>
      <w:r>
        <w:rPr>
          <w:highlight w:val="none"/>
        </w:rPr>
        <w:fldChar w:fldCharType="separate"/>
      </w:r>
      <w:r>
        <w:rPr>
          <w:rFonts w:hint="eastAsia"/>
          <w:szCs w:val="27"/>
          <w:highlight w:val="none"/>
        </w:rPr>
        <w:t>附表五：开标记录表（格式）</w:t>
      </w:r>
      <w:r>
        <w:tab/>
      </w:r>
      <w:r>
        <w:fldChar w:fldCharType="begin"/>
      </w:r>
      <w:r>
        <w:instrText xml:space="preserve"> PAGEREF _Toc12987 \h </w:instrText>
      </w:r>
      <w:r>
        <w:fldChar w:fldCharType="separate"/>
      </w:r>
      <w:r>
        <w:t>28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_Toc20099 </w:instrText>
      </w:r>
      <w:r>
        <w:rPr>
          <w:highlight w:val="none"/>
        </w:rPr>
        <w:fldChar w:fldCharType="separate"/>
      </w:r>
      <w:r>
        <w:rPr>
          <w:rFonts w:hint="eastAsia"/>
          <w:szCs w:val="27"/>
          <w:highlight w:val="none"/>
        </w:rPr>
        <w:t>附表六：中标通知书（格式）</w:t>
      </w:r>
      <w:r>
        <w:tab/>
      </w:r>
      <w:r>
        <w:fldChar w:fldCharType="begin"/>
      </w:r>
      <w:r>
        <w:instrText xml:space="preserve"> PAGEREF _Toc20099 \h </w:instrText>
      </w:r>
      <w:r>
        <w:fldChar w:fldCharType="separate"/>
      </w:r>
      <w:r>
        <w:t>29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_Toc8851 </w:instrText>
      </w:r>
      <w:r>
        <w:rPr>
          <w:highlight w:val="none"/>
        </w:rPr>
        <w:fldChar w:fldCharType="separate"/>
      </w:r>
      <w:r>
        <w:rPr>
          <w:rFonts w:hint="eastAsia"/>
          <w:szCs w:val="27"/>
          <w:highlight w:val="none"/>
        </w:rPr>
        <w:t>附表七：中标结果通知书（格式）</w:t>
      </w:r>
      <w:r>
        <w:tab/>
      </w:r>
      <w:r>
        <w:fldChar w:fldCharType="begin"/>
      </w:r>
      <w:r>
        <w:instrText xml:space="preserve"> PAGEREF _Toc8851 \h </w:instrText>
      </w:r>
      <w:r>
        <w:fldChar w:fldCharType="separate"/>
      </w:r>
      <w:r>
        <w:t>30</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_Toc19865 </w:instrText>
      </w:r>
      <w:r>
        <w:rPr>
          <w:highlight w:val="none"/>
        </w:rPr>
        <w:fldChar w:fldCharType="separate"/>
      </w:r>
      <w:r>
        <w:rPr>
          <w:rFonts w:hint="eastAsia" w:ascii="黑体" w:hAnsi="黑体" w:eastAsia="黑体"/>
          <w:bCs w:val="0"/>
          <w:szCs w:val="31"/>
          <w:highlight w:val="none"/>
        </w:rPr>
        <w:t>第三章 评标办法（综合评估法）</w:t>
      </w:r>
      <w:r>
        <w:tab/>
      </w:r>
      <w:r>
        <w:fldChar w:fldCharType="begin"/>
      </w:r>
      <w:r>
        <w:instrText xml:space="preserve"> PAGEREF _Toc19865 \h </w:instrText>
      </w:r>
      <w:r>
        <w:fldChar w:fldCharType="separate"/>
      </w:r>
      <w:r>
        <w:t>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_Toc16021 </w:instrText>
      </w:r>
      <w:r>
        <w:rPr>
          <w:highlight w:val="none"/>
        </w:rPr>
        <w:fldChar w:fldCharType="separate"/>
      </w:r>
      <w:r>
        <w:rPr>
          <w:rFonts w:hint="eastAsia"/>
          <w:szCs w:val="27"/>
          <w:highlight w:val="none"/>
        </w:rPr>
        <w:t>评标办法前附表</w:t>
      </w:r>
      <w:r>
        <w:tab/>
      </w:r>
      <w:r>
        <w:fldChar w:fldCharType="begin"/>
      </w:r>
      <w:r>
        <w:instrText xml:space="preserve"> PAGEREF _Toc16021 \h </w:instrText>
      </w:r>
      <w:r>
        <w:fldChar w:fldCharType="separate"/>
      </w:r>
      <w:r>
        <w:t>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_Toc7784 </w:instrText>
      </w:r>
      <w:r>
        <w:rPr>
          <w:highlight w:val="none"/>
        </w:rPr>
        <w:fldChar w:fldCharType="separate"/>
      </w:r>
      <w:r>
        <w:rPr>
          <w:rFonts w:hint="eastAsia"/>
          <w:szCs w:val="27"/>
          <w:highlight w:val="none"/>
        </w:rPr>
        <w:t>1. 评标方法</w:t>
      </w:r>
      <w:r>
        <w:tab/>
      </w:r>
      <w:r>
        <w:fldChar w:fldCharType="begin"/>
      </w:r>
      <w:r>
        <w:instrText xml:space="preserve"> PAGEREF _Toc7784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_Toc3016 </w:instrText>
      </w:r>
      <w:r>
        <w:rPr>
          <w:highlight w:val="none"/>
        </w:rPr>
        <w:fldChar w:fldCharType="separate"/>
      </w:r>
      <w:r>
        <w:rPr>
          <w:rFonts w:hint="eastAsia"/>
          <w:szCs w:val="27"/>
          <w:highlight w:val="none"/>
        </w:rPr>
        <w:t>2. 评审标准</w:t>
      </w:r>
      <w:r>
        <w:tab/>
      </w:r>
      <w:r>
        <w:fldChar w:fldCharType="begin"/>
      </w:r>
      <w:r>
        <w:instrText xml:space="preserve"> PAGEREF _Toc3016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_Toc28045 </w:instrText>
      </w:r>
      <w:r>
        <w:rPr>
          <w:highlight w:val="none"/>
        </w:rPr>
        <w:fldChar w:fldCharType="separate"/>
      </w:r>
      <w:r>
        <w:rPr>
          <w:rFonts w:hint="eastAsia"/>
          <w:szCs w:val="27"/>
          <w:highlight w:val="none"/>
        </w:rPr>
        <w:t>3. 评标程序</w:t>
      </w:r>
      <w:r>
        <w:tab/>
      </w:r>
      <w:r>
        <w:fldChar w:fldCharType="begin"/>
      </w:r>
      <w:r>
        <w:instrText xml:space="preserve"> PAGEREF _Toc28045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_Toc6465 </w:instrText>
      </w:r>
      <w:r>
        <w:rPr>
          <w:highlight w:val="none"/>
        </w:rPr>
        <w:fldChar w:fldCharType="separate"/>
      </w:r>
      <w:r>
        <w:rPr>
          <w:rFonts w:hint="eastAsia" w:ascii="宋体" w:hAnsi="宋体" w:eastAsia="宋体"/>
          <w:szCs w:val="23"/>
          <w:highlight w:val="none"/>
        </w:rPr>
        <w:t>4. 评标办法其他说明</w:t>
      </w:r>
      <w:r>
        <w:tab/>
      </w:r>
      <w:r>
        <w:fldChar w:fldCharType="begin"/>
      </w:r>
      <w:r>
        <w:instrText xml:space="preserve"> PAGEREF _Toc6465 \h </w:instrText>
      </w:r>
      <w:r>
        <w:fldChar w:fldCharType="separate"/>
      </w:r>
      <w:r>
        <w:t>36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_Toc30474 </w:instrText>
      </w:r>
      <w:r>
        <w:rPr>
          <w:highlight w:val="none"/>
        </w:rPr>
        <w:fldChar w:fldCharType="separate"/>
      </w:r>
      <w:r>
        <w:rPr>
          <w:szCs w:val="27"/>
          <w:highlight w:val="none"/>
        </w:rPr>
        <w:t>附表</w:t>
      </w:r>
      <w:r>
        <w:rPr>
          <w:rFonts w:hint="eastAsia"/>
          <w:szCs w:val="27"/>
          <w:highlight w:val="none"/>
        </w:rPr>
        <w:t>一</w:t>
      </w:r>
      <w:r>
        <w:rPr>
          <w:szCs w:val="27"/>
          <w:highlight w:val="none"/>
        </w:rPr>
        <w:t>：</w:t>
      </w:r>
      <w:r>
        <w:rPr>
          <w:rFonts w:hint="eastAsia"/>
          <w:szCs w:val="27"/>
          <w:highlight w:val="none"/>
        </w:rPr>
        <w:t>投标文件</w:t>
      </w:r>
      <w:r>
        <w:rPr>
          <w:szCs w:val="27"/>
          <w:highlight w:val="none"/>
        </w:rPr>
        <w:t>澄清通知</w:t>
      </w:r>
      <w:r>
        <w:rPr>
          <w:rFonts w:hint="eastAsia"/>
          <w:szCs w:val="27"/>
          <w:highlight w:val="none"/>
        </w:rPr>
        <w:t>（格式）</w:t>
      </w:r>
      <w:r>
        <w:tab/>
      </w:r>
      <w:r>
        <w:fldChar w:fldCharType="begin"/>
      </w:r>
      <w:r>
        <w:instrText xml:space="preserve"> PAGEREF _Toc30474 \h </w:instrText>
      </w:r>
      <w:r>
        <w:fldChar w:fldCharType="separate"/>
      </w:r>
      <w:r>
        <w:t>37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_Toc32565 </w:instrText>
      </w:r>
      <w:r>
        <w:rPr>
          <w:highlight w:val="none"/>
        </w:rPr>
        <w:fldChar w:fldCharType="separate"/>
      </w:r>
      <w:r>
        <w:rPr>
          <w:rFonts w:hint="eastAsia"/>
          <w:szCs w:val="27"/>
          <w:highlight w:val="none"/>
        </w:rPr>
        <w:t>附表二：投标文件澄清函（格式）</w:t>
      </w:r>
      <w:r>
        <w:tab/>
      </w:r>
      <w:r>
        <w:fldChar w:fldCharType="begin"/>
      </w:r>
      <w:r>
        <w:instrText xml:space="preserve"> PAGEREF _Toc32565 \h </w:instrText>
      </w:r>
      <w:r>
        <w:fldChar w:fldCharType="separate"/>
      </w:r>
      <w:r>
        <w:t>38</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_Toc30098 </w:instrText>
      </w:r>
      <w:r>
        <w:rPr>
          <w:highlight w:val="none"/>
        </w:rPr>
        <w:fldChar w:fldCharType="separate"/>
      </w:r>
      <w:r>
        <w:rPr>
          <w:rFonts w:hint="eastAsia" w:ascii="黑体" w:hAnsi="黑体" w:eastAsia="黑体"/>
          <w:bCs w:val="0"/>
          <w:szCs w:val="31"/>
          <w:highlight w:val="none"/>
        </w:rPr>
        <w:t>第四章 合同条款及格式</w:t>
      </w:r>
      <w:r>
        <w:tab/>
      </w:r>
      <w:r>
        <w:fldChar w:fldCharType="begin"/>
      </w:r>
      <w:r>
        <w:instrText xml:space="preserve"> PAGEREF _Toc30098 \h </w:instrText>
      </w:r>
      <w:r>
        <w:fldChar w:fldCharType="separate"/>
      </w:r>
      <w:r>
        <w:t>39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_Toc19346 </w:instrText>
      </w:r>
      <w:r>
        <w:rPr>
          <w:highlight w:val="none"/>
        </w:rPr>
        <w:fldChar w:fldCharType="separate"/>
      </w:r>
      <w:r>
        <w:rPr>
          <w:szCs w:val="40"/>
          <w:highlight w:val="none"/>
        </w:rPr>
        <w:t>第1节  通用合同条款</w:t>
      </w:r>
      <w:r>
        <w:tab/>
      </w:r>
      <w:r>
        <w:fldChar w:fldCharType="begin"/>
      </w:r>
      <w:r>
        <w:instrText xml:space="preserve"> PAGEREF _Toc19346 \h </w:instrText>
      </w:r>
      <w:r>
        <w:fldChar w:fldCharType="separate"/>
      </w:r>
      <w:r>
        <w:t>39</w:t>
      </w:r>
      <w:r>
        <w:fldChar w:fldCharType="end"/>
      </w:r>
      <w:r>
        <w:rPr>
          <w:highlight w:val="none"/>
        </w:rPr>
        <w:fldChar w:fldCharType="end"/>
      </w:r>
    </w:p>
    <w:p>
      <w:pPr>
        <w:pStyle w:val="2"/>
        <w:tabs>
          <w:tab w:val="right" w:leader="dot" w:pos="8382"/>
        </w:tabs>
        <w:ind w:left="0" w:leftChars="0" w:firstLine="200" w:firstLineChars="100"/>
        <w:rPr>
          <w:i w:val="0"/>
          <w:iCs w:val="0"/>
        </w:rPr>
      </w:pPr>
      <w:r>
        <w:rPr>
          <w:i w:val="0"/>
          <w:iCs w:val="0"/>
          <w:highlight w:val="none"/>
        </w:rPr>
        <w:fldChar w:fldCharType="begin"/>
      </w:r>
      <w:r>
        <w:rPr>
          <w:i w:val="0"/>
          <w:iCs w:val="0"/>
          <w:highlight w:val="none"/>
        </w:rPr>
        <w:instrText xml:space="preserve"> HYPERLINK \l _Toc21650 </w:instrText>
      </w:r>
      <w:r>
        <w:rPr>
          <w:i w:val="0"/>
          <w:iCs w:val="0"/>
          <w:highlight w:val="none"/>
        </w:rPr>
        <w:fldChar w:fldCharType="separate"/>
      </w:r>
      <w:r>
        <w:rPr>
          <w:rFonts w:ascii="Times New Roman" w:hAnsi="Times New Roman"/>
          <w:i w:val="0"/>
          <w:iCs w:val="0"/>
          <w:szCs w:val="21"/>
          <w:highlight w:val="none"/>
        </w:rPr>
        <w:t>第2节  专用合同条款</w:t>
      </w:r>
      <w:r>
        <w:rPr>
          <w:i w:val="0"/>
          <w:iCs w:val="0"/>
        </w:rPr>
        <w:tab/>
      </w:r>
      <w:r>
        <w:rPr>
          <w:i w:val="0"/>
          <w:iCs w:val="0"/>
        </w:rPr>
        <w:fldChar w:fldCharType="begin"/>
      </w:r>
      <w:r>
        <w:rPr>
          <w:i w:val="0"/>
          <w:iCs w:val="0"/>
        </w:rPr>
        <w:instrText xml:space="preserve"> PAGEREF _Toc21650 \h </w:instrText>
      </w:r>
      <w:r>
        <w:rPr>
          <w:i w:val="0"/>
          <w:iCs w:val="0"/>
        </w:rPr>
        <w:fldChar w:fldCharType="separate"/>
      </w:r>
      <w:r>
        <w:rPr>
          <w:i w:val="0"/>
          <w:iCs w:val="0"/>
        </w:rPr>
        <w:t>83</w:t>
      </w:r>
      <w:r>
        <w:rPr>
          <w:i w:val="0"/>
          <w:iCs w:val="0"/>
        </w:rPr>
        <w:fldChar w:fldCharType="end"/>
      </w:r>
      <w:r>
        <w:rPr>
          <w:i w:val="0"/>
          <w:iCs w:val="0"/>
          <w:highlight w:val="none"/>
        </w:rPr>
        <w:fldChar w:fldCharType="end"/>
      </w:r>
    </w:p>
    <w:p>
      <w:pPr>
        <w:pStyle w:val="30"/>
        <w:tabs>
          <w:tab w:val="right" w:leader="dot" w:pos="8382"/>
        </w:tabs>
      </w:pPr>
      <w:r>
        <w:rPr>
          <w:highlight w:val="none"/>
        </w:rPr>
        <w:fldChar w:fldCharType="begin"/>
      </w:r>
      <w:r>
        <w:rPr>
          <w:highlight w:val="none"/>
        </w:rPr>
        <w:instrText xml:space="preserve"> HYPERLINK \l _Toc4819 </w:instrText>
      </w:r>
      <w:r>
        <w:rPr>
          <w:highlight w:val="none"/>
        </w:rPr>
        <w:fldChar w:fldCharType="separate"/>
      </w:r>
      <w:r>
        <w:rPr>
          <w:szCs w:val="36"/>
          <w:highlight w:val="none"/>
        </w:rPr>
        <w:t>第3节  合同附件格式</w:t>
      </w:r>
      <w:r>
        <w:tab/>
      </w:r>
      <w:r>
        <w:fldChar w:fldCharType="begin"/>
      </w:r>
      <w:r>
        <w:instrText xml:space="preserve"> PAGEREF _Toc4819 \h </w:instrText>
      </w:r>
      <w:r>
        <w:fldChar w:fldCharType="separate"/>
      </w:r>
      <w:r>
        <w:t>89</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_Toc16892 </w:instrText>
      </w:r>
      <w:r>
        <w:rPr>
          <w:highlight w:val="none"/>
        </w:rPr>
        <w:fldChar w:fldCharType="separate"/>
      </w:r>
      <w:r>
        <w:rPr>
          <w:szCs w:val="36"/>
          <w:highlight w:val="none"/>
        </w:rPr>
        <w:t>第五章 工程量清单</w:t>
      </w:r>
      <w:r>
        <w:tab/>
      </w:r>
      <w:r>
        <w:fldChar w:fldCharType="begin"/>
      </w:r>
      <w:r>
        <w:instrText xml:space="preserve"> PAGEREF _Toc16892 \h </w:instrText>
      </w:r>
      <w:r>
        <w:fldChar w:fldCharType="separate"/>
      </w:r>
      <w:r>
        <w:t>92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_Toc7360 </w:instrText>
      </w:r>
      <w:r>
        <w:rPr>
          <w:highlight w:val="none"/>
        </w:rPr>
        <w:fldChar w:fldCharType="separate"/>
      </w:r>
      <w:r>
        <w:rPr>
          <w:spacing w:val="40"/>
          <w:szCs w:val="52"/>
          <w:highlight w:val="none"/>
        </w:rPr>
        <w:t>第二卷</w:t>
      </w:r>
      <w:r>
        <w:tab/>
      </w:r>
      <w:r>
        <w:fldChar w:fldCharType="begin"/>
      </w:r>
      <w:r>
        <w:instrText xml:space="preserve"> PAGEREF _Toc7360 \h </w:instrText>
      </w:r>
      <w:r>
        <w:fldChar w:fldCharType="separate"/>
      </w:r>
      <w:r>
        <w:t>93</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_Toc12714 </w:instrText>
      </w:r>
      <w:r>
        <w:rPr>
          <w:highlight w:val="none"/>
        </w:rPr>
        <w:fldChar w:fldCharType="separate"/>
      </w:r>
      <w:r>
        <w:rPr>
          <w:highlight w:val="none"/>
        </w:rPr>
        <w:t>第六章  图纸（招标图纸）</w:t>
      </w:r>
      <w:r>
        <w:tab/>
      </w:r>
      <w:r>
        <w:fldChar w:fldCharType="begin"/>
      </w:r>
      <w:r>
        <w:instrText xml:space="preserve"> PAGEREF _Toc12714 \h </w:instrText>
      </w:r>
      <w:r>
        <w:fldChar w:fldCharType="separate"/>
      </w:r>
      <w:r>
        <w:t>94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_Toc10624 </w:instrText>
      </w:r>
      <w:r>
        <w:rPr>
          <w:highlight w:val="none"/>
        </w:rPr>
        <w:fldChar w:fldCharType="separate"/>
      </w:r>
      <w:r>
        <w:rPr>
          <w:rFonts w:hint="eastAsia"/>
          <w:bCs w:val="0"/>
          <w:highlight w:val="none"/>
        </w:rPr>
        <w:t>1.</w:t>
      </w:r>
      <w:r>
        <w:rPr>
          <w:bCs w:val="0"/>
          <w:highlight w:val="none"/>
        </w:rPr>
        <w:t>招标图纸目录</w:t>
      </w:r>
      <w:r>
        <w:tab/>
      </w:r>
      <w:r>
        <w:fldChar w:fldCharType="begin"/>
      </w:r>
      <w:r>
        <w:instrText xml:space="preserve"> PAGEREF _Toc10624 \h </w:instrText>
      </w:r>
      <w:r>
        <w:fldChar w:fldCharType="separate"/>
      </w:r>
      <w:r>
        <w:t>94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_Toc27567 </w:instrText>
      </w:r>
      <w:r>
        <w:rPr>
          <w:highlight w:val="none"/>
        </w:rPr>
        <w:fldChar w:fldCharType="separate"/>
      </w:r>
      <w:r>
        <w:rPr>
          <w:rFonts w:hint="eastAsia"/>
          <w:highlight w:val="none"/>
        </w:rPr>
        <w:t>2.</w:t>
      </w:r>
      <w:r>
        <w:rPr>
          <w:highlight w:val="none"/>
        </w:rPr>
        <w:t>招标图纸</w:t>
      </w:r>
      <w:r>
        <w:rPr>
          <w:rFonts w:hint="eastAsia"/>
          <w:highlight w:val="none"/>
        </w:rPr>
        <w:t>及其他资料</w:t>
      </w:r>
      <w:r>
        <w:rPr>
          <w:highlight w:val="none"/>
        </w:rPr>
        <w:t>在电子交易系统下载。</w:t>
      </w:r>
      <w:r>
        <w:tab/>
      </w:r>
      <w:r>
        <w:fldChar w:fldCharType="begin"/>
      </w:r>
      <w:r>
        <w:instrText xml:space="preserve"> PAGEREF _Toc27567 \h </w:instrText>
      </w:r>
      <w:r>
        <w:fldChar w:fldCharType="separate"/>
      </w:r>
      <w:r>
        <w:t>94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_Toc32701 </w:instrText>
      </w:r>
      <w:r>
        <w:rPr>
          <w:highlight w:val="none"/>
        </w:rPr>
        <w:fldChar w:fldCharType="separate"/>
      </w:r>
      <w:r>
        <w:rPr>
          <w:rFonts w:hint="eastAsia" w:ascii="宋体" w:hAnsi="宋体"/>
          <w:bCs w:val="0"/>
          <w:szCs w:val="48"/>
          <w:highlight w:val="none"/>
        </w:rPr>
        <w:t>第 二 卷</w:t>
      </w:r>
      <w:r>
        <w:tab/>
      </w:r>
      <w:r>
        <w:fldChar w:fldCharType="begin"/>
      </w:r>
      <w:r>
        <w:instrText xml:space="preserve"> PAGEREF _Toc32701 \h </w:instrText>
      </w:r>
      <w:r>
        <w:fldChar w:fldCharType="separate"/>
      </w:r>
      <w:r>
        <w:t>95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_Toc27830 </w:instrText>
      </w:r>
      <w:r>
        <w:rPr>
          <w:highlight w:val="none"/>
        </w:rPr>
        <w:fldChar w:fldCharType="separate"/>
      </w:r>
      <w:r>
        <w:rPr>
          <w:rFonts w:hint="eastAsia" w:ascii="黑体" w:hAnsi="黑体" w:eastAsia="黑体"/>
          <w:bCs w:val="0"/>
          <w:szCs w:val="31"/>
          <w:highlight w:val="none"/>
        </w:rPr>
        <w:t>第六章 技术标准和要求（合同技术条款）</w:t>
      </w:r>
      <w:r>
        <w:tab/>
      </w:r>
      <w:r>
        <w:fldChar w:fldCharType="begin"/>
      </w:r>
      <w:r>
        <w:instrText xml:space="preserve"> PAGEREF _Toc27830 \h </w:instrText>
      </w:r>
      <w:r>
        <w:fldChar w:fldCharType="separate"/>
      </w:r>
      <w:r>
        <w:t>96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_Toc16271 </w:instrText>
      </w:r>
      <w:r>
        <w:rPr>
          <w:highlight w:val="none"/>
        </w:rPr>
        <w:fldChar w:fldCharType="separate"/>
      </w:r>
      <w:r>
        <w:rPr>
          <w:rFonts w:hint="eastAsia" w:ascii="宋体" w:hAnsi="宋体"/>
          <w:bCs w:val="0"/>
          <w:szCs w:val="31"/>
          <w:highlight w:val="none"/>
        </w:rPr>
        <w:t>第 三 卷</w:t>
      </w:r>
      <w:r>
        <w:tab/>
      </w:r>
      <w:r>
        <w:fldChar w:fldCharType="begin"/>
      </w:r>
      <w:r>
        <w:instrText xml:space="preserve"> PAGEREF _Toc16271 \h </w:instrText>
      </w:r>
      <w:r>
        <w:fldChar w:fldCharType="separate"/>
      </w:r>
      <w:r>
        <w:t>125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_Toc31269 </w:instrText>
      </w:r>
      <w:r>
        <w:rPr>
          <w:highlight w:val="none"/>
        </w:rPr>
        <w:fldChar w:fldCharType="separate"/>
      </w:r>
      <w:r>
        <w:rPr>
          <w:rFonts w:hint="eastAsia" w:ascii="黑体" w:hAnsi="黑体" w:eastAsia="黑体"/>
          <w:bCs w:val="0"/>
          <w:szCs w:val="31"/>
          <w:highlight w:val="none"/>
        </w:rPr>
        <w:t>第七章  投标文件格式</w:t>
      </w:r>
      <w:r>
        <w:tab/>
      </w:r>
      <w:r>
        <w:fldChar w:fldCharType="begin"/>
      </w:r>
      <w:r>
        <w:instrText xml:space="preserve"> PAGEREF _Toc31269 \h </w:instrText>
      </w:r>
      <w:r>
        <w:fldChar w:fldCharType="separate"/>
      </w:r>
      <w:r>
        <w:t>126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_Toc28595 </w:instrText>
      </w:r>
      <w:r>
        <w:rPr>
          <w:highlight w:val="none"/>
        </w:rPr>
        <w:fldChar w:fldCharType="separate"/>
      </w:r>
      <w:r>
        <w:rPr>
          <w:rFonts w:hint="eastAsia" w:ascii="Times New Roman" w:hAnsi="Times New Roman"/>
          <w:szCs w:val="21"/>
          <w:highlight w:val="none"/>
        </w:rPr>
        <w:t>评标要素索引表</w:t>
      </w:r>
      <w:r>
        <w:tab/>
      </w:r>
      <w:r>
        <w:fldChar w:fldCharType="begin"/>
      </w:r>
      <w:r>
        <w:instrText xml:space="preserve"> PAGEREF _Toc28595 \h </w:instrText>
      </w:r>
      <w:r>
        <w:fldChar w:fldCharType="separate"/>
      </w:r>
      <w:r>
        <w:t>127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_Toc8969 </w:instrText>
      </w:r>
      <w:r>
        <w:rPr>
          <w:highlight w:val="none"/>
        </w:rPr>
        <w:fldChar w:fldCharType="separate"/>
      </w:r>
      <w:r>
        <w:rPr>
          <w:rFonts w:ascii="黑体" w:hAnsi="黑体" w:eastAsia="黑体" w:cs="黑体"/>
          <w:highlight w:val="none"/>
        </w:rPr>
        <w:t>一、投标函及投标函附录</w:t>
      </w:r>
      <w:r>
        <w:tab/>
      </w:r>
      <w:r>
        <w:fldChar w:fldCharType="begin"/>
      </w:r>
      <w:r>
        <w:instrText xml:space="preserve"> PAGEREF _Toc8969 \h </w:instrText>
      </w:r>
      <w:r>
        <w:fldChar w:fldCharType="separate"/>
      </w:r>
      <w:r>
        <w:t>130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_Toc311 </w:instrText>
      </w:r>
      <w:r>
        <w:rPr>
          <w:highlight w:val="none"/>
        </w:rPr>
        <w:fldChar w:fldCharType="separate"/>
      </w:r>
      <w:r>
        <w:rPr>
          <w:rFonts w:ascii="Times New Roman" w:hAnsi="Times New Roman"/>
          <w:szCs w:val="30"/>
          <w:highlight w:val="none"/>
        </w:rPr>
        <w:t>一、投标函及投标函附录</w:t>
      </w:r>
      <w:r>
        <w:tab/>
      </w:r>
      <w:r>
        <w:fldChar w:fldCharType="begin"/>
      </w:r>
      <w:r>
        <w:instrText xml:space="preserve"> PAGEREF _Toc311 \h </w:instrText>
      </w:r>
      <w:r>
        <w:fldChar w:fldCharType="separate"/>
      </w:r>
      <w:r>
        <w:t>130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_Toc8584 </w:instrText>
      </w:r>
      <w:r>
        <w:rPr>
          <w:highlight w:val="none"/>
        </w:rPr>
        <w:fldChar w:fldCharType="separate"/>
      </w:r>
      <w:r>
        <w:rPr>
          <w:rFonts w:hint="eastAsia"/>
          <w:highlight w:val="none"/>
        </w:rPr>
        <w:t>（一）投标函</w:t>
      </w:r>
      <w:r>
        <w:tab/>
      </w:r>
      <w:r>
        <w:fldChar w:fldCharType="begin"/>
      </w:r>
      <w:r>
        <w:instrText xml:space="preserve"> PAGEREF _Toc8584 \h </w:instrText>
      </w:r>
      <w:r>
        <w:fldChar w:fldCharType="separate"/>
      </w:r>
      <w:r>
        <w:t>130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_Toc26041 </w:instrText>
      </w:r>
      <w:r>
        <w:rPr>
          <w:highlight w:val="none"/>
        </w:rPr>
        <w:fldChar w:fldCharType="separate"/>
      </w:r>
      <w:r>
        <w:rPr>
          <w:rFonts w:hint="eastAsia"/>
          <w:highlight w:val="none"/>
        </w:rPr>
        <w:t>（二）投标函附录</w:t>
      </w:r>
      <w:r>
        <w:tab/>
      </w:r>
      <w:r>
        <w:fldChar w:fldCharType="begin"/>
      </w:r>
      <w:r>
        <w:instrText xml:space="preserve"> PAGEREF _Toc26041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_Toc26796 </w:instrText>
      </w:r>
      <w:r>
        <w:rPr>
          <w:highlight w:val="none"/>
        </w:rPr>
        <w:fldChar w:fldCharType="separate"/>
      </w:r>
      <w:r>
        <w:rPr>
          <w:rFonts w:ascii="黑体" w:hAnsi="黑体" w:eastAsia="黑体" w:cs="黑体"/>
          <w:highlight w:val="none"/>
        </w:rPr>
        <w:t>二、法定代表人身份证明及授权委托书</w:t>
      </w:r>
      <w:r>
        <w:tab/>
      </w:r>
      <w:r>
        <w:fldChar w:fldCharType="begin"/>
      </w:r>
      <w:r>
        <w:instrText xml:space="preserve"> PAGEREF _Toc26796 \h </w:instrText>
      </w:r>
      <w:r>
        <w:fldChar w:fldCharType="separate"/>
      </w:r>
      <w:r>
        <w:t>132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_Toc29805 </w:instrText>
      </w:r>
      <w:r>
        <w:rPr>
          <w:highlight w:val="none"/>
        </w:rPr>
        <w:fldChar w:fldCharType="separate"/>
      </w:r>
      <w:r>
        <w:rPr>
          <w:rFonts w:ascii="黑体" w:hAnsi="黑体" w:eastAsia="黑体" w:cs="黑体"/>
          <w:highlight w:val="none"/>
        </w:rPr>
        <w:t>三、投标保证金</w:t>
      </w:r>
      <w:r>
        <w:tab/>
      </w:r>
      <w:r>
        <w:fldChar w:fldCharType="begin"/>
      </w:r>
      <w:r>
        <w:instrText xml:space="preserve"> PAGEREF _Toc29805 \h </w:instrText>
      </w:r>
      <w:r>
        <w:fldChar w:fldCharType="separate"/>
      </w:r>
      <w:r>
        <w:t>134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_Toc18890 </w:instrText>
      </w:r>
      <w:r>
        <w:rPr>
          <w:highlight w:val="none"/>
        </w:rPr>
        <w:fldChar w:fldCharType="separate"/>
      </w:r>
      <w:r>
        <w:rPr>
          <w:rFonts w:ascii="黑体" w:hAnsi="黑体" w:eastAsia="黑体" w:cs="黑体"/>
          <w:highlight w:val="none"/>
        </w:rPr>
        <w:t>四、已标价工程量清单</w:t>
      </w:r>
      <w:r>
        <w:tab/>
      </w:r>
      <w:r>
        <w:fldChar w:fldCharType="begin"/>
      </w:r>
      <w:r>
        <w:instrText xml:space="preserve"> PAGEREF _Toc18890 \h </w:instrText>
      </w:r>
      <w:r>
        <w:fldChar w:fldCharType="separate"/>
      </w:r>
      <w:r>
        <w:t>135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_Toc31878 </w:instrText>
      </w:r>
      <w:r>
        <w:rPr>
          <w:highlight w:val="none"/>
        </w:rPr>
        <w:fldChar w:fldCharType="separate"/>
      </w:r>
      <w:r>
        <w:rPr>
          <w:rFonts w:ascii="黑体" w:hAnsi="黑体" w:eastAsia="黑体" w:cs="黑体"/>
          <w:highlight w:val="none"/>
        </w:rPr>
        <w:t>五、施工组织设计</w:t>
      </w:r>
      <w:r>
        <w:tab/>
      </w:r>
      <w:r>
        <w:fldChar w:fldCharType="begin"/>
      </w:r>
      <w:r>
        <w:instrText xml:space="preserve"> PAGEREF _Toc31878 \h </w:instrText>
      </w:r>
      <w:r>
        <w:fldChar w:fldCharType="separate"/>
      </w:r>
      <w:r>
        <w:t>136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_Toc13773 </w:instrText>
      </w:r>
      <w:r>
        <w:rPr>
          <w:highlight w:val="none"/>
        </w:rPr>
        <w:fldChar w:fldCharType="separate"/>
      </w:r>
      <w:r>
        <w:rPr>
          <w:rFonts w:hint="eastAsia"/>
          <w:highlight w:val="none"/>
        </w:rPr>
        <w:t>附表一：拟投入本标段的主要施工设备表</w:t>
      </w:r>
      <w:r>
        <w:tab/>
      </w:r>
      <w:r>
        <w:fldChar w:fldCharType="begin"/>
      </w:r>
      <w:r>
        <w:instrText xml:space="preserve"> PAGEREF _Toc13773 \h </w:instrText>
      </w:r>
      <w:r>
        <w:fldChar w:fldCharType="separate"/>
      </w:r>
      <w:r>
        <w:t>138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_Toc6069 </w:instrText>
      </w:r>
      <w:r>
        <w:rPr>
          <w:highlight w:val="none"/>
        </w:rPr>
        <w:fldChar w:fldCharType="separate"/>
      </w:r>
      <w:r>
        <w:rPr>
          <w:rFonts w:hint="eastAsia"/>
          <w:highlight w:val="none"/>
        </w:rPr>
        <w:t>附表二：拟投入本标段的试验和检测仪器设备表</w:t>
      </w:r>
      <w:r>
        <w:tab/>
      </w:r>
      <w:r>
        <w:fldChar w:fldCharType="begin"/>
      </w:r>
      <w:r>
        <w:instrText xml:space="preserve"> PAGEREF _Toc6069 \h </w:instrText>
      </w:r>
      <w:r>
        <w:fldChar w:fldCharType="separate"/>
      </w:r>
      <w:r>
        <w:t>139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_Toc558 </w:instrText>
      </w:r>
      <w:r>
        <w:rPr>
          <w:highlight w:val="none"/>
        </w:rPr>
        <w:fldChar w:fldCharType="separate"/>
      </w:r>
      <w:r>
        <w:rPr>
          <w:rFonts w:hint="eastAsia"/>
          <w:highlight w:val="none"/>
        </w:rPr>
        <w:t>附表三：拟投入本标段的劳动力计划表</w:t>
      </w:r>
      <w:r>
        <w:tab/>
      </w:r>
      <w:r>
        <w:fldChar w:fldCharType="begin"/>
      </w:r>
      <w:r>
        <w:instrText xml:space="preserve"> PAGEREF _Toc558 \h </w:instrText>
      </w:r>
      <w:r>
        <w:fldChar w:fldCharType="separate"/>
      </w:r>
      <w:r>
        <w:t>140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_Toc9696 </w:instrText>
      </w:r>
      <w:r>
        <w:rPr>
          <w:highlight w:val="none"/>
        </w:rPr>
        <w:fldChar w:fldCharType="separate"/>
      </w:r>
      <w:r>
        <w:rPr>
          <w:rFonts w:hint="eastAsia"/>
          <w:highlight w:val="none"/>
        </w:rPr>
        <w:t>附表四：计划开工日期、完工日期和施工进度网络图</w:t>
      </w:r>
      <w:r>
        <w:tab/>
      </w:r>
      <w:r>
        <w:fldChar w:fldCharType="begin"/>
      </w:r>
      <w:r>
        <w:instrText xml:space="preserve"> PAGEREF _Toc9696 \h </w:instrText>
      </w:r>
      <w:r>
        <w:fldChar w:fldCharType="separate"/>
      </w:r>
      <w:r>
        <w:t>141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_Toc5732 </w:instrText>
      </w:r>
      <w:r>
        <w:rPr>
          <w:highlight w:val="none"/>
        </w:rPr>
        <w:fldChar w:fldCharType="separate"/>
      </w:r>
      <w:r>
        <w:rPr>
          <w:rFonts w:hint="eastAsia"/>
          <w:highlight w:val="none"/>
        </w:rPr>
        <w:t>附表五：施工总平面图</w:t>
      </w:r>
      <w:r>
        <w:tab/>
      </w:r>
      <w:r>
        <w:fldChar w:fldCharType="begin"/>
      </w:r>
      <w:r>
        <w:instrText xml:space="preserve"> PAGEREF _Toc5732 \h </w:instrText>
      </w:r>
      <w:r>
        <w:fldChar w:fldCharType="separate"/>
      </w:r>
      <w:r>
        <w:t>142</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_Toc25401 </w:instrText>
      </w:r>
      <w:r>
        <w:rPr>
          <w:highlight w:val="none"/>
        </w:rPr>
        <w:fldChar w:fldCharType="separate"/>
      </w:r>
      <w:r>
        <w:rPr>
          <w:rFonts w:hint="eastAsia"/>
          <w:highlight w:val="none"/>
        </w:rPr>
        <w:t>附表六：临时用地表</w:t>
      </w:r>
      <w:r>
        <w:tab/>
      </w:r>
      <w:r>
        <w:fldChar w:fldCharType="begin"/>
      </w:r>
      <w:r>
        <w:instrText xml:space="preserve"> PAGEREF _Toc25401 \h </w:instrText>
      </w:r>
      <w:r>
        <w:fldChar w:fldCharType="separate"/>
      </w:r>
      <w:r>
        <w:t>143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_Toc19979 </w:instrText>
      </w:r>
      <w:r>
        <w:rPr>
          <w:highlight w:val="none"/>
        </w:rPr>
        <w:fldChar w:fldCharType="separate"/>
      </w:r>
      <w:r>
        <w:rPr>
          <w:rFonts w:ascii="黑体" w:hAnsi="黑体" w:eastAsia="黑体" w:cs="黑体"/>
          <w:highlight w:val="none"/>
        </w:rPr>
        <w:t>六、项目管理机构</w:t>
      </w:r>
      <w:r>
        <w:tab/>
      </w:r>
      <w:r>
        <w:fldChar w:fldCharType="begin"/>
      </w:r>
      <w:r>
        <w:instrText xml:space="preserve"> PAGEREF _Toc19979 \h </w:instrText>
      </w:r>
      <w:r>
        <w:fldChar w:fldCharType="separate"/>
      </w:r>
      <w:r>
        <w:t>144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_Toc21592 </w:instrText>
      </w:r>
      <w:r>
        <w:rPr>
          <w:highlight w:val="none"/>
        </w:rPr>
        <w:fldChar w:fldCharType="separate"/>
      </w:r>
      <w:r>
        <w:rPr>
          <w:rFonts w:ascii="黑体" w:hAnsi="黑体" w:eastAsia="黑体" w:cs="黑体"/>
          <w:highlight w:val="none"/>
        </w:rPr>
        <w:t>(一)项目管理机构组成表</w:t>
      </w:r>
      <w:r>
        <w:tab/>
      </w:r>
      <w:r>
        <w:fldChar w:fldCharType="begin"/>
      </w:r>
      <w:r>
        <w:instrText xml:space="preserve"> PAGEREF _Toc21592 \h </w:instrText>
      </w:r>
      <w:r>
        <w:fldChar w:fldCharType="separate"/>
      </w:r>
      <w:r>
        <w:t>144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_Toc32023 </w:instrText>
      </w:r>
      <w:r>
        <w:rPr>
          <w:highlight w:val="none"/>
        </w:rPr>
        <w:fldChar w:fldCharType="separate"/>
      </w:r>
      <w:r>
        <w:rPr>
          <w:rFonts w:ascii="黑体" w:hAnsi="黑体" w:eastAsia="黑体" w:cs="黑体"/>
          <w:highlight w:val="none"/>
        </w:rPr>
        <w:t>(二)主要人员简历表</w:t>
      </w:r>
      <w:r>
        <w:tab/>
      </w:r>
      <w:r>
        <w:fldChar w:fldCharType="begin"/>
      </w:r>
      <w:r>
        <w:instrText xml:space="preserve"> PAGEREF _Toc32023 \h </w:instrText>
      </w:r>
      <w:r>
        <w:fldChar w:fldCharType="separate"/>
      </w:r>
      <w:r>
        <w:t>145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_Toc24600 </w:instrText>
      </w:r>
      <w:r>
        <w:rPr>
          <w:highlight w:val="none"/>
        </w:rPr>
        <w:fldChar w:fldCharType="separate"/>
      </w:r>
      <w:r>
        <w:rPr>
          <w:rFonts w:ascii="黑体" w:hAnsi="黑体" w:eastAsia="黑体" w:cs="黑体"/>
          <w:highlight w:val="none"/>
        </w:rPr>
        <w:t>七、拟分包项目情况表</w:t>
      </w:r>
      <w:r>
        <w:tab/>
      </w:r>
      <w:r>
        <w:fldChar w:fldCharType="begin"/>
      </w:r>
      <w:r>
        <w:instrText xml:space="preserve"> PAGEREF _Toc24600 \h </w:instrText>
      </w:r>
      <w:r>
        <w:fldChar w:fldCharType="separate"/>
      </w:r>
      <w:r>
        <w:t>146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_Toc11981 </w:instrText>
      </w:r>
      <w:r>
        <w:rPr>
          <w:highlight w:val="none"/>
        </w:rPr>
        <w:fldChar w:fldCharType="separate"/>
      </w:r>
      <w:r>
        <w:rPr>
          <w:rFonts w:ascii="黑体" w:hAnsi="黑体" w:eastAsia="黑体" w:cs="黑体"/>
          <w:highlight w:val="none"/>
        </w:rPr>
        <w:t>八、资格审查资料</w:t>
      </w:r>
      <w:r>
        <w:tab/>
      </w:r>
      <w:r>
        <w:fldChar w:fldCharType="begin"/>
      </w:r>
      <w:r>
        <w:instrText xml:space="preserve"> PAGEREF _Toc11981 \h </w:instrText>
      </w:r>
      <w:r>
        <w:fldChar w:fldCharType="separate"/>
      </w:r>
      <w:r>
        <w:t>147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_Toc27957 </w:instrText>
      </w:r>
      <w:r>
        <w:rPr>
          <w:highlight w:val="none"/>
        </w:rPr>
        <w:fldChar w:fldCharType="separate"/>
      </w:r>
      <w:r>
        <w:rPr>
          <w:rFonts w:ascii="黑体" w:hAnsi="黑体" w:eastAsia="黑体" w:cs="黑体"/>
          <w:highlight w:val="none"/>
        </w:rPr>
        <w:t>(一)投标人基本情况表</w:t>
      </w:r>
      <w:r>
        <w:tab/>
      </w:r>
      <w:r>
        <w:fldChar w:fldCharType="begin"/>
      </w:r>
      <w:r>
        <w:instrText xml:space="preserve"> PAGEREF _Toc27957 \h </w:instrText>
      </w:r>
      <w:r>
        <w:fldChar w:fldCharType="separate"/>
      </w:r>
      <w:r>
        <w:t>147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_Toc15706 </w:instrText>
      </w:r>
      <w:r>
        <w:rPr>
          <w:highlight w:val="none"/>
        </w:rPr>
        <w:fldChar w:fldCharType="separate"/>
      </w:r>
      <w:r>
        <w:rPr>
          <w:rFonts w:ascii="黑体" w:hAnsi="黑体" w:eastAsia="黑体" w:cs="黑体"/>
          <w:highlight w:val="none"/>
        </w:rPr>
        <w:t>(二)近3年财务状况表</w:t>
      </w:r>
      <w:r>
        <w:tab/>
      </w:r>
      <w:r>
        <w:fldChar w:fldCharType="begin"/>
      </w:r>
      <w:r>
        <w:instrText xml:space="preserve"> PAGEREF _Toc15706 \h </w:instrText>
      </w:r>
      <w:r>
        <w:fldChar w:fldCharType="separate"/>
      </w:r>
      <w:r>
        <w:t>148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_Toc18944 </w:instrText>
      </w:r>
      <w:r>
        <w:rPr>
          <w:highlight w:val="none"/>
        </w:rPr>
        <w:fldChar w:fldCharType="separate"/>
      </w:r>
      <w:r>
        <w:rPr>
          <w:rFonts w:ascii="黑体" w:hAnsi="黑体" w:eastAsia="黑体" w:cs="黑体"/>
          <w:highlight w:val="none"/>
        </w:rPr>
        <w:t>(三)近</w:t>
      </w:r>
      <w:r>
        <w:rPr>
          <w:rFonts w:hint="eastAsia" w:ascii="黑体" w:hAnsi="黑体" w:eastAsia="黑体" w:cs="黑体"/>
          <w:highlight w:val="none"/>
        </w:rPr>
        <w:t>5</w:t>
      </w:r>
      <w:r>
        <w:rPr>
          <w:rFonts w:ascii="黑体" w:hAnsi="黑体" w:eastAsia="黑体" w:cs="黑体"/>
          <w:highlight w:val="none"/>
        </w:rPr>
        <w:t>年完成的类似项目情况表</w:t>
      </w:r>
      <w:r>
        <w:tab/>
      </w:r>
      <w:r>
        <w:fldChar w:fldCharType="begin"/>
      </w:r>
      <w:r>
        <w:instrText xml:space="preserve"> PAGEREF _Toc18944 \h </w:instrText>
      </w:r>
      <w:r>
        <w:fldChar w:fldCharType="separate"/>
      </w:r>
      <w:r>
        <w:t>149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_Toc3900 </w:instrText>
      </w:r>
      <w:r>
        <w:rPr>
          <w:highlight w:val="none"/>
        </w:rPr>
        <w:fldChar w:fldCharType="separate"/>
      </w:r>
      <w:r>
        <w:rPr>
          <w:rFonts w:ascii="黑体" w:hAnsi="黑体" w:eastAsia="黑体" w:cs="黑体"/>
          <w:highlight w:val="none"/>
        </w:rPr>
        <w:t>(四)正在施工的和新承接的项目情况表</w:t>
      </w:r>
      <w:r>
        <w:tab/>
      </w:r>
      <w:r>
        <w:fldChar w:fldCharType="begin"/>
      </w:r>
      <w:r>
        <w:instrText xml:space="preserve"> PAGEREF _Toc3900 \h </w:instrText>
      </w:r>
      <w:r>
        <w:fldChar w:fldCharType="separate"/>
      </w:r>
      <w:r>
        <w:t>150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_Toc5806 </w:instrText>
      </w:r>
      <w:r>
        <w:rPr>
          <w:highlight w:val="none"/>
        </w:rPr>
        <w:fldChar w:fldCharType="separate"/>
      </w:r>
      <w:r>
        <w:rPr>
          <w:rFonts w:ascii="黑体" w:hAnsi="黑体" w:eastAsia="黑体" w:cs="黑体"/>
          <w:highlight w:val="none"/>
        </w:rPr>
        <w:t>(五)近3年发生的诉讼及仲裁情况</w:t>
      </w:r>
      <w:r>
        <w:tab/>
      </w:r>
      <w:r>
        <w:fldChar w:fldCharType="begin"/>
      </w:r>
      <w:r>
        <w:instrText xml:space="preserve"> PAGEREF _Toc5806 \h </w:instrText>
      </w:r>
      <w:r>
        <w:fldChar w:fldCharType="separate"/>
      </w:r>
      <w:r>
        <w:t>151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_Toc28890 </w:instrText>
      </w:r>
      <w:r>
        <w:rPr>
          <w:highlight w:val="none"/>
        </w:rPr>
        <w:fldChar w:fldCharType="separate"/>
      </w:r>
      <w:r>
        <w:rPr>
          <w:rFonts w:ascii="黑体" w:hAnsi="黑体" w:eastAsia="黑体" w:cs="黑体"/>
          <w:highlight w:val="none"/>
        </w:rPr>
        <w:t>(六)资格审查自审表</w:t>
      </w:r>
      <w:r>
        <w:tab/>
      </w:r>
      <w:r>
        <w:fldChar w:fldCharType="begin"/>
      </w:r>
      <w:r>
        <w:instrText xml:space="preserve"> PAGEREF _Toc28890 \h </w:instrText>
      </w:r>
      <w:r>
        <w:fldChar w:fldCharType="separate"/>
      </w:r>
      <w:r>
        <w:t>152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_Toc28415 </w:instrText>
      </w:r>
      <w:r>
        <w:rPr>
          <w:highlight w:val="none"/>
        </w:rPr>
        <w:fldChar w:fldCharType="separate"/>
      </w:r>
      <w:r>
        <w:rPr>
          <w:rFonts w:hint="eastAsia"/>
          <w:szCs w:val="24"/>
          <w:highlight w:val="none"/>
        </w:rPr>
        <w:t>（六）、资格审查自审表</w:t>
      </w:r>
      <w:r>
        <w:tab/>
      </w:r>
      <w:r>
        <w:fldChar w:fldCharType="begin"/>
      </w:r>
      <w:r>
        <w:instrText xml:space="preserve"> PAGEREF _Toc28415 \h </w:instrText>
      </w:r>
      <w:r>
        <w:fldChar w:fldCharType="separate"/>
      </w:r>
      <w:r>
        <w:t>152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_Toc29697 </w:instrText>
      </w:r>
      <w:r>
        <w:rPr>
          <w:highlight w:val="none"/>
        </w:rPr>
        <w:fldChar w:fldCharType="separate"/>
      </w:r>
      <w:r>
        <w:rPr>
          <w:rFonts w:ascii="黑体" w:hAnsi="黑体" w:eastAsia="黑体" w:cs="黑体"/>
          <w:highlight w:val="none"/>
        </w:rPr>
        <w:t>九、原件的复印件</w:t>
      </w:r>
      <w:r>
        <w:tab/>
      </w:r>
      <w:r>
        <w:fldChar w:fldCharType="begin"/>
      </w:r>
      <w:r>
        <w:instrText xml:space="preserve"> PAGEREF _Toc29697 \h </w:instrText>
      </w:r>
      <w:r>
        <w:fldChar w:fldCharType="separate"/>
      </w:r>
      <w:r>
        <w:t>153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_Toc13916 </w:instrText>
      </w:r>
      <w:r>
        <w:rPr>
          <w:highlight w:val="none"/>
        </w:rPr>
        <w:fldChar w:fldCharType="separate"/>
      </w:r>
      <w:r>
        <w:rPr>
          <w:rFonts w:ascii="黑体" w:hAnsi="黑体" w:eastAsia="黑体" w:cs="黑体"/>
          <w:highlight w:val="none"/>
        </w:rPr>
        <w:t>十、投标人告知承诺书</w:t>
      </w:r>
      <w:r>
        <w:tab/>
      </w:r>
      <w:r>
        <w:fldChar w:fldCharType="begin"/>
      </w:r>
      <w:r>
        <w:instrText xml:space="preserve"> PAGEREF _Toc13916 \h </w:instrText>
      </w:r>
      <w:r>
        <w:fldChar w:fldCharType="separate"/>
      </w:r>
      <w:r>
        <w:t>154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_Toc19484 </w:instrText>
      </w:r>
      <w:r>
        <w:rPr>
          <w:highlight w:val="none"/>
        </w:rPr>
        <w:fldChar w:fldCharType="separate"/>
      </w:r>
      <w:r>
        <w:rPr>
          <w:rFonts w:hint="eastAsia" w:ascii="黑体" w:hAnsi="黑体" w:cs="黑体"/>
          <w:szCs w:val="24"/>
          <w:highlight w:val="none"/>
        </w:rPr>
        <w:t>十一、项目经理无在建项目承诺书</w:t>
      </w:r>
      <w:r>
        <w:tab/>
      </w:r>
      <w:r>
        <w:fldChar w:fldCharType="begin"/>
      </w:r>
      <w:r>
        <w:instrText xml:space="preserve"> PAGEREF _Toc19484 \h </w:instrText>
      </w:r>
      <w:r>
        <w:fldChar w:fldCharType="separate"/>
      </w:r>
      <w:r>
        <w:t>156</w:t>
      </w:r>
      <w:r>
        <w:fldChar w:fldCharType="end"/>
      </w:r>
      <w:r>
        <w:rPr>
          <w:highlight w:val="none"/>
        </w:rPr>
        <w:fldChar w:fldCharType="end"/>
      </w:r>
    </w:p>
    <w:p>
      <w:pPr>
        <w:jc w:val="center"/>
        <w:rPr>
          <w:highlight w:val="none"/>
        </w:rPr>
      </w:pPr>
      <w:r>
        <w:rPr>
          <w:highlight w:val="none"/>
        </w:rPr>
        <w:fldChar w:fldCharType="end"/>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color w:val="000080"/>
          <w:sz w:val="20"/>
          <w:highlight w:val="none"/>
        </w:rPr>
      </w:pPr>
      <w:r>
        <w:rPr>
          <w:highlight w:val="none"/>
        </w:rPr>
        <w:br w:type="page"/>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rPr>
          <w:highlight w:val="none"/>
        </w:rPr>
      </w:pPr>
    </w:p>
    <w:p>
      <w:pPr>
        <w:rPr>
          <w:highlight w:val="none"/>
        </w:rPr>
      </w:pPr>
    </w:p>
    <w:p>
      <w:pPr>
        <w:rPr>
          <w:highlight w:val="none"/>
        </w:rPr>
      </w:pPr>
    </w:p>
    <w:p>
      <w:pPr>
        <w:pStyle w:val="3"/>
        <w:spacing w:before="120" w:after="120" w:line="400" w:lineRule="exact"/>
        <w:jc w:val="center"/>
        <w:rPr>
          <w:rFonts w:ascii="宋体" w:hAnsi="宋体"/>
          <w:bCs w:val="0"/>
          <w:color w:val="000000"/>
          <w:sz w:val="51"/>
          <w:szCs w:val="31"/>
          <w:highlight w:val="none"/>
        </w:rPr>
      </w:pPr>
      <w:bookmarkStart w:id="4" w:name="_Toc49869946"/>
      <w:bookmarkStart w:id="5" w:name="_Toc15787"/>
      <w:r>
        <w:rPr>
          <w:rFonts w:hint="eastAsia" w:ascii="宋体" w:hAnsi="宋体"/>
          <w:bCs w:val="0"/>
          <w:color w:val="000000"/>
          <w:sz w:val="51"/>
          <w:szCs w:val="31"/>
          <w:highlight w:val="none"/>
        </w:rPr>
        <w:t>第 一 卷</w:t>
      </w:r>
      <w:bookmarkEnd w:id="4"/>
      <w:bookmarkEnd w:id="5"/>
    </w:p>
    <w:p>
      <w:pPr>
        <w:rPr>
          <w:color w:val="000080"/>
          <w:sz w:val="20"/>
          <w:highlight w:val="none"/>
        </w:rPr>
      </w:pPr>
      <w:r>
        <w:rPr>
          <w:highlight w:val="none"/>
        </w:rPr>
        <w:br w:type="page"/>
      </w:r>
    </w:p>
    <w:p>
      <w:pPr>
        <w:pStyle w:val="3"/>
        <w:numPr>
          <w:ilvl w:val="0"/>
          <w:numId w:val="1"/>
        </w:numPr>
        <w:spacing w:before="120" w:after="120" w:line="400" w:lineRule="exact"/>
        <w:jc w:val="center"/>
        <w:rPr>
          <w:rFonts w:ascii="黑体" w:hAnsi="黑体" w:eastAsia="黑体"/>
          <w:bCs w:val="0"/>
          <w:color w:val="000000"/>
          <w:sz w:val="31"/>
          <w:szCs w:val="31"/>
          <w:highlight w:val="none"/>
        </w:rPr>
      </w:pPr>
      <w:bookmarkStart w:id="6" w:name="_Toc2941"/>
      <w:bookmarkStart w:id="7" w:name="_Toc49869947"/>
      <w:r>
        <w:rPr>
          <w:rFonts w:hint="eastAsia" w:ascii="黑体" w:hAnsi="黑体" w:eastAsia="黑体"/>
          <w:bCs w:val="0"/>
          <w:color w:val="000000"/>
          <w:sz w:val="31"/>
          <w:szCs w:val="31"/>
          <w:highlight w:val="none"/>
        </w:rPr>
        <w:t>招标公告（适用于未进行资格预审）</w:t>
      </w:r>
      <w:bookmarkEnd w:id="6"/>
      <w:bookmarkEnd w:id="7"/>
    </w:p>
    <w:p>
      <w:pPr>
        <w:rPr>
          <w:highlight w:val="none"/>
        </w:rPr>
      </w:pPr>
      <w:bookmarkStart w:id="8" w:name="EB60acb842f7b54cdeabe6df15a9c28e15"/>
    </w:p>
    <w:bookmarkEnd w:id="8"/>
    <w:p>
      <w:pPr>
        <w:spacing w:line="490" w:lineRule="exact"/>
        <w:jc w:val="center"/>
        <w:rPr>
          <w:sz w:val="36"/>
          <w:szCs w:val="36"/>
          <w:highlight w:val="none"/>
          <w:u w:val="single"/>
        </w:rPr>
      </w:pPr>
      <w:r>
        <w:rPr>
          <w:rFonts w:hint="eastAsia"/>
          <w:sz w:val="36"/>
          <w:szCs w:val="36"/>
          <w:highlight w:val="none"/>
        </w:rPr>
        <w:t>盖州市2024年大中型水库移民后期扶持规划项目</w:t>
      </w:r>
    </w:p>
    <w:p>
      <w:pPr>
        <w:snapToGrid w:val="0"/>
        <w:spacing w:line="490" w:lineRule="exact"/>
        <w:jc w:val="center"/>
        <w:rPr>
          <w:b/>
          <w:bCs/>
          <w:spacing w:val="21"/>
          <w:kern w:val="0"/>
          <w:sz w:val="36"/>
          <w:szCs w:val="36"/>
          <w:highlight w:val="none"/>
        </w:rPr>
      </w:pPr>
      <w:r>
        <w:rPr>
          <w:sz w:val="36"/>
          <w:szCs w:val="36"/>
          <w:highlight w:val="none"/>
        </w:rPr>
        <w:t>招标公告</w:t>
      </w:r>
    </w:p>
    <w:p>
      <w:pPr>
        <w:spacing w:line="400" w:lineRule="exact"/>
        <w:rPr>
          <w:color w:val="000000"/>
          <w:sz w:val="20"/>
          <w:szCs w:val="20"/>
          <w:highlight w:val="none"/>
        </w:rPr>
      </w:pPr>
    </w:p>
    <w:tbl>
      <w:tblPr>
        <w:tblStyle w:val="140"/>
        <w:tblW w:w="87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2336"/>
        <w:gridCol w:w="304"/>
        <w:gridCol w:w="315"/>
        <w:gridCol w:w="1526"/>
        <w:gridCol w:w="140"/>
        <w:gridCol w:w="152"/>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26" w:type="dxa"/>
            <w:tcBorders>
              <w:top w:val="single" w:color="000000" w:sz="6" w:space="0"/>
              <w:left w:val="single" w:color="000000" w:sz="6" w:space="0"/>
            </w:tcBorders>
            <w:vAlign w:val="center"/>
          </w:tcPr>
          <w:p>
            <w:pPr>
              <w:pStyle w:val="139"/>
              <w:spacing w:before="60" w:line="250" w:lineRule="auto"/>
              <w:ind w:left="644" w:right="208" w:hanging="432"/>
              <w:rPr>
                <w:sz w:val="18"/>
                <w:szCs w:val="18"/>
                <w:lang w:eastAsia="zh-CN"/>
              </w:rPr>
            </w:pPr>
            <w:bookmarkStart w:id="9" w:name="EB1da8b44805024ba19c6d7d530e4bfca8"/>
            <w:bookmarkEnd w:id="9"/>
            <w:r>
              <w:rPr>
                <w:spacing w:val="-2"/>
                <w:sz w:val="18"/>
                <w:szCs w:val="18"/>
              </w:rPr>
              <w:t>项目</w:t>
            </w:r>
            <w:r>
              <w:rPr>
                <w:rFonts w:hint="eastAsia"/>
                <w:spacing w:val="-2"/>
                <w:sz w:val="18"/>
                <w:szCs w:val="18"/>
                <w:lang w:eastAsia="zh-CN"/>
              </w:rPr>
              <w:t>地址</w:t>
            </w:r>
          </w:p>
        </w:tc>
        <w:tc>
          <w:tcPr>
            <w:tcW w:w="2955" w:type="dxa"/>
            <w:gridSpan w:val="3"/>
            <w:tcBorders>
              <w:top w:val="single" w:color="000000" w:sz="6" w:space="0"/>
            </w:tcBorders>
            <w:vAlign w:val="center"/>
          </w:tcPr>
          <w:p>
            <w:pPr>
              <w:pStyle w:val="139"/>
              <w:spacing w:before="216" w:line="220" w:lineRule="auto"/>
              <w:ind w:left="615"/>
              <w:rPr>
                <w:sz w:val="18"/>
                <w:szCs w:val="18"/>
              </w:rPr>
            </w:pPr>
            <w:r>
              <w:rPr>
                <w:spacing w:val="-2"/>
                <w:sz w:val="18"/>
                <w:szCs w:val="18"/>
              </w:rPr>
              <w:t>辽宁省营口市盖州市</w:t>
            </w:r>
          </w:p>
        </w:tc>
        <w:tc>
          <w:tcPr>
            <w:tcW w:w="1526" w:type="dxa"/>
            <w:tcBorders>
              <w:top w:val="single" w:color="000000" w:sz="6" w:space="0"/>
            </w:tcBorders>
            <w:vAlign w:val="center"/>
          </w:tcPr>
          <w:p>
            <w:pPr>
              <w:pStyle w:val="139"/>
              <w:spacing w:before="216" w:line="221" w:lineRule="auto"/>
              <w:ind w:left="243"/>
              <w:rPr>
                <w:sz w:val="18"/>
                <w:szCs w:val="18"/>
              </w:rPr>
            </w:pPr>
            <w:r>
              <w:rPr>
                <w:spacing w:val="-2"/>
                <w:sz w:val="18"/>
                <w:szCs w:val="18"/>
              </w:rPr>
              <w:t>招标人名称</w:t>
            </w:r>
          </w:p>
        </w:tc>
        <w:tc>
          <w:tcPr>
            <w:tcW w:w="2682" w:type="dxa"/>
            <w:gridSpan w:val="3"/>
            <w:tcBorders>
              <w:top w:val="single" w:color="000000" w:sz="6" w:space="0"/>
              <w:right w:val="single" w:color="000000" w:sz="6" w:space="0"/>
            </w:tcBorders>
            <w:vAlign w:val="center"/>
          </w:tcPr>
          <w:p>
            <w:pPr>
              <w:pStyle w:val="139"/>
              <w:spacing w:before="61" w:line="247" w:lineRule="auto"/>
              <w:ind w:left="800" w:right="152" w:hanging="631"/>
              <w:rPr>
                <w:sz w:val="18"/>
                <w:szCs w:val="18"/>
                <w:lang w:eastAsia="zh-CN"/>
              </w:rPr>
            </w:pPr>
            <w:r>
              <w:rPr>
                <w:rFonts w:hint="eastAsia"/>
                <w:spacing w:val="-1"/>
                <w:sz w:val="18"/>
                <w:szCs w:val="18"/>
                <w:lang w:eastAsia="zh-CN"/>
              </w:rPr>
              <w:t>盖州市水利事务中心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318"/>
              <w:rPr>
                <w:sz w:val="18"/>
                <w:szCs w:val="18"/>
              </w:rPr>
            </w:pPr>
            <w:r>
              <w:rPr>
                <w:spacing w:val="-3"/>
                <w:sz w:val="18"/>
                <w:szCs w:val="18"/>
              </w:rPr>
              <w:t>项目名称</w:t>
            </w:r>
          </w:p>
        </w:tc>
        <w:tc>
          <w:tcPr>
            <w:tcW w:w="2955" w:type="dxa"/>
            <w:gridSpan w:val="3"/>
            <w:vAlign w:val="center"/>
          </w:tcPr>
          <w:p>
            <w:pPr>
              <w:pStyle w:val="139"/>
              <w:spacing w:before="52" w:line="247" w:lineRule="auto"/>
              <w:ind w:left="1149" w:right="133" w:hanging="1008"/>
              <w:rPr>
                <w:sz w:val="18"/>
                <w:szCs w:val="18"/>
                <w:lang w:eastAsia="zh-CN"/>
              </w:rPr>
            </w:pPr>
            <w:r>
              <w:rPr>
                <w:rFonts w:hint="eastAsia"/>
                <w:sz w:val="18"/>
                <w:szCs w:val="18"/>
                <w:lang w:eastAsia="zh-CN"/>
              </w:rPr>
              <w:t>盖州市2024年大中型水库移民后期扶持规划项目</w:t>
            </w:r>
          </w:p>
        </w:tc>
        <w:tc>
          <w:tcPr>
            <w:tcW w:w="1526" w:type="dxa"/>
            <w:vAlign w:val="center"/>
          </w:tcPr>
          <w:p>
            <w:pPr>
              <w:pStyle w:val="139"/>
              <w:spacing w:before="207" w:line="221" w:lineRule="auto"/>
              <w:ind w:left="351"/>
              <w:rPr>
                <w:sz w:val="18"/>
                <w:szCs w:val="18"/>
              </w:rPr>
            </w:pPr>
            <w:r>
              <w:rPr>
                <w:spacing w:val="-3"/>
                <w:sz w:val="18"/>
                <w:szCs w:val="18"/>
              </w:rPr>
              <w:t>项目编号</w:t>
            </w:r>
          </w:p>
        </w:tc>
        <w:tc>
          <w:tcPr>
            <w:tcW w:w="2682" w:type="dxa"/>
            <w:gridSpan w:val="3"/>
            <w:tcBorders>
              <w:right w:val="single" w:color="000000" w:sz="6" w:space="0"/>
            </w:tcBorders>
            <w:vAlign w:val="center"/>
          </w:tcPr>
          <w:p>
            <w:pPr>
              <w:pStyle w:val="139"/>
              <w:spacing w:before="242" w:line="183" w:lineRule="auto"/>
              <w:rPr>
                <w:sz w:val="18"/>
                <w:szCs w:val="18"/>
              </w:rPr>
            </w:pPr>
            <w:r>
              <w:rPr>
                <w:rFonts w:hint="eastAsia" w:ascii="仿宋_GB2312" w:eastAsia="仿宋_GB2312"/>
                <w:sz w:val="18"/>
                <w:szCs w:val="18"/>
                <w:lang w:eastAsia="zh-CN"/>
              </w:rPr>
              <w:t>202421080022965498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spacing w:val="-4"/>
                <w:sz w:val="18"/>
                <w:szCs w:val="18"/>
              </w:rPr>
              <w:t>资金来源</w:t>
            </w:r>
            <w:r>
              <w:rPr>
                <w:rFonts w:hint="eastAsia"/>
                <w:spacing w:val="-4"/>
                <w:sz w:val="18"/>
                <w:szCs w:val="18"/>
                <w:lang w:eastAsia="zh-CN"/>
              </w:rPr>
              <w:t>及比例</w:t>
            </w:r>
          </w:p>
        </w:tc>
        <w:tc>
          <w:tcPr>
            <w:tcW w:w="2955" w:type="dxa"/>
            <w:gridSpan w:val="3"/>
            <w:vAlign w:val="center"/>
          </w:tcPr>
          <w:p>
            <w:pPr>
              <w:pStyle w:val="139"/>
              <w:spacing w:before="196" w:line="221" w:lineRule="auto"/>
              <w:ind w:left="905"/>
              <w:rPr>
                <w:sz w:val="18"/>
                <w:szCs w:val="18"/>
              </w:rPr>
            </w:pPr>
            <w:r>
              <w:rPr>
                <w:rFonts w:hint="eastAsia"/>
                <w:spacing w:val="-5"/>
                <w:sz w:val="18"/>
                <w:szCs w:val="18"/>
                <w:lang w:eastAsia="zh-CN"/>
              </w:rPr>
              <w:t>中央</w:t>
            </w:r>
            <w:r>
              <w:rPr>
                <w:spacing w:val="-5"/>
                <w:sz w:val="18"/>
                <w:szCs w:val="18"/>
              </w:rPr>
              <w:t>资金</w:t>
            </w:r>
            <w:r>
              <w:rPr>
                <w:spacing w:val="-23"/>
                <w:sz w:val="18"/>
                <w:szCs w:val="18"/>
              </w:rPr>
              <w:t xml:space="preserve"> </w:t>
            </w:r>
            <w:r>
              <w:rPr>
                <w:spacing w:val="-5"/>
                <w:sz w:val="18"/>
                <w:szCs w:val="18"/>
              </w:rPr>
              <w:t>100%</w:t>
            </w:r>
          </w:p>
        </w:tc>
        <w:tc>
          <w:tcPr>
            <w:tcW w:w="1526" w:type="dxa"/>
            <w:vAlign w:val="center"/>
          </w:tcPr>
          <w:p>
            <w:pPr>
              <w:pStyle w:val="139"/>
              <w:spacing w:before="197" w:line="221" w:lineRule="auto"/>
              <w:ind w:left="348"/>
              <w:rPr>
                <w:sz w:val="18"/>
                <w:szCs w:val="18"/>
              </w:rPr>
            </w:pPr>
            <w:r>
              <w:rPr>
                <w:spacing w:val="-2"/>
                <w:sz w:val="18"/>
                <w:szCs w:val="18"/>
              </w:rPr>
              <w:t>招标方式</w:t>
            </w:r>
          </w:p>
        </w:tc>
        <w:tc>
          <w:tcPr>
            <w:tcW w:w="2682" w:type="dxa"/>
            <w:gridSpan w:val="3"/>
            <w:tcBorders>
              <w:right w:val="single" w:color="000000" w:sz="6" w:space="0"/>
            </w:tcBorders>
            <w:vAlign w:val="center"/>
          </w:tcPr>
          <w:p>
            <w:pPr>
              <w:pStyle w:val="139"/>
              <w:spacing w:before="197" w:line="221" w:lineRule="auto"/>
              <w:ind w:left="803"/>
              <w:rPr>
                <w:sz w:val="18"/>
                <w:szCs w:val="18"/>
              </w:rPr>
            </w:pPr>
            <w:r>
              <w:rPr>
                <w:spacing w:val="-3"/>
                <w:sz w:val="18"/>
                <w:szCs w:val="18"/>
              </w:rPr>
              <w:t>公开招标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212"/>
              <w:rPr>
                <w:sz w:val="18"/>
                <w:szCs w:val="18"/>
              </w:rPr>
            </w:pPr>
            <w:r>
              <w:rPr>
                <w:spacing w:val="-2"/>
                <w:sz w:val="18"/>
                <w:szCs w:val="18"/>
              </w:rPr>
              <w:t>项目总投资</w:t>
            </w:r>
          </w:p>
        </w:tc>
        <w:tc>
          <w:tcPr>
            <w:tcW w:w="2955" w:type="dxa"/>
            <w:gridSpan w:val="3"/>
            <w:vAlign w:val="center"/>
          </w:tcPr>
          <w:p>
            <w:pPr>
              <w:pStyle w:val="139"/>
              <w:spacing w:before="208" w:line="221" w:lineRule="auto"/>
              <w:ind w:left="1062"/>
              <w:rPr>
                <w:sz w:val="18"/>
                <w:szCs w:val="18"/>
              </w:rPr>
            </w:pPr>
            <w:r>
              <w:rPr>
                <w:rFonts w:hint="eastAsia"/>
                <w:spacing w:val="-33"/>
                <w:sz w:val="18"/>
                <w:szCs w:val="18"/>
                <w:lang w:eastAsia="zh-CN"/>
              </w:rPr>
              <w:t>1533</w:t>
            </w:r>
            <w:r>
              <w:rPr>
                <w:spacing w:val="-3"/>
                <w:sz w:val="18"/>
                <w:szCs w:val="18"/>
              </w:rPr>
              <w:t>万元</w:t>
            </w:r>
          </w:p>
        </w:tc>
        <w:tc>
          <w:tcPr>
            <w:tcW w:w="1526" w:type="dxa"/>
            <w:vAlign w:val="center"/>
          </w:tcPr>
          <w:p>
            <w:pPr>
              <w:pStyle w:val="139"/>
              <w:spacing w:before="51" w:line="249" w:lineRule="auto"/>
              <w:ind w:left="661" w:right="127" w:hanging="522"/>
              <w:rPr>
                <w:sz w:val="18"/>
                <w:szCs w:val="18"/>
              </w:rPr>
            </w:pPr>
            <w:r>
              <w:rPr>
                <w:spacing w:val="-15"/>
                <w:sz w:val="18"/>
                <w:szCs w:val="18"/>
              </w:rPr>
              <w:t>标段（包）</w:t>
            </w:r>
            <w:r>
              <w:rPr>
                <w:spacing w:val="-23"/>
                <w:sz w:val="18"/>
                <w:szCs w:val="18"/>
              </w:rPr>
              <w:t xml:space="preserve"> </w:t>
            </w:r>
            <w:r>
              <w:rPr>
                <w:spacing w:val="-15"/>
                <w:sz w:val="18"/>
                <w:szCs w:val="18"/>
              </w:rPr>
              <w:t>数</w:t>
            </w:r>
            <w:r>
              <w:rPr>
                <w:sz w:val="18"/>
                <w:szCs w:val="18"/>
              </w:rPr>
              <w:t xml:space="preserve"> 量</w:t>
            </w:r>
          </w:p>
        </w:tc>
        <w:tc>
          <w:tcPr>
            <w:tcW w:w="2682" w:type="dxa"/>
            <w:gridSpan w:val="3"/>
            <w:tcBorders>
              <w:right w:val="single" w:color="000000" w:sz="6" w:space="0"/>
            </w:tcBorders>
            <w:vAlign w:val="center"/>
          </w:tcPr>
          <w:p>
            <w:pPr>
              <w:pStyle w:val="139"/>
              <w:spacing w:before="242" w:line="183" w:lineRule="auto"/>
              <w:ind w:left="1180"/>
              <w:rPr>
                <w:sz w:val="18"/>
                <w:szCs w:val="18"/>
                <w:lang w:eastAsia="zh-CN"/>
              </w:rPr>
            </w:pPr>
            <w:r>
              <w:rPr>
                <w:rFonts w:hint="eastAsia"/>
                <w:sz w:val="18"/>
                <w:szCs w:val="18"/>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1626" w:type="dxa"/>
            <w:tcBorders>
              <w:left w:val="single" w:color="000000" w:sz="6" w:space="0"/>
            </w:tcBorders>
            <w:vAlign w:val="center"/>
          </w:tcPr>
          <w:p>
            <w:pPr>
              <w:spacing w:line="256" w:lineRule="auto"/>
              <w:rPr>
                <w:rFonts w:ascii="Arial"/>
                <w:sz w:val="18"/>
                <w:szCs w:val="18"/>
              </w:rPr>
            </w:pPr>
          </w:p>
          <w:p>
            <w:pPr>
              <w:spacing w:line="256" w:lineRule="auto"/>
              <w:rPr>
                <w:rFonts w:ascii="Arial"/>
                <w:sz w:val="18"/>
                <w:szCs w:val="18"/>
              </w:rPr>
            </w:pPr>
          </w:p>
          <w:p>
            <w:pPr>
              <w:pStyle w:val="139"/>
              <w:spacing w:before="68" w:line="221" w:lineRule="auto"/>
              <w:ind w:left="318"/>
              <w:rPr>
                <w:sz w:val="18"/>
                <w:szCs w:val="18"/>
              </w:rPr>
            </w:pPr>
            <w:r>
              <w:rPr>
                <w:spacing w:val="-3"/>
                <w:sz w:val="18"/>
                <w:szCs w:val="18"/>
              </w:rPr>
              <w:t>项目规模</w:t>
            </w:r>
          </w:p>
        </w:tc>
        <w:tc>
          <w:tcPr>
            <w:tcW w:w="7163" w:type="dxa"/>
            <w:gridSpan w:val="7"/>
            <w:tcBorders>
              <w:right w:val="single" w:color="000000" w:sz="6" w:space="0"/>
            </w:tcBorders>
            <w:vAlign w:val="center"/>
          </w:tcPr>
          <w:p>
            <w:pPr>
              <w:pStyle w:val="139"/>
              <w:spacing w:line="220" w:lineRule="auto"/>
              <w:ind w:left="129"/>
              <w:rPr>
                <w:sz w:val="18"/>
                <w:szCs w:val="18"/>
                <w:lang w:eastAsia="zh-CN"/>
              </w:rPr>
            </w:pPr>
            <w:r>
              <w:rPr>
                <w:rFonts w:hint="eastAsia"/>
                <w:sz w:val="18"/>
                <w:szCs w:val="18"/>
                <w:lang w:eastAsia="zh-CN"/>
              </w:rPr>
              <w:t xml:space="preserve"> 盖州市2024年大中型水库移民后期扶持规划项目（道路工程）涉及万福镇、高屯镇、梁屯镇等9个镇、办事处17个村，共修建混凝土道路306条，道路全长29031m，道路面积86912平方米；广场1处，面积633平方米，配套户外健身器材20套。</w:t>
            </w:r>
          </w:p>
          <w:p>
            <w:pPr>
              <w:pStyle w:val="139"/>
              <w:spacing w:line="220" w:lineRule="auto"/>
              <w:ind w:left="129"/>
              <w:rPr>
                <w:sz w:val="18"/>
                <w:szCs w:val="18"/>
                <w:lang w:eastAsia="zh-CN"/>
              </w:rPr>
            </w:pPr>
            <w:r>
              <w:rPr>
                <w:rFonts w:hint="eastAsia"/>
                <w:sz w:val="18"/>
                <w:szCs w:val="18"/>
                <w:lang w:eastAsia="zh-CN"/>
              </w:rPr>
              <w:t>盖州市2024年大中型水库移民后期扶持规划项目（水利工程）涉及什字街镇鹰嘴石村河道治理工程右岸固滨笼挡墙护岸500m，万福镇洪屯村河道治理工程河道护岸1547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789" w:type="dxa"/>
            <w:gridSpan w:val="8"/>
            <w:tcBorders>
              <w:left w:val="single" w:color="000000" w:sz="6" w:space="0"/>
              <w:right w:val="single" w:color="000000" w:sz="6" w:space="0"/>
            </w:tcBorders>
            <w:vAlign w:val="center"/>
          </w:tcPr>
          <w:p>
            <w:pPr>
              <w:pStyle w:val="139"/>
              <w:spacing w:line="220" w:lineRule="auto"/>
              <w:ind w:left="129"/>
              <w:jc w:val="center"/>
              <w:rPr>
                <w:sz w:val="18"/>
                <w:szCs w:val="18"/>
                <w:lang w:eastAsia="zh-CN"/>
              </w:rPr>
            </w:pPr>
            <w:r>
              <w:rPr>
                <w:rFonts w:hint="eastAsia"/>
                <w:sz w:val="18"/>
                <w:szCs w:val="18"/>
                <w:lang w:eastAsia="zh-CN"/>
              </w:rPr>
              <w:t>一标段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955" w:type="dxa"/>
            <w:gridSpan w:val="3"/>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盖州市2024年大中型水库移民后期扶持规划项目（道路工程）施工一标段</w:t>
            </w:r>
          </w:p>
        </w:tc>
        <w:tc>
          <w:tcPr>
            <w:tcW w:w="1526" w:type="dxa"/>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682" w:type="dxa"/>
            <w:gridSpan w:val="3"/>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955" w:type="dxa"/>
            <w:gridSpan w:val="3"/>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1526" w:type="dxa"/>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682" w:type="dxa"/>
            <w:gridSpan w:val="3"/>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12" w:line="221" w:lineRule="auto"/>
              <w:rPr>
                <w:sz w:val="18"/>
                <w:szCs w:val="18"/>
                <w:lang w:eastAsia="zh-CN"/>
              </w:rPr>
            </w:pPr>
            <w:r>
              <w:rPr>
                <w:rFonts w:hint="eastAsia"/>
                <w:spacing w:val="-4"/>
                <w:sz w:val="18"/>
                <w:szCs w:val="18"/>
                <w:lang w:eastAsia="zh-CN"/>
              </w:rPr>
              <w:t>投标人</w:t>
            </w:r>
            <w:r>
              <w:rPr>
                <w:spacing w:val="-4"/>
                <w:sz w:val="18"/>
                <w:szCs w:val="18"/>
              </w:rPr>
              <w:t>资质</w:t>
            </w:r>
            <w:r>
              <w:rPr>
                <w:rFonts w:hint="eastAsia"/>
                <w:spacing w:val="-4"/>
                <w:sz w:val="18"/>
                <w:szCs w:val="18"/>
                <w:lang w:eastAsia="zh-CN"/>
              </w:rPr>
              <w:t>条件</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pacing w:val="-4"/>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rFonts w:ascii="宋体" w:hAnsi="宋体" w:cs="宋体"/>
                <w:color w:val="000000"/>
                <w:kern w:val="0"/>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626" w:type="dxa"/>
            <w:tcBorders>
              <w:lef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r>
              <w:rPr>
                <w:rFonts w:hint="eastAsia"/>
                <w:sz w:val="18"/>
                <w:szCs w:val="18"/>
                <w:lang w:eastAsia="zh-CN"/>
              </w:rPr>
              <w:t>万福镇贵子沟村村路工程、万福镇前徐堡村村路工程、万福镇石岭村村路工程、梁屯镇杨村村路工程、什字街镇什字街村村路工程、什字街镇马屯村村路工程。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955" w:type="dxa"/>
            <w:gridSpan w:val="3"/>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spacing w:val="-10"/>
                <w:sz w:val="18"/>
                <w:szCs w:val="18"/>
              </w:rPr>
              <w:t>万元</w:t>
            </w:r>
          </w:p>
        </w:tc>
        <w:tc>
          <w:tcPr>
            <w:tcW w:w="1526" w:type="dxa"/>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682" w:type="dxa"/>
            <w:gridSpan w:val="3"/>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955" w:type="dxa"/>
            <w:gridSpan w:val="3"/>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1526" w:type="dxa"/>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682" w:type="dxa"/>
            <w:gridSpan w:val="3"/>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合同估算价</w:t>
            </w:r>
          </w:p>
        </w:tc>
        <w:tc>
          <w:tcPr>
            <w:tcW w:w="2336" w:type="dxa"/>
            <w:tcBorders>
              <w:right w:val="single" w:color="000000" w:sz="6" w:space="0"/>
            </w:tcBorders>
            <w:vAlign w:val="center"/>
          </w:tcPr>
          <w:p>
            <w:pPr>
              <w:pStyle w:val="139"/>
              <w:spacing w:before="195" w:line="221" w:lineRule="auto"/>
              <w:rPr>
                <w:color w:val="000000"/>
                <w:kern w:val="0"/>
                <w:sz w:val="18"/>
                <w:szCs w:val="18"/>
                <w:lang w:eastAsia="zh-CN"/>
              </w:rPr>
            </w:pPr>
            <w:r>
              <w:rPr>
                <w:rFonts w:hint="eastAsia"/>
                <w:spacing w:val="-6"/>
                <w:sz w:val="18"/>
                <w:szCs w:val="18"/>
                <w:lang w:eastAsia="zh-CN"/>
              </w:rPr>
              <w:t>341.23</w:t>
            </w:r>
            <w:r>
              <w:rPr>
                <w:spacing w:val="-39"/>
                <w:sz w:val="18"/>
                <w:szCs w:val="18"/>
              </w:rPr>
              <w:t xml:space="preserve"> </w:t>
            </w:r>
            <w:r>
              <w:rPr>
                <w:spacing w:val="-6"/>
                <w:sz w:val="18"/>
                <w:szCs w:val="18"/>
              </w:rPr>
              <w:t>万元</w:t>
            </w:r>
          </w:p>
        </w:tc>
        <w:tc>
          <w:tcPr>
            <w:tcW w:w="2285" w:type="dxa"/>
            <w:gridSpan w:val="4"/>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标段（包）文件售价</w:t>
            </w:r>
          </w:p>
        </w:tc>
        <w:tc>
          <w:tcPr>
            <w:tcW w:w="2542" w:type="dxa"/>
            <w:gridSpan w:val="2"/>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89" w:type="dxa"/>
            <w:gridSpan w:val="8"/>
            <w:tcBorders>
              <w:left w:val="single" w:color="000000" w:sz="6" w:space="0"/>
              <w:right w:val="single" w:color="000000" w:sz="6" w:space="0"/>
            </w:tcBorders>
            <w:vAlign w:val="center"/>
          </w:tcPr>
          <w:p>
            <w:pPr>
              <w:pStyle w:val="139"/>
              <w:spacing w:before="52" w:line="247" w:lineRule="auto"/>
              <w:ind w:left="210" w:right="109" w:hanging="59"/>
              <w:jc w:val="center"/>
              <w:rPr>
                <w:sz w:val="18"/>
                <w:szCs w:val="18"/>
                <w:lang w:eastAsia="zh-CN"/>
              </w:rPr>
            </w:pPr>
            <w:r>
              <w:rPr>
                <w:rFonts w:hint="eastAsia"/>
                <w:sz w:val="18"/>
                <w:szCs w:val="18"/>
                <w:lang w:eastAsia="zh-CN"/>
              </w:rPr>
              <w:t>二标段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336" w:type="dxa"/>
            <w:tcBorders>
              <w:right w:val="single" w:color="000000" w:sz="6" w:space="0"/>
            </w:tcBorders>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盖州市2024年大中型水库移民后期扶持规划项目（道路工程）施工二标段</w:t>
            </w:r>
          </w:p>
        </w:tc>
        <w:tc>
          <w:tcPr>
            <w:tcW w:w="2285" w:type="dxa"/>
            <w:gridSpan w:val="4"/>
            <w:tcBorders>
              <w:right w:val="single" w:color="000000" w:sz="6" w:space="0"/>
            </w:tcBorders>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542" w:type="dxa"/>
            <w:gridSpan w:val="2"/>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336" w:type="dxa"/>
            <w:tcBorders>
              <w:right w:val="single" w:color="000000" w:sz="6" w:space="0"/>
            </w:tcBorders>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2285" w:type="dxa"/>
            <w:gridSpan w:val="4"/>
            <w:tcBorders>
              <w:right w:val="single" w:color="000000" w:sz="6" w:space="0"/>
            </w:tcBorders>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542" w:type="dxa"/>
            <w:gridSpan w:val="2"/>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p>
          <w:p>
            <w:pPr>
              <w:pStyle w:val="139"/>
              <w:spacing w:line="181" w:lineRule="auto"/>
              <w:ind w:left="113"/>
              <w:rPr>
                <w:sz w:val="18"/>
                <w:szCs w:val="18"/>
                <w:lang w:eastAsia="zh-CN"/>
              </w:rPr>
            </w:pPr>
            <w:r>
              <w:rPr>
                <w:rFonts w:hint="eastAsia"/>
                <w:sz w:val="18"/>
                <w:szCs w:val="18"/>
                <w:lang w:eastAsia="zh-CN"/>
              </w:rPr>
              <w:t>高屯镇大胡峪村村路工程、高屯镇和美村村路工程、卧龙泉镇卧龙泉村村路工程、团山街道办事处任屯村村路工程、团山街道办事处李漠洛村村路工程、</w:t>
            </w:r>
          </w:p>
          <w:p>
            <w:pPr>
              <w:pStyle w:val="139"/>
              <w:spacing w:line="181" w:lineRule="auto"/>
              <w:ind w:left="113"/>
              <w:rPr>
                <w:sz w:val="18"/>
                <w:szCs w:val="18"/>
                <w:lang w:eastAsia="zh-CN"/>
              </w:rPr>
            </w:pPr>
            <w:r>
              <w:rPr>
                <w:rFonts w:hint="eastAsia"/>
                <w:sz w:val="18"/>
                <w:szCs w:val="18"/>
                <w:lang w:eastAsia="zh-CN"/>
              </w:rPr>
              <w:t>九寨镇赵丁屯村村路工程。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336" w:type="dxa"/>
            <w:tcBorders>
              <w:right w:val="single" w:color="000000" w:sz="6" w:space="0"/>
            </w:tcBorders>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rFonts w:hint="eastAsia"/>
                <w:spacing w:val="-39"/>
                <w:sz w:val="18"/>
                <w:szCs w:val="18"/>
                <w:lang w:eastAsia="zh-CN"/>
              </w:rPr>
              <w:t>.5</w:t>
            </w:r>
            <w:r>
              <w:rPr>
                <w:spacing w:val="-10"/>
                <w:sz w:val="18"/>
                <w:szCs w:val="18"/>
              </w:rPr>
              <w:t>万元</w:t>
            </w:r>
          </w:p>
        </w:tc>
        <w:tc>
          <w:tcPr>
            <w:tcW w:w="2285" w:type="dxa"/>
            <w:gridSpan w:val="4"/>
            <w:tcBorders>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542" w:type="dxa"/>
            <w:gridSpan w:val="2"/>
            <w:tcBorders>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336" w:type="dxa"/>
            <w:tcBorders>
              <w:right w:val="single" w:color="000000" w:sz="6" w:space="0"/>
            </w:tcBorders>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285" w:type="dxa"/>
            <w:gridSpan w:val="4"/>
            <w:tcBorders>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542" w:type="dxa"/>
            <w:gridSpan w:val="2"/>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43"/>
                <w:sz w:val="18"/>
                <w:szCs w:val="18"/>
              </w:rPr>
              <w:t xml:space="preserve"> </w:t>
            </w:r>
            <w:r>
              <w:rPr>
                <w:spacing w:val="-7"/>
                <w:sz w:val="18"/>
                <w:szCs w:val="18"/>
              </w:rPr>
              <w:t>年</w:t>
            </w:r>
            <w:r>
              <w:rPr>
                <w:spacing w:val="-39"/>
                <w:sz w:val="18"/>
                <w:szCs w:val="18"/>
              </w:rPr>
              <w:t xml:space="preserve"> </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z w:val="18"/>
                <w:szCs w:val="18"/>
              </w:rPr>
            </w:pPr>
            <w:r>
              <w:rPr>
                <w:spacing w:val="-2"/>
                <w:sz w:val="18"/>
                <w:szCs w:val="18"/>
              </w:rPr>
              <w:t>合同估算价</w:t>
            </w:r>
          </w:p>
        </w:tc>
        <w:tc>
          <w:tcPr>
            <w:tcW w:w="2640" w:type="dxa"/>
            <w:gridSpan w:val="2"/>
            <w:tcBorders>
              <w:right w:val="single" w:color="000000" w:sz="6" w:space="0"/>
            </w:tcBorders>
            <w:vAlign w:val="center"/>
          </w:tcPr>
          <w:p>
            <w:pPr>
              <w:pStyle w:val="139"/>
              <w:spacing w:before="195" w:line="221" w:lineRule="auto"/>
              <w:rPr>
                <w:sz w:val="18"/>
                <w:szCs w:val="18"/>
              </w:rPr>
            </w:pPr>
            <w:r>
              <w:rPr>
                <w:rFonts w:hint="eastAsia"/>
                <w:spacing w:val="-6"/>
                <w:sz w:val="18"/>
                <w:szCs w:val="18"/>
                <w:lang w:eastAsia="zh-CN"/>
              </w:rPr>
              <w:t>378.28</w:t>
            </w:r>
            <w:r>
              <w:rPr>
                <w:spacing w:val="-39"/>
                <w:sz w:val="18"/>
                <w:szCs w:val="18"/>
              </w:rPr>
              <w:t xml:space="preserve"> </w:t>
            </w:r>
            <w:r>
              <w:rPr>
                <w:spacing w:val="-6"/>
                <w:sz w:val="18"/>
                <w:szCs w:val="18"/>
              </w:rPr>
              <w:t>万元</w:t>
            </w:r>
          </w:p>
        </w:tc>
        <w:tc>
          <w:tcPr>
            <w:tcW w:w="2133" w:type="dxa"/>
            <w:gridSpan w:val="4"/>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标段（包）文件售价</w:t>
            </w:r>
          </w:p>
        </w:tc>
        <w:tc>
          <w:tcPr>
            <w:tcW w:w="2390" w:type="dxa"/>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三标段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盖州市2024年大中型水库移民后期扶持规划项目（道路工程）施工三标段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bookmarkStart w:id="649" w:name="_GoBack"/>
            <w:bookmarkEnd w:id="649"/>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太阳升街道办事处光荣村村路工程、东城街道办事处路西村村路工程、东城街道办事处古台子村村路工程、东城街道办事处张郎寨村村路工程、东城街道办事处胡屯村村路工程.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ind w:left="693"/>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pacing w:val="-2"/>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217.16</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四标段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盖州市2024年大中型水库移民后期扶持规划项目（水利工程）施工四标段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万福镇洪屯村河道治理工程河道护岸1547m。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205.22</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245" w:line="183" w:lineRule="auto"/>
              <w:ind w:left="117"/>
              <w:jc w:val="center"/>
              <w:rPr>
                <w:sz w:val="18"/>
                <w:szCs w:val="18"/>
                <w:lang w:eastAsia="zh-CN"/>
              </w:rPr>
            </w:pPr>
            <w:r>
              <w:rPr>
                <w:rFonts w:hint="eastAsia"/>
                <w:sz w:val="18"/>
                <w:szCs w:val="18"/>
                <w:lang w:eastAsia="zh-CN"/>
              </w:rPr>
              <w:t>五标段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盖州市2024年大中型水库移民后期扶持规划项目（水利工程）施工五标段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什字街镇鹰嘴石村河道治理工程右岸固滨笼挡墙护岸500m，什字街镇于屯村河道治理工程什字街河于屯村段河道右岸绿滨垫护岸1394m，新建截潜坝1座。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2.5</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5/</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spacing w:val="-39"/>
                <w:sz w:val="18"/>
                <w:szCs w:val="18"/>
              </w:rPr>
              <w:t xml:space="preserve"> </w:t>
            </w:r>
            <w:r>
              <w:rPr>
                <w:rFonts w:hint="eastAsia"/>
                <w:spacing w:val="-7"/>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277.59</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8" w:lineRule="auto"/>
              <w:ind w:left="314" w:right="208" w:hanging="102"/>
              <w:rPr>
                <w:sz w:val="18"/>
                <w:szCs w:val="18"/>
              </w:rPr>
            </w:pPr>
            <w:r>
              <w:rPr>
                <w:spacing w:val="-2"/>
                <w:sz w:val="18"/>
                <w:szCs w:val="18"/>
              </w:rPr>
              <w:t>是否接受联</w:t>
            </w:r>
            <w:r>
              <w:rPr>
                <w:spacing w:val="1"/>
                <w:sz w:val="18"/>
                <w:szCs w:val="18"/>
              </w:rPr>
              <w:t xml:space="preserve"> </w:t>
            </w:r>
            <w:r>
              <w:rPr>
                <w:spacing w:val="-2"/>
                <w:sz w:val="18"/>
                <w:szCs w:val="18"/>
              </w:rPr>
              <w:t>合体投标</w:t>
            </w:r>
          </w:p>
        </w:tc>
        <w:tc>
          <w:tcPr>
            <w:tcW w:w="7163" w:type="dxa"/>
            <w:gridSpan w:val="7"/>
            <w:tcBorders>
              <w:right w:val="single" w:color="000000" w:sz="6" w:space="0"/>
            </w:tcBorders>
            <w:vAlign w:val="center"/>
          </w:tcPr>
          <w:p>
            <w:pPr>
              <w:pStyle w:val="139"/>
              <w:spacing w:before="209" w:line="221" w:lineRule="auto"/>
              <w:ind w:left="2695"/>
              <w:rPr>
                <w:sz w:val="18"/>
                <w:szCs w:val="18"/>
              </w:rPr>
            </w:pPr>
            <w:r>
              <w:rPr>
                <w:spacing w:val="-1"/>
                <w:sz w:val="18"/>
                <w:szCs w:val="18"/>
              </w:rPr>
              <w:t>不接受联合体投标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196" w:line="221" w:lineRule="auto"/>
              <w:ind w:left="318"/>
              <w:rPr>
                <w:sz w:val="18"/>
                <w:szCs w:val="18"/>
              </w:rPr>
            </w:pPr>
            <w:r>
              <w:rPr>
                <w:spacing w:val="-3"/>
                <w:sz w:val="18"/>
                <w:szCs w:val="18"/>
              </w:rPr>
              <w:t>是否兼投</w:t>
            </w:r>
          </w:p>
        </w:tc>
        <w:tc>
          <w:tcPr>
            <w:tcW w:w="2955" w:type="dxa"/>
            <w:gridSpan w:val="3"/>
            <w:vAlign w:val="center"/>
          </w:tcPr>
          <w:p>
            <w:pPr>
              <w:pStyle w:val="139"/>
              <w:spacing w:before="197" w:line="221" w:lineRule="auto"/>
              <w:ind w:left="1457"/>
              <w:rPr>
                <w:sz w:val="18"/>
                <w:szCs w:val="18"/>
                <w:lang w:eastAsia="zh-CN"/>
              </w:rPr>
            </w:pPr>
            <w:r>
              <w:rPr>
                <w:rFonts w:hint="eastAsia"/>
                <w:sz w:val="18"/>
                <w:szCs w:val="18"/>
                <w:lang w:eastAsia="zh-CN"/>
              </w:rPr>
              <w:t>是</w:t>
            </w:r>
          </w:p>
        </w:tc>
        <w:tc>
          <w:tcPr>
            <w:tcW w:w="1526" w:type="dxa"/>
            <w:vAlign w:val="center"/>
          </w:tcPr>
          <w:p>
            <w:pPr>
              <w:pStyle w:val="139"/>
              <w:spacing w:before="196" w:line="221" w:lineRule="auto"/>
              <w:ind w:left="351"/>
              <w:rPr>
                <w:sz w:val="18"/>
                <w:szCs w:val="18"/>
              </w:rPr>
            </w:pPr>
            <w:r>
              <w:rPr>
                <w:spacing w:val="-3"/>
                <w:sz w:val="18"/>
                <w:szCs w:val="18"/>
              </w:rPr>
              <w:t>是否兼中</w:t>
            </w:r>
          </w:p>
        </w:tc>
        <w:tc>
          <w:tcPr>
            <w:tcW w:w="2682" w:type="dxa"/>
            <w:gridSpan w:val="3"/>
            <w:tcBorders>
              <w:right w:val="single" w:color="000000" w:sz="6" w:space="0"/>
            </w:tcBorders>
            <w:vAlign w:val="center"/>
          </w:tcPr>
          <w:p>
            <w:pPr>
              <w:pStyle w:val="139"/>
              <w:spacing w:before="197" w:line="221" w:lineRule="auto"/>
              <w:ind w:left="1118"/>
              <w:rPr>
                <w:sz w:val="18"/>
                <w:szCs w:val="18"/>
              </w:rPr>
            </w:pPr>
            <w:r>
              <w:rPr>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取时间</w:t>
            </w:r>
          </w:p>
        </w:tc>
        <w:tc>
          <w:tcPr>
            <w:tcW w:w="2955" w:type="dxa"/>
            <w:gridSpan w:val="3"/>
            <w:vAlign w:val="center"/>
          </w:tcPr>
          <w:p>
            <w:pPr>
              <w:pStyle w:val="139"/>
              <w:numPr>
                <w:ilvl w:val="0"/>
                <w:numId w:val="2"/>
              </w:numPr>
              <w:spacing w:before="53" w:line="244" w:lineRule="auto"/>
              <w:ind w:left="107" w:right="102" w:firstLine="4"/>
              <w:rPr>
                <w:sz w:val="18"/>
                <w:szCs w:val="18"/>
              </w:rPr>
            </w:pPr>
            <w:r>
              <w:rPr>
                <w:rFonts w:hint="eastAsia"/>
                <w:spacing w:val="-3"/>
                <w:sz w:val="18"/>
                <w:szCs w:val="18"/>
                <w:lang w:eastAsia="zh-CN"/>
              </w:rPr>
              <w:t>4</w:t>
            </w:r>
            <w:r>
              <w:rPr>
                <w:spacing w:val="-3"/>
                <w:sz w:val="18"/>
                <w:szCs w:val="18"/>
              </w:rPr>
              <w:t>-</w:t>
            </w:r>
            <w:r>
              <w:rPr>
                <w:rFonts w:hint="eastAsia"/>
                <w:spacing w:val="-3"/>
                <w:sz w:val="18"/>
                <w:szCs w:val="18"/>
                <w:lang w:eastAsia="zh-CN"/>
              </w:rPr>
              <w:t xml:space="preserve">  </w:t>
            </w:r>
            <w:r>
              <w:rPr>
                <w:spacing w:val="-3"/>
                <w:sz w:val="18"/>
                <w:szCs w:val="18"/>
              </w:rPr>
              <w:t>-</w:t>
            </w:r>
            <w:r>
              <w:rPr>
                <w:spacing w:val="26"/>
                <w:sz w:val="18"/>
                <w:szCs w:val="18"/>
              </w:rPr>
              <w:t xml:space="preserve"> </w:t>
            </w:r>
            <w:r>
              <w:rPr>
                <w:spacing w:val="-3"/>
                <w:sz w:val="18"/>
                <w:szCs w:val="18"/>
              </w:rPr>
              <w:t>13:30 至 202</w:t>
            </w:r>
            <w:r>
              <w:rPr>
                <w:rFonts w:hint="eastAsia"/>
                <w:spacing w:val="-3"/>
                <w:sz w:val="18"/>
                <w:szCs w:val="18"/>
                <w:lang w:eastAsia="zh-CN"/>
              </w:rPr>
              <w:t>4</w:t>
            </w:r>
            <w:r>
              <w:rPr>
                <w:spacing w:val="-3"/>
                <w:sz w:val="18"/>
                <w:szCs w:val="18"/>
              </w:rPr>
              <w:t>-</w:t>
            </w:r>
            <w:r>
              <w:rPr>
                <w:rFonts w:hint="eastAsia"/>
                <w:spacing w:val="-3"/>
                <w:sz w:val="18"/>
                <w:szCs w:val="18"/>
                <w:lang w:eastAsia="zh-CN"/>
              </w:rPr>
              <w:t>4</w:t>
            </w:r>
            <w:r>
              <w:rPr>
                <w:sz w:val="18"/>
                <w:szCs w:val="18"/>
              </w:rPr>
              <w:t xml:space="preserve"> </w:t>
            </w:r>
            <w:r>
              <w:rPr>
                <w:spacing w:val="-4"/>
                <w:sz w:val="18"/>
                <w:szCs w:val="18"/>
              </w:rPr>
              <w:t>-</w:t>
            </w:r>
            <w:r>
              <w:rPr>
                <w:rFonts w:hint="eastAsia"/>
                <w:spacing w:val="-4"/>
                <w:sz w:val="18"/>
                <w:szCs w:val="18"/>
                <w:lang w:eastAsia="zh-CN"/>
              </w:rPr>
              <w:t xml:space="preserve">  </w:t>
            </w:r>
            <w:r>
              <w:rPr>
                <w:spacing w:val="8"/>
                <w:sz w:val="18"/>
                <w:szCs w:val="18"/>
              </w:rPr>
              <w:t xml:space="preserve"> </w:t>
            </w:r>
            <w:r>
              <w:rPr>
                <w:spacing w:val="-4"/>
                <w:sz w:val="18"/>
                <w:szCs w:val="18"/>
              </w:rPr>
              <w:t>-</w:t>
            </w:r>
            <w:r>
              <w:rPr>
                <w:spacing w:val="12"/>
                <w:sz w:val="18"/>
                <w:szCs w:val="18"/>
              </w:rPr>
              <w:t xml:space="preserve">  </w:t>
            </w:r>
            <w:r>
              <w:rPr>
                <w:spacing w:val="-4"/>
                <w:sz w:val="18"/>
                <w:szCs w:val="18"/>
              </w:rPr>
              <w:t>16:00</w:t>
            </w:r>
          </w:p>
        </w:tc>
        <w:tc>
          <w:tcPr>
            <w:tcW w:w="1526" w:type="dxa"/>
            <w:vAlign w:val="center"/>
          </w:tcPr>
          <w:p>
            <w:pPr>
              <w:pStyle w:val="139"/>
              <w:spacing w:before="53" w:line="248" w:lineRule="auto"/>
              <w:ind w:left="559" w:right="127" w:hanging="420"/>
              <w:rPr>
                <w:sz w:val="18"/>
                <w:szCs w:val="18"/>
              </w:rPr>
            </w:pPr>
            <w:r>
              <w:rPr>
                <w:spacing w:val="-2"/>
                <w:sz w:val="18"/>
                <w:szCs w:val="18"/>
              </w:rPr>
              <w:t>招标文件获取</w:t>
            </w:r>
            <w:r>
              <w:rPr>
                <w:spacing w:val="4"/>
                <w:sz w:val="18"/>
                <w:szCs w:val="18"/>
              </w:rPr>
              <w:t xml:space="preserve"> </w:t>
            </w:r>
            <w:r>
              <w:rPr>
                <w:spacing w:val="-2"/>
                <w:sz w:val="18"/>
                <w:szCs w:val="18"/>
              </w:rPr>
              <w:t>方式</w:t>
            </w:r>
          </w:p>
        </w:tc>
        <w:tc>
          <w:tcPr>
            <w:tcW w:w="2682" w:type="dxa"/>
            <w:gridSpan w:val="3"/>
            <w:tcBorders>
              <w:right w:val="single" w:color="000000" w:sz="6" w:space="0"/>
            </w:tcBorders>
            <w:vAlign w:val="center"/>
          </w:tcPr>
          <w:p>
            <w:pPr>
              <w:pStyle w:val="139"/>
              <w:spacing w:before="209" w:line="221" w:lineRule="auto"/>
              <w:ind w:left="813"/>
              <w:rPr>
                <w:sz w:val="18"/>
                <w:szCs w:val="18"/>
              </w:rPr>
            </w:pPr>
            <w:r>
              <w:rPr>
                <w:spacing w:val="-6"/>
                <w:sz w:val="18"/>
                <w:szCs w:val="18"/>
              </w:rPr>
              <w:t>网上获取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4"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取地址</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 xml:space="preserve">在“辽宁省公共资源交易一张网电子化平台（https://www.lnsggzy.com/EpointSSO/login/oauth2login）”上自行下载招标文件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212" w:right="208" w:hanging="1"/>
              <w:rPr>
                <w:sz w:val="18"/>
                <w:szCs w:val="18"/>
                <w:lang w:eastAsia="zh-CN"/>
              </w:rPr>
            </w:pPr>
            <w:r>
              <w:rPr>
                <w:spacing w:val="-2"/>
                <w:sz w:val="18"/>
                <w:szCs w:val="18"/>
                <w:lang w:eastAsia="zh-CN"/>
              </w:rPr>
              <w:t>投标文件递</w:t>
            </w:r>
            <w:r>
              <w:rPr>
                <w:spacing w:val="1"/>
                <w:sz w:val="18"/>
                <w:szCs w:val="18"/>
                <w:lang w:eastAsia="zh-CN"/>
              </w:rPr>
              <w:t xml:space="preserve"> </w:t>
            </w:r>
            <w:r>
              <w:rPr>
                <w:spacing w:val="-2"/>
                <w:sz w:val="18"/>
                <w:szCs w:val="18"/>
                <w:lang w:eastAsia="zh-CN"/>
              </w:rPr>
              <w:t>交截止时间</w:t>
            </w:r>
          </w:p>
        </w:tc>
        <w:tc>
          <w:tcPr>
            <w:tcW w:w="2955" w:type="dxa"/>
            <w:gridSpan w:val="3"/>
            <w:vAlign w:val="center"/>
          </w:tcPr>
          <w:p>
            <w:pPr>
              <w:pStyle w:val="139"/>
              <w:spacing w:before="245" w:line="182" w:lineRule="auto"/>
              <w:ind w:left="666"/>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2"/>
                <w:sz w:val="18"/>
                <w:szCs w:val="18"/>
              </w:rPr>
              <w:t>-</w:t>
            </w:r>
            <w:r>
              <w:rPr>
                <w:rFonts w:hint="eastAsia"/>
                <w:spacing w:val="-2"/>
                <w:sz w:val="18"/>
                <w:szCs w:val="18"/>
                <w:lang w:eastAsia="zh-CN"/>
              </w:rPr>
              <w:t xml:space="preserve">  </w:t>
            </w:r>
            <w:r>
              <w:rPr>
                <w:spacing w:val="5"/>
                <w:sz w:val="18"/>
                <w:szCs w:val="18"/>
              </w:rPr>
              <w:t xml:space="preserve"> </w:t>
            </w:r>
            <w:r>
              <w:rPr>
                <w:rFonts w:hint="eastAsia"/>
                <w:spacing w:val="5"/>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53" w:line="248" w:lineRule="auto"/>
              <w:ind w:left="559" w:right="127" w:hanging="418"/>
              <w:rPr>
                <w:sz w:val="18"/>
                <w:szCs w:val="18"/>
              </w:rPr>
            </w:pPr>
            <w:r>
              <w:rPr>
                <w:spacing w:val="-2"/>
                <w:sz w:val="18"/>
                <w:szCs w:val="18"/>
              </w:rPr>
              <w:t>投标文件递交</w:t>
            </w:r>
            <w:r>
              <w:rPr>
                <w:spacing w:val="2"/>
                <w:sz w:val="18"/>
                <w:szCs w:val="18"/>
              </w:rPr>
              <w:t xml:space="preserve"> </w:t>
            </w:r>
            <w:r>
              <w:rPr>
                <w:spacing w:val="-2"/>
                <w:sz w:val="18"/>
                <w:szCs w:val="18"/>
              </w:rPr>
              <w:t>方法</w:t>
            </w:r>
          </w:p>
        </w:tc>
        <w:tc>
          <w:tcPr>
            <w:tcW w:w="2682" w:type="dxa"/>
            <w:gridSpan w:val="3"/>
            <w:tcBorders>
              <w:right w:val="single" w:color="000000" w:sz="6" w:space="0"/>
            </w:tcBorders>
            <w:vAlign w:val="center"/>
          </w:tcPr>
          <w:p>
            <w:pPr>
              <w:pStyle w:val="139"/>
              <w:spacing w:before="210" w:line="222" w:lineRule="auto"/>
              <w:ind w:left="813"/>
              <w:rPr>
                <w:sz w:val="18"/>
                <w:szCs w:val="18"/>
              </w:rPr>
            </w:pPr>
            <w:r>
              <w:rPr>
                <w:spacing w:val="-6"/>
                <w:sz w:val="18"/>
                <w:szCs w:val="18"/>
              </w:rPr>
              <w:t>网上递交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26" w:type="dxa"/>
            <w:tcBorders>
              <w:left w:val="single" w:color="000000" w:sz="6" w:space="0"/>
            </w:tcBorders>
            <w:vAlign w:val="center"/>
          </w:tcPr>
          <w:p>
            <w:pPr>
              <w:pStyle w:val="139"/>
              <w:spacing w:before="213" w:line="222" w:lineRule="auto"/>
              <w:ind w:left="315"/>
              <w:rPr>
                <w:sz w:val="18"/>
                <w:szCs w:val="18"/>
              </w:rPr>
            </w:pPr>
            <w:r>
              <w:rPr>
                <w:spacing w:val="-2"/>
                <w:sz w:val="18"/>
                <w:szCs w:val="18"/>
              </w:rPr>
              <w:t>递交地址</w:t>
            </w:r>
          </w:p>
        </w:tc>
        <w:tc>
          <w:tcPr>
            <w:tcW w:w="7163" w:type="dxa"/>
            <w:gridSpan w:val="7"/>
            <w:tcBorders>
              <w:right w:val="single" w:color="000000" w:sz="6" w:space="0"/>
            </w:tcBorders>
            <w:vAlign w:val="center"/>
          </w:tcPr>
          <w:p>
            <w:pPr>
              <w:pStyle w:val="139"/>
              <w:spacing w:before="57" w:line="221" w:lineRule="auto"/>
              <w:ind w:left="1640"/>
              <w:rPr>
                <w:sz w:val="18"/>
                <w:szCs w:val="18"/>
                <w:lang w:eastAsia="zh-CN"/>
              </w:rPr>
            </w:pPr>
            <w:r>
              <w:rPr>
                <w:spacing w:val="-1"/>
                <w:sz w:val="18"/>
                <w:szCs w:val="18"/>
                <w:lang w:eastAsia="zh-CN"/>
              </w:rPr>
              <w:t>在辽宁省公共资源交易一张网电子化平台</w:t>
            </w:r>
          </w:p>
          <w:p>
            <w:pPr>
              <w:pStyle w:val="139"/>
              <w:spacing w:before="61" w:line="221" w:lineRule="auto"/>
              <w:ind w:left="331"/>
              <w:rPr>
                <w:sz w:val="18"/>
                <w:szCs w:val="18"/>
                <w:lang w:eastAsia="zh-CN"/>
              </w:rPr>
            </w:pPr>
            <w:r>
              <w:rPr>
                <w:spacing w:val="-1"/>
                <w:sz w:val="18"/>
                <w:szCs w:val="18"/>
                <w:lang w:eastAsia="zh-CN"/>
              </w:rPr>
              <w:t>（</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w:t>
            </w:r>
            <w:r>
              <w:rPr>
                <w:rFonts w:ascii="Calibri" w:hAnsi="Calibri" w:eastAsia="Calibri" w:cs="Calibri"/>
                <w:spacing w:val="-2"/>
                <w:sz w:val="18"/>
                <w:szCs w:val="18"/>
                <w:lang w:eastAsia="zh-CN"/>
              </w:rPr>
              <w:t>SSO/login/oauth2login</w:t>
            </w:r>
            <w:r>
              <w:rPr>
                <w:rFonts w:ascii="Calibri" w:hAnsi="Calibri" w:eastAsia="Calibri" w:cs="Calibri"/>
                <w:spacing w:val="-2"/>
                <w:sz w:val="18"/>
                <w:szCs w:val="18"/>
                <w:lang w:eastAsia="zh-CN"/>
              </w:rPr>
              <w:fldChar w:fldCharType="end"/>
            </w:r>
            <w:r>
              <w:rPr>
                <w:rFonts w:ascii="Calibri" w:hAnsi="Calibri" w:eastAsia="Calibri" w:cs="Calibri"/>
                <w:spacing w:val="-16"/>
                <w:sz w:val="18"/>
                <w:szCs w:val="18"/>
                <w:lang w:eastAsia="zh-CN"/>
              </w:rPr>
              <w:t xml:space="preserve"> </w:t>
            </w:r>
            <w:r>
              <w:rPr>
                <w:spacing w:val="-2"/>
                <w:sz w:val="18"/>
                <w:szCs w:val="18"/>
                <w:lang w:eastAsia="zh-CN"/>
              </w:rPr>
              <w:t>）递交投标文件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9" w:line="221" w:lineRule="auto"/>
              <w:ind w:left="315"/>
              <w:rPr>
                <w:sz w:val="18"/>
                <w:szCs w:val="18"/>
              </w:rPr>
            </w:pPr>
            <w:r>
              <w:rPr>
                <w:spacing w:val="-2"/>
                <w:sz w:val="18"/>
                <w:szCs w:val="18"/>
              </w:rPr>
              <w:t>开标时间</w:t>
            </w:r>
          </w:p>
        </w:tc>
        <w:tc>
          <w:tcPr>
            <w:tcW w:w="2955" w:type="dxa"/>
            <w:gridSpan w:val="3"/>
            <w:vAlign w:val="center"/>
          </w:tcPr>
          <w:p>
            <w:pPr>
              <w:pStyle w:val="139"/>
              <w:spacing w:before="233" w:line="182" w:lineRule="auto"/>
              <w:ind w:left="743"/>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9"/>
                <w:sz w:val="18"/>
                <w:szCs w:val="18"/>
              </w:rPr>
              <w:t xml:space="preserve"> </w:t>
            </w:r>
            <w:r>
              <w:rPr>
                <w:spacing w:val="-2"/>
                <w:sz w:val="18"/>
                <w:szCs w:val="18"/>
              </w:rPr>
              <w:t>-</w:t>
            </w:r>
            <w:r>
              <w:rPr>
                <w:rFonts w:hint="eastAsia"/>
                <w:spacing w:val="-2"/>
                <w:sz w:val="18"/>
                <w:szCs w:val="18"/>
                <w:lang w:eastAsia="zh-CN"/>
              </w:rPr>
              <w:t xml:space="preserve">  </w:t>
            </w:r>
            <w:r>
              <w:rPr>
                <w:spacing w:val="10"/>
                <w:sz w:val="18"/>
                <w:szCs w:val="18"/>
              </w:rPr>
              <w:t xml:space="preserve"> </w:t>
            </w:r>
            <w:r>
              <w:rPr>
                <w:rFonts w:hint="eastAsia"/>
                <w:spacing w:val="-2"/>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199" w:line="221" w:lineRule="auto"/>
              <w:ind w:left="348"/>
              <w:rPr>
                <w:sz w:val="18"/>
                <w:szCs w:val="18"/>
              </w:rPr>
            </w:pPr>
            <w:r>
              <w:rPr>
                <w:spacing w:val="-2"/>
                <w:sz w:val="18"/>
                <w:szCs w:val="18"/>
              </w:rPr>
              <w:t>开标方式</w:t>
            </w:r>
          </w:p>
        </w:tc>
        <w:tc>
          <w:tcPr>
            <w:tcW w:w="2682" w:type="dxa"/>
            <w:gridSpan w:val="3"/>
            <w:tcBorders>
              <w:right w:val="single" w:color="000000" w:sz="6" w:space="0"/>
            </w:tcBorders>
            <w:vAlign w:val="center"/>
          </w:tcPr>
          <w:p>
            <w:pPr>
              <w:pStyle w:val="139"/>
              <w:spacing w:before="198" w:line="221" w:lineRule="auto"/>
              <w:ind w:right="1"/>
              <w:rPr>
                <w:sz w:val="18"/>
                <w:szCs w:val="18"/>
                <w:lang w:eastAsia="zh-CN"/>
              </w:rPr>
            </w:pPr>
            <w:r>
              <w:rPr>
                <w:spacing w:val="-2"/>
                <w:sz w:val="18"/>
                <w:szCs w:val="18"/>
                <w:lang w:eastAsia="zh-CN"/>
              </w:rPr>
              <w:t>远程开标（不见面开标）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626" w:type="dxa"/>
            <w:tcBorders>
              <w:left w:val="single" w:color="000000" w:sz="6" w:space="0"/>
            </w:tcBorders>
            <w:vAlign w:val="center"/>
          </w:tcPr>
          <w:p>
            <w:pPr>
              <w:spacing w:line="245" w:lineRule="auto"/>
              <w:rPr>
                <w:rFonts w:ascii="Arial"/>
                <w:sz w:val="18"/>
                <w:szCs w:val="18"/>
              </w:rPr>
            </w:pPr>
          </w:p>
          <w:p>
            <w:pPr>
              <w:spacing w:line="245" w:lineRule="auto"/>
              <w:rPr>
                <w:rFonts w:ascii="Arial"/>
                <w:sz w:val="18"/>
                <w:szCs w:val="18"/>
              </w:rPr>
            </w:pPr>
          </w:p>
          <w:p>
            <w:pPr>
              <w:spacing w:line="245" w:lineRule="auto"/>
              <w:rPr>
                <w:rFonts w:ascii="Arial"/>
                <w:sz w:val="18"/>
                <w:szCs w:val="18"/>
              </w:rPr>
            </w:pPr>
          </w:p>
          <w:p>
            <w:pPr>
              <w:spacing w:line="246" w:lineRule="auto"/>
              <w:rPr>
                <w:rFonts w:ascii="Arial"/>
                <w:sz w:val="18"/>
                <w:szCs w:val="18"/>
              </w:rPr>
            </w:pPr>
          </w:p>
          <w:p>
            <w:pPr>
              <w:spacing w:line="246" w:lineRule="auto"/>
              <w:rPr>
                <w:rFonts w:ascii="Arial"/>
                <w:sz w:val="18"/>
                <w:szCs w:val="18"/>
              </w:rPr>
            </w:pPr>
          </w:p>
          <w:p>
            <w:pPr>
              <w:pStyle w:val="139"/>
              <w:spacing w:before="68" w:line="250" w:lineRule="auto"/>
              <w:ind w:left="629" w:right="208" w:hanging="419"/>
              <w:rPr>
                <w:sz w:val="18"/>
                <w:szCs w:val="18"/>
              </w:rPr>
            </w:pPr>
            <w:r>
              <w:rPr>
                <w:spacing w:val="-2"/>
                <w:sz w:val="18"/>
                <w:szCs w:val="18"/>
              </w:rPr>
              <w:t>开标方式描</w:t>
            </w:r>
            <w:r>
              <w:rPr>
                <w:spacing w:val="3"/>
                <w:sz w:val="18"/>
                <w:szCs w:val="18"/>
              </w:rPr>
              <w:t xml:space="preserve"> </w:t>
            </w:r>
            <w:r>
              <w:rPr>
                <w:sz w:val="18"/>
                <w:szCs w:val="18"/>
              </w:rPr>
              <w:t>述</w:t>
            </w:r>
          </w:p>
        </w:tc>
        <w:tc>
          <w:tcPr>
            <w:tcW w:w="7163" w:type="dxa"/>
            <w:gridSpan w:val="7"/>
            <w:tcBorders>
              <w:right w:val="single" w:color="000000" w:sz="6" w:space="0"/>
            </w:tcBorders>
            <w:vAlign w:val="center"/>
          </w:tcPr>
          <w:p>
            <w:pPr>
              <w:pStyle w:val="139"/>
              <w:spacing w:before="54" w:line="261" w:lineRule="auto"/>
              <w:ind w:left="108" w:right="97" w:firstLine="1"/>
              <w:rPr>
                <w:sz w:val="18"/>
                <w:szCs w:val="18"/>
                <w:lang w:eastAsia="zh-CN"/>
              </w:rPr>
            </w:pPr>
            <w:r>
              <w:rPr>
                <w:spacing w:val="-3"/>
                <w:sz w:val="18"/>
                <w:szCs w:val="18"/>
                <w:lang w:eastAsia="zh-CN"/>
              </w:rPr>
              <w:t>本项目以不见面电子开标。电子投标文件在辽宁省公共资源交易一张网电子</w:t>
            </w:r>
            <w:r>
              <w:rPr>
                <w:spacing w:val="9"/>
                <w:sz w:val="18"/>
                <w:szCs w:val="18"/>
                <w:lang w:eastAsia="zh-CN"/>
              </w:rPr>
              <w:t xml:space="preserve"> </w:t>
            </w:r>
            <w:r>
              <w:rPr>
                <w:spacing w:val="-1"/>
                <w:sz w:val="18"/>
                <w:szCs w:val="18"/>
                <w:lang w:eastAsia="zh-CN"/>
              </w:rPr>
              <w:t>化平台（</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https://www.lnsggzy.com/EpointSSO/login/oauth2login</w:t>
            </w:r>
            <w:r>
              <w:rPr>
                <w:rFonts w:ascii="Calibri" w:hAnsi="Calibri" w:eastAsia="Calibri" w:cs="Calibri"/>
                <w:spacing w:val="-1"/>
                <w:sz w:val="18"/>
                <w:szCs w:val="18"/>
                <w:lang w:eastAsia="zh-CN"/>
              </w:rPr>
              <w:fldChar w:fldCharType="end"/>
            </w:r>
            <w:r>
              <w:rPr>
                <w:spacing w:val="-1"/>
                <w:sz w:val="18"/>
                <w:szCs w:val="18"/>
                <w:lang w:eastAsia="zh-CN"/>
              </w:rPr>
              <w:t>）上传投标文</w:t>
            </w:r>
            <w:r>
              <w:rPr>
                <w:spacing w:val="18"/>
                <w:sz w:val="18"/>
                <w:szCs w:val="18"/>
                <w:lang w:eastAsia="zh-CN"/>
              </w:rPr>
              <w:t xml:space="preserve"> </w:t>
            </w:r>
            <w:r>
              <w:rPr>
                <w:spacing w:val="-5"/>
                <w:sz w:val="18"/>
                <w:szCs w:val="18"/>
                <w:lang w:eastAsia="zh-CN"/>
              </w:rPr>
              <w:t>件。开标当日，</w:t>
            </w:r>
            <w:r>
              <w:rPr>
                <w:spacing w:val="-28"/>
                <w:sz w:val="18"/>
                <w:szCs w:val="18"/>
                <w:lang w:eastAsia="zh-CN"/>
              </w:rPr>
              <w:t xml:space="preserve"> </w:t>
            </w:r>
            <w:r>
              <w:rPr>
                <w:spacing w:val="-5"/>
                <w:sz w:val="18"/>
                <w:szCs w:val="18"/>
                <w:lang w:eastAsia="zh-CN"/>
              </w:rPr>
              <w:t>采用不见面交易方式，请按招标文件规定时间登录“辽宁省</w:t>
            </w:r>
            <w:r>
              <w:rPr>
                <w:sz w:val="18"/>
                <w:szCs w:val="18"/>
                <w:lang w:eastAsia="zh-CN"/>
              </w:rPr>
              <w:t xml:space="preserve"> </w:t>
            </w:r>
            <w:r>
              <w:rPr>
                <w:spacing w:val="-1"/>
                <w:sz w:val="18"/>
                <w:szCs w:val="18"/>
                <w:lang w:eastAsia="zh-CN"/>
              </w:rPr>
              <w:t>公共资源不见面交易大厅</w:t>
            </w:r>
          </w:p>
          <w:p>
            <w:pPr>
              <w:pStyle w:val="139"/>
              <w:spacing w:before="63" w:line="265" w:lineRule="auto"/>
              <w:ind w:left="108" w:right="24" w:firstLine="8"/>
              <w:rPr>
                <w:rFonts w:ascii="Calibri" w:hAnsi="Calibri" w:eastAsia="Calibri" w:cs="Calibri"/>
                <w:sz w:val="18"/>
                <w:szCs w:val="18"/>
                <w:lang w:eastAsia="zh-CN"/>
              </w:rPr>
            </w:pPr>
            <w:r>
              <w:fldChar w:fldCharType="begin"/>
            </w:r>
            <w:r>
              <w:instrText xml:space="preserve"> HYPERLINK "https://www.lnsggzy.com/BidOpeningHall/bidhall/dqliaoning/login" </w:instrText>
            </w:r>
            <w:r>
              <w:fldChar w:fldCharType="separate"/>
            </w:r>
            <w:r>
              <w:rPr>
                <w:rFonts w:ascii="Calibri" w:hAnsi="Calibri" w:eastAsia="Calibri" w:cs="Calibri"/>
                <w:spacing w:val="-2"/>
                <w:sz w:val="18"/>
                <w:szCs w:val="18"/>
                <w:lang w:eastAsia="zh-CN"/>
              </w:rPr>
              <w:t>https://www.lnsggzy.com/BidOpeningHall/bidhall/dqliaoning/login</w:t>
            </w:r>
            <w:r>
              <w:rPr>
                <w:rFonts w:ascii="Calibri" w:hAnsi="Calibri" w:eastAsia="Calibri" w:cs="Calibri"/>
                <w:spacing w:val="-2"/>
                <w:sz w:val="18"/>
                <w:szCs w:val="18"/>
                <w:lang w:eastAsia="zh-CN"/>
              </w:rPr>
              <w:fldChar w:fldCharType="end"/>
            </w:r>
            <w:r>
              <w:rPr>
                <w:rFonts w:ascii="Calibri" w:hAnsi="Calibri" w:eastAsia="Calibri" w:cs="Calibri"/>
                <w:spacing w:val="-1"/>
                <w:sz w:val="18"/>
                <w:szCs w:val="18"/>
                <w:lang w:eastAsia="zh-CN"/>
              </w:rPr>
              <w:t xml:space="preserve"> </w:t>
            </w:r>
            <w:r>
              <w:rPr>
                <w:spacing w:val="-2"/>
                <w:sz w:val="18"/>
                <w:szCs w:val="18"/>
                <w:lang w:eastAsia="zh-CN"/>
              </w:rPr>
              <w:t>”进行远程、</w:t>
            </w:r>
            <w:r>
              <w:rPr>
                <w:sz w:val="18"/>
                <w:szCs w:val="18"/>
                <w:lang w:eastAsia="zh-CN"/>
              </w:rPr>
              <w:t xml:space="preserve"> </w:t>
            </w:r>
            <w:r>
              <w:rPr>
                <w:spacing w:val="-7"/>
                <w:sz w:val="18"/>
                <w:szCs w:val="18"/>
                <w:lang w:eastAsia="zh-CN"/>
              </w:rPr>
              <w:t>在线解密，解密时间为</w:t>
            </w:r>
            <w:r>
              <w:rPr>
                <w:spacing w:val="-26"/>
                <w:sz w:val="18"/>
                <w:szCs w:val="18"/>
                <w:lang w:eastAsia="zh-CN"/>
              </w:rPr>
              <w:t xml:space="preserve"> </w:t>
            </w:r>
            <w:r>
              <w:rPr>
                <w:rFonts w:ascii="Calibri" w:hAnsi="Calibri" w:eastAsia="Calibri" w:cs="Calibri"/>
                <w:spacing w:val="-7"/>
                <w:sz w:val="18"/>
                <w:szCs w:val="18"/>
                <w:lang w:eastAsia="zh-CN"/>
              </w:rPr>
              <w:t>30</w:t>
            </w:r>
            <w:r>
              <w:rPr>
                <w:rFonts w:ascii="Calibri" w:hAnsi="Calibri" w:eastAsia="Calibri" w:cs="Calibri"/>
                <w:spacing w:val="15"/>
                <w:w w:val="101"/>
                <w:sz w:val="18"/>
                <w:szCs w:val="18"/>
                <w:lang w:eastAsia="zh-CN"/>
              </w:rPr>
              <w:t xml:space="preserve"> </w:t>
            </w:r>
            <w:r>
              <w:rPr>
                <w:spacing w:val="-7"/>
                <w:sz w:val="18"/>
                <w:szCs w:val="18"/>
                <w:lang w:eastAsia="zh-CN"/>
              </w:rPr>
              <w:t xml:space="preserve">分钟。（因开标系统发生不可抗力产生延误解密时 </w:t>
            </w:r>
            <w:r>
              <w:rPr>
                <w:spacing w:val="-4"/>
                <w:sz w:val="18"/>
                <w:szCs w:val="18"/>
                <w:lang w:eastAsia="zh-CN"/>
              </w:rPr>
              <w:t>间的， 招标人将延长相应的解密时长，其他原因不予延长解密时间</w:t>
            </w:r>
            <w:r>
              <w:rPr>
                <w:spacing w:val="-42"/>
                <w:sz w:val="18"/>
                <w:szCs w:val="18"/>
                <w:lang w:eastAsia="zh-CN"/>
              </w:rPr>
              <w:t>）；</w:t>
            </w:r>
            <w:r>
              <w:rPr>
                <w:spacing w:val="-4"/>
                <w:sz w:val="18"/>
                <w:szCs w:val="18"/>
                <w:lang w:eastAsia="zh-CN"/>
              </w:rPr>
              <w:t>未在</w:t>
            </w:r>
            <w:r>
              <w:rPr>
                <w:sz w:val="18"/>
                <w:szCs w:val="18"/>
                <w:lang w:eastAsia="zh-CN"/>
              </w:rPr>
              <w:t xml:space="preserve">  </w:t>
            </w:r>
            <w:r>
              <w:rPr>
                <w:spacing w:val="-5"/>
                <w:sz w:val="18"/>
                <w:szCs w:val="18"/>
                <w:lang w:eastAsia="zh-CN"/>
              </w:rPr>
              <w:t>规定时间内完成解密的投标人，</w:t>
            </w:r>
            <w:r>
              <w:rPr>
                <w:spacing w:val="-27"/>
                <w:sz w:val="18"/>
                <w:szCs w:val="18"/>
                <w:lang w:eastAsia="zh-CN"/>
              </w:rPr>
              <w:t xml:space="preserve"> </w:t>
            </w:r>
            <w:r>
              <w:rPr>
                <w:spacing w:val="-5"/>
                <w:sz w:val="18"/>
                <w:szCs w:val="18"/>
                <w:lang w:eastAsia="zh-CN"/>
              </w:rPr>
              <w:t>视为放弃本次投标，招标</w:t>
            </w:r>
            <w:r>
              <w:rPr>
                <w:spacing w:val="-6"/>
                <w:sz w:val="18"/>
                <w:szCs w:val="18"/>
                <w:lang w:eastAsia="zh-CN"/>
              </w:rPr>
              <w:t xml:space="preserve">人不再接收。逾期 </w:t>
            </w:r>
            <w:r>
              <w:rPr>
                <w:spacing w:val="-5"/>
                <w:sz w:val="18"/>
                <w:szCs w:val="18"/>
                <w:lang w:eastAsia="zh-CN"/>
              </w:rPr>
              <w:t>递交的或者未按要求递交的投标文件，</w:t>
            </w:r>
            <w:r>
              <w:rPr>
                <w:spacing w:val="-36"/>
                <w:sz w:val="18"/>
                <w:szCs w:val="18"/>
                <w:lang w:eastAsia="zh-CN"/>
              </w:rPr>
              <w:t xml:space="preserve"> </w:t>
            </w:r>
            <w:r>
              <w:rPr>
                <w:spacing w:val="-5"/>
                <w:sz w:val="18"/>
                <w:szCs w:val="18"/>
                <w:lang w:eastAsia="zh-CN"/>
              </w:rPr>
              <w:t xml:space="preserve">将不予受理。辽宁省公共资源交易网 </w:t>
            </w:r>
            <w:r>
              <w:rPr>
                <w:spacing w:val="-2"/>
                <w:sz w:val="18"/>
                <w:szCs w:val="18"/>
                <w:lang w:eastAsia="zh-CN"/>
              </w:rPr>
              <w:t>技术支持电话：</w:t>
            </w:r>
            <w:r>
              <w:rPr>
                <w:spacing w:val="-19"/>
                <w:sz w:val="18"/>
                <w:szCs w:val="18"/>
                <w:lang w:eastAsia="zh-CN"/>
              </w:rPr>
              <w:t xml:space="preserve"> </w:t>
            </w:r>
            <w:r>
              <w:rPr>
                <w:spacing w:val="-2"/>
                <w:sz w:val="18"/>
                <w:szCs w:val="18"/>
                <w:lang w:eastAsia="zh-CN"/>
              </w:rPr>
              <w:t>王工：</w:t>
            </w:r>
            <w:r>
              <w:rPr>
                <w:rFonts w:ascii="Calibri" w:hAnsi="Calibri" w:eastAsia="Calibri" w:cs="Calibri"/>
                <w:spacing w:val="-2"/>
                <w:sz w:val="18"/>
                <w:szCs w:val="18"/>
                <w:lang w:eastAsia="zh-CN"/>
              </w:rPr>
              <w:t>13019466009/024-23447977/024-23447961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199" w:line="221" w:lineRule="auto"/>
              <w:ind w:left="313"/>
              <w:rPr>
                <w:sz w:val="18"/>
                <w:szCs w:val="18"/>
              </w:rPr>
            </w:pPr>
            <w:r>
              <w:rPr>
                <w:spacing w:val="-1"/>
                <w:sz w:val="18"/>
                <w:szCs w:val="18"/>
              </w:rPr>
              <w:t>评审办法</w:t>
            </w:r>
          </w:p>
        </w:tc>
        <w:tc>
          <w:tcPr>
            <w:tcW w:w="7163" w:type="dxa"/>
            <w:gridSpan w:val="7"/>
            <w:tcBorders>
              <w:right w:val="single" w:color="000000" w:sz="6" w:space="0"/>
            </w:tcBorders>
            <w:vAlign w:val="center"/>
          </w:tcPr>
          <w:p>
            <w:pPr>
              <w:pStyle w:val="139"/>
              <w:spacing w:before="200" w:line="219" w:lineRule="auto"/>
              <w:ind w:left="3064"/>
              <w:rPr>
                <w:sz w:val="18"/>
                <w:szCs w:val="18"/>
              </w:rPr>
            </w:pPr>
            <w:r>
              <w:rPr>
                <w:spacing w:val="-2"/>
                <w:sz w:val="18"/>
                <w:szCs w:val="18"/>
              </w:rPr>
              <w:t>综合评估法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200" w:line="220" w:lineRule="auto"/>
              <w:ind w:left="318"/>
              <w:rPr>
                <w:sz w:val="18"/>
                <w:szCs w:val="18"/>
              </w:rPr>
            </w:pPr>
            <w:r>
              <w:rPr>
                <w:spacing w:val="-3"/>
                <w:sz w:val="18"/>
                <w:szCs w:val="18"/>
              </w:rPr>
              <w:t>发布媒介</w:t>
            </w:r>
          </w:p>
        </w:tc>
        <w:tc>
          <w:tcPr>
            <w:tcW w:w="7163" w:type="dxa"/>
            <w:gridSpan w:val="7"/>
            <w:tcBorders>
              <w:right w:val="single" w:color="000000" w:sz="6" w:space="0"/>
            </w:tcBorders>
            <w:vAlign w:val="center"/>
          </w:tcPr>
          <w:p>
            <w:pPr>
              <w:pStyle w:val="139"/>
              <w:spacing w:before="199" w:line="221" w:lineRule="auto"/>
              <w:ind w:left="114"/>
              <w:rPr>
                <w:sz w:val="18"/>
                <w:szCs w:val="18"/>
                <w:lang w:eastAsia="zh-CN"/>
              </w:rPr>
            </w:pPr>
            <w:r>
              <w:rPr>
                <w:spacing w:val="-3"/>
                <w:sz w:val="18"/>
                <w:szCs w:val="18"/>
                <w:lang w:eastAsia="zh-CN"/>
              </w:rPr>
              <w:t>辽宁省招标投标监管网、辽宁省公共资源交易</w:t>
            </w:r>
            <w:r>
              <w:rPr>
                <w:rFonts w:hint="eastAsia"/>
                <w:spacing w:val="-3"/>
                <w:sz w:val="18"/>
                <w:szCs w:val="18"/>
                <w:lang w:eastAsia="zh-CN"/>
              </w:rPr>
              <w:t>网</w:t>
            </w:r>
            <w:r>
              <w:rPr>
                <w:spacing w:val="-3"/>
                <w:sz w:val="18"/>
                <w:szCs w:val="18"/>
                <w:lang w:eastAsia="zh-CN"/>
              </w:rPr>
              <w:t>、全国公共资源交易平台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626" w:type="dxa"/>
            <w:tcBorders>
              <w:left w:val="single" w:color="000000" w:sz="6" w:space="0"/>
            </w:tcBorders>
            <w:vAlign w:val="center"/>
          </w:tcPr>
          <w:p>
            <w:pPr>
              <w:spacing w:line="302" w:lineRule="auto"/>
              <w:rPr>
                <w:rFonts w:ascii="Arial"/>
                <w:sz w:val="18"/>
                <w:szCs w:val="18"/>
              </w:rPr>
            </w:pPr>
          </w:p>
          <w:p>
            <w:pPr>
              <w:spacing w:line="302" w:lineRule="auto"/>
              <w:rPr>
                <w:rFonts w:ascii="Arial"/>
                <w:sz w:val="18"/>
                <w:szCs w:val="18"/>
              </w:rPr>
            </w:pPr>
          </w:p>
          <w:p>
            <w:pPr>
              <w:pStyle w:val="139"/>
              <w:spacing w:before="69" w:line="247" w:lineRule="auto"/>
              <w:ind w:left="225" w:right="208" w:hanging="13"/>
              <w:rPr>
                <w:sz w:val="18"/>
                <w:szCs w:val="18"/>
                <w:lang w:eastAsia="zh-CN"/>
              </w:rPr>
            </w:pPr>
            <w:r>
              <w:rPr>
                <w:spacing w:val="-2"/>
                <w:sz w:val="18"/>
                <w:szCs w:val="18"/>
                <w:lang w:eastAsia="zh-CN"/>
              </w:rPr>
              <w:t>关于保证金</w:t>
            </w:r>
            <w:r>
              <w:rPr>
                <w:spacing w:val="1"/>
                <w:sz w:val="18"/>
                <w:szCs w:val="18"/>
                <w:lang w:eastAsia="zh-CN"/>
              </w:rPr>
              <w:t xml:space="preserve"> </w:t>
            </w:r>
            <w:r>
              <w:rPr>
                <w:spacing w:val="-5"/>
                <w:sz w:val="18"/>
                <w:szCs w:val="18"/>
                <w:lang w:eastAsia="zh-CN"/>
              </w:rPr>
              <w:t>的特殊说明</w:t>
            </w:r>
          </w:p>
        </w:tc>
        <w:tc>
          <w:tcPr>
            <w:tcW w:w="7163" w:type="dxa"/>
            <w:gridSpan w:val="7"/>
            <w:tcBorders>
              <w:right w:val="single" w:color="000000" w:sz="6" w:space="0"/>
            </w:tcBorders>
            <w:vAlign w:val="center"/>
          </w:tcPr>
          <w:p>
            <w:pPr>
              <w:pStyle w:val="139"/>
              <w:spacing w:before="53" w:line="265" w:lineRule="auto"/>
              <w:ind w:left="109" w:right="22" w:hanging="1"/>
              <w:rPr>
                <w:sz w:val="18"/>
                <w:szCs w:val="18"/>
                <w:lang w:eastAsia="zh-CN"/>
              </w:rPr>
            </w:pPr>
            <w:r>
              <w:rPr>
                <w:spacing w:val="-3"/>
                <w:sz w:val="18"/>
                <w:szCs w:val="18"/>
                <w:lang w:eastAsia="zh-CN"/>
              </w:rPr>
              <w:t>在监管网发布招标信息的各类项目，</w:t>
            </w:r>
            <w:r>
              <w:rPr>
                <w:spacing w:val="-16"/>
                <w:sz w:val="18"/>
                <w:szCs w:val="18"/>
                <w:lang w:eastAsia="zh-CN"/>
              </w:rPr>
              <w:t xml:space="preserve"> </w:t>
            </w:r>
            <w:r>
              <w:rPr>
                <w:spacing w:val="-3"/>
                <w:sz w:val="18"/>
                <w:szCs w:val="18"/>
                <w:lang w:eastAsia="zh-CN"/>
              </w:rPr>
              <w:t>各招标人</w:t>
            </w:r>
            <w:r>
              <w:rPr>
                <w:rFonts w:ascii="Calibri" w:hAnsi="Calibri" w:eastAsia="Calibri" w:cs="Calibri"/>
                <w:spacing w:val="-3"/>
                <w:sz w:val="18"/>
                <w:szCs w:val="18"/>
                <w:lang w:eastAsia="zh-CN"/>
              </w:rPr>
              <w:t>(</w:t>
            </w:r>
            <w:r>
              <w:rPr>
                <w:spacing w:val="-3"/>
                <w:sz w:val="18"/>
                <w:szCs w:val="18"/>
                <w:lang w:eastAsia="zh-CN"/>
              </w:rPr>
              <w:t>招标代理机构</w:t>
            </w:r>
            <w:r>
              <w:rPr>
                <w:rFonts w:ascii="Calibri" w:hAnsi="Calibri" w:eastAsia="Calibri" w:cs="Calibri"/>
                <w:spacing w:val="-3"/>
                <w:sz w:val="18"/>
                <w:szCs w:val="18"/>
                <w:lang w:eastAsia="zh-CN"/>
              </w:rPr>
              <w:t>)</w:t>
            </w:r>
            <w:r>
              <w:rPr>
                <w:spacing w:val="-3"/>
                <w:sz w:val="18"/>
                <w:szCs w:val="18"/>
                <w:lang w:eastAsia="zh-CN"/>
              </w:rPr>
              <w:t xml:space="preserve">应支持使用电 子保函并在招标文件中予以明确。各投标人可选择缴纳保证金方式和保函办 </w:t>
            </w:r>
            <w:r>
              <w:rPr>
                <w:spacing w:val="-6"/>
                <w:sz w:val="18"/>
                <w:szCs w:val="18"/>
                <w:lang w:eastAsia="zh-CN"/>
              </w:rPr>
              <w:t xml:space="preserve">理模式， 自主选择便企金融服务平台和金融机构。任何单位或个人不得干涉 </w:t>
            </w:r>
            <w:r>
              <w:rPr>
                <w:spacing w:val="-3"/>
                <w:sz w:val="18"/>
                <w:szCs w:val="18"/>
                <w:lang w:eastAsia="zh-CN"/>
              </w:rPr>
              <w:t>投标人缴纳保证金形式，</w:t>
            </w:r>
            <w:r>
              <w:rPr>
                <w:spacing w:val="-9"/>
                <w:sz w:val="18"/>
                <w:szCs w:val="18"/>
                <w:lang w:eastAsia="zh-CN"/>
              </w:rPr>
              <w:t xml:space="preserve"> </w:t>
            </w:r>
            <w:r>
              <w:rPr>
                <w:spacing w:val="-3"/>
                <w:sz w:val="18"/>
                <w:szCs w:val="18"/>
                <w:lang w:eastAsia="zh-CN"/>
              </w:rPr>
              <w:t>不得指定或限定保函办理平台或机构。招标人</w:t>
            </w:r>
            <w:r>
              <w:rPr>
                <w:rFonts w:ascii="Calibri" w:hAnsi="Calibri" w:eastAsia="Calibri" w:cs="Calibri"/>
                <w:spacing w:val="-3"/>
                <w:sz w:val="18"/>
                <w:szCs w:val="18"/>
                <w:lang w:eastAsia="zh-CN"/>
              </w:rPr>
              <w:t>(</w:t>
            </w:r>
            <w:r>
              <w:rPr>
                <w:spacing w:val="-3"/>
                <w:sz w:val="18"/>
                <w:szCs w:val="18"/>
                <w:lang w:eastAsia="zh-CN"/>
              </w:rPr>
              <w:t>招</w:t>
            </w:r>
            <w:r>
              <w:rPr>
                <w:sz w:val="18"/>
                <w:szCs w:val="18"/>
                <w:lang w:eastAsia="zh-CN"/>
              </w:rPr>
              <w:t xml:space="preserve">  </w:t>
            </w:r>
            <w:r>
              <w:rPr>
                <w:spacing w:val="-2"/>
                <w:sz w:val="18"/>
                <w:szCs w:val="18"/>
                <w:lang w:eastAsia="zh-CN"/>
              </w:rPr>
              <w:t>标代理机构</w:t>
            </w:r>
            <w:r>
              <w:rPr>
                <w:rFonts w:ascii="Calibri" w:hAnsi="Calibri" w:eastAsia="Calibri" w:cs="Calibri"/>
                <w:spacing w:val="-2"/>
                <w:sz w:val="18"/>
                <w:szCs w:val="18"/>
                <w:lang w:eastAsia="zh-CN"/>
              </w:rPr>
              <w:t>)</w:t>
            </w:r>
            <w:r>
              <w:rPr>
                <w:spacing w:val="-2"/>
                <w:sz w:val="18"/>
                <w:szCs w:val="18"/>
                <w:lang w:eastAsia="zh-CN"/>
              </w:rPr>
              <w:t>、各地公共资源交易中心均不得排斥任</w:t>
            </w:r>
            <w:r>
              <w:rPr>
                <w:spacing w:val="-3"/>
                <w:sz w:val="18"/>
                <w:szCs w:val="18"/>
                <w:lang w:eastAsia="zh-CN"/>
              </w:rPr>
              <w:t>何符合规定的各类保函。</w:t>
            </w:r>
            <w:r>
              <w:rPr>
                <w:sz w:val="18"/>
                <w:szCs w:val="18"/>
                <w:lang w:eastAsia="zh-CN"/>
              </w:rPr>
              <w:t xml:space="preserve"> 保函办理机构应提供电子化保函验真渠道和保函财务费用支</w:t>
            </w:r>
            <w:r>
              <w:rPr>
                <w:spacing w:val="-1"/>
                <w:sz w:val="18"/>
                <w:szCs w:val="18"/>
                <w:lang w:eastAsia="zh-CN"/>
              </w:rPr>
              <w:t>付信息。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1626" w:type="dxa"/>
            <w:tcBorders>
              <w:left w:val="single" w:color="000000" w:sz="6" w:space="0"/>
            </w:tcBorders>
            <w:vAlign w:val="center"/>
          </w:tcPr>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pStyle w:val="139"/>
              <w:spacing w:before="68" w:line="248" w:lineRule="auto"/>
              <w:ind w:left="631" w:right="208" w:hanging="421"/>
              <w:rPr>
                <w:sz w:val="18"/>
                <w:szCs w:val="18"/>
              </w:rPr>
            </w:pPr>
            <w:r>
              <w:rPr>
                <w:spacing w:val="-2"/>
                <w:sz w:val="18"/>
                <w:szCs w:val="18"/>
              </w:rPr>
              <w:t>其他公告内</w:t>
            </w:r>
            <w:r>
              <w:rPr>
                <w:spacing w:val="3"/>
                <w:sz w:val="18"/>
                <w:szCs w:val="18"/>
              </w:rPr>
              <w:t xml:space="preserve"> </w:t>
            </w:r>
            <w:r>
              <w:rPr>
                <w:sz w:val="18"/>
                <w:szCs w:val="18"/>
              </w:rPr>
              <w:t>容</w:t>
            </w:r>
          </w:p>
        </w:tc>
        <w:tc>
          <w:tcPr>
            <w:tcW w:w="7163" w:type="dxa"/>
            <w:gridSpan w:val="7"/>
            <w:tcBorders>
              <w:right w:val="single" w:color="000000" w:sz="6" w:space="0"/>
            </w:tcBorders>
            <w:vAlign w:val="center"/>
          </w:tcPr>
          <w:p>
            <w:pPr>
              <w:pStyle w:val="139"/>
              <w:spacing w:before="53" w:line="261" w:lineRule="auto"/>
              <w:ind w:left="108" w:right="97" w:firstLine="10"/>
              <w:rPr>
                <w:sz w:val="18"/>
                <w:szCs w:val="18"/>
                <w:lang w:eastAsia="zh-CN"/>
              </w:rPr>
            </w:pPr>
            <w:r>
              <w:rPr>
                <w:rFonts w:ascii="Calibri" w:hAnsi="Calibri" w:eastAsia="Calibri" w:cs="Calibri"/>
                <w:sz w:val="18"/>
                <w:szCs w:val="18"/>
                <w:lang w:eastAsia="zh-CN"/>
              </w:rPr>
              <w:t>1</w:t>
            </w:r>
            <w:r>
              <w:rPr>
                <w:sz w:val="18"/>
                <w:szCs w:val="18"/>
                <w:lang w:eastAsia="zh-CN"/>
              </w:rPr>
              <w:t>、投标单位授权的委托代理人应具有与投标单位单位签订的经人社部门认</w:t>
            </w:r>
            <w:r>
              <w:rPr>
                <w:spacing w:val="2"/>
                <w:sz w:val="18"/>
                <w:szCs w:val="18"/>
                <w:lang w:eastAsia="zh-CN"/>
              </w:rPr>
              <w:t xml:space="preserve"> </w:t>
            </w:r>
            <w:r>
              <w:rPr>
                <w:spacing w:val="-3"/>
                <w:sz w:val="18"/>
                <w:szCs w:val="18"/>
                <w:lang w:eastAsia="zh-CN"/>
              </w:rPr>
              <w:t>定盖章的劳动合同或社会养老保险证明（若投标单位所在地区的人社部门不</w:t>
            </w:r>
            <w:r>
              <w:rPr>
                <w:spacing w:val="11"/>
                <w:sz w:val="18"/>
                <w:szCs w:val="18"/>
                <w:lang w:eastAsia="zh-CN"/>
              </w:rPr>
              <w:t xml:space="preserve"> </w:t>
            </w:r>
            <w:r>
              <w:rPr>
                <w:spacing w:val="-3"/>
                <w:sz w:val="18"/>
                <w:szCs w:val="18"/>
                <w:lang w:eastAsia="zh-CN"/>
              </w:rPr>
              <w:t>在劳动合同或社保证明原件上盖章，则须提供人社部门官网打印件并经人社</w:t>
            </w:r>
            <w:r>
              <w:rPr>
                <w:spacing w:val="-10"/>
                <w:sz w:val="18"/>
                <w:szCs w:val="18"/>
                <w:lang w:eastAsia="zh-CN"/>
              </w:rPr>
              <w:t>部门官网可查且信息有效）。</w:t>
            </w:r>
          </w:p>
          <w:p>
            <w:pPr>
              <w:pStyle w:val="139"/>
              <w:spacing w:before="62" w:line="256" w:lineRule="auto"/>
              <w:ind w:left="109" w:right="39" w:firstLine="3"/>
              <w:rPr>
                <w:sz w:val="18"/>
                <w:szCs w:val="18"/>
                <w:lang w:eastAsia="zh-CN"/>
              </w:rPr>
            </w:pPr>
            <w:r>
              <w:rPr>
                <w:rFonts w:ascii="Calibri" w:hAnsi="Calibri" w:eastAsia="Calibri" w:cs="Calibri"/>
                <w:sz w:val="18"/>
                <w:szCs w:val="18"/>
                <w:lang w:eastAsia="zh-CN"/>
              </w:rPr>
              <w:t>2</w:t>
            </w:r>
            <w:r>
              <w:rPr>
                <w:sz w:val="18"/>
                <w:szCs w:val="18"/>
                <w:lang w:eastAsia="zh-CN"/>
              </w:rPr>
              <w:t>、对受到有关水行政主管部门作出取消在相应地区投标资格行政处理、或</w:t>
            </w:r>
            <w:r>
              <w:rPr>
                <w:spacing w:val="-1"/>
                <w:sz w:val="18"/>
                <w:szCs w:val="18"/>
                <w:lang w:eastAsia="zh-CN"/>
              </w:rPr>
              <w:t>者被有关部门依法列入严重失信行为主体名单，且在有效期内的市场主体</w:t>
            </w:r>
            <w:r>
              <w:rPr>
                <w:rFonts w:hint="eastAsia"/>
                <w:spacing w:val="-1"/>
                <w:sz w:val="18"/>
                <w:szCs w:val="18"/>
                <w:lang w:eastAsia="zh-CN"/>
              </w:rPr>
              <w:t>，</w:t>
            </w:r>
            <w:r>
              <w:rPr>
                <w:spacing w:val="2"/>
                <w:sz w:val="18"/>
                <w:szCs w:val="18"/>
                <w:lang w:eastAsia="zh-CN"/>
              </w:rPr>
              <w:t xml:space="preserve"> </w:t>
            </w:r>
            <w:r>
              <w:rPr>
                <w:spacing w:val="-4"/>
                <w:sz w:val="18"/>
                <w:szCs w:val="18"/>
                <w:lang w:eastAsia="zh-CN"/>
              </w:rPr>
              <w:t>应当依法禁止或者限制其参与投标。（需附网站查询截图加盖公章）</w:t>
            </w:r>
          </w:p>
          <w:p>
            <w:pPr>
              <w:pStyle w:val="139"/>
              <w:spacing w:before="61" w:line="220" w:lineRule="auto"/>
              <w:ind w:left="111"/>
              <w:rPr>
                <w:spacing w:val="-7"/>
                <w:sz w:val="18"/>
                <w:szCs w:val="18"/>
              </w:rPr>
            </w:pPr>
            <w:r>
              <w:rPr>
                <w:rFonts w:ascii="Calibri" w:hAnsi="Calibri" w:eastAsia="Calibri" w:cs="Calibri"/>
                <w:spacing w:val="-7"/>
                <w:sz w:val="18"/>
                <w:szCs w:val="18"/>
                <w:lang w:eastAsia="zh-CN"/>
              </w:rPr>
              <w:t>3</w:t>
            </w:r>
            <w:r>
              <w:rPr>
                <w:rFonts w:ascii="Calibri" w:hAnsi="Calibri" w:eastAsia="Calibri" w:cs="Calibri"/>
                <w:spacing w:val="-8"/>
                <w:sz w:val="18"/>
                <w:szCs w:val="18"/>
                <w:lang w:eastAsia="zh-CN"/>
              </w:rPr>
              <w:t xml:space="preserve"> </w:t>
            </w:r>
            <w:r>
              <w:rPr>
                <w:spacing w:val="-7"/>
                <w:sz w:val="18"/>
                <w:szCs w:val="18"/>
                <w:lang w:eastAsia="zh-CN"/>
              </w:rPr>
              <w:t>、项目</w:t>
            </w:r>
            <w:r>
              <w:rPr>
                <w:rFonts w:hint="eastAsia"/>
                <w:spacing w:val="-7"/>
                <w:sz w:val="18"/>
                <w:szCs w:val="18"/>
                <w:lang w:eastAsia="zh-CN"/>
              </w:rPr>
              <w:t>负责人（项目经理）</w:t>
            </w:r>
            <w:r>
              <w:rPr>
                <w:spacing w:val="-7"/>
                <w:sz w:val="18"/>
                <w:szCs w:val="18"/>
                <w:lang w:eastAsia="zh-CN"/>
              </w:rPr>
              <w:t>无其他在建工程项目（需提供承诺函。</w:t>
            </w:r>
            <w:r>
              <w:rPr>
                <w:spacing w:val="-7"/>
                <w:sz w:val="18"/>
                <w:szCs w:val="18"/>
              </w:rPr>
              <w:t>）</w:t>
            </w:r>
          </w:p>
          <w:p>
            <w:pPr>
              <w:pStyle w:val="139"/>
              <w:spacing w:before="61" w:line="220" w:lineRule="auto"/>
              <w:ind w:left="111"/>
              <w:rPr>
                <w:spacing w:val="-7"/>
                <w:sz w:val="18"/>
                <w:szCs w:val="18"/>
                <w:lang w:eastAsia="zh-CN"/>
              </w:rPr>
            </w:pPr>
            <w:r>
              <w:rPr>
                <w:rFonts w:hint="eastAsia"/>
                <w:spacing w:val="-7"/>
                <w:sz w:val="18"/>
                <w:szCs w:val="18"/>
                <w:lang w:eastAsia="zh-CN"/>
              </w:rPr>
              <w:t>4、参加辽宁省水利工程电子投标活动的投标人未进入辽宁省水利建设市场主体数据库的，请登陆“辽宁省公共资源交易网”，“首页—公共资源一网交易登陆入口—水利工程交易系统—交易主体注册”，主体数据库信息录入操作方法详见《辽宁省水利建设市场主体数据库信息录入操作手册》( 操作手册下载网站：https://slt.ln.gov.cn/slt/zxpd/tzgg/2023011013315528876/index.shtml)”，及时办理入库手续。具体规定详见《关于开展全省水利建设市场主体数据库信息录入工作的通知》。其他交易平台项目按照各交易平台的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26" w:type="dxa"/>
            <w:tcBorders>
              <w:left w:val="single" w:color="000000" w:sz="6" w:space="0"/>
            </w:tcBorders>
            <w:vAlign w:val="center"/>
          </w:tcPr>
          <w:p>
            <w:pPr>
              <w:pStyle w:val="139"/>
              <w:spacing w:before="216" w:line="221" w:lineRule="auto"/>
              <w:ind w:left="315"/>
              <w:rPr>
                <w:sz w:val="18"/>
                <w:szCs w:val="18"/>
              </w:rPr>
            </w:pPr>
            <w:r>
              <w:rPr>
                <w:spacing w:val="-2"/>
                <w:sz w:val="18"/>
                <w:szCs w:val="18"/>
              </w:rPr>
              <w:t>监督部门</w:t>
            </w:r>
          </w:p>
        </w:tc>
        <w:tc>
          <w:tcPr>
            <w:tcW w:w="2955" w:type="dxa"/>
            <w:gridSpan w:val="3"/>
            <w:vAlign w:val="center"/>
          </w:tcPr>
          <w:p>
            <w:pPr>
              <w:pStyle w:val="139"/>
              <w:spacing w:before="217" w:line="220" w:lineRule="auto"/>
              <w:ind w:left="611"/>
              <w:rPr>
                <w:sz w:val="18"/>
                <w:szCs w:val="18"/>
              </w:rPr>
            </w:pPr>
            <w:r>
              <w:rPr>
                <w:spacing w:val="-1"/>
                <w:sz w:val="18"/>
                <w:szCs w:val="18"/>
              </w:rPr>
              <w:t>盖州市发展和改革局</w:t>
            </w:r>
          </w:p>
        </w:tc>
        <w:tc>
          <w:tcPr>
            <w:tcW w:w="1526" w:type="dxa"/>
            <w:vAlign w:val="center"/>
          </w:tcPr>
          <w:p>
            <w:pPr>
              <w:pStyle w:val="139"/>
              <w:spacing w:before="216" w:line="221" w:lineRule="auto"/>
              <w:ind w:left="351"/>
              <w:rPr>
                <w:sz w:val="18"/>
                <w:szCs w:val="18"/>
              </w:rPr>
            </w:pPr>
            <w:r>
              <w:rPr>
                <w:spacing w:val="-3"/>
                <w:sz w:val="18"/>
                <w:szCs w:val="18"/>
              </w:rPr>
              <w:t>项目来源</w:t>
            </w:r>
          </w:p>
        </w:tc>
        <w:tc>
          <w:tcPr>
            <w:tcW w:w="2682" w:type="dxa"/>
            <w:gridSpan w:val="3"/>
            <w:tcBorders>
              <w:right w:val="single" w:color="000000" w:sz="6" w:space="0"/>
            </w:tcBorders>
            <w:vAlign w:val="center"/>
          </w:tcPr>
          <w:p>
            <w:pPr>
              <w:pStyle w:val="139"/>
              <w:spacing w:before="60" w:line="246" w:lineRule="auto"/>
              <w:ind w:left="387" w:right="152" w:hanging="216"/>
              <w:rPr>
                <w:sz w:val="18"/>
                <w:szCs w:val="18"/>
                <w:lang w:eastAsia="zh-CN"/>
              </w:rPr>
            </w:pPr>
            <w:r>
              <w:rPr>
                <w:spacing w:val="-1"/>
                <w:sz w:val="18"/>
                <w:szCs w:val="18"/>
                <w:lang w:eastAsia="zh-CN"/>
              </w:rPr>
              <w:t>非辽宁省投资项目在线</w:t>
            </w:r>
            <w:r>
              <w:rPr>
                <w:sz w:val="18"/>
                <w:szCs w:val="18"/>
                <w:lang w:eastAsia="zh-CN"/>
              </w:rPr>
              <w:t xml:space="preserve"> </w:t>
            </w:r>
            <w:r>
              <w:rPr>
                <w:spacing w:val="-2"/>
                <w:sz w:val="18"/>
                <w:szCs w:val="18"/>
                <w:lang w:eastAsia="zh-CN"/>
              </w:rPr>
              <w:t>审批监管平台项目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59" w:line="245" w:lineRule="auto"/>
              <w:ind w:left="530" w:right="208" w:hanging="320"/>
              <w:rPr>
                <w:sz w:val="18"/>
                <w:szCs w:val="18"/>
              </w:rPr>
            </w:pPr>
            <w:r>
              <w:rPr>
                <w:spacing w:val="-2"/>
                <w:sz w:val="18"/>
                <w:szCs w:val="18"/>
              </w:rPr>
              <w:t>监督部门联</w:t>
            </w:r>
            <w:r>
              <w:rPr>
                <w:spacing w:val="3"/>
                <w:sz w:val="18"/>
                <w:szCs w:val="18"/>
              </w:rPr>
              <w:t xml:space="preserve"> </w:t>
            </w:r>
            <w:r>
              <w:rPr>
                <w:spacing w:val="-3"/>
                <w:sz w:val="18"/>
                <w:szCs w:val="18"/>
              </w:rPr>
              <w:t>系人</w:t>
            </w:r>
          </w:p>
        </w:tc>
        <w:tc>
          <w:tcPr>
            <w:tcW w:w="2955" w:type="dxa"/>
            <w:gridSpan w:val="3"/>
            <w:vAlign w:val="center"/>
          </w:tcPr>
          <w:p>
            <w:pPr>
              <w:pStyle w:val="139"/>
              <w:spacing w:before="215" w:line="221" w:lineRule="auto"/>
              <w:ind w:left="1247"/>
              <w:rPr>
                <w:sz w:val="18"/>
                <w:szCs w:val="18"/>
              </w:rPr>
            </w:pPr>
            <w:r>
              <w:rPr>
                <w:rFonts w:hint="eastAsia"/>
                <w:spacing w:val="-3"/>
                <w:sz w:val="18"/>
                <w:szCs w:val="18"/>
                <w:lang w:eastAsia="zh-CN"/>
              </w:rPr>
              <w:t>慕</w:t>
            </w:r>
            <w:r>
              <w:rPr>
                <w:spacing w:val="-3"/>
                <w:sz w:val="18"/>
                <w:szCs w:val="18"/>
              </w:rPr>
              <w:t>先生</w:t>
            </w:r>
          </w:p>
        </w:tc>
        <w:tc>
          <w:tcPr>
            <w:tcW w:w="1526" w:type="dxa"/>
            <w:vAlign w:val="center"/>
          </w:tcPr>
          <w:p>
            <w:pPr>
              <w:pStyle w:val="139"/>
              <w:spacing w:before="215" w:line="221" w:lineRule="auto"/>
              <w:ind w:left="139"/>
              <w:rPr>
                <w:sz w:val="18"/>
                <w:szCs w:val="18"/>
              </w:rPr>
            </w:pPr>
            <w:r>
              <w:rPr>
                <w:spacing w:val="-1"/>
                <w:sz w:val="18"/>
                <w:szCs w:val="18"/>
              </w:rPr>
              <w:t>监督部门电话</w:t>
            </w:r>
          </w:p>
        </w:tc>
        <w:tc>
          <w:tcPr>
            <w:tcW w:w="2682" w:type="dxa"/>
            <w:gridSpan w:val="3"/>
            <w:tcBorders>
              <w:right w:val="single" w:color="000000" w:sz="6" w:space="0"/>
            </w:tcBorders>
            <w:vAlign w:val="center"/>
          </w:tcPr>
          <w:p>
            <w:pPr>
              <w:pStyle w:val="139"/>
              <w:spacing w:before="250" w:line="183" w:lineRule="auto"/>
              <w:ind w:left="589"/>
              <w:rPr>
                <w:sz w:val="18"/>
                <w:szCs w:val="18"/>
              </w:rPr>
            </w:pPr>
            <w:r>
              <w:rPr>
                <w:spacing w:val="-1"/>
                <w:sz w:val="18"/>
                <w:szCs w:val="18"/>
              </w:rPr>
              <w:t>0417-7689191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217" w:line="221" w:lineRule="auto"/>
              <w:ind w:left="421"/>
              <w:rPr>
                <w:sz w:val="18"/>
                <w:szCs w:val="18"/>
              </w:rPr>
            </w:pPr>
            <w:r>
              <w:rPr>
                <w:spacing w:val="-2"/>
                <w:sz w:val="18"/>
                <w:szCs w:val="18"/>
              </w:rPr>
              <w:t>招标人</w:t>
            </w:r>
          </w:p>
        </w:tc>
        <w:tc>
          <w:tcPr>
            <w:tcW w:w="2955" w:type="dxa"/>
            <w:gridSpan w:val="3"/>
            <w:vAlign w:val="center"/>
          </w:tcPr>
          <w:p>
            <w:pPr>
              <w:pStyle w:val="139"/>
              <w:spacing w:before="61" w:line="244" w:lineRule="auto"/>
              <w:ind w:left="1454" w:right="186" w:hanging="1263"/>
              <w:rPr>
                <w:sz w:val="18"/>
                <w:szCs w:val="18"/>
                <w:lang w:eastAsia="zh-CN"/>
              </w:rPr>
            </w:pPr>
            <w:r>
              <w:rPr>
                <w:rFonts w:hint="eastAsia"/>
                <w:spacing w:val="-1"/>
                <w:sz w:val="18"/>
                <w:szCs w:val="18"/>
                <w:lang w:eastAsia="zh-CN"/>
              </w:rPr>
              <w:t>盖州市水利事务中心</w:t>
            </w:r>
          </w:p>
        </w:tc>
        <w:tc>
          <w:tcPr>
            <w:tcW w:w="1526" w:type="dxa"/>
            <w:vAlign w:val="center"/>
          </w:tcPr>
          <w:p>
            <w:pPr>
              <w:pStyle w:val="139"/>
              <w:spacing w:before="217"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217" w:line="220" w:lineRule="auto"/>
              <w:rPr>
                <w:sz w:val="18"/>
                <w:szCs w:val="18"/>
                <w:lang w:eastAsia="zh-CN"/>
              </w:rPr>
            </w:pPr>
            <w:r>
              <w:rPr>
                <w:rFonts w:hint="eastAsia"/>
                <w:spacing w:val="-3"/>
                <w:sz w:val="18"/>
                <w:szCs w:val="18"/>
                <w:lang w:eastAsia="zh-CN"/>
              </w:rPr>
              <w:t>盖州市人民政府新楼（三楼）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6" w:line="223" w:lineRule="auto"/>
              <w:ind w:left="421"/>
              <w:rPr>
                <w:sz w:val="18"/>
                <w:szCs w:val="18"/>
              </w:rPr>
            </w:pPr>
            <w:r>
              <w:rPr>
                <w:spacing w:val="-2"/>
                <w:sz w:val="18"/>
                <w:szCs w:val="18"/>
              </w:rPr>
              <w:t>联系人</w:t>
            </w:r>
          </w:p>
        </w:tc>
        <w:tc>
          <w:tcPr>
            <w:tcW w:w="2955" w:type="dxa"/>
            <w:gridSpan w:val="3"/>
            <w:vAlign w:val="center"/>
          </w:tcPr>
          <w:p>
            <w:pPr>
              <w:pStyle w:val="139"/>
              <w:spacing w:before="206" w:line="221" w:lineRule="auto"/>
              <w:ind w:left="1244"/>
              <w:rPr>
                <w:sz w:val="18"/>
                <w:szCs w:val="18"/>
              </w:rPr>
            </w:pPr>
            <w:r>
              <w:rPr>
                <w:rFonts w:hint="eastAsia"/>
                <w:spacing w:val="-2"/>
                <w:sz w:val="18"/>
                <w:szCs w:val="18"/>
                <w:lang w:eastAsia="zh-CN"/>
              </w:rPr>
              <w:t>李</w:t>
            </w:r>
            <w:r>
              <w:rPr>
                <w:spacing w:val="-2"/>
                <w:sz w:val="18"/>
                <w:szCs w:val="18"/>
              </w:rPr>
              <w:t>先生</w:t>
            </w:r>
          </w:p>
        </w:tc>
        <w:tc>
          <w:tcPr>
            <w:tcW w:w="1526" w:type="dxa"/>
            <w:vAlign w:val="center"/>
          </w:tcPr>
          <w:p>
            <w:pPr>
              <w:pStyle w:val="139"/>
              <w:spacing w:before="206"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1" w:line="183" w:lineRule="auto"/>
              <w:ind w:left="589"/>
              <w:rPr>
                <w:sz w:val="18"/>
                <w:szCs w:val="18"/>
                <w:lang w:eastAsia="zh-CN"/>
              </w:rPr>
            </w:pPr>
            <w:r>
              <w:rPr>
                <w:rFonts w:hint="eastAsia"/>
                <w:spacing w:val="-1"/>
                <w:sz w:val="18"/>
                <w:szCs w:val="18"/>
                <w:lang w:eastAsia="zh-CN"/>
              </w:rPr>
              <w:t xml:space="preserve">0417-7689313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62" w:line="244" w:lineRule="auto"/>
              <w:ind w:left="631" w:right="208" w:hanging="421"/>
              <w:rPr>
                <w:sz w:val="18"/>
                <w:szCs w:val="18"/>
              </w:rPr>
            </w:pPr>
            <w:r>
              <w:rPr>
                <w:spacing w:val="-2"/>
                <w:sz w:val="18"/>
                <w:szCs w:val="18"/>
              </w:rPr>
              <w:t>招标代理机</w:t>
            </w:r>
            <w:r>
              <w:rPr>
                <w:spacing w:val="3"/>
                <w:sz w:val="18"/>
                <w:szCs w:val="18"/>
              </w:rPr>
              <w:t xml:space="preserve"> </w:t>
            </w:r>
            <w:r>
              <w:rPr>
                <w:sz w:val="18"/>
                <w:szCs w:val="18"/>
              </w:rPr>
              <w:t>构</w:t>
            </w:r>
          </w:p>
        </w:tc>
        <w:tc>
          <w:tcPr>
            <w:tcW w:w="2955" w:type="dxa"/>
            <w:gridSpan w:val="3"/>
            <w:vAlign w:val="center"/>
          </w:tcPr>
          <w:p>
            <w:pPr>
              <w:pStyle w:val="139"/>
              <w:spacing w:before="62" w:line="244" w:lineRule="auto"/>
              <w:ind w:left="1354" w:right="186" w:hanging="1143"/>
              <w:rPr>
                <w:sz w:val="18"/>
                <w:szCs w:val="18"/>
                <w:lang w:eastAsia="zh-CN"/>
              </w:rPr>
            </w:pPr>
            <w:r>
              <w:rPr>
                <w:rFonts w:hint="eastAsia"/>
                <w:spacing w:val="-2"/>
                <w:sz w:val="18"/>
                <w:szCs w:val="18"/>
                <w:lang w:eastAsia="zh-CN"/>
              </w:rPr>
              <w:t>辽宁明润工程招投标代理有限公司</w:t>
            </w:r>
          </w:p>
        </w:tc>
        <w:tc>
          <w:tcPr>
            <w:tcW w:w="1526" w:type="dxa"/>
            <w:vAlign w:val="center"/>
          </w:tcPr>
          <w:p>
            <w:pPr>
              <w:pStyle w:val="139"/>
              <w:spacing w:before="219"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62" w:line="244" w:lineRule="auto"/>
              <w:ind w:left="115" w:right="99" w:firstLine="57"/>
              <w:rPr>
                <w:sz w:val="18"/>
                <w:szCs w:val="18"/>
                <w:lang w:eastAsia="zh-CN"/>
              </w:rPr>
            </w:pPr>
            <w:r>
              <w:rPr>
                <w:rFonts w:hint="eastAsia"/>
                <w:color w:val="000000"/>
                <w:kern w:val="0"/>
                <w:sz w:val="18"/>
                <w:szCs w:val="18"/>
                <w:lang w:eastAsia="zh-CN"/>
              </w:rPr>
              <w:t>辽宁省辽宁省盘锦市兴隆台区润诚苑小区商网0011栋02号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8" w:line="223" w:lineRule="auto"/>
              <w:ind w:left="421"/>
              <w:rPr>
                <w:sz w:val="18"/>
                <w:szCs w:val="18"/>
              </w:rPr>
            </w:pPr>
            <w:r>
              <w:rPr>
                <w:spacing w:val="-2"/>
                <w:sz w:val="18"/>
                <w:szCs w:val="18"/>
              </w:rPr>
              <w:t>联系人</w:t>
            </w:r>
          </w:p>
        </w:tc>
        <w:tc>
          <w:tcPr>
            <w:tcW w:w="2955" w:type="dxa"/>
            <w:gridSpan w:val="3"/>
            <w:vAlign w:val="center"/>
          </w:tcPr>
          <w:p>
            <w:pPr>
              <w:pStyle w:val="139"/>
              <w:spacing w:before="208" w:line="221" w:lineRule="auto"/>
              <w:ind w:left="1243"/>
              <w:rPr>
                <w:sz w:val="18"/>
                <w:szCs w:val="18"/>
              </w:rPr>
            </w:pPr>
            <w:r>
              <w:rPr>
                <w:rFonts w:hint="eastAsia"/>
                <w:color w:val="000000"/>
                <w:kern w:val="0"/>
                <w:sz w:val="18"/>
                <w:szCs w:val="18"/>
                <w:lang w:eastAsia="zh-CN"/>
              </w:rPr>
              <w:t>刘女士</w:t>
            </w:r>
          </w:p>
        </w:tc>
        <w:tc>
          <w:tcPr>
            <w:tcW w:w="1526" w:type="dxa"/>
            <w:vAlign w:val="center"/>
          </w:tcPr>
          <w:p>
            <w:pPr>
              <w:pStyle w:val="139"/>
              <w:spacing w:before="208"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2" w:line="183" w:lineRule="auto"/>
              <w:ind w:left="587"/>
              <w:rPr>
                <w:sz w:val="18"/>
                <w:szCs w:val="18"/>
              </w:rPr>
            </w:pPr>
            <w:r>
              <w:rPr>
                <w:rFonts w:hint="eastAsia"/>
                <w:color w:val="000000"/>
                <w:kern w:val="0"/>
                <w:sz w:val="18"/>
                <w:szCs w:val="18"/>
                <w:lang w:eastAsia="zh-CN"/>
              </w:rPr>
              <w:t>0427-7860222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626" w:type="dxa"/>
            <w:tcBorders>
              <w:left w:val="single" w:color="000000" w:sz="6" w:space="0"/>
              <w:bottom w:val="single" w:color="000000" w:sz="6" w:space="0"/>
            </w:tcBorders>
            <w:vAlign w:val="center"/>
          </w:tcPr>
          <w:p>
            <w:pPr>
              <w:pStyle w:val="139"/>
              <w:spacing w:before="221" w:line="221" w:lineRule="auto"/>
              <w:ind w:left="541"/>
              <w:rPr>
                <w:sz w:val="18"/>
                <w:szCs w:val="18"/>
              </w:rPr>
            </w:pPr>
            <w:r>
              <w:rPr>
                <w:spacing w:val="-6"/>
                <w:sz w:val="18"/>
                <w:szCs w:val="18"/>
              </w:rPr>
              <w:t>邮箱</w:t>
            </w:r>
          </w:p>
        </w:tc>
        <w:tc>
          <w:tcPr>
            <w:tcW w:w="7163" w:type="dxa"/>
            <w:gridSpan w:val="7"/>
            <w:tcBorders>
              <w:bottom w:val="single" w:color="000000" w:sz="6" w:space="0"/>
              <w:right w:val="single" w:color="000000" w:sz="6" w:space="0"/>
            </w:tcBorders>
            <w:vAlign w:val="center"/>
          </w:tcPr>
          <w:p>
            <w:pPr>
              <w:pStyle w:val="139"/>
              <w:spacing w:before="255" w:line="183" w:lineRule="auto"/>
              <w:ind w:left="2691"/>
              <w:rPr>
                <w:sz w:val="18"/>
                <w:szCs w:val="18"/>
              </w:rPr>
            </w:pPr>
            <w:r>
              <w:rPr>
                <w:spacing w:val="-1"/>
                <w:sz w:val="18"/>
                <w:szCs w:val="18"/>
              </w:rPr>
              <w:t>470817129@qq.com</w:t>
            </w:r>
          </w:p>
        </w:tc>
      </w:tr>
    </w:tbl>
    <w:p>
      <w:pPr>
        <w:spacing w:line="400" w:lineRule="exact"/>
        <w:rPr>
          <w:rFonts w:ascii="Arial" w:hAnsi="Arial" w:eastAsia="黑体"/>
          <w:color w:val="000080"/>
          <w:sz w:val="20"/>
          <w:szCs w:val="20"/>
          <w:highlight w:val="none"/>
        </w:rPr>
      </w:pPr>
    </w:p>
    <w:p>
      <w:pPr>
        <w:spacing w:line="400" w:lineRule="exact"/>
        <w:rPr>
          <w:rFonts w:ascii="Arial" w:hAnsi="Arial" w:eastAsia="黑体"/>
          <w:color w:val="000080"/>
          <w:sz w:val="20"/>
          <w:szCs w:val="20"/>
          <w:highlight w:val="none"/>
        </w:rPr>
      </w:pPr>
    </w:p>
    <w:p>
      <w:pPr>
        <w:rPr>
          <w:highlight w:val="none"/>
        </w:rPr>
      </w:pPr>
      <w:r>
        <w:rPr>
          <w:color w:val="000080"/>
          <w:sz w:val="20"/>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10" w:name="_Toc21270"/>
      <w:bookmarkStart w:id="11" w:name="_Toc49869966"/>
      <w:r>
        <w:rPr>
          <w:rFonts w:hint="eastAsia" w:ascii="黑体" w:hAnsi="黑体" w:eastAsia="黑体"/>
          <w:bCs w:val="0"/>
          <w:color w:val="000000"/>
          <w:sz w:val="31"/>
          <w:szCs w:val="31"/>
          <w:highlight w:val="none"/>
        </w:rPr>
        <w:t>第二章 投标人须知</w:t>
      </w:r>
      <w:bookmarkEnd w:id="10"/>
      <w:bookmarkEnd w:id="11"/>
    </w:p>
    <w:p>
      <w:pPr>
        <w:rPr>
          <w:highlight w:val="none"/>
        </w:rPr>
      </w:pPr>
      <w:bookmarkStart w:id="12" w:name="EB795adfd018384f0884e1dea53eaf53c0"/>
      <w:bookmarkEnd w:id="12"/>
      <w:bookmarkStart w:id="13" w:name="EB0c6c65492c334045bcdd1140c921593c"/>
      <w:bookmarkEnd w:id="13"/>
    </w:p>
    <w:p>
      <w:pPr>
        <w:spacing w:line="400" w:lineRule="exact"/>
        <w:jc w:val="center"/>
        <w:rPr>
          <w:rFonts w:ascii="黑体" w:hAnsi="黑体" w:eastAsia="黑体"/>
          <w:color w:val="000000"/>
          <w:sz w:val="27"/>
          <w:szCs w:val="27"/>
          <w:highlight w:val="none"/>
        </w:rPr>
      </w:pPr>
      <w:r>
        <w:rPr>
          <w:rFonts w:hint="eastAsia" w:ascii="黑体" w:hAnsi="黑体" w:eastAsia="黑体"/>
          <w:color w:val="000000"/>
          <w:sz w:val="27"/>
          <w:szCs w:val="27"/>
          <w:highlight w:val="none"/>
        </w:rPr>
        <w:t>投标人须知前附表</w:t>
      </w:r>
    </w:p>
    <w:p>
      <w:pPr>
        <w:adjustRightInd w:val="0"/>
        <w:spacing w:line="400" w:lineRule="exact"/>
        <w:textAlignment w:val="baseline"/>
        <w:rPr>
          <w:color w:val="000000"/>
          <w:sz w:val="20"/>
          <w:szCs w:val="20"/>
          <w:highlight w:val="none"/>
        </w:rPr>
      </w:pPr>
    </w:p>
    <w:tbl>
      <w:tblPr>
        <w:tblStyle w:val="36"/>
        <w:tblW w:w="5000" w:type="pct"/>
        <w:tblInd w:w="0" w:type="dxa"/>
        <w:tblLayout w:type="fixed"/>
        <w:tblCellMar>
          <w:top w:w="0" w:type="dxa"/>
          <w:left w:w="108" w:type="dxa"/>
          <w:bottom w:w="0" w:type="dxa"/>
          <w:right w:w="108" w:type="dxa"/>
        </w:tblCellMar>
      </w:tblPr>
      <w:tblGrid>
        <w:gridCol w:w="657"/>
        <w:gridCol w:w="2373"/>
        <w:gridCol w:w="5568"/>
      </w:tblGrid>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条款号</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  款  名  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编  列  内  容</w:t>
            </w:r>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招标人</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招标单位：盖州市水利事务中心</w:t>
            </w:r>
          </w:p>
          <w:p>
            <w:pPr>
              <w:spacing w:line="400" w:lineRule="exact"/>
              <w:rPr>
                <w:szCs w:val="21"/>
                <w:highlight w:val="none"/>
              </w:rPr>
            </w:pPr>
            <w:r>
              <w:rPr>
                <w:rFonts w:hint="eastAsia"/>
                <w:szCs w:val="21"/>
                <w:highlight w:val="none"/>
              </w:rPr>
              <w:t>地    址：盖州市市政府东二楼</w:t>
            </w:r>
          </w:p>
          <w:p>
            <w:pPr>
              <w:spacing w:line="400" w:lineRule="exact"/>
              <w:rPr>
                <w:szCs w:val="21"/>
                <w:highlight w:val="none"/>
              </w:rPr>
            </w:pPr>
            <w:r>
              <w:rPr>
                <w:rFonts w:hint="eastAsia"/>
                <w:szCs w:val="21"/>
                <w:highlight w:val="none"/>
              </w:rPr>
              <w:t xml:space="preserve">联 系 人：李先生 </w:t>
            </w:r>
          </w:p>
          <w:p>
            <w:pPr>
              <w:spacing w:line="400" w:lineRule="exact"/>
              <w:rPr>
                <w:szCs w:val="21"/>
                <w:highlight w:val="none"/>
              </w:rPr>
            </w:pPr>
            <w:r>
              <w:rPr>
                <w:rFonts w:hint="eastAsia"/>
                <w:szCs w:val="21"/>
                <w:highlight w:val="none"/>
              </w:rPr>
              <w:t>联系电话：0417-7689309</w:t>
            </w:r>
          </w:p>
        </w:tc>
      </w:tr>
      <w:tr>
        <w:tblPrEx>
          <w:tblCellMar>
            <w:top w:w="0" w:type="dxa"/>
            <w:left w:w="108" w:type="dxa"/>
            <w:bottom w:w="0" w:type="dxa"/>
            <w:right w:w="108" w:type="dxa"/>
          </w:tblCellMar>
        </w:tblPrEx>
        <w:trPr>
          <w:trHeight w:val="49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招标代理机构</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代理单位：辽宁明润工程招投标代理有限公司</w:t>
            </w:r>
          </w:p>
          <w:p>
            <w:pPr>
              <w:spacing w:line="400" w:lineRule="exact"/>
              <w:rPr>
                <w:szCs w:val="21"/>
                <w:highlight w:val="none"/>
              </w:rPr>
            </w:pPr>
            <w:r>
              <w:rPr>
                <w:rFonts w:hint="eastAsia"/>
                <w:szCs w:val="21"/>
                <w:highlight w:val="none"/>
              </w:rPr>
              <w:t>地    址：辽宁省盘锦市兴隆台区润诚苑小区商网0011栋02号</w:t>
            </w:r>
          </w:p>
          <w:p>
            <w:pPr>
              <w:spacing w:line="400" w:lineRule="exact"/>
              <w:rPr>
                <w:szCs w:val="21"/>
                <w:highlight w:val="none"/>
              </w:rPr>
            </w:pPr>
            <w:r>
              <w:rPr>
                <w:rFonts w:hint="eastAsia"/>
                <w:szCs w:val="21"/>
                <w:highlight w:val="none"/>
              </w:rPr>
              <w:t xml:space="preserve">联 系 人：刘女士 </w:t>
            </w:r>
          </w:p>
          <w:p>
            <w:pPr>
              <w:spacing w:line="400" w:lineRule="exact"/>
              <w:rPr>
                <w:szCs w:val="21"/>
                <w:highlight w:val="none"/>
              </w:rPr>
            </w:pPr>
            <w:r>
              <w:rPr>
                <w:rFonts w:hint="eastAsia"/>
                <w:szCs w:val="21"/>
                <w:highlight w:val="none"/>
              </w:rPr>
              <w:t xml:space="preserve">联系电话：0427-7860222 </w:t>
            </w:r>
            <w:r>
              <w:rPr>
                <w:rFonts w:hint="eastAsia"/>
                <w:szCs w:val="21"/>
                <w:highlight w:val="none"/>
              </w:rPr>
              <w:tab/>
            </w:r>
          </w:p>
          <w:p>
            <w:pPr>
              <w:spacing w:line="400" w:lineRule="exact"/>
              <w:rPr>
                <w:szCs w:val="21"/>
                <w:highlight w:val="none"/>
              </w:rPr>
            </w:pPr>
            <w:r>
              <w:rPr>
                <w:rFonts w:hint="eastAsia"/>
                <w:szCs w:val="21"/>
                <w:highlight w:val="none"/>
              </w:rPr>
              <w:t>邮    箱：470817129@qq.com</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项目名称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4" w:name="EB2133f920aa8e413eb9b263827fc9f539"/>
            <w:r>
              <w:rPr>
                <w:rFonts w:hint="eastAsia"/>
                <w:szCs w:val="21"/>
                <w:highlight w:val="none"/>
              </w:rPr>
              <w:t>项目名称：盖州市2024年大中型水库移民后期扶持规划项目</w:t>
            </w:r>
          </w:p>
          <w:p>
            <w:pPr>
              <w:spacing w:line="400" w:lineRule="exact"/>
              <w:rPr>
                <w:szCs w:val="21"/>
                <w:highlight w:val="none"/>
              </w:rPr>
            </w:pPr>
            <w:r>
              <w:rPr>
                <w:rFonts w:hint="eastAsia"/>
                <w:szCs w:val="21"/>
                <w:highlight w:val="none"/>
              </w:rPr>
              <w:t>标段名称：</w:t>
            </w:r>
            <w:bookmarkEnd w:id="14"/>
            <w:r>
              <w:rPr>
                <w:rFonts w:hint="eastAsia"/>
                <w:szCs w:val="21"/>
                <w:highlight w:val="none"/>
              </w:rPr>
              <w:t>盖州市2024年大中型水库移民后期扶持规划项目（水利工程）施工</w:t>
            </w:r>
            <w:r>
              <w:rPr>
                <w:rFonts w:hint="eastAsia"/>
                <w:szCs w:val="21"/>
                <w:highlight w:val="none"/>
                <w:lang w:eastAsia="zh-CN"/>
              </w:rPr>
              <w:t>五</w:t>
            </w:r>
            <w:r>
              <w:rPr>
                <w:rFonts w:hint="eastAsia"/>
                <w:szCs w:val="21"/>
                <w:highlight w:val="none"/>
              </w:rPr>
              <w:t>标段</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1.1.5</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建设地点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 w:val="24"/>
                <w:highlight w:val="none"/>
              </w:rPr>
              <w:t>盖州市境内</w:t>
            </w:r>
          </w:p>
        </w:tc>
      </w:tr>
      <w:tr>
        <w:tblPrEx>
          <w:tblCellMar>
            <w:top w:w="0" w:type="dxa"/>
            <w:left w:w="108" w:type="dxa"/>
            <w:bottom w:w="0" w:type="dxa"/>
            <w:right w:w="108" w:type="dxa"/>
          </w:tblCellMar>
        </w:tblPrEx>
        <w:trPr>
          <w:trHeight w:val="437"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1.1.6</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现场管理机构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盖州市水利事务中心</w:t>
            </w:r>
          </w:p>
        </w:tc>
      </w:tr>
      <w:tr>
        <w:tblPrEx>
          <w:tblCellMar>
            <w:top w:w="0" w:type="dxa"/>
            <w:left w:w="108" w:type="dxa"/>
            <w:bottom w:w="0" w:type="dxa"/>
            <w:right w:w="108" w:type="dxa"/>
          </w:tblCellMar>
        </w:tblPrEx>
        <w:trPr>
          <w:trHeight w:val="43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1.1.7</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设计人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辽宁天阳工阳技术咨询服务有限公司</w:t>
            </w: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1.1.8</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监理人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5" w:name="EBb10bcffdc53b4d9e81bb060758de1355"/>
            <w:bookmarkEnd w:id="15"/>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代建机构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6" w:name="EB4766f2a545fb4a0d9588125f1971b564"/>
            <w:bookmarkEnd w:id="16"/>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资金来源</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中央水库移民资金</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出资比例</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7" w:name="EBf61b7816821346cc9a4dbfd6d2329daf"/>
            <w:r>
              <w:rPr>
                <w:szCs w:val="21"/>
                <w:highlight w:val="none"/>
              </w:rPr>
              <w:t>100%</w:t>
            </w:r>
            <w:bookmarkEnd w:id="17"/>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资金</w:t>
            </w:r>
            <w:r>
              <w:rPr>
                <w:color w:val="000000"/>
                <w:szCs w:val="21"/>
                <w:highlight w:val="none"/>
              </w:rPr>
              <w:t>落实情况</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8" w:name="EB39886f0d54f0498f8324d72d94e084f3"/>
            <w:r>
              <w:rPr>
                <w:szCs w:val="21"/>
                <w:highlight w:val="none"/>
              </w:rPr>
              <w:t>已落实</w:t>
            </w:r>
            <w:bookmarkEnd w:id="18"/>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招标范围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什字街镇鹰嘴石村河道治理工程右岸固滨笼挡墙护岸500m，什字街镇于屯村河道治理工程什字街河于屯村段河道右岸绿滨垫护岸1394m，新建截潜坝1座。</w:t>
            </w:r>
            <w:r>
              <w:rPr>
                <w:rFonts w:hint="eastAsia" w:cs="宋体"/>
                <w:color w:val="000000"/>
                <w:kern w:val="0"/>
                <w:szCs w:val="21"/>
                <w:highlight w:val="none"/>
              </w:rPr>
              <w:t>具体详见工程量清单。</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计划工期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计划工期：</w:t>
            </w:r>
            <w:r>
              <w:rPr>
                <w:rFonts w:hint="eastAsia"/>
                <w:szCs w:val="21"/>
                <w:highlight w:val="none"/>
                <w:lang w:val="en-US" w:eastAsia="zh-CN"/>
              </w:rPr>
              <w:t>/</w:t>
            </w:r>
            <w:r>
              <w:rPr>
                <w:rFonts w:hint="eastAsia"/>
                <w:szCs w:val="21"/>
                <w:highlight w:val="none"/>
              </w:rPr>
              <w:t>日历天</w:t>
            </w:r>
          </w:p>
          <w:p>
            <w:pPr>
              <w:spacing w:line="400" w:lineRule="exact"/>
              <w:rPr>
                <w:szCs w:val="21"/>
                <w:highlight w:val="none"/>
              </w:rPr>
            </w:pPr>
            <w:r>
              <w:rPr>
                <w:szCs w:val="21"/>
                <w:highlight w:val="none"/>
              </w:rPr>
              <w:t>计划开工日期：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p>
            <w:pPr>
              <w:spacing w:line="400" w:lineRule="exact"/>
              <w:rPr>
                <w:szCs w:val="21"/>
                <w:highlight w:val="none"/>
              </w:rPr>
            </w:pPr>
            <w:r>
              <w:rPr>
                <w:szCs w:val="21"/>
                <w:highlight w:val="none"/>
              </w:rPr>
              <w:t>计划</w:t>
            </w:r>
            <w:r>
              <w:rPr>
                <w:rFonts w:hint="eastAsia"/>
                <w:szCs w:val="21"/>
                <w:highlight w:val="none"/>
              </w:rPr>
              <w:t>竣工</w:t>
            </w:r>
            <w:r>
              <w:rPr>
                <w:szCs w:val="21"/>
                <w:highlight w:val="none"/>
              </w:rPr>
              <w:t>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质量要求</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eastAsia="宋体"/>
                <w:szCs w:val="21"/>
                <w:highlight w:val="none"/>
                <w:lang w:eastAsia="zh-CN"/>
              </w:rPr>
            </w:pPr>
            <w:r>
              <w:rPr>
                <w:rFonts w:hint="eastAsia"/>
                <w:szCs w:val="21"/>
                <w:highlight w:val="none"/>
                <w:lang w:eastAsia="zh-CN"/>
              </w:rPr>
              <w:t>符合国家验收规范的合格标准</w:t>
            </w:r>
          </w:p>
        </w:tc>
      </w:tr>
      <w:tr>
        <w:tblPrEx>
          <w:tblCellMar>
            <w:top w:w="0" w:type="dxa"/>
            <w:left w:w="108" w:type="dxa"/>
            <w:bottom w:w="0" w:type="dxa"/>
            <w:right w:w="108" w:type="dxa"/>
          </w:tblCellMar>
        </w:tblPrEx>
        <w:trPr>
          <w:trHeight w:val="255" w:hRule="atLeast"/>
        </w:trPr>
        <w:tc>
          <w:tcPr>
            <w:tcW w:w="382"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1.4.1</w:t>
            </w:r>
          </w:p>
        </w:tc>
        <w:tc>
          <w:tcPr>
            <w:tcW w:w="1380"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投标人资质条件、能力、信誉</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pacing w:line="400" w:lineRule="exact"/>
              <w:rPr>
                <w:rFonts w:ascii="Times New Roman"/>
                <w:szCs w:val="21"/>
                <w:highlight w:val="none"/>
              </w:rPr>
            </w:pPr>
            <w:r>
              <w:rPr>
                <w:rFonts w:hint="eastAsia"/>
                <w:bCs/>
                <w:szCs w:val="21"/>
                <w:highlight w:val="none"/>
              </w:rPr>
              <w:t>（1）</w:t>
            </w:r>
            <w:r>
              <w:rPr>
                <w:bCs/>
                <w:szCs w:val="21"/>
                <w:highlight w:val="none"/>
              </w:rPr>
              <w:t>资质要求：</w:t>
            </w:r>
            <w:r>
              <w:rPr>
                <w:rFonts w:hint="eastAsia" w:ascii="宋体" w:hAnsi="宋体" w:cs="宋体"/>
                <w:color w:val="000000"/>
                <w:kern w:val="0"/>
                <w:szCs w:val="21"/>
                <w:highlight w:val="none"/>
              </w:rPr>
              <w:t>水利水电工程三级及以上资质并具有有效的安全生产许可证。</w:t>
            </w:r>
            <w:r>
              <w:rPr>
                <w:bCs/>
                <w:szCs w:val="21"/>
                <w:highlight w:val="none"/>
              </w:rPr>
              <w:t xml:space="preserve">                      </w:t>
            </w:r>
          </w:p>
        </w:tc>
      </w:tr>
      <w:tr>
        <w:tblPrEx>
          <w:tblCellMar>
            <w:top w:w="0" w:type="dxa"/>
            <w:left w:w="108" w:type="dxa"/>
            <w:bottom w:w="0" w:type="dxa"/>
            <w:right w:w="108" w:type="dxa"/>
          </w:tblCellMar>
        </w:tblPrEx>
        <w:trPr>
          <w:trHeight w:val="25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（2）财务要求：</w:t>
            </w:r>
            <w:r>
              <w:rPr>
                <w:bCs/>
                <w:szCs w:val="21"/>
                <w:highlight w:val="none"/>
              </w:rPr>
              <w:t xml:space="preserve">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27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（3）</w:t>
            </w:r>
            <w:r>
              <w:rPr>
                <w:bCs/>
                <w:szCs w:val="21"/>
                <w:highlight w:val="none"/>
              </w:rPr>
              <w:t xml:space="preserve">业绩要求：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15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szCs w:val="21"/>
                <w:highlight w:val="none"/>
              </w:rPr>
            </w:pPr>
            <w:r>
              <w:rPr>
                <w:rFonts w:hint="eastAsia"/>
                <w:bCs/>
                <w:szCs w:val="21"/>
                <w:highlight w:val="none"/>
              </w:rPr>
              <w:t>（4）</w:t>
            </w:r>
            <w:r>
              <w:rPr>
                <w:bCs/>
                <w:szCs w:val="21"/>
                <w:highlight w:val="none"/>
              </w:rPr>
              <w:t>信誉要求：</w:t>
            </w:r>
            <w:r>
              <w:rPr>
                <w:rFonts w:hint="eastAsia"/>
                <w:bCs/>
                <w:szCs w:val="21"/>
                <w:highlight w:val="none"/>
              </w:rPr>
              <w:t>对受到有关水行政主管部门作出取消在相应地 区投标资格行政处理、 或者被有关部门依法列入严重失 信行为主体名单， 且在有效期内的市场主体， 应当依法禁止或者限制其参与投标。（需附网站查询截图加盖公章</w:t>
            </w:r>
            <w:r>
              <w:rPr>
                <w:bCs/>
                <w:szCs w:val="21"/>
                <w:highlight w:val="none"/>
              </w:rPr>
              <w:t xml:space="preserve"> </w:t>
            </w:r>
            <w:r>
              <w:rPr>
                <w:rFonts w:hint="eastAsia"/>
                <w:bCs/>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13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color w:val="000000"/>
                <w:szCs w:val="21"/>
                <w:highlight w:val="none"/>
              </w:rPr>
            </w:pPr>
            <w:r>
              <w:rPr>
                <w:rFonts w:hint="eastAsia"/>
                <w:bCs/>
                <w:szCs w:val="21"/>
                <w:highlight w:val="none"/>
              </w:rPr>
              <w:t>（5）主要人员要求：</w:t>
            </w:r>
            <w:r>
              <w:rPr>
                <w:rFonts w:hint="eastAsia" w:ascii="Times New Roman" w:hAnsi="Times New Roman"/>
                <w:bCs/>
                <w:szCs w:val="21"/>
                <w:highlight w:val="none"/>
              </w:rPr>
              <w:t>项目负责人（项目经理）：</w:t>
            </w:r>
            <w:r>
              <w:rPr>
                <w:rFonts w:hint="eastAsia" w:cs="宋体"/>
                <w:color w:val="000000"/>
                <w:kern w:val="0"/>
                <w:szCs w:val="21"/>
                <w:highlight w:val="none"/>
              </w:rPr>
              <w:t>（</w:t>
            </w:r>
            <w:r>
              <w:rPr>
                <w:rFonts w:hint="eastAsia" w:ascii="宋体" w:hAnsi="宋体" w:cs="宋体"/>
                <w:color w:val="000000"/>
                <w:kern w:val="0"/>
                <w:szCs w:val="21"/>
                <w:highlight w:val="none"/>
              </w:rPr>
              <w:t>[二级注册建造师·水利水电工程及以上]</w:t>
            </w:r>
            <w:r>
              <w:rPr>
                <w:spacing w:val="-1"/>
                <w:szCs w:val="21"/>
                <w:highlight w:val="none"/>
              </w:rPr>
              <w:t>并且[具有有效的安全生</w:t>
            </w:r>
            <w:r>
              <w:rPr>
                <w:spacing w:val="-2"/>
                <w:szCs w:val="21"/>
                <w:highlight w:val="none"/>
              </w:rPr>
              <w:t>产考核合</w:t>
            </w:r>
            <w:r>
              <w:rPr>
                <w:spacing w:val="-9"/>
                <w:szCs w:val="21"/>
                <w:highlight w:val="none"/>
              </w:rPr>
              <w:t>格证书（B</w:t>
            </w:r>
            <w:r>
              <w:rPr>
                <w:spacing w:val="-43"/>
                <w:szCs w:val="21"/>
                <w:highlight w:val="none"/>
              </w:rPr>
              <w:t xml:space="preserve"> </w:t>
            </w:r>
            <w:r>
              <w:rPr>
                <w:spacing w:val="-9"/>
                <w:szCs w:val="21"/>
                <w:highlight w:val="none"/>
              </w:rPr>
              <w:t>类</w:t>
            </w:r>
            <w:r>
              <w:rPr>
                <w:rFonts w:hint="eastAsia"/>
                <w:spacing w:val="-9"/>
                <w:szCs w:val="21"/>
                <w:highlight w:val="none"/>
              </w:rPr>
              <w:t>）</w:t>
            </w:r>
            <w:r>
              <w:rPr>
                <w:spacing w:val="-9"/>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281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napToGrid w:val="0"/>
              <w:spacing w:line="400" w:lineRule="exact"/>
              <w:rPr>
                <w:szCs w:val="21"/>
                <w:highlight w:val="none"/>
              </w:rPr>
            </w:pPr>
            <w:r>
              <w:rPr>
                <w:szCs w:val="21"/>
                <w:highlight w:val="none"/>
              </w:rPr>
              <w:t>（6）</w:t>
            </w:r>
            <w:r>
              <w:rPr>
                <w:rFonts w:hint="eastAsia"/>
                <w:bCs/>
                <w:szCs w:val="21"/>
                <w:highlight w:val="none"/>
              </w:rPr>
              <w:t>其他要求：</w:t>
            </w:r>
            <w:r>
              <w:rPr>
                <w:bCs/>
                <w:szCs w:val="21"/>
                <w:highlight w:val="none"/>
              </w:rPr>
              <w:t xml:space="preserve"> </w:t>
            </w:r>
            <w:r>
              <w:rPr>
                <w:rFonts w:hint="eastAsia"/>
                <w:bCs/>
                <w:szCs w:val="21"/>
                <w:highlight w:val="none"/>
              </w:rPr>
              <w:t xml:space="preserve"> 1、项目负责人（项目经理）无其他在建工程项目（需提供承诺函）。2、投标人授权的委托代理人应具有与投标人单位签订的劳动合同或社会养老保险证明（若投标单位所在地区的人 社部门不在劳动合同或社保证明原件上盖章，则须提供人社部门官网打印件并经人社部门官网可查且信息有效）。</w:t>
            </w:r>
          </w:p>
          <w:p>
            <w:pPr>
              <w:spacing w:line="400" w:lineRule="exact"/>
              <w:rPr>
                <w:szCs w:val="21"/>
                <w:highlight w:val="none"/>
              </w:rPr>
            </w:pPr>
            <w:r>
              <w:rPr>
                <w:bCs/>
                <w:szCs w:val="21"/>
                <w:highlight w:val="none"/>
              </w:rPr>
              <w:t xml:space="preserve"> </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是否接受联合体投标</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9" w:name="EB8a1c7af526cc4e59affd3f373dbb67ae"/>
            <w:r>
              <w:rPr>
                <w:rFonts w:hint="eastAsia" w:ascii="宋体" w:hAnsi="宋体"/>
                <w:szCs w:val="21"/>
                <w:highlight w:val="none"/>
              </w:rPr>
              <w:t>☑</w:t>
            </w:r>
            <w:bookmarkEnd w:id="19"/>
            <w:r>
              <w:rPr>
                <w:rFonts w:hint="eastAsia" w:ascii="宋体" w:hAnsi="宋体"/>
                <w:szCs w:val="21"/>
                <w:highlight w:val="none"/>
              </w:rPr>
              <w:t>不接受</w:t>
            </w:r>
          </w:p>
          <w:p>
            <w:pPr>
              <w:spacing w:line="400" w:lineRule="exact"/>
              <w:rPr>
                <w:szCs w:val="21"/>
                <w:highlight w:val="none"/>
              </w:rPr>
            </w:pPr>
            <w:bookmarkStart w:id="20" w:name="EB4143c3ffbae4432f9461537b07fb9c49"/>
            <w:r>
              <w:rPr>
                <w:rFonts w:hint="eastAsia" w:ascii="宋体" w:hAnsi="宋体"/>
                <w:szCs w:val="21"/>
                <w:highlight w:val="none"/>
              </w:rPr>
              <w:t>□</w:t>
            </w:r>
            <w:bookmarkEnd w:id="20"/>
            <w:r>
              <w:rPr>
                <w:rFonts w:hint="eastAsia" w:ascii="宋体" w:hAnsi="宋体"/>
                <w:szCs w:val="21"/>
                <w:highlight w:val="none"/>
              </w:rPr>
              <w:t>接受，应满足下列要求：</w:t>
            </w:r>
            <w:bookmarkStart w:id="21" w:name="EB124aed33c4b84b2481cef1dc603014d3"/>
            <w:bookmarkEnd w:id="21"/>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踏勘现场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2" w:name="EBa6483f525e23454f8d345417c2c992e1"/>
            <w:r>
              <w:rPr>
                <w:rFonts w:hint="eastAsia" w:ascii="宋体" w:hAnsi="宋体"/>
                <w:szCs w:val="21"/>
                <w:highlight w:val="none"/>
              </w:rPr>
              <w:t>□</w:t>
            </w:r>
            <w:bookmarkEnd w:id="22"/>
            <w:r>
              <w:rPr>
                <w:rFonts w:hint="eastAsia" w:ascii="宋体" w:hAnsi="宋体"/>
                <w:szCs w:val="21"/>
                <w:highlight w:val="none"/>
              </w:rPr>
              <w:t>组织</w:t>
            </w:r>
          </w:p>
          <w:p>
            <w:pPr>
              <w:spacing w:line="400" w:lineRule="exact"/>
              <w:rPr>
                <w:szCs w:val="21"/>
                <w:highlight w:val="none"/>
              </w:rPr>
            </w:pPr>
            <w:bookmarkStart w:id="23" w:name="EBaadfada53c54437f8aa575c3413f92cc"/>
            <w:r>
              <w:rPr>
                <w:rFonts w:hint="eastAsia"/>
                <w:szCs w:val="21"/>
                <w:highlight w:val="none"/>
              </w:rPr>
              <w:t>☑</w:t>
            </w:r>
            <w:bookmarkEnd w:id="23"/>
            <w:r>
              <w:rPr>
                <w:rFonts w:hint="eastAsia"/>
                <w:szCs w:val="21"/>
                <w:highlight w:val="none"/>
              </w:rPr>
              <w:t>不组织</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招标预备会</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4" w:name="EBa8a50ca2615e4561807077f299f83a9f"/>
            <w:r>
              <w:rPr>
                <w:rFonts w:hint="eastAsia" w:ascii="宋体" w:hAnsi="宋体"/>
                <w:szCs w:val="21"/>
                <w:highlight w:val="none"/>
              </w:rPr>
              <w:t>□</w:t>
            </w:r>
            <w:bookmarkEnd w:id="24"/>
            <w:r>
              <w:rPr>
                <w:rFonts w:hint="eastAsia" w:ascii="宋体" w:hAnsi="宋体"/>
                <w:szCs w:val="21"/>
                <w:highlight w:val="none"/>
              </w:rPr>
              <w:t>召开</w:t>
            </w:r>
          </w:p>
          <w:p>
            <w:pPr>
              <w:spacing w:line="400" w:lineRule="exact"/>
              <w:rPr>
                <w:szCs w:val="21"/>
                <w:highlight w:val="none"/>
              </w:rPr>
            </w:pPr>
            <w:bookmarkStart w:id="25" w:name="EB27c7da6764e841e5838d41be7108b633"/>
            <w:r>
              <w:rPr>
                <w:rFonts w:hint="eastAsia"/>
                <w:szCs w:val="21"/>
                <w:highlight w:val="none"/>
              </w:rPr>
              <w:t>☑</w:t>
            </w:r>
            <w:bookmarkEnd w:id="25"/>
            <w:r>
              <w:rPr>
                <w:rFonts w:hint="eastAsia"/>
                <w:szCs w:val="21"/>
                <w:highlight w:val="none"/>
              </w:rPr>
              <w:t>不召开</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投标截止时间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6" w:name="EB4fd8b2ebb89d4aa5835b4f8174756346"/>
            <w:r>
              <w:rPr>
                <w:rFonts w:hint="eastAsia"/>
                <w:szCs w:val="21"/>
                <w:highlight w:val="none"/>
              </w:rPr>
              <w:t>2024年/月/日</w:t>
            </w:r>
            <w:r>
              <w:rPr>
                <w:szCs w:val="21"/>
                <w:highlight w:val="none"/>
              </w:rPr>
              <w:t xml:space="preserve"> </w:t>
            </w:r>
            <w:bookmarkEnd w:id="26"/>
            <w:r>
              <w:rPr>
                <w:rFonts w:hint="eastAsia"/>
                <w:szCs w:val="21"/>
                <w:highlight w:val="none"/>
              </w:rPr>
              <w:t>9:30</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分包</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7" w:name="EB73b3b2f706bf4d10b2b47e88266e293c"/>
            <w:r>
              <w:rPr>
                <w:rFonts w:hint="eastAsia"/>
                <w:szCs w:val="21"/>
                <w:highlight w:val="none"/>
              </w:rPr>
              <w:t>□</w:t>
            </w:r>
            <w:bookmarkEnd w:id="27"/>
            <w:r>
              <w:rPr>
                <w:rFonts w:hint="eastAsia"/>
                <w:szCs w:val="21"/>
                <w:highlight w:val="none"/>
              </w:rPr>
              <w:t>允许，</w:t>
            </w:r>
            <w:r>
              <w:rPr>
                <w:szCs w:val="21"/>
                <w:highlight w:val="none"/>
              </w:rPr>
              <w:t>分包内容</w:t>
            </w:r>
            <w:r>
              <w:rPr>
                <w:rFonts w:hint="eastAsia"/>
                <w:szCs w:val="21"/>
                <w:highlight w:val="none"/>
              </w:rPr>
              <w:t>要求</w:t>
            </w:r>
            <w:r>
              <w:rPr>
                <w:szCs w:val="21"/>
                <w:highlight w:val="none"/>
              </w:rPr>
              <w:t>：</w:t>
            </w:r>
            <w:bookmarkStart w:id="28" w:name="EB32826244947d4ca6bff52ca9e6400629"/>
            <w:bookmarkEnd w:id="28"/>
          </w:p>
          <w:p>
            <w:pPr>
              <w:spacing w:line="400" w:lineRule="exact"/>
              <w:ind w:firstLine="840" w:firstLineChars="400"/>
              <w:rPr>
                <w:szCs w:val="21"/>
                <w:highlight w:val="none"/>
              </w:rPr>
            </w:pPr>
            <w:r>
              <w:rPr>
                <w:szCs w:val="21"/>
                <w:highlight w:val="none"/>
              </w:rPr>
              <w:t>分包金额</w:t>
            </w:r>
            <w:r>
              <w:rPr>
                <w:rFonts w:hint="eastAsia"/>
                <w:szCs w:val="21"/>
                <w:highlight w:val="none"/>
              </w:rPr>
              <w:t>要求</w:t>
            </w:r>
            <w:r>
              <w:rPr>
                <w:szCs w:val="21"/>
                <w:highlight w:val="none"/>
              </w:rPr>
              <w:t>：</w:t>
            </w:r>
            <w:bookmarkStart w:id="29" w:name="EBa2bca24804c040708b3ea94abeed29a3"/>
            <w:bookmarkEnd w:id="29"/>
          </w:p>
          <w:p>
            <w:pPr>
              <w:spacing w:line="400" w:lineRule="exact"/>
              <w:ind w:firstLine="840"/>
              <w:rPr>
                <w:szCs w:val="21"/>
                <w:highlight w:val="none"/>
              </w:rPr>
            </w:pPr>
            <w:r>
              <w:rPr>
                <w:rFonts w:hint="eastAsia"/>
                <w:szCs w:val="21"/>
                <w:highlight w:val="none"/>
              </w:rPr>
              <w:t>接受分包的第三人资质要求：</w:t>
            </w:r>
            <w:bookmarkStart w:id="30" w:name="EBd2b070a521be4636a991ebcbbaa9370c"/>
            <w:bookmarkEnd w:id="30"/>
          </w:p>
          <w:p>
            <w:pPr>
              <w:spacing w:line="400" w:lineRule="exact"/>
              <w:rPr>
                <w:szCs w:val="21"/>
                <w:highlight w:val="none"/>
              </w:rPr>
            </w:pPr>
            <w:bookmarkStart w:id="31" w:name="EB524d87aca025423a8da502c1ede46fb4"/>
            <w:r>
              <w:rPr>
                <w:rFonts w:hint="eastAsia"/>
                <w:szCs w:val="21"/>
                <w:highlight w:val="none"/>
              </w:rPr>
              <w:t>☑</w:t>
            </w:r>
            <w:bookmarkEnd w:id="31"/>
            <w:r>
              <w:rPr>
                <w:rFonts w:hint="eastAsia"/>
                <w:szCs w:val="21"/>
                <w:highlight w:val="none"/>
              </w:rPr>
              <w:t>不允许</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偏离</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szCs w:val="21"/>
                <w:highlight w:val="none"/>
              </w:rPr>
              <w:t>不允许偏离招标文件实质性要求和条件</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3.3</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投标有效期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2" w:name="EB899ff882005d404f9835f4e648347987"/>
            <w:r>
              <w:rPr>
                <w:szCs w:val="21"/>
                <w:highlight w:val="none"/>
              </w:rPr>
              <w:t>90天（日历</w:t>
            </w:r>
            <w:r>
              <w:rPr>
                <w:rFonts w:hint="eastAsia"/>
                <w:szCs w:val="21"/>
                <w:highlight w:val="none"/>
              </w:rPr>
              <w:t>天</w:t>
            </w:r>
            <w:r>
              <w:rPr>
                <w:szCs w:val="21"/>
                <w:highlight w:val="none"/>
              </w:rPr>
              <w:t>）。</w:t>
            </w:r>
            <w:bookmarkEnd w:id="32"/>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3.4.1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投标保证金</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szCs w:val="21"/>
                <w:highlight w:val="none"/>
              </w:rPr>
              <w:t>是否要求投标人递交</w:t>
            </w:r>
            <w:r>
              <w:rPr>
                <w:rFonts w:hint="eastAsia"/>
                <w:szCs w:val="21"/>
                <w:highlight w:val="none"/>
              </w:rPr>
              <w:t>投标保证金</w:t>
            </w:r>
            <w:r>
              <w:rPr>
                <w:szCs w:val="21"/>
                <w:highlight w:val="none"/>
              </w:rPr>
              <w:t>：</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不要求</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要求</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1.</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有效期：与投标有效期一致。</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2.</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的形式：</w:t>
            </w:r>
          </w:p>
          <w:p>
            <w:pPr>
              <w:pStyle w:val="141"/>
              <w:widowControl/>
              <w:spacing w:line="400" w:lineRule="exact"/>
              <w:ind w:firstLine="210" w:firstLineChars="100"/>
              <w:rPr>
                <w:rFonts w:ascii="Times New Roman" w:cs="Times New Roman"/>
                <w:color w:val="auto"/>
                <w:sz w:val="21"/>
                <w:szCs w:val="21"/>
                <w:highlight w:val="none"/>
                <w:u w:val="singl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电汇、☑</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保函、□支票、□其他：</w:t>
            </w:r>
            <w:r>
              <w:rPr>
                <w:rFonts w:ascii="Times New Roman" w:cs="Times New Roman"/>
                <w:color w:val="auto"/>
                <w:sz w:val="21"/>
                <w:szCs w:val="21"/>
                <w:highlight w:val="none"/>
                <w:u w:val="single"/>
              </w:rPr>
              <w:t xml:space="preserve">        </w:t>
            </w:r>
          </w:p>
          <w:p>
            <w:pPr>
              <w:widowControl/>
              <w:spacing w:line="400" w:lineRule="exact"/>
              <w:ind w:firstLine="210" w:firstLineChars="100"/>
              <w:jc w:val="left"/>
              <w:rPr>
                <w:szCs w:val="21"/>
                <w:highlight w:val="none"/>
              </w:rPr>
            </w:pPr>
            <w:r>
              <w:rPr>
                <w:rFonts w:hint="eastAsia"/>
                <w:szCs w:val="21"/>
                <w:highlight w:val="none"/>
              </w:rPr>
              <w:t>3.投标保证金金额：</w:t>
            </w:r>
            <w:r>
              <w:rPr>
                <w:szCs w:val="21"/>
                <w:highlight w:val="none"/>
              </w:rPr>
              <w:t>人民币</w:t>
            </w:r>
            <w:r>
              <w:rPr>
                <w:szCs w:val="21"/>
                <w:highlight w:val="none"/>
                <w:u w:val="single"/>
              </w:rPr>
              <w:t xml:space="preserve"> </w:t>
            </w:r>
            <w:r>
              <w:rPr>
                <w:rFonts w:hint="eastAsia"/>
                <w:szCs w:val="21"/>
                <w:highlight w:val="none"/>
                <w:u w:val="single"/>
              </w:rPr>
              <w:t>25000.0</w:t>
            </w:r>
            <w:r>
              <w:rPr>
                <w:szCs w:val="21"/>
                <w:highlight w:val="none"/>
                <w:u w:val="single"/>
              </w:rPr>
              <w:t xml:space="preserve"> </w:t>
            </w:r>
            <w:r>
              <w:rPr>
                <w:szCs w:val="21"/>
                <w:highlight w:val="none"/>
              </w:rPr>
              <w:t>元</w:t>
            </w:r>
            <w:r>
              <w:rPr>
                <w:rFonts w:hint="eastAsia"/>
                <w:szCs w:val="21"/>
                <w:highlight w:val="none"/>
              </w:rPr>
              <w:t>。</w:t>
            </w:r>
          </w:p>
          <w:p>
            <w:pPr>
              <w:pStyle w:val="145"/>
              <w:spacing w:line="400" w:lineRule="exact"/>
              <w:ind w:firstLine="210" w:firstLineChars="100"/>
              <w:rPr>
                <w:highlight w:val="none"/>
              </w:rPr>
            </w:pPr>
            <w:r>
              <w:rPr>
                <w:rFonts w:hint="eastAsia"/>
                <w:highlight w:val="none"/>
              </w:rPr>
              <w:t>（1）电汇、支票：</w:t>
            </w:r>
            <w:r>
              <w:rPr>
                <w:highlight w:val="none"/>
              </w:rPr>
              <w:t>投标保证金必须是从投标人单位的基本账户转入收取投标保证金的账户。</w:t>
            </w:r>
          </w:p>
          <w:p>
            <w:pPr>
              <w:widowControl/>
              <w:spacing w:line="400" w:lineRule="exact"/>
              <w:ind w:firstLine="210" w:firstLineChars="100"/>
              <w:rPr>
                <w:kern w:val="0"/>
                <w:szCs w:val="21"/>
                <w:highlight w:val="none"/>
              </w:rPr>
            </w:pPr>
            <w:r>
              <w:rPr>
                <w:kern w:val="0"/>
                <w:szCs w:val="21"/>
                <w:highlight w:val="none"/>
              </w:rPr>
              <w:t>收取投标保证金账号：</w:t>
            </w:r>
          </w:p>
          <w:p>
            <w:pPr>
              <w:pStyle w:val="141"/>
              <w:widowControl/>
              <w:snapToGrid w:val="0"/>
              <w:spacing w:line="400" w:lineRule="exact"/>
              <w:ind w:firstLine="210" w:firstLineChars="100"/>
              <w:rPr>
                <w:rFonts w:ascii="Times New Roman" w:cs="Times New Roman"/>
                <w:color w:val="auto"/>
                <w:sz w:val="21"/>
                <w:szCs w:val="21"/>
                <w:highlight w:val="none"/>
                <w:u w:val="single"/>
              </w:rPr>
            </w:pPr>
            <w:r>
              <w:rPr>
                <w:rFonts w:ascii="Times New Roman" w:cs="Times New Roman"/>
                <w:color w:val="auto"/>
                <w:sz w:val="21"/>
                <w:szCs w:val="21"/>
                <w:highlight w:val="none"/>
              </w:rPr>
              <w:t>开户银行：</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交通银行股份有限公司盘锦分行</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账户名称：</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 xml:space="preserve">辽宁明润工程招投标代理有限公司   </w:t>
            </w:r>
            <w:r>
              <w:rPr>
                <w:rFonts w:ascii="Times New Roman" w:cs="Times New Roman"/>
                <w:color w:val="auto"/>
                <w:sz w:val="21"/>
                <w:szCs w:val="21"/>
                <w:highlight w:val="none"/>
                <w:u w:val="single"/>
              </w:rPr>
              <w:t xml:space="preserve"> </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    号：</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722111703013000047937</w:t>
            </w:r>
            <w:r>
              <w:rPr>
                <w:rFonts w:ascii="Times New Roman" w:cs="Times New Roman"/>
                <w:color w:val="auto"/>
                <w:sz w:val="21"/>
                <w:szCs w:val="21"/>
                <w:highlight w:val="none"/>
                <w:u w:val="single"/>
              </w:rPr>
              <w:t xml:space="preserve">  </w:t>
            </w:r>
          </w:p>
          <w:p>
            <w:pPr>
              <w:widowControl/>
              <w:spacing w:line="400" w:lineRule="exact"/>
              <w:ind w:firstLine="210" w:firstLineChars="100"/>
              <w:rPr>
                <w:szCs w:val="21"/>
                <w:highlight w:val="none"/>
              </w:rPr>
            </w:pPr>
            <w:r>
              <w:rPr>
                <w:rFonts w:hint="eastAsia"/>
                <w:szCs w:val="21"/>
                <w:highlight w:val="none"/>
              </w:rPr>
              <w:t>a.</w:t>
            </w:r>
            <w:r>
              <w:rPr>
                <w:szCs w:val="21"/>
                <w:highlight w:val="none"/>
              </w:rPr>
              <w:t>请将投标保证金</w:t>
            </w:r>
            <w:r>
              <w:rPr>
                <w:rFonts w:hint="eastAsia"/>
                <w:szCs w:val="21"/>
                <w:highlight w:val="none"/>
              </w:rPr>
              <w:t>在投标截止时间</w:t>
            </w:r>
            <w:r>
              <w:rPr>
                <w:szCs w:val="21"/>
                <w:highlight w:val="none"/>
              </w:rPr>
              <w:t>前转入收取投标保证金的账户，以到账时间为准。</w:t>
            </w:r>
          </w:p>
          <w:p>
            <w:pPr>
              <w:widowControl/>
              <w:spacing w:line="400" w:lineRule="exact"/>
              <w:ind w:firstLine="210" w:firstLineChars="100"/>
              <w:rPr>
                <w:szCs w:val="21"/>
                <w:highlight w:val="none"/>
              </w:rPr>
            </w:pPr>
            <w:r>
              <w:rPr>
                <w:rFonts w:hint="eastAsia"/>
                <w:szCs w:val="21"/>
                <w:highlight w:val="none"/>
              </w:rPr>
              <w:t>b.</w:t>
            </w:r>
            <w:r>
              <w:rPr>
                <w:szCs w:val="21"/>
                <w:highlight w:val="none"/>
              </w:rPr>
              <w:t>投标保证金退还时一律以银行转账方式退回，不退现金。</w:t>
            </w:r>
          </w:p>
          <w:p>
            <w:pPr>
              <w:widowControl/>
              <w:spacing w:line="400" w:lineRule="exact"/>
              <w:ind w:firstLine="210" w:firstLineChars="100"/>
              <w:rPr>
                <w:szCs w:val="21"/>
                <w:highlight w:val="none"/>
              </w:rPr>
            </w:pPr>
            <w:r>
              <w:rPr>
                <w:rFonts w:hint="eastAsia"/>
                <w:szCs w:val="21"/>
                <w:highlight w:val="none"/>
              </w:rPr>
              <w:t>c.</w:t>
            </w:r>
            <w:r>
              <w:rPr>
                <w:szCs w:val="21"/>
                <w:highlight w:val="none"/>
              </w:rPr>
              <w:t>投标保证金的退还事宜请与招标代理机构联系，电话：</w:t>
            </w:r>
            <w:r>
              <w:rPr>
                <w:szCs w:val="21"/>
                <w:highlight w:val="none"/>
                <w:u w:val="single"/>
              </w:rPr>
              <w:t xml:space="preserve"> </w:t>
            </w:r>
            <w:r>
              <w:rPr>
                <w:rFonts w:hint="eastAsia"/>
                <w:szCs w:val="21"/>
                <w:highlight w:val="none"/>
                <w:u w:val="single"/>
              </w:rPr>
              <w:t>0427-7860222</w:t>
            </w:r>
            <w:r>
              <w:rPr>
                <w:szCs w:val="21"/>
                <w:highlight w:val="none"/>
                <w:u w:val="single"/>
              </w:rPr>
              <w:t xml:space="preserve">  </w:t>
            </w:r>
            <w:r>
              <w:rPr>
                <w:szCs w:val="21"/>
                <w:highlight w:val="none"/>
              </w:rPr>
              <w:t>。</w:t>
            </w:r>
          </w:p>
          <w:p>
            <w:pPr>
              <w:widowControl/>
              <w:spacing w:line="400" w:lineRule="exact"/>
              <w:ind w:firstLine="210" w:firstLineChars="100"/>
              <w:rPr>
                <w:szCs w:val="21"/>
                <w:highlight w:val="none"/>
              </w:rPr>
            </w:pPr>
            <w:r>
              <w:rPr>
                <w:rFonts w:hint="eastAsia"/>
                <w:szCs w:val="21"/>
                <w:highlight w:val="none"/>
              </w:rPr>
              <w:t>（2）</w:t>
            </w:r>
            <w:r>
              <w:rPr>
                <w:szCs w:val="21"/>
                <w:highlight w:val="none"/>
              </w:rPr>
              <w:t>保函（包括：银行业金融机构保函、担保公司担保保函</w:t>
            </w:r>
            <w:r>
              <w:rPr>
                <w:rFonts w:hint="eastAsia"/>
                <w:szCs w:val="21"/>
                <w:highlight w:val="none"/>
              </w:rPr>
              <w:t>、电子保函等</w:t>
            </w:r>
            <w:r>
              <w:rPr>
                <w:szCs w:val="21"/>
                <w:highlight w:val="none"/>
              </w:rPr>
              <w:t>）</w:t>
            </w:r>
          </w:p>
          <w:p>
            <w:pPr>
              <w:widowControl/>
              <w:spacing w:line="400" w:lineRule="exact"/>
              <w:ind w:firstLine="210" w:firstLineChars="100"/>
              <w:rPr>
                <w:szCs w:val="21"/>
                <w:highlight w:val="none"/>
                <w:u w:val="single"/>
              </w:rPr>
            </w:pPr>
            <w:r>
              <w:rPr>
                <w:szCs w:val="21"/>
                <w:highlight w:val="none"/>
              </w:rPr>
              <w:t>递交</w:t>
            </w:r>
            <w:r>
              <w:rPr>
                <w:rFonts w:hint="eastAsia"/>
                <w:szCs w:val="21"/>
                <w:highlight w:val="none"/>
              </w:rPr>
              <w:t>要求</w:t>
            </w:r>
            <w:r>
              <w:rPr>
                <w:szCs w:val="21"/>
                <w:highlight w:val="none"/>
              </w:rPr>
              <w:t>：</w:t>
            </w:r>
            <w:r>
              <w:rPr>
                <w:szCs w:val="21"/>
                <w:highlight w:val="none"/>
                <w:u w:val="single"/>
              </w:rPr>
              <w:t xml:space="preserve"> </w:t>
            </w:r>
            <w:r>
              <w:rPr>
                <w:rFonts w:hint="eastAsia"/>
                <w:szCs w:val="21"/>
                <w:highlight w:val="none"/>
                <w:u w:val="single"/>
              </w:rPr>
              <w:t>请投标人在汇款时务必注明所投项目的名称（所投项目名称太长可以简写）、用途（投标保证金）、否则，因款项用途不明导致投标无效等后果由投标人自行承担。</w:t>
            </w:r>
          </w:p>
          <w:p>
            <w:pPr>
              <w:pStyle w:val="141"/>
              <w:widowControl/>
              <w:spacing w:line="400" w:lineRule="exact"/>
              <w:ind w:firstLine="210" w:firstLineChars="100"/>
              <w:rPr>
                <w:rFonts w:ascii="Times New Roman" w:cs="Times New Roman"/>
                <w:color w:val="auto"/>
                <w:highlight w:val="none"/>
                <w:u w:val="single"/>
              </w:rPr>
            </w:pPr>
            <w:r>
              <w:rPr>
                <w:rFonts w:hint="eastAsia" w:ascii="Times New Roman" w:cs="Times New Roman"/>
                <w:color w:val="auto"/>
                <w:sz w:val="21"/>
                <w:szCs w:val="21"/>
                <w:highlight w:val="none"/>
              </w:rPr>
              <w:t>4</w:t>
            </w:r>
            <w:r>
              <w:rPr>
                <w:rFonts w:ascii="Times New Roman" w:cs="Times New Roman"/>
                <w:color w:val="auto"/>
                <w:sz w:val="21"/>
                <w:szCs w:val="21"/>
                <w:highlight w:val="none"/>
              </w:rPr>
              <w:t>.其他：</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投标保证金必须从投标单位基本账户转出（投标保证金返还按《辽宁省水利工程建设项目招标投标管理办法》的相关规定办理）</w:t>
            </w:r>
            <w:r>
              <w:rPr>
                <w:rFonts w:ascii="Times New Roman" w:cs="Times New Roman"/>
                <w:color w:val="auto"/>
                <w:sz w:val="21"/>
                <w:szCs w:val="21"/>
                <w:highlight w:val="none"/>
                <w:u w:val="single"/>
              </w:rPr>
              <w:t xml:space="preserve">  </w:t>
            </w:r>
            <w:r>
              <w:rPr>
                <w:rFonts w:hint="eastAsia" w:ascii="Times New Roman"/>
                <w:color w:val="auto"/>
                <w:highlight w:val="none"/>
              </w:rPr>
              <w:t>。</w:t>
            </w:r>
          </w:p>
          <w:p>
            <w:pPr>
              <w:pStyle w:val="139"/>
              <w:spacing w:before="71" w:line="271" w:lineRule="auto"/>
              <w:ind w:left="113" w:right="216" w:firstLine="426"/>
              <w:rPr>
                <w:spacing w:val="-7"/>
                <w:highlight w:val="none"/>
                <w:lang w:eastAsia="zh-CN"/>
              </w:rPr>
            </w:pP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4.2.2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递交投标文件地点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3" w:name="EB5748f0f4b9ff40eab3be6c48c9df7d35"/>
            <w:r>
              <w:rPr>
                <w:rFonts w:hint="eastAsia"/>
                <w:szCs w:val="21"/>
                <w:highlight w:val="none"/>
              </w:rPr>
              <w:t>本项目开标方式：远程开标（不见面交易）。</w:t>
            </w:r>
          </w:p>
          <w:p>
            <w:pPr>
              <w:spacing w:line="400" w:lineRule="exact"/>
              <w:rPr>
                <w:szCs w:val="21"/>
                <w:highlight w:val="none"/>
              </w:rPr>
            </w:pPr>
            <w:r>
              <w:rPr>
                <w:rFonts w:hint="eastAsia"/>
                <w:szCs w:val="21"/>
                <w:highlight w:val="none"/>
              </w:rPr>
              <w:t>网络递交投标文件：电子投标文件在辽宁省公共资源交易网 http://ggzy.ln.gov.cn/指定栏目上传投标文件。</w:t>
            </w:r>
          </w:p>
          <w:p>
            <w:pPr>
              <w:spacing w:line="400" w:lineRule="exact"/>
              <w:rPr>
                <w:szCs w:val="21"/>
                <w:highlight w:val="none"/>
              </w:rPr>
            </w:pPr>
            <w:r>
              <w:rPr>
                <w:rFonts w:hint="eastAsia"/>
                <w:szCs w:val="21"/>
                <w:highlight w:val="none"/>
              </w:rPr>
              <w:t>2、本项目采用远程解密、远程直播开标。开标网址：https://www.lnsggzy.com/BidOpeningHall/bidhall/dqliaoning/login。投标文件需要用实体 CA 数字证书或移动 CA 数字证书生成上传。解密时限为递交投标文件截止时间起 30 分钟内（因开标系统发生不可抗力产生延误解密时间的，招标人将延长相应的解</w:t>
            </w:r>
          </w:p>
          <w:p>
            <w:pPr>
              <w:spacing w:line="400" w:lineRule="exact"/>
              <w:rPr>
                <w:szCs w:val="21"/>
                <w:highlight w:val="none"/>
              </w:rPr>
            </w:pPr>
            <w:r>
              <w:rPr>
                <w:rFonts w:hint="eastAsia"/>
                <w:szCs w:val="21"/>
                <w:highlight w:val="none"/>
              </w:rPr>
              <w:t>密时长，其他原因不予延长解密时间），登录交易系统进入所投开标项目，使用 CA 数字证书解密。未在规定时间内完成解密的投标人，视为放弃本次投标，招标人不再接收。因开标系统发生不可抗力无法进行网络电子开标的，采用现场纸质开标。逾期递交的或者未按要求递交的投标文件，招标人不予受理。</w:t>
            </w:r>
            <w:bookmarkEnd w:id="33"/>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5.1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开标时间和地点</w:t>
            </w:r>
          </w:p>
        </w:tc>
        <w:tc>
          <w:tcPr>
            <w:tcW w:w="3237" w:type="pct"/>
            <w:tcBorders>
              <w:top w:val="single" w:color="auto" w:sz="4" w:space="0"/>
              <w:left w:val="single" w:color="auto" w:sz="4" w:space="0"/>
              <w:right w:val="single" w:color="auto" w:sz="4" w:space="0"/>
            </w:tcBorders>
            <w:vAlign w:val="center"/>
          </w:tcPr>
          <w:p>
            <w:pPr>
              <w:spacing w:line="400" w:lineRule="exact"/>
              <w:rPr>
                <w:rFonts w:hint="default" w:eastAsia="宋体"/>
                <w:szCs w:val="21"/>
                <w:highlight w:val="none"/>
                <w:lang w:val="en-US" w:eastAsia="zh-CN"/>
              </w:rPr>
            </w:pPr>
            <w:r>
              <w:rPr>
                <w:szCs w:val="21"/>
                <w:highlight w:val="none"/>
              </w:rPr>
              <w:t>开标时间</w:t>
            </w:r>
            <w:r>
              <w:rPr>
                <w:rFonts w:hint="eastAsia"/>
                <w:szCs w:val="21"/>
                <w:highlight w:val="none"/>
              </w:rPr>
              <w:t>：</w:t>
            </w:r>
            <w:bookmarkStart w:id="34" w:name="EBe792876fb601454785687541060aa6e5"/>
            <w:r>
              <w:rPr>
                <w:rFonts w:hint="eastAsia"/>
                <w:szCs w:val="21"/>
                <w:highlight w:val="none"/>
              </w:rPr>
              <w:t xml:space="preserve">2024年/ 月/日 </w:t>
            </w:r>
            <w:bookmarkEnd w:id="34"/>
            <w:r>
              <w:rPr>
                <w:rFonts w:hint="eastAsia"/>
                <w:szCs w:val="21"/>
                <w:highlight w:val="none"/>
                <w:lang w:val="en-US" w:eastAsia="zh-CN"/>
              </w:rPr>
              <w:t>10</w:t>
            </w:r>
            <w:r>
              <w:rPr>
                <w:rFonts w:hint="eastAsia"/>
                <w:szCs w:val="21"/>
                <w:highlight w:val="none"/>
              </w:rPr>
              <w:t>:</w:t>
            </w:r>
            <w:r>
              <w:rPr>
                <w:rFonts w:hint="eastAsia"/>
                <w:szCs w:val="21"/>
                <w:highlight w:val="none"/>
                <w:lang w:val="en-US" w:eastAsia="zh-CN"/>
              </w:rPr>
              <w:t>00</w:t>
            </w:r>
          </w:p>
          <w:p>
            <w:pPr>
              <w:spacing w:line="400" w:lineRule="exact"/>
              <w:rPr>
                <w:szCs w:val="21"/>
                <w:highlight w:val="none"/>
              </w:rPr>
            </w:pPr>
            <w:r>
              <w:rPr>
                <w:szCs w:val="21"/>
                <w:highlight w:val="none"/>
              </w:rPr>
              <w:t>开标地点</w:t>
            </w:r>
            <w:r>
              <w:rPr>
                <w:rFonts w:hint="eastAsia"/>
                <w:szCs w:val="21"/>
                <w:highlight w:val="none"/>
              </w:rPr>
              <w:t>：营口市公共资源交易服务中心盖州分中心(地址：盖州市政府路西财政局一楼)</w:t>
            </w:r>
          </w:p>
        </w:tc>
      </w:tr>
      <w:tr>
        <w:tblPrEx>
          <w:tblCellMar>
            <w:top w:w="0" w:type="dxa"/>
            <w:left w:w="108" w:type="dxa"/>
            <w:bottom w:w="0" w:type="dxa"/>
            <w:right w:w="108" w:type="dxa"/>
          </w:tblCellMar>
        </w:tblPrEx>
        <w:trPr>
          <w:trHeight w:val="634"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5.2</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开标程序</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投标文件的密封检查：</w:t>
            </w:r>
            <w:bookmarkStart w:id="35" w:name="EB74c3a88d12394fba9c214c5962a32b6c"/>
            <w:r>
              <w:rPr>
                <w:rFonts w:hint="eastAsia"/>
                <w:szCs w:val="21"/>
                <w:highlight w:val="none"/>
              </w:rPr>
              <w:t>按投标文件送达的逆顺序开标。</w:t>
            </w:r>
          </w:p>
          <w:p>
            <w:pPr>
              <w:spacing w:line="400" w:lineRule="exact"/>
              <w:rPr>
                <w:szCs w:val="21"/>
                <w:highlight w:val="none"/>
              </w:rPr>
            </w:pPr>
            <w:r>
              <w:rPr>
                <w:rFonts w:hint="eastAsia"/>
                <w:szCs w:val="21"/>
                <w:highlight w:val="none"/>
              </w:rPr>
              <w:t>开标程序：1.公布投标人名称；2.电子投标按规定时间解密；3.公布招标控制价； 4.公开唱标</w:t>
            </w:r>
            <w:bookmarkEnd w:id="35"/>
          </w:p>
          <w:p>
            <w:pPr>
              <w:spacing w:line="400" w:lineRule="exact"/>
              <w:rPr>
                <w:szCs w:val="21"/>
                <w:highlight w:val="none"/>
              </w:rPr>
            </w:pPr>
          </w:p>
          <w:p>
            <w:pPr>
              <w:pStyle w:val="16"/>
              <w:rPr>
                <w:highlight w:val="none"/>
              </w:rPr>
            </w:pPr>
            <w:r>
              <w:rPr>
                <w:spacing w:val="-1"/>
                <w:highlight w:val="none"/>
              </w:rPr>
              <w:t>招标人发出解密提示后</w:t>
            </w:r>
            <w:r>
              <w:rPr>
                <w:spacing w:val="-97"/>
                <w:highlight w:val="none"/>
              </w:rPr>
              <w:t xml:space="preserve"> </w:t>
            </w:r>
            <w:r>
              <w:rPr>
                <w:spacing w:val="19"/>
                <w:highlight w:val="none"/>
                <w:u w:val="single"/>
              </w:rPr>
              <w:t xml:space="preserve">  </w:t>
            </w:r>
            <w:r>
              <w:rPr>
                <w:rFonts w:hint="eastAsia"/>
                <w:spacing w:val="19"/>
                <w:highlight w:val="none"/>
                <w:u w:val="single"/>
              </w:rPr>
              <w:t>30</w:t>
            </w:r>
            <w:r>
              <w:rPr>
                <w:spacing w:val="19"/>
                <w:highlight w:val="none"/>
                <w:u w:val="single"/>
              </w:rPr>
              <w:t xml:space="preserve"> </w:t>
            </w:r>
            <w:r>
              <w:rPr>
                <w:spacing w:val="-92"/>
                <w:highlight w:val="none"/>
              </w:rPr>
              <w:t xml:space="preserve"> </w:t>
            </w:r>
            <w:r>
              <w:rPr>
                <w:spacing w:val="-1"/>
                <w:highlight w:val="none"/>
              </w:rPr>
              <w:t>分钟内。遇到投标人较多或其</w:t>
            </w:r>
            <w:r>
              <w:rPr>
                <w:spacing w:val="-4"/>
                <w:highlight w:val="none"/>
              </w:rPr>
              <w:t>他特殊情况在</w:t>
            </w:r>
            <w:r>
              <w:rPr>
                <w:spacing w:val="-4"/>
                <w:highlight w:val="none"/>
                <w:u w:val="single"/>
              </w:rPr>
              <w:t xml:space="preserve"> </w:t>
            </w:r>
            <w:r>
              <w:rPr>
                <w:rFonts w:hint="eastAsia"/>
                <w:spacing w:val="-4"/>
                <w:highlight w:val="none"/>
                <w:u w:val="single"/>
              </w:rPr>
              <w:t>30</w:t>
            </w:r>
            <w:r>
              <w:rPr>
                <w:spacing w:val="-4"/>
                <w:highlight w:val="none"/>
                <w:u w:val="single"/>
              </w:rPr>
              <w:t xml:space="preserve"> </w:t>
            </w:r>
            <w:r>
              <w:rPr>
                <w:spacing w:val="-84"/>
                <w:highlight w:val="none"/>
              </w:rPr>
              <w:t xml:space="preserve"> </w:t>
            </w:r>
            <w:r>
              <w:rPr>
                <w:spacing w:val="-4"/>
                <w:highlight w:val="none"/>
              </w:rPr>
              <w:t>分钟内无法完成解密的，可报项目行政</w:t>
            </w:r>
            <w:r>
              <w:rPr>
                <w:spacing w:val="-2"/>
                <w:highlight w:val="none"/>
              </w:rPr>
              <w:t>监督部门适当延长解密时间。</w:t>
            </w:r>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6.1.1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评标委员会的组建</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szCs w:val="21"/>
                <w:highlight w:val="none"/>
              </w:rPr>
              <w:t>评标委员会构成：</w:t>
            </w:r>
            <w:r>
              <w:rPr>
                <w:rFonts w:hint="eastAsia"/>
                <w:szCs w:val="21"/>
                <w:highlight w:val="none"/>
              </w:rPr>
              <w:t>7</w:t>
            </w:r>
            <w:r>
              <w:rPr>
                <w:szCs w:val="21"/>
                <w:highlight w:val="none"/>
              </w:rPr>
              <w:t>人，</w:t>
            </w:r>
            <w:r>
              <w:rPr>
                <w:rFonts w:hint="eastAsia"/>
                <w:szCs w:val="21"/>
                <w:highlight w:val="none"/>
              </w:rPr>
              <w:t>其中招标人代表</w:t>
            </w:r>
            <w:bookmarkStart w:id="36" w:name="EB67616f5b92e7420ab2fdc05c1d5cb648"/>
            <w:bookmarkEnd w:id="36"/>
            <w:r>
              <w:rPr>
                <w:rFonts w:hint="eastAsia"/>
                <w:szCs w:val="21"/>
                <w:highlight w:val="none"/>
                <w:u w:val="single"/>
              </w:rPr>
              <w:t xml:space="preserve">  0 </w:t>
            </w:r>
            <w:r>
              <w:rPr>
                <w:rFonts w:hint="eastAsia"/>
                <w:szCs w:val="21"/>
                <w:highlight w:val="none"/>
              </w:rPr>
              <w:t>人，专家</w:t>
            </w:r>
            <w:bookmarkStart w:id="37" w:name="EB86e8c0ece99948f085526fd5d7cfb8a6"/>
            <w:bookmarkEnd w:id="37"/>
            <w:r>
              <w:rPr>
                <w:rFonts w:hint="eastAsia"/>
                <w:szCs w:val="21"/>
                <w:highlight w:val="none"/>
                <w:u w:val="single"/>
              </w:rPr>
              <w:t xml:space="preserve"> 7 </w:t>
            </w:r>
            <w:r>
              <w:rPr>
                <w:rFonts w:hint="eastAsia"/>
                <w:szCs w:val="21"/>
                <w:highlight w:val="none"/>
              </w:rPr>
              <w:t>人；</w:t>
            </w:r>
          </w:p>
          <w:p>
            <w:pPr>
              <w:spacing w:line="400" w:lineRule="exact"/>
              <w:rPr>
                <w:szCs w:val="21"/>
                <w:highlight w:val="none"/>
              </w:rPr>
            </w:pPr>
            <w:r>
              <w:rPr>
                <w:szCs w:val="21"/>
                <w:highlight w:val="none"/>
              </w:rPr>
              <w:t>评标专家确定方式</w:t>
            </w:r>
            <w:r>
              <w:rPr>
                <w:rFonts w:hint="eastAsia"/>
                <w:szCs w:val="21"/>
                <w:highlight w:val="none"/>
              </w:rPr>
              <w:t>：</w:t>
            </w:r>
            <w:bookmarkStart w:id="38" w:name="EBf3ce8d3f402c4e4ca85efcbdf9daf9ac"/>
            <w:r>
              <w:rPr>
                <w:szCs w:val="21"/>
                <w:highlight w:val="none"/>
              </w:rPr>
              <w:t>在辽宁省综合评标专家库中随机抽取。</w:t>
            </w:r>
            <w:bookmarkEnd w:id="38"/>
          </w:p>
        </w:tc>
      </w:tr>
      <w:tr>
        <w:tblPrEx>
          <w:tblCellMar>
            <w:top w:w="0" w:type="dxa"/>
            <w:left w:w="108" w:type="dxa"/>
            <w:bottom w:w="0" w:type="dxa"/>
            <w:right w:w="108" w:type="dxa"/>
          </w:tblCellMar>
        </w:tblPrEx>
        <w:trPr>
          <w:trHeight w:val="84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7.3.1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履约担保</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是否要求中标人提交履约保证金：</w:t>
            </w:r>
          </w:p>
          <w:p>
            <w:pPr>
              <w:spacing w:line="400" w:lineRule="exact"/>
              <w:rPr>
                <w:szCs w:val="21"/>
                <w:highlight w:val="none"/>
              </w:rPr>
            </w:pPr>
            <w:r>
              <w:rPr>
                <w:rFonts w:hint="eastAsia"/>
                <w:szCs w:val="21"/>
                <w:highlight w:val="none"/>
              </w:rPr>
              <w:t xml:space="preserve">☑要求，履约保证金的形式： 电汇/担保/履约保函  </w:t>
            </w:r>
          </w:p>
          <w:p>
            <w:pPr>
              <w:spacing w:line="400" w:lineRule="exact"/>
              <w:rPr>
                <w:szCs w:val="21"/>
                <w:highlight w:val="none"/>
              </w:rPr>
            </w:pPr>
            <w:r>
              <w:rPr>
                <w:rFonts w:hint="eastAsia"/>
                <w:szCs w:val="21"/>
                <w:highlight w:val="none"/>
              </w:rPr>
              <w:t>履约保证金的金额： 中标价款的5%(履约担保以电汇形式提交的，在完工验收合格后与银行同期存款利息一同返还。）</w:t>
            </w:r>
          </w:p>
          <w:p>
            <w:pPr>
              <w:spacing w:line="400" w:lineRule="exact"/>
              <w:rPr>
                <w:szCs w:val="21"/>
                <w:highlight w:val="none"/>
              </w:rPr>
            </w:pPr>
            <w:r>
              <w:rPr>
                <w:rFonts w:hint="eastAsia"/>
                <w:szCs w:val="21"/>
                <w:highlight w:val="none"/>
              </w:rPr>
              <w:t>□不要求</w:t>
            </w:r>
          </w:p>
        </w:tc>
      </w:tr>
      <w:tr>
        <w:tblPrEx>
          <w:tblCellMar>
            <w:top w:w="0" w:type="dxa"/>
            <w:left w:w="108" w:type="dxa"/>
            <w:bottom w:w="0" w:type="dxa"/>
            <w:right w:w="108" w:type="dxa"/>
          </w:tblCellMar>
        </w:tblPrEx>
        <w:trPr>
          <w:trHeight w:val="37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需要补充的其他内容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9" w:name="EBecb6e42771ed4c64b40e62a3af2e8962"/>
            <w:bookmarkEnd w:id="39"/>
            <w:r>
              <w:rPr>
                <w:szCs w:val="21"/>
                <w:highlight w:val="none"/>
              </w:rPr>
              <w:t>见10.5</w:t>
            </w:r>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类似项目</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highlight w:val="none"/>
              </w:rPr>
            </w:pPr>
            <w:r>
              <w:rPr>
                <w:rFonts w:hint="eastAsia"/>
                <w:highlight w:val="none"/>
              </w:rPr>
              <w:t>指与本项目类似的工程项目。</w:t>
            </w:r>
          </w:p>
          <w:p>
            <w:pPr>
              <w:spacing w:line="400" w:lineRule="exact"/>
              <w:rPr>
                <w:highlight w:val="none"/>
              </w:rPr>
            </w:pPr>
            <w:r>
              <w:rPr>
                <w:rFonts w:hint="eastAsia"/>
                <w:highlight w:val="none"/>
              </w:rPr>
              <w:t>要求业绩证明资料： 业绩需在全国水利建设市场监管服务平台 可查或在全国建筑市场监管公共服务平台可查，需附网站查询截图。</w:t>
            </w:r>
          </w:p>
          <w:p>
            <w:pPr>
              <w:spacing w:line="400" w:lineRule="exact"/>
              <w:rPr>
                <w:szCs w:val="21"/>
                <w:highlight w:val="none"/>
              </w:rPr>
            </w:pPr>
            <w:r>
              <w:rPr>
                <w:rFonts w:hint="eastAsia"/>
                <w:highlight w:val="none"/>
              </w:rPr>
              <w:t>时间要求： 2019年1月1日至2024年4月 新成立的企业提供由成立之日起至今，如单位有变更须提供变更的材料。</w:t>
            </w:r>
          </w:p>
        </w:tc>
      </w:tr>
      <w:tr>
        <w:tblPrEx>
          <w:tblCellMar>
            <w:top w:w="0" w:type="dxa"/>
            <w:left w:w="108" w:type="dxa"/>
            <w:bottom w:w="0" w:type="dxa"/>
            <w:right w:w="108" w:type="dxa"/>
          </w:tblCellMar>
        </w:tblPrEx>
        <w:trPr>
          <w:trHeight w:val="723"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已标价工程量清单电子版</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u w:val="single"/>
              </w:rPr>
            </w:pPr>
            <w:r>
              <w:rPr>
                <w:rFonts w:hint="eastAsia"/>
                <w:szCs w:val="21"/>
                <w:highlight w:val="none"/>
              </w:rPr>
              <w:t>份数：</w:t>
            </w:r>
            <w:bookmarkStart w:id="40" w:name="EB7334a37ddd894436a68491a7e58a775d"/>
            <w:r>
              <w:rPr>
                <w:rFonts w:hint="eastAsia"/>
                <w:szCs w:val="21"/>
                <w:highlight w:val="none"/>
              </w:rPr>
              <w:t>1份</w:t>
            </w:r>
            <w:bookmarkEnd w:id="40"/>
            <w:r>
              <w:rPr>
                <w:rFonts w:hint="eastAsia"/>
                <w:szCs w:val="21"/>
                <w:highlight w:val="none"/>
              </w:rPr>
              <w:t>；      格式：按电子标要求提供。</w:t>
            </w:r>
          </w:p>
        </w:tc>
      </w:tr>
      <w:tr>
        <w:tblPrEx>
          <w:tblCellMar>
            <w:top w:w="0" w:type="dxa"/>
            <w:left w:w="108" w:type="dxa"/>
            <w:bottom w:w="0" w:type="dxa"/>
            <w:right w:w="108" w:type="dxa"/>
          </w:tblCellMar>
        </w:tblPrEx>
        <w:trPr>
          <w:trHeight w:val="75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原件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41" w:name="EBd35d675f1d164883a190e5a6ed6e203f"/>
            <w:r>
              <w:rPr>
                <w:rFonts w:hint="eastAsia" w:ascii="宋体" w:hAnsi="宋体"/>
                <w:szCs w:val="21"/>
                <w:highlight w:val="none"/>
              </w:rPr>
              <w:t>□</w:t>
            </w:r>
            <w:bookmarkEnd w:id="41"/>
            <w:r>
              <w:rPr>
                <w:rFonts w:hint="eastAsia" w:ascii="宋体" w:hAnsi="宋体"/>
                <w:szCs w:val="21"/>
                <w:highlight w:val="none"/>
              </w:rPr>
              <w:t>提交</w:t>
            </w:r>
          </w:p>
          <w:p>
            <w:pPr>
              <w:spacing w:line="400" w:lineRule="exact"/>
              <w:rPr>
                <w:szCs w:val="21"/>
                <w:highlight w:val="none"/>
              </w:rPr>
            </w:pPr>
            <w:bookmarkStart w:id="42" w:name="EB46014aa6f4164f5c825f4ffd1c2bdf79"/>
            <w:r>
              <w:rPr>
                <w:rFonts w:hint="eastAsia"/>
                <w:szCs w:val="21"/>
                <w:highlight w:val="none"/>
              </w:rPr>
              <w:t>☑</w:t>
            </w:r>
            <w:bookmarkEnd w:id="42"/>
            <w:r>
              <w:rPr>
                <w:rFonts w:hint="eastAsia"/>
                <w:szCs w:val="21"/>
                <w:highlight w:val="none"/>
              </w:rPr>
              <w:t>不提交</w:t>
            </w:r>
          </w:p>
        </w:tc>
      </w:tr>
      <w:tr>
        <w:tblPrEx>
          <w:tblCellMar>
            <w:top w:w="0" w:type="dxa"/>
            <w:left w:w="108" w:type="dxa"/>
            <w:bottom w:w="0" w:type="dxa"/>
            <w:right w:w="108" w:type="dxa"/>
          </w:tblCellMar>
        </w:tblPrEx>
        <w:trPr>
          <w:trHeight w:val="238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中标后须提交的投标文件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Cs w:val="21"/>
                <w:highlight w:val="none"/>
              </w:rPr>
            </w:pPr>
            <w:r>
              <w:rPr>
                <w:rFonts w:hint="eastAsia" w:ascii="宋体" w:hAnsi="宋体"/>
                <w:szCs w:val="21"/>
                <w:highlight w:val="none"/>
              </w:rPr>
              <w:t>份数：</w:t>
            </w:r>
            <w:bookmarkStart w:id="43" w:name="EB2a103623e626401c89893d1e52dd97c4"/>
            <w:r>
              <w:rPr>
                <w:rFonts w:hint="eastAsia" w:ascii="宋体" w:hAnsi="宋体"/>
                <w:szCs w:val="21"/>
                <w:highlight w:val="none"/>
              </w:rPr>
              <w:t>投标单位须在中标后向招标代理公司另行提交纸质版投标文件5本，纸质投标文件和电子投标文件必须与上传电子投标文件内容完全一致。因其不一致产生的一切 后果由投标人自行负责。纸质投标文件合订装订，每册采用胶装方式装订，装订应牢固，不易拆散和换页，不得采用活页装订。</w:t>
            </w:r>
            <w:bookmarkEnd w:id="43"/>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4" w:name="EB7fe7f01a7c154234810322614faf572d"/>
            <w:r>
              <w:rPr>
                <w:rFonts w:hint="eastAsia"/>
                <w:b/>
                <w:bCs/>
                <w:szCs w:val="21"/>
                <w:highlight w:val="none"/>
              </w:rPr>
              <w:t>10.5</w:t>
            </w:r>
            <w:bookmarkEnd w:id="44"/>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5" w:name="EBd38496b26d594e0b8dcdf5ba1a2c938f"/>
            <w:r>
              <w:rPr>
                <w:rFonts w:hint="eastAsia"/>
                <w:b/>
                <w:bCs/>
                <w:szCs w:val="21"/>
                <w:highlight w:val="none"/>
              </w:rPr>
              <w:t>其他</w:t>
            </w:r>
            <w:bookmarkEnd w:id="45"/>
          </w:p>
        </w:tc>
        <w:tc>
          <w:tcPr>
            <w:tcW w:w="3237" w:type="pct"/>
            <w:tcBorders>
              <w:top w:val="single" w:color="auto" w:sz="4" w:space="0"/>
              <w:left w:val="single" w:color="auto" w:sz="4" w:space="0"/>
              <w:bottom w:val="single" w:color="auto" w:sz="4" w:space="0"/>
              <w:right w:val="single" w:color="auto" w:sz="4" w:space="0"/>
            </w:tcBorders>
            <w:vAlign w:val="center"/>
          </w:tcPr>
          <w:p>
            <w:pPr>
              <w:numPr>
                <w:ilvl w:val="0"/>
                <w:numId w:val="3"/>
              </w:numPr>
              <w:spacing w:line="360" w:lineRule="auto"/>
              <w:rPr>
                <w:rFonts w:ascii="宋体" w:hAnsi="宋体"/>
                <w:b/>
                <w:bCs/>
                <w:szCs w:val="21"/>
                <w:highlight w:val="none"/>
              </w:rPr>
            </w:pPr>
            <w:r>
              <w:rPr>
                <w:rFonts w:hint="eastAsia" w:ascii="宋体" w:hAnsi="宋体"/>
                <w:b/>
                <w:bCs/>
                <w:szCs w:val="21"/>
                <w:highlight w:val="none"/>
              </w:rPr>
              <w:t>最高投标限价或其计算方法：投标人填报的投标报价 不得超过最高投标限价，否则按无效标处理。项目最高限价：</w:t>
            </w:r>
            <w:r>
              <w:rPr>
                <w:rFonts w:hint="eastAsia" w:ascii="宋体" w:hAnsi="宋体"/>
                <w:b/>
                <w:bCs/>
                <w:szCs w:val="21"/>
                <w:highlight w:val="none"/>
                <w:u w:val="single"/>
                <w:lang w:val="en-US" w:eastAsia="zh-CN"/>
              </w:rPr>
              <w:t xml:space="preserve">                  </w:t>
            </w:r>
            <w:r>
              <w:rPr>
                <w:rFonts w:hint="eastAsia" w:ascii="宋体" w:hAnsi="宋体"/>
                <w:b/>
                <w:bCs/>
                <w:szCs w:val="21"/>
                <w:highlight w:val="none"/>
              </w:rPr>
              <w:t>元。</w:t>
            </w:r>
          </w:p>
          <w:p>
            <w:pPr>
              <w:numPr>
                <w:ilvl w:val="0"/>
                <w:numId w:val="3"/>
              </w:numPr>
              <w:spacing w:line="360" w:lineRule="auto"/>
              <w:rPr>
                <w:rFonts w:ascii="宋体" w:hAnsi="宋体"/>
                <w:szCs w:val="21"/>
                <w:highlight w:val="none"/>
              </w:rPr>
            </w:pPr>
            <w:r>
              <w:rPr>
                <w:rFonts w:hint="eastAsia" w:ascii="宋体" w:hAnsi="宋体"/>
                <w:szCs w:val="21"/>
                <w:highlight w:val="none"/>
              </w:rPr>
              <w:t>投标人所附的所有人员应是本企业的在职（注册）人员。投标文件中需提供上述人员的执业证书、劳动合同或社会保险证明等证明材料。</w:t>
            </w:r>
          </w:p>
          <w:p>
            <w:pPr>
              <w:numPr>
                <w:ilvl w:val="0"/>
                <w:numId w:val="3"/>
              </w:numPr>
              <w:spacing w:line="360" w:lineRule="auto"/>
              <w:rPr>
                <w:rFonts w:ascii="宋体" w:hAnsi="宋体"/>
                <w:szCs w:val="21"/>
                <w:highlight w:val="none"/>
              </w:rPr>
            </w:pPr>
            <w:r>
              <w:rPr>
                <w:rFonts w:hint="eastAsia" w:ascii="宋体" w:hAnsi="宋体"/>
                <w:szCs w:val="21"/>
                <w:highlight w:val="none"/>
              </w:rPr>
              <w:t>构成招标文件的其他材料：工程量清单、图纸、招标</w:t>
            </w:r>
          </w:p>
          <w:p>
            <w:pPr>
              <w:spacing w:line="360" w:lineRule="auto"/>
              <w:rPr>
                <w:rFonts w:ascii="宋体" w:hAnsi="宋体"/>
                <w:szCs w:val="21"/>
                <w:highlight w:val="none"/>
              </w:rPr>
            </w:pPr>
            <w:r>
              <w:rPr>
                <w:rFonts w:hint="eastAsia" w:ascii="宋体" w:hAnsi="宋体"/>
                <w:szCs w:val="21"/>
                <w:highlight w:val="none"/>
              </w:rPr>
              <w:t>补遗文件、澄清、修改（如有）。</w:t>
            </w:r>
          </w:p>
          <w:p>
            <w:pPr>
              <w:numPr>
                <w:ilvl w:val="0"/>
                <w:numId w:val="3"/>
              </w:numPr>
              <w:spacing w:line="360" w:lineRule="auto"/>
              <w:rPr>
                <w:rFonts w:ascii="宋体" w:hAnsi="宋体"/>
                <w:szCs w:val="21"/>
                <w:highlight w:val="none"/>
              </w:rPr>
            </w:pPr>
            <w:r>
              <w:rPr>
                <w:rFonts w:hint="eastAsia" w:ascii="宋体" w:hAnsi="宋体"/>
                <w:szCs w:val="21"/>
                <w:highlight w:val="none"/>
              </w:rPr>
              <w:t>招标代理服务费： 招标代理服务费由中标人支付，投  标人将招标代理服务费分摊入相应项目投标报价中，不得  单列。支付标准：参照《招标代理服务收费管理暂行办法》 （计价格〔2002〕1980 号）文件收取 支付形式： 现金或</w:t>
            </w:r>
          </w:p>
          <w:p>
            <w:pPr>
              <w:spacing w:line="360" w:lineRule="auto"/>
              <w:rPr>
                <w:rFonts w:ascii="宋体" w:hAnsi="宋体"/>
                <w:szCs w:val="21"/>
                <w:highlight w:val="none"/>
              </w:rPr>
            </w:pPr>
            <w:r>
              <w:rPr>
                <w:rFonts w:hint="eastAsia" w:ascii="宋体" w:hAnsi="宋体"/>
                <w:szCs w:val="21"/>
                <w:highlight w:val="none"/>
              </w:rPr>
              <w:t>银行汇款、网银 。</w:t>
            </w:r>
          </w:p>
          <w:p>
            <w:pPr>
              <w:numPr>
                <w:ilvl w:val="0"/>
                <w:numId w:val="3"/>
              </w:numPr>
              <w:spacing w:line="360" w:lineRule="auto"/>
              <w:rPr>
                <w:rFonts w:ascii="宋体" w:hAnsi="宋体"/>
                <w:szCs w:val="21"/>
                <w:highlight w:val="none"/>
              </w:rPr>
            </w:pPr>
            <w:r>
              <w:rPr>
                <w:rFonts w:hint="eastAsia" w:ascii="宋体" w:hAnsi="宋体"/>
                <w:szCs w:val="21"/>
                <w:highlight w:val="none"/>
              </w:rPr>
              <w:t>农民工工资：按照《保障农民工工资支付条例》进行 农民工工资管理。施工单位在施工前需到项目建设所在地 人力资源社会保障行政部门办理存储农民工工资保证金 相关手续。施工单位在指定银行设立农民工工资专用账户，实行农民工工资银行代发制。农民工实名制管理，先签合同后进场，工资月结月清。施工单位制定工资支付台 账，现场设立农民工维权信息告示牌。投标人必须填写“不拖欠农民工工资承诺书”，并且装订在投标所需其他材料中，如未填写其投标文件按无效标处理。</w:t>
            </w:r>
          </w:p>
          <w:p>
            <w:pPr>
              <w:numPr>
                <w:ilvl w:val="0"/>
                <w:numId w:val="3"/>
              </w:numPr>
              <w:spacing w:line="360" w:lineRule="auto"/>
              <w:rPr>
                <w:szCs w:val="21"/>
                <w:highlight w:val="none"/>
              </w:rPr>
            </w:pPr>
            <w:r>
              <w:rPr>
                <w:rFonts w:hint="eastAsia" w:ascii="宋体" w:hAnsi="宋体"/>
                <w:szCs w:val="21"/>
                <w:highlight w:val="none"/>
              </w:rPr>
              <w:t>合同形式： 采用固定单价合同。</w:t>
            </w:r>
          </w:p>
          <w:p>
            <w:pPr>
              <w:numPr>
                <w:ilvl w:val="0"/>
                <w:numId w:val="3"/>
              </w:numPr>
              <w:spacing w:line="360" w:lineRule="auto"/>
              <w:rPr>
                <w:rFonts w:ascii="宋体" w:hAnsi="宋体"/>
                <w:b/>
                <w:bCs/>
                <w:szCs w:val="21"/>
                <w:highlight w:val="none"/>
              </w:rPr>
            </w:pPr>
            <w:r>
              <w:rPr>
                <w:rFonts w:hint="eastAsia" w:ascii="宋体" w:hAnsi="宋体"/>
                <w:szCs w:val="21"/>
                <w:highlight w:val="none"/>
              </w:rPr>
              <w:t>中标单位需提供1正4副纸质版投标文件。</w:t>
            </w:r>
          </w:p>
          <w:p>
            <w:pPr>
              <w:numPr>
                <w:ilvl w:val="0"/>
                <w:numId w:val="3"/>
              </w:numPr>
              <w:spacing w:line="360" w:lineRule="auto"/>
              <w:rPr>
                <w:rFonts w:ascii="宋体" w:hAnsi="宋体"/>
                <w:szCs w:val="21"/>
                <w:highlight w:val="none"/>
              </w:rPr>
            </w:pPr>
            <w:r>
              <w:rPr>
                <w:rFonts w:hint="eastAsia" w:ascii="宋体" w:hAnsi="宋体"/>
                <w:b/>
                <w:bCs/>
                <w:szCs w:val="21"/>
                <w:highlight w:val="none"/>
              </w:rPr>
              <w:t>按辽发改价格【2023】128号文件收取建设工程交易服务费。</w:t>
            </w:r>
          </w:p>
          <w:p>
            <w:pPr>
              <w:numPr>
                <w:ilvl w:val="0"/>
                <w:numId w:val="3"/>
              </w:numPr>
              <w:spacing w:line="360" w:lineRule="auto"/>
              <w:rPr>
                <w:rFonts w:ascii="宋体" w:hAnsi="宋体"/>
                <w:szCs w:val="21"/>
                <w:highlight w:val="none"/>
              </w:rPr>
            </w:pPr>
            <w:r>
              <w:rPr>
                <w:rFonts w:hint="eastAsia" w:ascii="宋体" w:hAnsi="宋体"/>
                <w:szCs w:val="21"/>
                <w:highlight w:val="none"/>
              </w:rPr>
              <w:t>定标方式：本项目划分为五个标段，兼投不兼中。投标人可以同时参与，但最多只能在其中一个标段中标：</w:t>
            </w:r>
          </w:p>
          <w:p>
            <w:pPr>
              <w:pStyle w:val="139"/>
              <w:spacing w:before="146" w:line="352" w:lineRule="auto"/>
              <w:ind w:right="102" w:firstLine="420" w:firstLineChars="200"/>
              <w:rPr>
                <w:rFonts w:cs="Times New Roman"/>
                <w:highlight w:val="none"/>
                <w:lang w:eastAsia="zh-CN"/>
              </w:rPr>
            </w:pPr>
            <w:r>
              <w:rPr>
                <w:rFonts w:hint="eastAsia" w:cs="Times New Roman"/>
                <w:highlight w:val="none"/>
                <w:lang w:eastAsia="zh-CN"/>
              </w:rPr>
              <w:t>1.投标单位应递交排序优先选择表（见投标人须知前附表10.5说明），此表作为投标文件的一部分装订在一、二、三、四、五标段最未页，如未提供则视为默认同意按1、2、3、4、5自然顺序优先选择；</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2.评委会推选中标候选人时，若某一标段出现两个及以上单位评分相同，综合评分相等时，以投标报价低的优先；投标报价也相等的，以资质等级高的优先；资质等级相同的，以抽签方式确定优先顺序。</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9、评标委员会推荐不超过3名的中标候选人，并标明推荐顺序。招标人依据评标委员会推荐的中标候选人确定中标人。招标人不保证投标价最低的投标人中标，也没有义务对未中标的投标人作任何解释和说明。</w:t>
            </w:r>
          </w:p>
          <w:p>
            <w:pPr>
              <w:spacing w:line="360" w:lineRule="auto"/>
              <w:jc w:val="center"/>
              <w:rPr>
                <w:szCs w:val="21"/>
                <w:highlight w:val="none"/>
              </w:rPr>
            </w:pPr>
            <w:r>
              <w:rPr>
                <w:rFonts w:hint="eastAsia"/>
                <w:szCs w:val="21"/>
                <w:highlight w:val="none"/>
              </w:rPr>
              <w:t>投标排序优先选择表</w:t>
            </w:r>
          </w:p>
          <w:p>
            <w:pPr>
              <w:pStyle w:val="24"/>
              <w:ind w:firstLine="360"/>
              <w:rPr>
                <w:sz w:val="21"/>
                <w:szCs w:val="21"/>
                <w:highlight w:val="none"/>
              </w:rPr>
            </w:pPr>
          </w:p>
          <w:p>
            <w:pPr>
              <w:pStyle w:val="24"/>
              <w:ind w:firstLine="360"/>
              <w:rPr>
                <w:sz w:val="21"/>
                <w:szCs w:val="21"/>
                <w:highlight w:val="none"/>
              </w:rPr>
            </w:pPr>
            <w:r>
              <w:rPr>
                <w:rFonts w:hint="eastAsia"/>
                <w:sz w:val="21"/>
                <w:szCs w:val="21"/>
                <w:highlight w:val="none"/>
              </w:rPr>
              <w:t>项目名称：                    招标编号：</w:t>
            </w:r>
          </w:p>
          <w:tbl>
            <w:tblPr>
              <w:tblStyle w:val="36"/>
              <w:tblW w:w="8236" w:type="dxa"/>
              <w:tblInd w:w="94" w:type="dxa"/>
              <w:tblLayout w:type="fixed"/>
              <w:tblCellMar>
                <w:top w:w="0" w:type="dxa"/>
                <w:left w:w="108" w:type="dxa"/>
                <w:bottom w:w="0" w:type="dxa"/>
                <w:right w:w="108" w:type="dxa"/>
              </w:tblCellMar>
            </w:tblPr>
            <w:tblGrid>
              <w:gridCol w:w="2260"/>
              <w:gridCol w:w="3850"/>
              <w:gridCol w:w="2126"/>
            </w:tblGrid>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优选顺序</w:t>
                  </w:r>
                </w:p>
              </w:tc>
              <w:tc>
                <w:tcPr>
                  <w:tcW w:w="38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所选标段</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备注</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1</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4</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5</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bl>
          <w:p>
            <w:pPr>
              <w:spacing w:line="288" w:lineRule="auto"/>
              <w:ind w:firstLine="420" w:firstLineChars="200"/>
              <w:rPr>
                <w:rFonts w:ascii="宋体" w:hAnsi="宋体" w:cs="宋体"/>
                <w:szCs w:val="21"/>
                <w:highlight w:val="none"/>
              </w:rPr>
            </w:pPr>
          </w:p>
        </w:tc>
      </w:tr>
    </w:tbl>
    <w:p>
      <w:pPr>
        <w:rPr>
          <w:color w:val="000080"/>
          <w:sz w:val="20"/>
          <w:highlight w:val="none"/>
        </w:rPr>
      </w:pPr>
      <w:bookmarkStart w:id="46" w:name="EB4509dc647f90438c837f73a2e11ef87e"/>
      <w:bookmarkEnd w:id="46"/>
      <w:bookmarkStart w:id="47" w:name="EB86d52242f34040919b7f222c4d7fcbc7"/>
      <w:bookmarkEnd w:id="47"/>
    </w:p>
    <w:p>
      <w:pPr>
        <w:spacing w:line="400" w:lineRule="exact"/>
        <w:rPr>
          <w:rFonts w:ascii="Arial" w:hAnsi="Arial" w:eastAsia="黑体"/>
          <w:color w:val="000080"/>
          <w:sz w:val="20"/>
          <w:szCs w:val="20"/>
          <w:highlight w:val="none"/>
        </w:rPr>
      </w:pPr>
      <w:bookmarkStart w:id="48" w:name="EB2566576610744c23a8eb95fe9b14c987"/>
      <w:bookmarkEnd w:id="48"/>
      <w:bookmarkStart w:id="49" w:name="EBa876ab55d84a4703a6df27f4011940c9"/>
      <w:bookmarkEnd w:id="49"/>
    </w:p>
    <w:p>
      <w:pPr>
        <w:rPr>
          <w:highlight w:val="none"/>
        </w:rPr>
      </w:pPr>
      <w:r>
        <w:rPr>
          <w:color w:val="000080"/>
          <w:sz w:val="20"/>
          <w:highlight w:val="none"/>
        </w:rPr>
        <w:br w:type="page"/>
      </w:r>
    </w:p>
    <w:p>
      <w:pPr>
        <w:jc w:val="center"/>
        <w:rPr>
          <w:highlight w:val="none"/>
        </w:rPr>
      </w:pPr>
    </w:p>
    <w:p>
      <w:pPr>
        <w:pStyle w:val="4"/>
        <w:spacing w:line="400" w:lineRule="exact"/>
        <w:rPr>
          <w:color w:val="000000"/>
          <w:sz w:val="27"/>
          <w:szCs w:val="27"/>
          <w:highlight w:val="none"/>
        </w:rPr>
      </w:pPr>
      <w:bookmarkStart w:id="50" w:name="_Toc17225"/>
      <w:bookmarkStart w:id="51" w:name="_Toc49869967"/>
      <w:r>
        <w:rPr>
          <w:rFonts w:hint="eastAsia"/>
          <w:color w:val="000000"/>
          <w:sz w:val="27"/>
          <w:szCs w:val="27"/>
          <w:highlight w:val="none"/>
        </w:rPr>
        <w:t>1. 总则</w:t>
      </w:r>
      <w:bookmarkEnd w:id="50"/>
      <w:bookmarkEnd w:id="5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1.1项目概况</w:t>
      </w:r>
    </w:p>
    <w:p>
      <w:pPr>
        <w:spacing w:line="400" w:lineRule="exact"/>
        <w:ind w:firstLine="420" w:firstLineChars="200"/>
        <w:rPr>
          <w:color w:val="000000"/>
          <w:highlight w:val="none"/>
        </w:rPr>
      </w:pPr>
      <w:r>
        <w:rPr>
          <w:rFonts w:hint="eastAsia"/>
          <w:color w:val="000000"/>
          <w:highlight w:val="none"/>
        </w:rPr>
        <w:t>根据《中华人民共和国招标投标法》等有关法律、法规和规章的规定，本招标项目已具备招标条件，现对本标段施工进行招标。</w:t>
      </w:r>
    </w:p>
    <w:p>
      <w:pPr>
        <w:spacing w:line="400" w:lineRule="exact"/>
        <w:ind w:firstLine="420" w:firstLineChars="200"/>
        <w:rPr>
          <w:color w:val="000000"/>
          <w:highlight w:val="none"/>
        </w:rPr>
      </w:pPr>
      <w:r>
        <w:rPr>
          <w:rFonts w:hint="eastAsia"/>
          <w:color w:val="000000"/>
          <w:highlight w:val="none"/>
        </w:rPr>
        <w:t>1.1.2 本招标项目招标人：见投标人须知前附表。</w:t>
      </w:r>
    </w:p>
    <w:p>
      <w:pPr>
        <w:spacing w:line="400" w:lineRule="exact"/>
        <w:ind w:firstLine="420" w:firstLineChars="200"/>
        <w:rPr>
          <w:color w:val="000000"/>
          <w:highlight w:val="none"/>
        </w:rPr>
      </w:pPr>
      <w:r>
        <w:rPr>
          <w:rFonts w:hint="eastAsia"/>
          <w:color w:val="000000"/>
          <w:highlight w:val="none"/>
        </w:rPr>
        <w:t>1.1.3 本标段招标代理机构：见投标人须知前附表。</w:t>
      </w:r>
    </w:p>
    <w:p>
      <w:pPr>
        <w:spacing w:line="400" w:lineRule="exact"/>
        <w:ind w:firstLine="420" w:firstLineChars="200"/>
        <w:rPr>
          <w:color w:val="000000"/>
          <w:highlight w:val="none"/>
        </w:rPr>
      </w:pPr>
      <w:r>
        <w:rPr>
          <w:rFonts w:hint="eastAsia"/>
          <w:color w:val="000000"/>
          <w:highlight w:val="none"/>
        </w:rPr>
        <w:t>1.1.4 本招标项目名称：见投标人须知前附表。</w:t>
      </w:r>
    </w:p>
    <w:p>
      <w:pPr>
        <w:spacing w:line="400" w:lineRule="exact"/>
        <w:ind w:firstLine="420" w:firstLineChars="200"/>
        <w:rPr>
          <w:color w:val="000000"/>
          <w:highlight w:val="none"/>
        </w:rPr>
      </w:pPr>
      <w:r>
        <w:rPr>
          <w:rFonts w:hint="eastAsia"/>
          <w:color w:val="000000"/>
          <w:highlight w:val="none"/>
        </w:rPr>
        <w:t>1.1.5 本标段建设地点：见投标人须知前附表。</w:t>
      </w:r>
    </w:p>
    <w:p>
      <w:pPr>
        <w:spacing w:line="400" w:lineRule="exact"/>
        <w:ind w:firstLine="420" w:firstLineChars="200"/>
        <w:rPr>
          <w:color w:val="000000"/>
          <w:szCs w:val="21"/>
          <w:highlight w:val="none"/>
        </w:rPr>
      </w:pPr>
      <w:r>
        <w:rPr>
          <w:rFonts w:hint="eastAsia"/>
          <w:color w:val="000000"/>
          <w:szCs w:val="21"/>
          <w:highlight w:val="none"/>
        </w:rPr>
        <w:t>1.1.6 本招标项目现场管理机构：见投标人须知前附表。</w:t>
      </w:r>
    </w:p>
    <w:p>
      <w:pPr>
        <w:spacing w:line="400" w:lineRule="exact"/>
        <w:ind w:firstLine="420" w:firstLineChars="200"/>
        <w:rPr>
          <w:color w:val="000000"/>
          <w:szCs w:val="21"/>
          <w:highlight w:val="none"/>
        </w:rPr>
      </w:pPr>
      <w:r>
        <w:rPr>
          <w:rFonts w:hint="eastAsia"/>
          <w:color w:val="000000"/>
          <w:szCs w:val="21"/>
          <w:highlight w:val="none"/>
        </w:rPr>
        <w:t>1.1.7 本招标项目设计人：见投标人须知前附表。</w:t>
      </w:r>
    </w:p>
    <w:p>
      <w:pPr>
        <w:spacing w:line="400" w:lineRule="exact"/>
        <w:ind w:firstLine="420" w:firstLineChars="200"/>
        <w:rPr>
          <w:color w:val="000000"/>
          <w:szCs w:val="21"/>
          <w:highlight w:val="none"/>
        </w:rPr>
      </w:pPr>
      <w:r>
        <w:rPr>
          <w:rFonts w:hint="eastAsia"/>
          <w:color w:val="000000"/>
          <w:szCs w:val="21"/>
          <w:highlight w:val="none"/>
        </w:rPr>
        <w:t>1.1.8 本招标项目监理人：见投标人须知前附表。</w:t>
      </w:r>
    </w:p>
    <w:p>
      <w:pPr>
        <w:spacing w:line="400" w:lineRule="exact"/>
        <w:ind w:firstLine="420" w:firstLineChars="200"/>
        <w:rPr>
          <w:color w:val="000000"/>
          <w:szCs w:val="21"/>
          <w:highlight w:val="none"/>
        </w:rPr>
      </w:pPr>
      <w:r>
        <w:rPr>
          <w:rFonts w:hint="eastAsia"/>
          <w:color w:val="000000"/>
          <w:szCs w:val="21"/>
          <w:highlight w:val="none"/>
        </w:rPr>
        <w:t>1.1.9 本招标项目代建机构：见投标人须知前附表。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1.9踏勘现场</w:t>
      </w:r>
    </w:p>
    <w:p>
      <w:pPr>
        <w:spacing w:line="400" w:lineRule="exact"/>
        <w:ind w:left="105" w:leftChars="50" w:firstLine="315" w:firstLineChars="150"/>
        <w:rPr>
          <w:rFonts w:ascii="宋体" w:hAnsi="宋体"/>
          <w:color w:val="000000"/>
          <w:szCs w:val="21"/>
          <w:highlight w:val="none"/>
        </w:rPr>
      </w:pPr>
      <w:r>
        <w:rPr>
          <w:rFonts w:hint="eastAsia" w:ascii="宋体" w:hAnsi="宋体"/>
          <w:color w:val="000000"/>
          <w:szCs w:val="21"/>
          <w:highlight w:val="none"/>
        </w:rPr>
        <w:t xml:space="preserve">1.9.1 投标人须知前附表规定组织踏勘现场的，招标人按照招标公告（或投标邀请书）规定的时间和地点组织踏勘现场。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1.10.1投标人须知前附表规定召开投标预备会的，招标人按照招标公告（或投标邀请书）规定的时间和地点召开投标预备会。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1.10.2在投标预备会召开前，投标人应以书面形式（包括信函、电报、传真等可以有形地表现所载内容的形式，下同）将需要招标人澄清的问题送达招标人。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1.10.3在投标人须知前附表规定的投标截止时间15天前，招标人将对投标人所提问题的澄清，以书面形式通知所有购买招标文件的投标人。该澄清通知为招标文件的组成部分。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招标人不组织投标预备会，对于投标人在阅读招标文件和现场踏勘中提出的疑问，招标人将以招标文件澄清或修改的形式予以答复。</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525" w:firstLineChars="250"/>
        <w:rPr>
          <w:color w:val="000000"/>
          <w:szCs w:val="21"/>
          <w:highlight w:val="none"/>
        </w:rPr>
      </w:pPr>
      <w:r>
        <w:rPr>
          <w:rFonts w:hint="eastAsia"/>
          <w:color w:val="000000"/>
          <w:szCs w:val="21"/>
          <w:highlight w:val="none"/>
        </w:rPr>
        <w:t>投标人须知前附表规定允许分包的， 分包的内容， 分包金额， 接受分包的第三人资质 要求见投标人须知前附表。投标人应在投标文件中明确是否在中标后将中标项目的部分非主 体、非关键性工作进行分包。投标人拟分包时， 分包人应具备与分包工程的标准和规模相适 应的资质和业绩，在人力、设备、资金等方面具有承担分包工程的能力。投标人应在投标文 件中提供分包协议、分包人的资质证书及营业执照副本复印件、人员和设备资料表、分包的工程项目和工程量。</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本工程不允许分包。</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1.12偏离</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投标文件不允许偏离招标文件的实质性要求和条件。投标文件偏离招标文件的非实质性要求和条件的，其处理方式见投标人须知前附表。</w:t>
      </w:r>
    </w:p>
    <w:p>
      <w:pPr>
        <w:rPr>
          <w:highlight w:val="none"/>
        </w:rPr>
      </w:pPr>
      <w:bookmarkStart w:id="52" w:name="EBf1fa8e40e21f416a9f63e2ebd40a9a75"/>
      <w:bookmarkEnd w:id="52"/>
      <w:bookmarkStart w:id="53" w:name="EBd45900aeeef74b8faaf0d315ed21f29e"/>
      <w:bookmarkEnd w:id="53"/>
      <w:bookmarkStart w:id="54" w:name="EBdcc86de9cfcd465c9a59472d5af3386a"/>
      <w:bookmarkEnd w:id="54"/>
    </w:p>
    <w:p>
      <w:pPr>
        <w:pStyle w:val="4"/>
        <w:spacing w:line="400" w:lineRule="exact"/>
        <w:rPr>
          <w:color w:val="000000"/>
          <w:sz w:val="27"/>
          <w:szCs w:val="27"/>
          <w:highlight w:val="none"/>
        </w:rPr>
      </w:pPr>
      <w:bookmarkStart w:id="55" w:name="_Toc49869968"/>
      <w:bookmarkStart w:id="56" w:name="_Toc20265"/>
      <w:r>
        <w:rPr>
          <w:rFonts w:hint="eastAsia"/>
          <w:color w:val="000000"/>
          <w:sz w:val="27"/>
          <w:szCs w:val="27"/>
          <w:highlight w:val="none"/>
        </w:rPr>
        <w:t>2. 招标文件</w:t>
      </w:r>
      <w:bookmarkEnd w:id="55"/>
      <w:bookmarkEnd w:id="56"/>
    </w:p>
    <w:p>
      <w:pPr>
        <w:spacing w:line="400" w:lineRule="exact"/>
        <w:rPr>
          <w:color w:val="000000"/>
          <w:highlight w:val="none"/>
        </w:rPr>
      </w:pPr>
      <w:r>
        <w:rPr>
          <w:rFonts w:hint="eastAsia"/>
          <w:color w:val="000000"/>
          <w:highlight w:val="none"/>
        </w:rPr>
        <w:t>本招标文件包括：</w:t>
      </w:r>
    </w:p>
    <w:p>
      <w:pPr>
        <w:spacing w:line="400" w:lineRule="exact"/>
        <w:ind w:firstLine="359" w:firstLineChars="171"/>
        <w:rPr>
          <w:color w:val="000000"/>
          <w:highlight w:val="none"/>
        </w:rPr>
      </w:pPr>
      <w:r>
        <w:rPr>
          <w:rFonts w:hint="eastAsia"/>
          <w:color w:val="000000"/>
          <w:highlight w:val="none"/>
        </w:rPr>
        <w:t>（1）招标公告（或投标邀请书）；</w:t>
      </w:r>
    </w:p>
    <w:p>
      <w:pPr>
        <w:spacing w:line="400" w:lineRule="exact"/>
        <w:ind w:firstLine="359" w:firstLineChars="171"/>
        <w:rPr>
          <w:color w:val="000000"/>
          <w:highlight w:val="none"/>
        </w:rPr>
      </w:pPr>
      <w:r>
        <w:rPr>
          <w:rFonts w:hint="eastAsia"/>
          <w:color w:val="000000"/>
          <w:highlight w:val="none"/>
        </w:rPr>
        <w:t>（2）投标人须知；</w:t>
      </w:r>
    </w:p>
    <w:p>
      <w:pPr>
        <w:spacing w:line="400" w:lineRule="exact"/>
        <w:ind w:firstLine="359" w:firstLineChars="171"/>
        <w:rPr>
          <w:color w:val="000000"/>
          <w:highlight w:val="none"/>
        </w:rPr>
      </w:pPr>
      <w:r>
        <w:rPr>
          <w:rFonts w:hint="eastAsia"/>
          <w:color w:val="000000"/>
          <w:highlight w:val="none"/>
        </w:rPr>
        <w:t>（3）评标办法；</w:t>
      </w:r>
    </w:p>
    <w:p>
      <w:pPr>
        <w:spacing w:line="400" w:lineRule="exact"/>
        <w:ind w:firstLine="359" w:firstLineChars="171"/>
        <w:rPr>
          <w:color w:val="000000"/>
          <w:highlight w:val="none"/>
        </w:rPr>
      </w:pPr>
      <w:r>
        <w:rPr>
          <w:rFonts w:hint="eastAsia"/>
          <w:color w:val="000000"/>
          <w:highlight w:val="none"/>
        </w:rPr>
        <w:t>（4）合同条款及格式；</w:t>
      </w:r>
    </w:p>
    <w:p>
      <w:pPr>
        <w:spacing w:line="400" w:lineRule="exact"/>
        <w:ind w:firstLine="359" w:firstLineChars="171"/>
        <w:rPr>
          <w:color w:val="000000"/>
          <w:highlight w:val="none"/>
        </w:rPr>
      </w:pPr>
      <w:r>
        <w:rPr>
          <w:rFonts w:hint="eastAsia"/>
          <w:color w:val="000000"/>
          <w:highlight w:val="none"/>
        </w:rPr>
        <w:t xml:space="preserve">（5）工程量清单； </w:t>
      </w:r>
    </w:p>
    <w:p>
      <w:pPr>
        <w:spacing w:line="400" w:lineRule="exact"/>
        <w:ind w:firstLine="359" w:firstLineChars="171"/>
        <w:rPr>
          <w:color w:val="000000"/>
          <w:highlight w:val="none"/>
        </w:rPr>
      </w:pPr>
      <w:r>
        <w:rPr>
          <w:rFonts w:hint="eastAsia"/>
          <w:color w:val="000000"/>
          <w:highlight w:val="none"/>
        </w:rPr>
        <w:t xml:space="preserve">（6）图纸； </w:t>
      </w:r>
    </w:p>
    <w:p>
      <w:pPr>
        <w:spacing w:line="400" w:lineRule="exact"/>
        <w:ind w:firstLine="359" w:firstLineChars="171"/>
        <w:rPr>
          <w:color w:val="000000"/>
          <w:highlight w:val="none"/>
        </w:rPr>
      </w:pPr>
      <w:r>
        <w:rPr>
          <w:rFonts w:hint="eastAsia"/>
          <w:color w:val="000000"/>
          <w:highlight w:val="none"/>
        </w:rPr>
        <w:t xml:space="preserve">（7）技术标准和要求； </w:t>
      </w:r>
    </w:p>
    <w:p>
      <w:pPr>
        <w:spacing w:line="400" w:lineRule="exact"/>
        <w:ind w:firstLine="359" w:firstLineChars="171"/>
        <w:rPr>
          <w:color w:val="000000"/>
          <w:highlight w:val="none"/>
        </w:rPr>
      </w:pPr>
      <w:r>
        <w:rPr>
          <w:rFonts w:hint="eastAsia"/>
          <w:color w:val="000000"/>
          <w:highlight w:val="none"/>
        </w:rPr>
        <w:t>（8）投标文件格式；</w:t>
      </w:r>
    </w:p>
    <w:p>
      <w:pPr>
        <w:spacing w:line="400" w:lineRule="exact"/>
        <w:ind w:firstLine="359" w:firstLineChars="171"/>
        <w:rPr>
          <w:color w:val="000000"/>
          <w:highlight w:val="none"/>
        </w:rPr>
      </w:pPr>
      <w:r>
        <w:rPr>
          <w:rFonts w:hint="eastAsia"/>
          <w:color w:val="000000"/>
          <w:highlight w:val="none"/>
        </w:rPr>
        <w:t>（9）投标人须知前附表规定的其他材料。</w:t>
      </w:r>
    </w:p>
    <w:p>
      <w:pPr>
        <w:spacing w:line="400" w:lineRule="exact"/>
        <w:ind w:firstLine="420" w:firstLineChars="200"/>
        <w:rPr>
          <w:color w:val="000000"/>
          <w:highlight w:val="none"/>
        </w:rPr>
      </w:pPr>
      <w:r>
        <w:rPr>
          <w:rFonts w:hint="eastAsia"/>
          <w:color w:val="000000"/>
          <w:highlight w:val="none"/>
        </w:rPr>
        <w:t>根据本章第1.10款、第2.2款和第2.3款对招标文件所作的澄清、修改，构成招标文件的组成部分。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2.2招标文件的澄清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2.2.1 投标人应仔细阅读和检查招标文件的全部内容。如发现缺页或附件不全，应及时向招标人提出，以便补齐。如有疑问，应在投标截止时间17天前以书面形式提出澄清申请，要求招标人对招标文件予以澄清。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2.2.2 招标文件的澄清将在投标截止时间15天前，以书面形式通知所有购买招标文件的投标人，但不指明澄清问题的来源。如果澄清通知发出的时间距投标截止时间不足15天，投标截止时间应相应延长。</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2.2.3 投标人在收到澄清通知后，应在1天内以书面形式告知招标人，确认已收到澄清通知。</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2.3招标文件的修改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2.3.2投标人收到修改通知后，应在1天内以书面形式告知招标人，确认已收到该修改通知。</w:t>
      </w:r>
    </w:p>
    <w:p>
      <w:pPr>
        <w:rPr>
          <w:highlight w:val="none"/>
        </w:rPr>
      </w:pPr>
      <w:bookmarkStart w:id="57" w:name="EB926102dbd1544a3ca0e818dcca5b6200"/>
      <w:bookmarkEnd w:id="57"/>
      <w:bookmarkStart w:id="58" w:name="EBe26dc70283ae4dc582965f9f59067d57"/>
      <w:bookmarkEnd w:id="58"/>
      <w:bookmarkStart w:id="59" w:name="EB24bd1d623a0c43609a26cccfe8b47c72"/>
      <w:bookmarkEnd w:id="59"/>
    </w:p>
    <w:p>
      <w:pPr>
        <w:pStyle w:val="4"/>
        <w:spacing w:line="400" w:lineRule="exact"/>
        <w:rPr>
          <w:color w:val="000000"/>
          <w:sz w:val="27"/>
          <w:szCs w:val="27"/>
          <w:highlight w:val="none"/>
        </w:rPr>
      </w:pPr>
      <w:bookmarkStart w:id="60" w:name="_Toc16852"/>
      <w:bookmarkStart w:id="61" w:name="_Toc49869969"/>
      <w:r>
        <w:rPr>
          <w:rFonts w:hint="eastAsia"/>
          <w:color w:val="000000"/>
          <w:sz w:val="27"/>
          <w:szCs w:val="27"/>
          <w:highlight w:val="none"/>
        </w:rPr>
        <w:t>3. 投标文件</w:t>
      </w:r>
      <w:bookmarkEnd w:id="60"/>
      <w:bookmarkEnd w:id="6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3.1.投标文件的组成</w:t>
      </w:r>
    </w:p>
    <w:p>
      <w:pPr>
        <w:spacing w:line="400" w:lineRule="exact"/>
        <w:rPr>
          <w:color w:val="000000"/>
          <w:highlight w:val="none"/>
        </w:rPr>
      </w:pPr>
      <w:r>
        <w:rPr>
          <w:rFonts w:hint="eastAsia"/>
          <w:color w:val="000000"/>
          <w:highlight w:val="none"/>
        </w:rPr>
        <w:t>　　3.1.1投标文件应包括下列内容：</w:t>
      </w:r>
    </w:p>
    <w:p>
      <w:pPr>
        <w:spacing w:line="400" w:lineRule="exact"/>
        <w:ind w:firstLine="359" w:firstLineChars="171"/>
        <w:rPr>
          <w:color w:val="000000"/>
          <w:highlight w:val="none"/>
        </w:rPr>
      </w:pPr>
      <w:r>
        <w:rPr>
          <w:rFonts w:hint="eastAsia"/>
          <w:color w:val="000000"/>
          <w:highlight w:val="none"/>
        </w:rPr>
        <w:t>（1）投标函及投标函附录；</w:t>
      </w:r>
    </w:p>
    <w:p>
      <w:pPr>
        <w:spacing w:line="400" w:lineRule="exact"/>
        <w:ind w:firstLine="359" w:firstLineChars="171"/>
        <w:rPr>
          <w:color w:val="000000"/>
          <w:highlight w:val="none"/>
        </w:rPr>
      </w:pPr>
      <w:r>
        <w:rPr>
          <w:rFonts w:hint="eastAsia"/>
          <w:color w:val="000000"/>
          <w:highlight w:val="none"/>
        </w:rPr>
        <w:t>（2）法定代表人身份证明或附有法定代表人身份证明的授权委托书；</w:t>
      </w:r>
    </w:p>
    <w:p>
      <w:pPr>
        <w:spacing w:line="400" w:lineRule="exact"/>
        <w:ind w:firstLine="359" w:firstLineChars="171"/>
        <w:rPr>
          <w:color w:val="000000"/>
          <w:highlight w:val="none"/>
        </w:rPr>
      </w:pPr>
      <w:r>
        <w:rPr>
          <w:rFonts w:hint="eastAsia"/>
          <w:color w:val="000000"/>
          <w:highlight w:val="none"/>
        </w:rPr>
        <w:t>（3）联合体协议书；</w:t>
      </w:r>
    </w:p>
    <w:p>
      <w:pPr>
        <w:spacing w:line="400" w:lineRule="exact"/>
        <w:ind w:firstLine="359" w:firstLineChars="171"/>
        <w:rPr>
          <w:color w:val="000000"/>
          <w:highlight w:val="none"/>
        </w:rPr>
      </w:pPr>
      <w:r>
        <w:rPr>
          <w:rFonts w:hint="eastAsia"/>
          <w:color w:val="000000"/>
          <w:highlight w:val="none"/>
        </w:rPr>
        <w:t>（4）投标保证金；</w:t>
      </w:r>
    </w:p>
    <w:p>
      <w:pPr>
        <w:spacing w:line="400" w:lineRule="exact"/>
        <w:ind w:firstLine="359" w:firstLineChars="171"/>
        <w:rPr>
          <w:color w:val="000000"/>
          <w:highlight w:val="none"/>
        </w:rPr>
      </w:pPr>
      <w:r>
        <w:rPr>
          <w:rFonts w:hint="eastAsia"/>
          <w:color w:val="000000"/>
          <w:highlight w:val="none"/>
        </w:rPr>
        <w:t>（5）已标价工程量清单；</w:t>
      </w:r>
    </w:p>
    <w:p>
      <w:pPr>
        <w:spacing w:line="400" w:lineRule="exact"/>
        <w:ind w:firstLine="359" w:firstLineChars="171"/>
        <w:rPr>
          <w:color w:val="000000"/>
          <w:highlight w:val="none"/>
        </w:rPr>
      </w:pPr>
      <w:r>
        <w:rPr>
          <w:rFonts w:hint="eastAsia"/>
          <w:color w:val="000000"/>
          <w:highlight w:val="none"/>
        </w:rPr>
        <w:t xml:space="preserve">（6）施工组织设计； </w:t>
      </w:r>
    </w:p>
    <w:p>
      <w:pPr>
        <w:spacing w:line="400" w:lineRule="exact"/>
        <w:ind w:firstLine="359" w:firstLineChars="171"/>
        <w:rPr>
          <w:color w:val="000000"/>
          <w:highlight w:val="none"/>
        </w:rPr>
      </w:pPr>
      <w:r>
        <w:rPr>
          <w:rFonts w:hint="eastAsia"/>
          <w:color w:val="000000"/>
          <w:highlight w:val="none"/>
        </w:rPr>
        <w:t>（7）项目管理机构；</w:t>
      </w:r>
    </w:p>
    <w:p>
      <w:pPr>
        <w:spacing w:line="400" w:lineRule="exact"/>
        <w:ind w:firstLine="359" w:firstLineChars="171"/>
        <w:rPr>
          <w:color w:val="000000"/>
          <w:highlight w:val="none"/>
        </w:rPr>
      </w:pPr>
      <w:r>
        <w:rPr>
          <w:rFonts w:hint="eastAsia"/>
          <w:color w:val="000000"/>
          <w:highlight w:val="none"/>
        </w:rPr>
        <w:t>（8）拟分包项目情况表；</w:t>
      </w:r>
    </w:p>
    <w:p>
      <w:pPr>
        <w:spacing w:line="400" w:lineRule="exact"/>
        <w:ind w:firstLine="359" w:firstLineChars="171"/>
        <w:rPr>
          <w:color w:val="000000"/>
          <w:highlight w:val="none"/>
        </w:rPr>
      </w:pPr>
      <w:r>
        <w:rPr>
          <w:rFonts w:hint="eastAsia"/>
          <w:color w:val="000000"/>
          <w:highlight w:val="none"/>
        </w:rPr>
        <w:t>（9）资格审查资料；</w:t>
      </w:r>
    </w:p>
    <w:p>
      <w:pPr>
        <w:spacing w:line="400" w:lineRule="exact"/>
        <w:ind w:firstLine="359" w:firstLineChars="171"/>
        <w:rPr>
          <w:color w:val="000000"/>
          <w:highlight w:val="none"/>
        </w:rPr>
      </w:pPr>
      <w:r>
        <w:rPr>
          <w:rFonts w:hint="eastAsia"/>
          <w:color w:val="000000"/>
          <w:highlight w:val="none"/>
        </w:rPr>
        <w:t>（10）投标人须知前附表规定的其他材料。</w:t>
      </w:r>
    </w:p>
    <w:p>
      <w:pPr>
        <w:spacing w:line="400" w:lineRule="exact"/>
        <w:ind w:firstLine="359" w:firstLineChars="171"/>
        <w:rPr>
          <w:color w:val="000000"/>
          <w:highlight w:val="none"/>
        </w:rPr>
      </w:pPr>
      <w:r>
        <w:rPr>
          <w:rFonts w:hint="eastAsia"/>
          <w:color w:val="000000"/>
          <w:highlight w:val="none"/>
        </w:rPr>
        <w:t xml:space="preserve">3.1.2 投标人须知前附表规定不接受联合体投标的，或投标人没有组成联合体的，投标文件不包括本章第3.1.1（3）目所指的联合体协议书。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投标报价</w:t>
      </w:r>
    </w:p>
    <w:p>
      <w:pPr>
        <w:spacing w:line="400" w:lineRule="exact"/>
        <w:ind w:firstLine="420" w:firstLineChars="200"/>
        <w:rPr>
          <w:color w:val="000000"/>
          <w:highlight w:val="none"/>
        </w:rPr>
      </w:pPr>
      <w:r>
        <w:rPr>
          <w:rFonts w:hint="eastAsia"/>
          <w:color w:val="000000"/>
          <w:highlight w:val="none"/>
        </w:rPr>
        <w:t>3.2.1 投标人应按第五章“工程量清单”的要求填写相应表格。</w:t>
      </w:r>
    </w:p>
    <w:p>
      <w:pPr>
        <w:spacing w:line="400" w:lineRule="exact"/>
        <w:ind w:firstLine="420" w:firstLineChars="200"/>
        <w:rPr>
          <w:color w:val="000000"/>
          <w:highlight w:val="none"/>
        </w:rPr>
      </w:pPr>
      <w:r>
        <w:rPr>
          <w:rFonts w:hint="eastAsia"/>
          <w:color w:val="000000"/>
          <w:highlight w:val="none"/>
        </w:rPr>
        <w:t>3.2.2 投标人在投标截止时间前修改投标函中的投标总报价，应同时修改第五章“工程量清单”中的相应报价。此修改须符合本章第4.3款的有关要求。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投标有效期</w:t>
      </w:r>
    </w:p>
    <w:p>
      <w:pPr>
        <w:spacing w:line="400" w:lineRule="exact"/>
        <w:ind w:firstLine="420" w:firstLineChars="200"/>
        <w:rPr>
          <w:color w:val="000000"/>
          <w:highlight w:val="none"/>
        </w:rPr>
      </w:pPr>
      <w:r>
        <w:rPr>
          <w:rFonts w:hint="eastAsia"/>
          <w:color w:val="000000"/>
          <w:highlight w:val="none"/>
        </w:rPr>
        <w:t>3.3.1 在投标人须知前附表规定的投标有效期内，投标人不得要求撤销或修改其投标文件。</w:t>
      </w:r>
    </w:p>
    <w:p>
      <w:pPr>
        <w:spacing w:line="400" w:lineRule="exact"/>
        <w:ind w:firstLine="420" w:firstLineChars="200"/>
        <w:rPr>
          <w:color w:val="000000"/>
          <w:highlight w:val="none"/>
        </w:rPr>
      </w:pPr>
      <w:r>
        <w:rPr>
          <w:rFonts w:hint="eastAsia"/>
          <w:color w:val="000000"/>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 投标保证金</w:t>
      </w:r>
    </w:p>
    <w:p>
      <w:pPr>
        <w:spacing w:line="400" w:lineRule="exact"/>
        <w:ind w:firstLine="420" w:firstLineChars="200"/>
        <w:rPr>
          <w:color w:val="000000"/>
          <w:highlight w:val="none"/>
        </w:rPr>
      </w:pPr>
      <w:r>
        <w:rPr>
          <w:rFonts w:hint="eastAsia"/>
          <w:color w:val="000000"/>
          <w:highlight w:val="none"/>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spacing w:line="400" w:lineRule="exact"/>
        <w:ind w:firstLine="420" w:firstLineChars="200"/>
        <w:rPr>
          <w:color w:val="000000"/>
          <w:highlight w:val="none"/>
        </w:rPr>
      </w:pPr>
      <w:r>
        <w:rPr>
          <w:rFonts w:hint="eastAsia"/>
          <w:color w:val="000000"/>
          <w:highlight w:val="none"/>
        </w:rPr>
        <w:t>3.4.2 投标人不按本章第3.4.1项要求提交投标保证金的，其投标文件作废标处理。</w:t>
      </w:r>
    </w:p>
    <w:p>
      <w:pPr>
        <w:spacing w:line="400" w:lineRule="exact"/>
        <w:ind w:firstLine="420" w:firstLineChars="200"/>
        <w:rPr>
          <w:color w:val="000000"/>
          <w:highlight w:val="none"/>
        </w:rPr>
      </w:pPr>
      <w:r>
        <w:rPr>
          <w:rFonts w:hint="eastAsia"/>
          <w:color w:val="000000"/>
          <w:highlight w:val="none"/>
        </w:rPr>
        <w:t>3.4.3 招标人与中标人签订合同后5个工作日内，向未中标的投标人和中标人退还投标保证金。</w:t>
      </w:r>
    </w:p>
    <w:p>
      <w:pPr>
        <w:spacing w:line="400" w:lineRule="exact"/>
        <w:ind w:firstLine="420" w:firstLineChars="200"/>
        <w:rPr>
          <w:color w:val="000000"/>
          <w:highlight w:val="none"/>
        </w:rPr>
      </w:pPr>
      <w:r>
        <w:rPr>
          <w:rFonts w:hint="eastAsia"/>
          <w:color w:val="000000"/>
          <w:highlight w:val="none"/>
        </w:rPr>
        <w:t xml:space="preserve">3.4.4 有下列情形之一的，投标保证金将不予退还： </w:t>
      </w:r>
    </w:p>
    <w:p>
      <w:pPr>
        <w:spacing w:line="400" w:lineRule="exact"/>
        <w:ind w:firstLine="718" w:firstLineChars="342"/>
        <w:rPr>
          <w:color w:val="000000"/>
          <w:highlight w:val="none"/>
        </w:rPr>
      </w:pPr>
      <w:r>
        <w:rPr>
          <w:rFonts w:hint="eastAsia"/>
          <w:color w:val="000000"/>
          <w:highlight w:val="none"/>
        </w:rPr>
        <w:t>（1）投标人在规定的投标有效期内撤销或修改其投标文件；</w:t>
      </w:r>
    </w:p>
    <w:p>
      <w:pPr>
        <w:spacing w:line="400" w:lineRule="exact"/>
        <w:ind w:firstLine="718" w:firstLineChars="342"/>
        <w:rPr>
          <w:color w:val="000000"/>
          <w:highlight w:val="none"/>
        </w:rPr>
      </w:pPr>
      <w:r>
        <w:rPr>
          <w:rFonts w:hint="eastAsia"/>
          <w:color w:val="000000"/>
          <w:highlight w:val="none"/>
        </w:rPr>
        <w:t>（2）中标人在收到中标通知书后，无正当理由拒签合同协议书或未按招标文件规定提交履约担保。</w:t>
      </w:r>
    </w:p>
    <w:p>
      <w:pPr>
        <w:spacing w:line="400" w:lineRule="exact"/>
        <w:ind w:firstLine="420" w:firstLineChars="200"/>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3.5资格审查资料（适用于已进行资格预审）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编制投标文件时，如果投标人在资质条件、组织机构、财务能力、信誉等资格条件与资格预审时提交的资格预审申请文件相比发生变化的，应按新情况更新或补充其在申请资格预审申请文件中提供的资料，以证实其各项资格条件仍能继续满足资格预审文件的要求，具备承担本标段施工的资质条件、能力和信誉。</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 资格审查资料（适用于未进行资格预审）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3.5.1“近3年财务状况”应附流动资金来源证明及经会计师事务所或审计机构审计的财务会计报表，包括资产负债表、现金流量表、利润表和财务情况说明书的复印件。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3.5.2“近5年完成的类似项目情况表”应附中标通知书、合同协议书以及合同工程完工证书（工程竣工证书副本）的复印件。每张表格只填写一个项目，并标明序号。。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3.5.3“近3年发生的诉讼及仲裁情况表”应说明相关情况，并附法院或仲裁机构作出的判断、裁决等有关法律文书复印件。</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3.6备选投标方案</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投标人可以递交备选投标方案，只有中标人所递交的备选投标方案方可予以考虑。评标委员会认为中标人递交的备选投标方案优于其按照招标文件要求编制的投标方案时，招标人可以接受该备选投标方案。</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3.7投标文件的编制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3.7.3投标文件应采用不褪色的材料书写或打印。投标文件正本除封面、封底、目录、分隔页外，其他每一页必须加盖投标人单位公章，并由投标人的法定代表人或其委托代理人签字。已标价的工程量清单还应加盖注册水利工程造价师执业印章，投标文件应尽量避免涂改、行间插字或删除。如果出现上述情况，修改之处应加盖投标人单位公章或由投标人的法定代表人或其委托代理人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 xml:space="preserve">3.7.4投标文件正本1份，副本4份。正本和副本的封面上应清楚地标记“正本”或“副本”的字样。当副本和正本不一致时，以正本为准。 </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3.7.5投标文件的正本与副本应采用A4纸（图表页可例外），分别装订成册，编制目录和页码，并不得采用活页装订。</w:t>
      </w:r>
    </w:p>
    <w:p>
      <w:pPr>
        <w:rPr>
          <w:highlight w:val="none"/>
        </w:rPr>
      </w:pPr>
      <w:bookmarkStart w:id="62" w:name="EBbd52b4f55f0445a3a19acb7d37260732"/>
      <w:bookmarkEnd w:id="62"/>
      <w:bookmarkStart w:id="63" w:name="EB070386af3dad47c6a26b44e683975dba"/>
      <w:bookmarkEnd w:id="63"/>
      <w:bookmarkStart w:id="64" w:name="EB37fa3946cc344242a78b4e4729c53f42"/>
      <w:bookmarkEnd w:id="64"/>
    </w:p>
    <w:p>
      <w:pPr>
        <w:pStyle w:val="4"/>
        <w:spacing w:line="400" w:lineRule="exact"/>
        <w:rPr>
          <w:color w:val="000000"/>
          <w:sz w:val="27"/>
          <w:szCs w:val="27"/>
          <w:highlight w:val="none"/>
        </w:rPr>
      </w:pPr>
      <w:bookmarkStart w:id="65" w:name="_Toc49869970"/>
      <w:bookmarkStart w:id="66" w:name="_Toc25570"/>
      <w:r>
        <w:rPr>
          <w:rFonts w:hint="eastAsia"/>
          <w:color w:val="000000"/>
          <w:sz w:val="27"/>
          <w:szCs w:val="27"/>
          <w:highlight w:val="none"/>
        </w:rPr>
        <w:t>4. 投标</w:t>
      </w:r>
      <w:bookmarkEnd w:id="65"/>
      <w:bookmarkEnd w:id="66"/>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4.1投标文件的密封和标识</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4.1.1投标文件的正本与副本应分开包装，加贴封条，并在封套的封口处加盖投标人单位章。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4.1.2投标文件的封套上除应清楚标记“正本”或“副本”字样外，封套还应写明以下内容：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（1）所投标段名称和合同编号；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（2）招标人的名称和通讯地址；</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（3）投标人的名称和通讯地址，并加盖单位公章。（投标人以联合体形式时，须注明联合体名称，联合体牵头人的名称、地址，加盖联合体牵头人单位公章）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（4）“在投标截止时间之前不得拆封”的声明。</w:t>
      </w:r>
    </w:p>
    <w:p>
      <w:pPr>
        <w:spacing w:line="400" w:lineRule="exact"/>
        <w:ind w:firstLine="420" w:firstLineChars="200"/>
        <w:rPr>
          <w:color w:val="000000"/>
          <w:highlight w:val="none"/>
        </w:rPr>
      </w:pPr>
      <w:r>
        <w:rPr>
          <w:rFonts w:hint="eastAsia" w:ascii="宋体" w:hAnsi="宋体"/>
          <w:color w:val="000000"/>
          <w:szCs w:val="21"/>
          <w:highlight w:val="none"/>
        </w:rPr>
        <w:t>4.1.3</w:t>
      </w:r>
      <w:r>
        <w:rPr>
          <w:rFonts w:hint="eastAsia"/>
          <w:color w:val="000000"/>
          <w:highlight w:val="none"/>
        </w:rPr>
        <w:t xml:space="preserve"> 未按本章第4.1.1项或第4.1.2项要求密封和加写标记的投标文件，招标人不予受理。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4.2投标文件的递交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4.2.1 投标人应在本章第2.2.2项规定的投标截止时间前递交投标文件。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4.2.2 投标人递交投标文件的地点：见投标人须知前附表。</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4.2.3 除投标人须知前附表另有规定外，投标人所递交的投标文件不予退还。</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4.2.4 招标人收到投标文件后，向投标人出具签收凭证。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4.2.5 逾期送达的或者未送达指定地点的投标文件，招标人不予受理。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4.3 投标文件的修改与撤回</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4.3.1 在本章第2.2.2项规定的投标截止时间前，投标人可以修改或撤回已递交的投标文件，但应以书面形式通知招标人。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4.3.2 投标人修改或撤回已递交投标文件的书面通知应按照本章第3.7.3项的要求签字或盖章。招标人收到书面通知后，向投标人出具签收凭证。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4.3.3 修改的内容为投标文件的组成部分。修改的投标文件应按照本章第3条、第4条规定进行编制、密封、标记和递交，并标明“修改”字样。</w:t>
      </w:r>
    </w:p>
    <w:p>
      <w:pPr>
        <w:pStyle w:val="4"/>
        <w:spacing w:line="400" w:lineRule="exact"/>
        <w:rPr>
          <w:color w:val="000000"/>
          <w:sz w:val="27"/>
          <w:szCs w:val="27"/>
          <w:highlight w:val="none"/>
        </w:rPr>
      </w:pPr>
      <w:bookmarkStart w:id="67" w:name="_Toc49869971"/>
      <w:bookmarkStart w:id="68" w:name="_Toc6325"/>
      <w:r>
        <w:rPr>
          <w:rFonts w:hint="eastAsia"/>
          <w:color w:val="000000"/>
          <w:sz w:val="27"/>
          <w:szCs w:val="27"/>
          <w:highlight w:val="none"/>
        </w:rPr>
        <w:t>5. 开标</w:t>
      </w:r>
      <w:bookmarkEnd w:id="67"/>
      <w:bookmarkEnd w:id="68"/>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5.1开标时间和地点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本章第1.10.3款规定的投标截止时间（开标时间）和投标人须知前附表规定的地点公开开标，并邀请所有投标人的法定代表人或其委托代理人准时参加。投标人的法定代表人或其委托代理人未参加开标会的，招标人可将其投标文件按无效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5.2开标程序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主持人按下列程序进行开标：</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（1）宣布开标纪律；</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（2）公布在投标截止时间前递交投标文件的投标人名称，并确认投标人法定代表人或其委托代理人是否在场；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（3）宣布主持人、开标人、唱标人、记录人、监标人等有关人员姓名；</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（4）除投标人须知前附表另有约定外，由投标人推荐的代表检查投标文件的密封情况；</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（5）宣布投标文件开启顺序：按递交投标文件的先后顺序的逆序；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（6）设有标底的，公布标底；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（7）按照宣布的开标顺序当众开标，公布投标人名称、标段名称、投标保证金的递交情况、投标报价、质量目标、工期及其它招标文件规定开标时公布的内容，并进行文字记录；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（8）主持人、开标人、唱标人、记录人、监标人、投标人的法定代表人或其委托代理人等有关人员在开标记录上签字确认；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（9）开标结束。</w:t>
      </w:r>
    </w:p>
    <w:p>
      <w:pPr>
        <w:pStyle w:val="4"/>
        <w:spacing w:line="400" w:lineRule="exact"/>
        <w:rPr>
          <w:color w:val="000000"/>
          <w:sz w:val="27"/>
          <w:szCs w:val="27"/>
          <w:highlight w:val="none"/>
        </w:rPr>
      </w:pPr>
      <w:bookmarkStart w:id="69" w:name="_Toc49869972"/>
      <w:bookmarkStart w:id="70" w:name="_Toc19890"/>
      <w:r>
        <w:rPr>
          <w:rFonts w:hint="eastAsia"/>
          <w:color w:val="000000"/>
          <w:sz w:val="27"/>
          <w:szCs w:val="27"/>
          <w:highlight w:val="none"/>
        </w:rPr>
        <w:t>6. 评标</w:t>
      </w:r>
      <w:bookmarkEnd w:id="69"/>
      <w:bookmarkEnd w:id="7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6.1 评标委员会</w:t>
      </w:r>
    </w:p>
    <w:p>
      <w:pPr>
        <w:spacing w:line="400" w:lineRule="exact"/>
        <w:ind w:firstLine="420" w:firstLineChars="200"/>
        <w:rPr>
          <w:color w:val="000000"/>
          <w:highlight w:val="none"/>
        </w:rPr>
      </w:pPr>
      <w:r>
        <w:rPr>
          <w:rFonts w:hint="eastAsia"/>
          <w:color w:val="000000"/>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color w:val="000000"/>
          <w:highlight w:val="none"/>
        </w:rPr>
      </w:pPr>
      <w:r>
        <w:rPr>
          <w:rFonts w:hint="eastAsia"/>
          <w:color w:val="000000"/>
          <w:highlight w:val="none"/>
        </w:rPr>
        <w:t>6.1.2 评标委员会成员有下列情形之一的，应当回避：</w:t>
      </w:r>
    </w:p>
    <w:p>
      <w:pPr>
        <w:spacing w:line="400" w:lineRule="exact"/>
        <w:ind w:firstLine="718" w:firstLineChars="342"/>
        <w:rPr>
          <w:color w:val="000000"/>
          <w:highlight w:val="none"/>
        </w:rPr>
      </w:pPr>
      <w:r>
        <w:rPr>
          <w:rFonts w:hint="eastAsia"/>
          <w:color w:val="000000"/>
          <w:highlight w:val="none"/>
        </w:rPr>
        <w:t>（1）招标人或投标人的主要负责人的近亲属；</w:t>
      </w:r>
    </w:p>
    <w:p>
      <w:pPr>
        <w:spacing w:line="400" w:lineRule="exact"/>
        <w:ind w:firstLine="718" w:firstLineChars="342"/>
        <w:rPr>
          <w:color w:val="000000"/>
          <w:highlight w:val="none"/>
        </w:rPr>
      </w:pPr>
      <w:r>
        <w:rPr>
          <w:rFonts w:hint="eastAsia"/>
          <w:color w:val="000000"/>
          <w:highlight w:val="none"/>
        </w:rPr>
        <w:t>（2）项目主管部门或者行政监督部门的人员；</w:t>
      </w:r>
    </w:p>
    <w:p>
      <w:pPr>
        <w:spacing w:line="400" w:lineRule="exact"/>
        <w:ind w:firstLine="718" w:firstLineChars="342"/>
        <w:rPr>
          <w:color w:val="000000"/>
          <w:highlight w:val="none"/>
        </w:rPr>
      </w:pPr>
      <w:r>
        <w:rPr>
          <w:rFonts w:hint="eastAsia"/>
          <w:color w:val="000000"/>
          <w:highlight w:val="none"/>
        </w:rPr>
        <w:t>（3）与投标人有经济利益关系，可能影响对投标公正评审的；</w:t>
      </w:r>
    </w:p>
    <w:p>
      <w:pPr>
        <w:spacing w:line="400" w:lineRule="exact"/>
        <w:ind w:firstLine="718" w:firstLineChars="342"/>
        <w:rPr>
          <w:color w:val="000000"/>
          <w:highlight w:val="none"/>
        </w:rPr>
      </w:pPr>
      <w:r>
        <w:rPr>
          <w:rFonts w:hint="eastAsia"/>
          <w:color w:val="000000"/>
          <w:highlight w:val="none"/>
        </w:rPr>
        <w:t>（4）曾因在招标、评标以及其他与招标投标有关活动中从事违法行为而受过行政处罚或刑事处罚的。</w:t>
      </w:r>
    </w:p>
    <w:p>
      <w:pPr>
        <w:spacing w:line="400" w:lineRule="exact"/>
        <w:rPr>
          <w:rFonts w:eastAsia="黑体" w:cs="宋体"/>
          <w:color w:val="000000"/>
          <w:sz w:val="24"/>
          <w:szCs w:val="20"/>
          <w:highlight w:val="none"/>
        </w:rPr>
      </w:pPr>
      <w:r>
        <w:rPr>
          <w:rFonts w:hint="eastAsia" w:ascii="宋体" w:hAnsi="宋体"/>
          <w:b/>
          <w:color w:val="000000"/>
          <w:sz w:val="23"/>
          <w:szCs w:val="23"/>
          <w:highlight w:val="none"/>
        </w:rPr>
        <w:t>6.2 评标原则</w:t>
      </w:r>
      <w:r>
        <w:rPr>
          <w:rFonts w:eastAsia="黑体" w:cs="宋体"/>
          <w:color w:val="000000"/>
          <w:sz w:val="24"/>
          <w:szCs w:val="20"/>
          <w:highlight w:val="none"/>
        </w:rPr>
        <w:tab/>
      </w:r>
    </w:p>
    <w:p>
      <w:pPr>
        <w:spacing w:line="400" w:lineRule="exact"/>
        <w:ind w:firstLine="420" w:firstLineChars="200"/>
        <w:rPr>
          <w:color w:val="000000"/>
          <w:highlight w:val="none"/>
        </w:rPr>
      </w:pPr>
      <w:r>
        <w:rPr>
          <w:rFonts w:hint="eastAsia"/>
          <w:color w:val="000000"/>
          <w:highlight w:val="none"/>
        </w:rPr>
        <w:t>评标活动遵循公平、公正、科学和择优的原则。</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6.3 评标</w:t>
      </w:r>
    </w:p>
    <w:p>
      <w:pPr>
        <w:spacing w:line="400" w:lineRule="exact"/>
        <w:ind w:firstLine="420" w:firstLineChars="200"/>
        <w:rPr>
          <w:color w:val="000000"/>
          <w:highlight w:val="none"/>
        </w:rPr>
      </w:pPr>
      <w:r>
        <w:rPr>
          <w:rFonts w:hint="eastAsia"/>
          <w:color w:val="000000"/>
          <w:highlight w:val="none"/>
        </w:rPr>
        <w:t>评标委员会按照第三章“评标办法”规定的方法、评审因素、标准和程序对投标文件进行评审。第三章“评标办法”没有规定的方法、评审因素和标准，不作为评标依据。</w:t>
      </w:r>
    </w:p>
    <w:p>
      <w:pPr>
        <w:rPr>
          <w:highlight w:val="none"/>
        </w:rPr>
      </w:pPr>
      <w:bookmarkStart w:id="71" w:name="EB235ffab3ae6e450dbbb4cb9b8d40365e"/>
      <w:bookmarkEnd w:id="71"/>
      <w:bookmarkStart w:id="72" w:name="EBf3f57808d74446d8814b91158cc1a078"/>
      <w:bookmarkEnd w:id="72"/>
      <w:bookmarkStart w:id="73" w:name="EB20c135173e0a4e79a5c3424320b49d32"/>
      <w:bookmarkEnd w:id="73"/>
    </w:p>
    <w:p>
      <w:pPr>
        <w:pStyle w:val="4"/>
        <w:spacing w:line="400" w:lineRule="exact"/>
        <w:rPr>
          <w:color w:val="000000"/>
          <w:sz w:val="27"/>
          <w:szCs w:val="27"/>
          <w:highlight w:val="none"/>
        </w:rPr>
      </w:pPr>
      <w:bookmarkStart w:id="74" w:name="_Toc49869973"/>
      <w:bookmarkStart w:id="75" w:name="_Toc1804"/>
      <w:r>
        <w:rPr>
          <w:rFonts w:hint="eastAsia"/>
          <w:color w:val="000000"/>
          <w:sz w:val="27"/>
          <w:szCs w:val="27"/>
          <w:highlight w:val="none"/>
        </w:rPr>
        <w:t>7. 合同授予</w:t>
      </w:r>
      <w:bookmarkEnd w:id="74"/>
      <w:bookmarkEnd w:id="7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7.1定标方式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评标委员会推荐3名中标候选人,并标明排列顺序。招标人依据评标委员会推荐的中标候选人确定中标人。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7.2 中标通知</w:t>
      </w:r>
    </w:p>
    <w:p>
      <w:pPr>
        <w:spacing w:line="400" w:lineRule="exact"/>
        <w:ind w:firstLine="420" w:firstLineChars="200"/>
        <w:rPr>
          <w:color w:val="000000"/>
          <w:highlight w:val="none"/>
        </w:rPr>
      </w:pPr>
      <w:r>
        <w:rPr>
          <w:rFonts w:hint="eastAsia"/>
          <w:color w:val="000000"/>
          <w:highlight w:val="none"/>
        </w:rPr>
        <w:t>在本章第3.3款规定的投标有效期内，招标人以书面形式向中标人发出中标通知书，同时将中标结果通知未中标的投标人。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7.3 履约担保</w:t>
      </w:r>
    </w:p>
    <w:p>
      <w:pPr>
        <w:spacing w:line="400" w:lineRule="exact"/>
        <w:ind w:firstLine="420" w:firstLineChars="200"/>
        <w:rPr>
          <w:color w:val="000000"/>
          <w:highlight w:val="none"/>
        </w:rPr>
      </w:pPr>
      <w:r>
        <w:rPr>
          <w:rFonts w:hint="eastAsia"/>
          <w:color w:val="000000"/>
          <w:highlight w:val="none"/>
        </w:rPr>
        <w:t>7.3.1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ind w:firstLine="420" w:firstLineChars="200"/>
        <w:rPr>
          <w:color w:val="000000"/>
          <w:highlight w:val="none"/>
        </w:rPr>
      </w:pPr>
      <w:r>
        <w:rPr>
          <w:rFonts w:hint="eastAsia"/>
          <w:color w:val="000000"/>
          <w:highlight w:val="none"/>
        </w:rPr>
        <w:t>7.3.2 中标人不能按本章第7.3.1项要求提交履约担保的，视为放弃中标，其投标保证金不予退还，给招标人造成的损失超过投标保证金数额的，中标人还应当对超过部分予以赔偿。</w:t>
      </w:r>
    </w:p>
    <w:p>
      <w:pPr>
        <w:spacing w:line="400" w:lineRule="exact"/>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7.4签订合同</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 xml:space="preserve">7.4.2 发出中标通知书后，招标人无正当理由拒签合同的，招标人向中标人退还投标保证金，并按投标保证金双倍的金额赔偿投标人损失。 </w:t>
      </w:r>
    </w:p>
    <w:p>
      <w:pPr>
        <w:rPr>
          <w:color w:val="000080"/>
          <w:sz w:val="20"/>
          <w:highlight w:val="none"/>
        </w:rPr>
      </w:pPr>
      <w:bookmarkStart w:id="76" w:name="EBf5e503ee239a4d8890779214d4e2b2f3"/>
      <w:bookmarkEnd w:id="76"/>
      <w:bookmarkStart w:id="77" w:name="EBeddac0cefa83434f84e442cc333d8bf0"/>
      <w:bookmarkEnd w:id="77"/>
      <w:bookmarkStart w:id="78" w:name="EB61608d79d00244a38716ac1fcb0b5dc5"/>
      <w:bookmarkEnd w:id="78"/>
    </w:p>
    <w:p>
      <w:pPr>
        <w:pStyle w:val="4"/>
        <w:spacing w:line="400" w:lineRule="exact"/>
        <w:rPr>
          <w:color w:val="000000"/>
          <w:sz w:val="27"/>
          <w:szCs w:val="27"/>
          <w:highlight w:val="none"/>
        </w:rPr>
      </w:pPr>
      <w:bookmarkStart w:id="79" w:name="_Toc49869974"/>
      <w:bookmarkStart w:id="80" w:name="_Toc6650"/>
      <w:r>
        <w:rPr>
          <w:rFonts w:hint="eastAsia"/>
          <w:color w:val="000000"/>
          <w:sz w:val="27"/>
          <w:szCs w:val="27"/>
          <w:highlight w:val="none"/>
        </w:rPr>
        <w:t>8. 重新招标或经批准不招标</w:t>
      </w:r>
      <w:bookmarkEnd w:id="79"/>
      <w:bookmarkEnd w:id="8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8.1重新招标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有下列情形之一的，招标人将重新招标；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（1）投标截止时间止，投标人少于3个的；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（2）经评标委员会评审后否决所有投标的；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（3）评标委员会否决不合格投标或者界定为废标后因有效投标不足3个使得投标明显缺乏竞争，评标委员会决定否决全部投标的；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（4）同意延长投标有效期的投标人少于3个的；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（5）中标候选人均未与招标人签订合同的。</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8.2不再招标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重新招标后，仍出现本章第8.1条规定情形之一的，属于必须审批的水利工程建设项目，经行政监督部门批准后不再进行招标。</w:t>
      </w:r>
    </w:p>
    <w:p>
      <w:pPr>
        <w:rPr>
          <w:highlight w:val="none"/>
        </w:rPr>
      </w:pPr>
      <w:bookmarkStart w:id="81" w:name="EB97457f9117f245c4baf1a975cab67d98"/>
      <w:bookmarkEnd w:id="81"/>
      <w:bookmarkStart w:id="82" w:name="EBccbe84e21742461ea6faa5dc5a61b346"/>
      <w:bookmarkEnd w:id="82"/>
      <w:bookmarkStart w:id="83" w:name="EB6cf15e3a9a084847b11a0467d3b1b1eb"/>
      <w:bookmarkEnd w:id="83"/>
    </w:p>
    <w:p>
      <w:pPr>
        <w:pStyle w:val="4"/>
        <w:spacing w:line="400" w:lineRule="exact"/>
        <w:rPr>
          <w:color w:val="000000"/>
          <w:sz w:val="27"/>
          <w:szCs w:val="27"/>
          <w:highlight w:val="none"/>
        </w:rPr>
      </w:pPr>
      <w:bookmarkStart w:id="84" w:name="_Toc49869975"/>
      <w:bookmarkStart w:id="85" w:name="_Toc3179"/>
      <w:r>
        <w:rPr>
          <w:rFonts w:hint="eastAsia"/>
          <w:color w:val="000000"/>
          <w:sz w:val="27"/>
          <w:szCs w:val="27"/>
          <w:highlight w:val="none"/>
        </w:rPr>
        <w:t>9. 纪律和监督</w:t>
      </w:r>
      <w:bookmarkEnd w:id="84"/>
      <w:bookmarkEnd w:id="8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9.1对招标人的纪律要求</w:t>
      </w:r>
    </w:p>
    <w:p>
      <w:pPr>
        <w:spacing w:line="400" w:lineRule="exact"/>
        <w:ind w:right="248" w:firstLine="462" w:firstLineChars="200"/>
        <w:rPr>
          <w:rFonts w:ascii="宋体" w:hAnsi="宋体"/>
          <w:color w:val="000000"/>
          <w:szCs w:val="21"/>
          <w:highlight w:val="none"/>
        </w:rPr>
      </w:pPr>
      <w:r>
        <w:rPr>
          <w:rFonts w:hint="eastAsia" w:ascii="宋体" w:hAnsi="宋体"/>
          <w:b/>
          <w:color w:val="000000"/>
          <w:sz w:val="23"/>
          <w:szCs w:val="23"/>
          <w:highlight w:val="none"/>
        </w:rPr>
        <w:t xml:space="preserve"> </w:t>
      </w:r>
      <w:r>
        <w:rPr>
          <w:rFonts w:hint="eastAsia" w:ascii="宋体" w:hAnsi="宋体"/>
          <w:color w:val="000000"/>
          <w:szCs w:val="21"/>
          <w:highlight w:val="none"/>
        </w:rPr>
        <w:t>招标人不得泄露招标投标活动中应当保密的情况和资料，不得与投标人串通损害国家利益、社会公共利益或者他人合法利益。</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下列行为均属招标人与投标串通投标：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（1）招标人在开标前开启投标文件，并将投标情况告知其他投标人，或者协助投标人撤换投标文件，更改报价；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（2）招标人向投标人泄露标底；</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（3）招标人与投标人商定，投标时压低或抬高标价，中标后再给投标人或招标人额外补偿；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（4）招标人预先内定中标人；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（5）其他串通投标行为。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9.2对投标人的纪律要求</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9.2.1下列行为均属以他人名义投标：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（1）投标人挂靠其他施工单位；</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（2）投标人从其他施工单位通过转让或租借的方式获取资格或资质证书；</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（3）由其他单位及法定代表人在自己编制的投标文件上加盖印章和签字的行为。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9.2.2下列行为，视为允许他人以本单位名义承揽工程：</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（1）投标人的法定代表人的委托代理人不是投标人本单位人员；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（2）投标人拟在施工现场所设项目管理机构的项目负责人、技术负责人、财务负责人、质量管理人员、安全管理人员（专职安全生产管理人员）不是本单位人员。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投标人本单位人员，必须同时满足以下条件：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（1）聘任合同必须由投标人单位与之签订；</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（2）与投标人单位有合法的工资关系；</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（3）投标人单位为其办理社会保险关系，或具有其他有效证明其为本单位人员身份的文件。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9.2.3下列行为均属投标人串通投标报价：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（1）投标人之间相互约定抬高或压低投标报价；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（2）投标人之间相互约定，在招标项目中分别以高、中、低价位报价；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（3）投标人之间先进行内部总价，内定中标人，然后再参加投标；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（4）投标人之间其他串通投标报价的行为。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9.3 对评标委员会成员的纪律要求</w:t>
      </w:r>
    </w:p>
    <w:p>
      <w:pPr>
        <w:spacing w:line="400" w:lineRule="exact"/>
        <w:ind w:firstLine="420" w:firstLineChars="200"/>
        <w:rPr>
          <w:color w:val="000000"/>
          <w:highlight w:val="none"/>
        </w:rPr>
      </w:pPr>
      <w:r>
        <w:rPr>
          <w:rFonts w:hint="eastAsia"/>
          <w:color w:val="000000"/>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9.4 对与评标活动有关的工作人员的纪律要求</w:t>
      </w:r>
    </w:p>
    <w:p>
      <w:pPr>
        <w:spacing w:line="400" w:lineRule="exact"/>
        <w:ind w:firstLine="420" w:firstLineChars="200"/>
        <w:rPr>
          <w:color w:val="000000"/>
          <w:highlight w:val="none"/>
        </w:rPr>
      </w:pPr>
      <w:r>
        <w:rPr>
          <w:rFonts w:hint="eastAsia"/>
          <w:color w:val="000000"/>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9.5 投诉</w:t>
      </w:r>
    </w:p>
    <w:p>
      <w:pPr>
        <w:spacing w:line="400" w:lineRule="exact"/>
        <w:ind w:firstLine="420" w:firstLineChars="200"/>
        <w:rPr>
          <w:color w:val="000000"/>
          <w:highlight w:val="none"/>
        </w:rPr>
      </w:pPr>
      <w:r>
        <w:rPr>
          <w:rFonts w:hint="eastAsia"/>
          <w:color w:val="000000"/>
          <w:highlight w:val="none"/>
        </w:rPr>
        <w:t>投标人和其他利害关系人认为本次招标活动违反法律、法规和规章规定的，有权向有关行政监督部门投诉。</w:t>
      </w:r>
    </w:p>
    <w:p>
      <w:pPr>
        <w:rPr>
          <w:highlight w:val="none"/>
        </w:rPr>
      </w:pPr>
      <w:bookmarkStart w:id="86" w:name="EB9cf5b5d6d416416da9992d329d5dcdec"/>
      <w:bookmarkEnd w:id="86"/>
      <w:bookmarkStart w:id="87" w:name="EBf348121a845a4fb988a822a13002902c"/>
      <w:bookmarkEnd w:id="87"/>
      <w:bookmarkStart w:id="88" w:name="EB84b155ad07d04a3b9bb115bc408c6af1"/>
      <w:bookmarkEnd w:id="88"/>
    </w:p>
    <w:p>
      <w:pPr>
        <w:pStyle w:val="4"/>
        <w:spacing w:line="400" w:lineRule="exact"/>
        <w:rPr>
          <w:color w:val="000000"/>
          <w:sz w:val="27"/>
          <w:szCs w:val="27"/>
          <w:highlight w:val="none"/>
        </w:rPr>
      </w:pPr>
      <w:bookmarkStart w:id="89" w:name="_Toc49869976"/>
      <w:bookmarkStart w:id="90" w:name="_Toc15063"/>
      <w:r>
        <w:rPr>
          <w:rFonts w:hint="eastAsia"/>
          <w:color w:val="000000"/>
          <w:sz w:val="27"/>
          <w:szCs w:val="27"/>
          <w:highlight w:val="none"/>
        </w:rPr>
        <w:t>10需要补充的其他内容</w:t>
      </w:r>
      <w:bookmarkEnd w:id="89"/>
      <w:bookmarkEnd w:id="90"/>
    </w:p>
    <w:p>
      <w:pPr>
        <w:spacing w:line="400" w:lineRule="exact"/>
        <w:ind w:firstLine="420" w:firstLineChars="200"/>
        <w:rPr>
          <w:color w:val="000000"/>
          <w:highlight w:val="none"/>
        </w:rPr>
      </w:pPr>
      <w:r>
        <w:rPr>
          <w:rFonts w:hint="eastAsia"/>
          <w:color w:val="000000"/>
          <w:highlight w:val="none"/>
        </w:rPr>
        <w:t>需要补充的其他内容：见投标人须知前附表。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10.1类似项目</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类似项目的要求见投标人须知前附表。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10.2已标价工程量清单电子版</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投标人递交投标文件时，应同时提交已标价工程量清单电子版，份数及格式见投标人须知前附表。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10.3原件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招标人须知前附表要求投标人递交原件的，投标人应在递交投标文件时按第8章投标文件格式中“十、原件的复印件”所列清单提交原件。原件经查验后退回投标人。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10.4中标人的投标文件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中标人须在签订合同前向招标人另行提交投标人须知前附表规定份数的投标文件副本。</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ind w:firstLine="2300" w:firstLineChars="1150"/>
        <w:rPr>
          <w:color w:val="000000"/>
          <w:sz w:val="20"/>
          <w:szCs w:val="20"/>
          <w:highlight w:val="none"/>
        </w:rPr>
      </w:pPr>
    </w:p>
    <w:p>
      <w:pPr>
        <w:pStyle w:val="4"/>
        <w:spacing w:line="400" w:lineRule="exact"/>
        <w:rPr>
          <w:color w:val="000000"/>
          <w:sz w:val="27"/>
          <w:szCs w:val="27"/>
          <w:highlight w:val="none"/>
        </w:rPr>
      </w:pPr>
      <w:bookmarkStart w:id="91" w:name="_Toc49869977"/>
    </w:p>
    <w:p>
      <w:pPr>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highlight w:val="none"/>
        </w:rPr>
      </w:pPr>
    </w:p>
    <w:p>
      <w:pPr>
        <w:rPr>
          <w:color w:val="000000"/>
          <w:sz w:val="27"/>
          <w:szCs w:val="27"/>
          <w:highlight w:val="none"/>
        </w:rPr>
      </w:pPr>
    </w:p>
    <w:p>
      <w:pPr>
        <w:rPr>
          <w:color w:val="000000"/>
          <w:sz w:val="27"/>
          <w:szCs w:val="27"/>
          <w:highlight w:val="none"/>
        </w:rPr>
      </w:pPr>
    </w:p>
    <w:p>
      <w:pPr>
        <w:pStyle w:val="16"/>
        <w:rPr>
          <w:highlight w:val="none"/>
        </w:rPr>
      </w:pPr>
    </w:p>
    <w:p>
      <w:pPr>
        <w:pStyle w:val="4"/>
        <w:spacing w:line="400" w:lineRule="exact"/>
        <w:rPr>
          <w:rFonts w:ascii="黑体" w:hAnsi="黑体"/>
          <w:color w:val="000000"/>
          <w:sz w:val="27"/>
          <w:szCs w:val="27"/>
          <w:highlight w:val="none"/>
        </w:rPr>
      </w:pPr>
      <w:bookmarkStart w:id="92" w:name="_Toc18441"/>
      <w:r>
        <w:rPr>
          <w:rFonts w:hint="eastAsia"/>
          <w:color w:val="000000"/>
          <w:sz w:val="27"/>
          <w:szCs w:val="27"/>
          <w:highlight w:val="none"/>
        </w:rPr>
        <w:t>附表一：招标文件澄清申请函（格式）</w:t>
      </w:r>
      <w:bookmarkEnd w:id="91"/>
      <w:bookmarkEnd w:id="92"/>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招标文件澄清申请函（格式）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420" w:firstLineChars="200"/>
        <w:rPr>
          <w:color w:val="000000"/>
          <w:szCs w:val="21"/>
          <w:highlight w:val="none"/>
        </w:rPr>
      </w:pPr>
      <w:r>
        <w:rPr>
          <w:rFonts w:hint="eastAsia"/>
          <w:color w:val="000000"/>
          <w:szCs w:val="21"/>
          <w:highlight w:val="none"/>
        </w:rPr>
        <w:t xml:space="preserve">经过仔细阅读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标段名称</w:t>
      </w:r>
      <w:r>
        <w:rPr>
          <w:rFonts w:hint="eastAsia"/>
          <w:color w:val="000000"/>
          <w:szCs w:val="21"/>
          <w:highlight w:val="none"/>
        </w:rPr>
        <w:t>）招标文件后，我方申请对以下问题予以澄清：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w:t>
      </w: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ind w:firstLine="6615" w:firstLineChars="3150"/>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注:投标人要求招标人澄清招标文件有关问题时，适用于本格式。</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4"/>
        <w:spacing w:line="400" w:lineRule="exact"/>
        <w:rPr>
          <w:color w:val="000000"/>
          <w:sz w:val="27"/>
          <w:szCs w:val="27"/>
          <w:highlight w:val="none"/>
        </w:rPr>
      </w:pPr>
      <w:bookmarkStart w:id="93" w:name="_Toc49869978"/>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4"/>
        <w:spacing w:line="400" w:lineRule="exact"/>
        <w:rPr>
          <w:color w:val="000000"/>
          <w:sz w:val="27"/>
          <w:szCs w:val="27"/>
          <w:highlight w:val="none"/>
        </w:rPr>
      </w:pPr>
      <w:bookmarkStart w:id="94" w:name="_Toc6662"/>
      <w:r>
        <w:rPr>
          <w:rFonts w:hint="eastAsia"/>
          <w:color w:val="000000"/>
          <w:sz w:val="27"/>
          <w:szCs w:val="27"/>
          <w:highlight w:val="none"/>
        </w:rPr>
        <w:t>附表二：招标文件澄清通知（格式）</w:t>
      </w:r>
      <w:bookmarkEnd w:id="93"/>
      <w:bookmarkEnd w:id="94"/>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w:t>
      </w:r>
      <w:r>
        <w:rPr>
          <w:rFonts w:hint="eastAsia"/>
          <w:color w:val="000000"/>
          <w:szCs w:val="21"/>
          <w:highlight w:val="none"/>
        </w:rPr>
        <w:t>）招标文件，作如下澄清：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u w:val="singl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注:招标人对招标文件澄清时，适用于本格式。招标人可根据需要将附件二与附件三内容合并发出。</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highlight w:val="non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5" w:name="_Toc49869979"/>
      <w:bookmarkStart w:id="96" w:name="_Toc11907"/>
      <w:r>
        <w:rPr>
          <w:rFonts w:hint="eastAsia"/>
          <w:color w:val="000000"/>
          <w:sz w:val="27"/>
          <w:szCs w:val="27"/>
          <w:highlight w:val="none"/>
        </w:rPr>
        <w:t>附表三：招标文件修改通知（格式）</w:t>
      </w:r>
      <w:bookmarkEnd w:id="95"/>
      <w:bookmarkEnd w:id="96"/>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招标文件修改通知（格式）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 ）</w:t>
      </w:r>
      <w:r>
        <w:rPr>
          <w:rFonts w:hint="eastAsia"/>
          <w:color w:val="000000"/>
          <w:szCs w:val="21"/>
          <w:highlight w:val="none"/>
        </w:rPr>
        <w:t>招标文件，作如下修改：</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735" w:firstLineChars="350"/>
        <w:rPr>
          <w:color w:val="000000"/>
          <w:szCs w:val="21"/>
          <w:highlight w:val="none"/>
        </w:rPr>
      </w:pPr>
      <w:r>
        <w:rPr>
          <w:rFonts w:hint="eastAsia"/>
          <w:color w:val="000000"/>
          <w:szCs w:val="21"/>
          <w:highlight w:val="none"/>
        </w:rPr>
        <w:t>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670" w:firstLineChars="2700"/>
        <w:rPr>
          <w:color w:val="000000"/>
          <w:szCs w:val="21"/>
          <w:highlight w:val="non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rPr>
          <w:rFonts w:ascii="宋体" w:hAnsi="宋体" w:cs="宋体"/>
          <w:color w:val="000000"/>
          <w:szCs w:val="21"/>
          <w:highlight w:val="none"/>
        </w:rPr>
      </w:pPr>
    </w:p>
    <w:p>
      <w:pPr>
        <w:spacing w:line="400" w:lineRule="exact"/>
        <w:rPr>
          <w:rFonts w:ascii="宋体" w:hAnsi="宋体" w:cs="宋体"/>
          <w:color w:val="000000"/>
          <w:szCs w:val="21"/>
          <w:highlight w:val="none"/>
        </w:rPr>
      </w:pPr>
    </w:p>
    <w:p>
      <w:pPr>
        <w:spacing w:line="400" w:lineRule="exact"/>
        <w:rPr>
          <w:rFonts w:ascii="华文仿宋" w:hAnsi="华文仿宋" w:eastAsia="华文仿宋"/>
          <w:color w:val="000000"/>
          <w:szCs w:val="21"/>
          <w:highlight w:val="none"/>
        </w:rPr>
      </w:pPr>
      <w:r>
        <w:rPr>
          <w:rFonts w:hint="eastAsia" w:ascii="宋体" w:hAnsi="宋体" w:cs="宋体"/>
          <w:color w:val="000000"/>
          <w:szCs w:val="21"/>
          <w:highlight w:val="none"/>
        </w:rPr>
        <w:t>注:招标人对招标文件修改时，适用于本格式</w:t>
      </w:r>
      <w:r>
        <w:rPr>
          <w:rFonts w:hint="eastAsia" w:ascii="华文仿宋" w:hAnsi="华文仿宋" w:eastAsia="华文仿宋"/>
          <w:color w:val="000000"/>
          <w:szCs w:val="21"/>
          <w:highlight w:val="none"/>
        </w:rPr>
        <w:t xml:space="preserve">。 </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97" w:name="_Toc49869980"/>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highlight w:val="none"/>
        </w:rPr>
      </w:pPr>
    </w:p>
    <w:p>
      <w:pPr>
        <w:rPr>
          <w:highlight w:val="none"/>
        </w:rPr>
      </w:pPr>
    </w:p>
    <w:p>
      <w:pPr>
        <w:rPr>
          <w:highlight w:val="none"/>
        </w:rPr>
      </w:pPr>
    </w:p>
    <w:p>
      <w:pPr>
        <w:pStyle w:val="4"/>
        <w:spacing w:line="400" w:lineRule="exact"/>
        <w:rPr>
          <w:color w:val="000000"/>
          <w:sz w:val="27"/>
          <w:szCs w:val="27"/>
          <w:highlight w:val="none"/>
        </w:rPr>
      </w:pPr>
      <w:bookmarkStart w:id="98" w:name="_Toc11296"/>
      <w:r>
        <w:rPr>
          <w:rFonts w:hint="eastAsia"/>
          <w:color w:val="000000"/>
          <w:sz w:val="27"/>
          <w:szCs w:val="27"/>
          <w:highlight w:val="none"/>
        </w:rPr>
        <w:t>附表四：招标文件澄清通知、修改通知确认函（格式）</w:t>
      </w:r>
      <w:bookmarkEnd w:id="97"/>
      <w:bookmarkEnd w:id="98"/>
    </w:p>
    <w:p>
      <w:pPr>
        <w:spacing w:line="400" w:lineRule="exact"/>
        <w:rPr>
          <w:color w:val="000000"/>
          <w:sz w:val="20"/>
          <w:szCs w:val="20"/>
          <w:highlight w:val="none"/>
        </w:rPr>
      </w:pPr>
    </w:p>
    <w:p>
      <w:pPr>
        <w:spacing w:line="400" w:lineRule="exact"/>
        <w:ind w:firstLine="226" w:firstLineChars="98"/>
        <w:jc w:val="center"/>
        <w:rPr>
          <w:b/>
          <w:color w:val="000000"/>
          <w:sz w:val="23"/>
          <w:szCs w:val="23"/>
          <w:highlight w:val="none"/>
        </w:rPr>
      </w:pPr>
      <w:r>
        <w:rPr>
          <w:rFonts w:hint="eastAsia"/>
          <w:b/>
          <w:color w:val="000000"/>
          <w:sz w:val="23"/>
          <w:szCs w:val="23"/>
          <w:highlight w:val="none"/>
        </w:rPr>
        <w:t>招标文件澄清通知、修改通知确认函（格式）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你方</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日发送的</w:t>
      </w:r>
      <w:r>
        <w:rPr>
          <w:rFonts w:hint="eastAsia"/>
          <w:color w:val="000000"/>
          <w:szCs w:val="21"/>
          <w:highlight w:val="none"/>
          <w:u w:val="single"/>
        </w:rPr>
        <w:t xml:space="preserve">          </w:t>
      </w:r>
      <w:r>
        <w:rPr>
          <w:rFonts w:hint="eastAsia"/>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（标段名称）招标文件问题</w:t>
      </w:r>
      <w:r>
        <w:rPr>
          <w:rFonts w:hint="eastAsia"/>
          <w:color w:val="000000"/>
          <w:szCs w:val="21"/>
          <w:highlight w:val="none"/>
          <w:u w:val="single"/>
        </w:rPr>
        <w:t xml:space="preserve">        </w:t>
      </w:r>
      <w:r>
        <w:rPr>
          <w:rFonts w:hint="eastAsia"/>
          <w:color w:val="000000"/>
          <w:szCs w:val="21"/>
          <w:highlight w:val="none"/>
        </w:rPr>
        <w:t>（澄清通知/修改通知），我方已于</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日收到，通知的主要内容如下：</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文件名称及编号</w:t>
      </w:r>
      <w:r>
        <w:rPr>
          <w:rFonts w:hint="eastAsia"/>
          <w:color w:val="000000"/>
          <w:szCs w:val="21"/>
          <w:highlight w:val="none"/>
        </w:rPr>
        <w:t xml:space="preserve">）,共 </w:t>
      </w:r>
      <w:r>
        <w:rPr>
          <w:rFonts w:hint="eastAsia"/>
          <w:color w:val="000000"/>
          <w:szCs w:val="21"/>
          <w:highlight w:val="none"/>
          <w:u w:val="single"/>
        </w:rPr>
        <w:t xml:space="preserve">       </w:t>
      </w:r>
      <w:r>
        <w:rPr>
          <w:rFonts w:hint="eastAsia"/>
          <w:color w:val="000000"/>
          <w:szCs w:val="21"/>
          <w:highlight w:val="none"/>
        </w:rPr>
        <w:t xml:space="preserve"> (</w:t>
      </w:r>
      <w:r>
        <w:rPr>
          <w:rFonts w:hint="eastAsia" w:ascii="仿宋_GB2312" w:eastAsia="仿宋_GB2312"/>
          <w:color w:val="000000"/>
          <w:szCs w:val="21"/>
          <w:highlight w:val="none"/>
        </w:rPr>
        <w:t>页码总数</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条款总数</w:t>
      </w:r>
      <w:r>
        <w:rPr>
          <w:rFonts w:hint="eastAsia"/>
          <w:color w:val="000000"/>
          <w:szCs w:val="21"/>
          <w:highlight w:val="none"/>
        </w:rPr>
        <w:t>)；</w:t>
      </w:r>
    </w:p>
    <w:p>
      <w:pPr>
        <w:spacing w:line="400" w:lineRule="exact"/>
        <w:ind w:firstLine="525" w:firstLineChars="250"/>
        <w:rPr>
          <w:color w:val="000000"/>
          <w:szCs w:val="21"/>
          <w:highlight w:val="none"/>
        </w:rPr>
      </w:pPr>
      <w:r>
        <w:rPr>
          <w:color w:val="000000"/>
          <w:szCs w:val="21"/>
          <w:highlight w:val="none"/>
        </w:rPr>
        <w:t>…</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特此确认。</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460" w:firstLineChars="2600"/>
        <w:rPr>
          <w:color w:val="000000"/>
          <w:szCs w:val="21"/>
          <w:highlight w:val="none"/>
          <w:u w:val="singl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rPr>
          <w:color w:val="000000"/>
          <w:sz w:val="20"/>
          <w:szCs w:val="20"/>
          <w:highlight w:val="none"/>
        </w:rPr>
      </w:pPr>
    </w:p>
    <w:p>
      <w:pPr>
        <w:spacing w:line="400" w:lineRule="exact"/>
        <w:rPr>
          <w:rFonts w:ascii="宋体" w:hAnsi="宋体"/>
          <w:color w:val="000000"/>
          <w:sz w:val="20"/>
          <w:szCs w:val="20"/>
          <w:highlight w:val="none"/>
        </w:rPr>
      </w:pPr>
      <w:r>
        <w:rPr>
          <w:rFonts w:hint="eastAsia" w:ascii="宋体" w:hAnsi="宋体"/>
          <w:color w:val="000000"/>
          <w:sz w:val="20"/>
          <w:szCs w:val="20"/>
          <w:highlight w:val="none"/>
        </w:rPr>
        <w:t>注：收到招标文件澄清通知或修改通知后，投标人向招标人发出确认函时，适用于本格式。</w:t>
      </w: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9" w:name="_Toc49869981"/>
      <w:bookmarkStart w:id="100" w:name="_Toc12987"/>
      <w:r>
        <w:rPr>
          <w:rFonts w:hint="eastAsia"/>
          <w:color w:val="000000"/>
          <w:sz w:val="27"/>
          <w:szCs w:val="27"/>
          <w:highlight w:val="none"/>
        </w:rPr>
        <w:t>附表五：开标记录表（格式）</w:t>
      </w:r>
      <w:bookmarkEnd w:id="99"/>
      <w:bookmarkEnd w:id="100"/>
    </w:p>
    <w:p>
      <w:pPr>
        <w:spacing w:line="400" w:lineRule="exact"/>
        <w:rPr>
          <w:color w:val="000000"/>
          <w:sz w:val="20"/>
          <w:szCs w:val="20"/>
          <w:highlight w:val="none"/>
        </w:rPr>
      </w:pPr>
      <w:r>
        <w:rPr>
          <w:color w:val="000000"/>
          <w:sz w:val="20"/>
          <w:szCs w:val="20"/>
          <w:highlight w:val="none"/>
        </w:rPr>
        <w:t xml:space="preserve">              </w:t>
      </w:r>
    </w:p>
    <w:p>
      <w:pPr>
        <w:spacing w:line="400" w:lineRule="exact"/>
        <w:jc w:val="center"/>
        <w:rPr>
          <w:rFonts w:ascii="黑体" w:eastAsia="黑体"/>
          <w:color w:val="000000"/>
          <w:szCs w:val="21"/>
          <w:highlight w:val="none"/>
        </w:rPr>
      </w:pPr>
      <w:r>
        <w:rPr>
          <w:rFonts w:hint="eastAsia" w:ascii="黑体" w:eastAsia="黑体"/>
          <w:color w:val="000000"/>
          <w:szCs w:val="21"/>
          <w:highlight w:val="none"/>
        </w:rPr>
        <w:t>开标记录表（格式）</w:t>
      </w:r>
    </w:p>
    <w:p>
      <w:pPr>
        <w:spacing w:line="400" w:lineRule="exact"/>
        <w:ind w:firstLine="4200" w:firstLineChars="2000"/>
        <w:rPr>
          <w:color w:val="000000"/>
          <w:szCs w:val="21"/>
          <w:highlight w:val="none"/>
        </w:rPr>
      </w:pPr>
      <w:r>
        <w:rPr>
          <w:rFonts w:hint="eastAsia" w:ascii="黑体" w:eastAsia="黑体"/>
          <w:color w:val="000000"/>
          <w:szCs w:val="21"/>
          <w:highlight w:val="none"/>
          <w:u w:val="single"/>
        </w:rPr>
        <w:t xml:space="preserve">       </w:t>
      </w:r>
      <w:r>
        <w:rPr>
          <w:rFonts w:hint="eastAsia" w:ascii="黑体" w:eastAsia="黑体"/>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p>
    <w:p>
      <w:pPr>
        <w:spacing w:line="400" w:lineRule="exact"/>
        <w:jc w:val="right"/>
        <w:rPr>
          <w:color w:val="000000"/>
          <w:szCs w:val="21"/>
          <w:highlight w:val="none"/>
        </w:rPr>
      </w:pPr>
      <w:r>
        <w:rPr>
          <w:rFonts w:hint="eastAsia"/>
          <w:color w:val="000000"/>
          <w:szCs w:val="21"/>
          <w:highlight w:val="none"/>
        </w:rPr>
        <w:t>开标时间：    年    月    日    时    分</w:t>
      </w:r>
    </w:p>
    <w:tbl>
      <w:tblPr>
        <w:tblStyle w:val="36"/>
        <w:tblW w:w="529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4"/>
        <w:gridCol w:w="835"/>
        <w:gridCol w:w="1045"/>
        <w:gridCol w:w="886"/>
        <w:gridCol w:w="1003"/>
        <w:gridCol w:w="1001"/>
        <w:gridCol w:w="759"/>
        <w:gridCol w:w="666"/>
        <w:gridCol w:w="22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0" w:hRule="atLeast"/>
        </w:trPr>
        <w:tc>
          <w:tcPr>
            <w:tcW w:w="365" w:type="pct"/>
            <w:shd w:val="clear" w:color="000000" w:fill="auto"/>
            <w:vAlign w:val="center"/>
          </w:tcPr>
          <w:p>
            <w:pPr>
              <w:spacing w:line="400" w:lineRule="exact"/>
              <w:jc w:val="center"/>
              <w:rPr>
                <w:b/>
                <w:bCs/>
                <w:color w:val="000000"/>
                <w:szCs w:val="21"/>
                <w:highlight w:val="none"/>
              </w:rPr>
            </w:pPr>
            <w:r>
              <w:rPr>
                <w:b/>
                <w:bCs/>
                <w:color w:val="000000"/>
                <w:szCs w:val="21"/>
                <w:highlight w:val="none"/>
              </w:rPr>
              <w:t>序号</w:t>
            </w:r>
          </w:p>
        </w:tc>
        <w:tc>
          <w:tcPr>
            <w:tcW w:w="459"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投标人</w:t>
            </w:r>
          </w:p>
        </w:tc>
        <w:tc>
          <w:tcPr>
            <w:tcW w:w="573" w:type="pct"/>
            <w:shd w:val="clear" w:color="000000" w:fill="auto"/>
            <w:vAlign w:val="center"/>
          </w:tcPr>
          <w:p>
            <w:pPr>
              <w:spacing w:line="400" w:lineRule="exact"/>
              <w:jc w:val="center"/>
              <w:rPr>
                <w:b/>
                <w:bCs/>
                <w:color w:val="000000"/>
                <w:szCs w:val="21"/>
                <w:highlight w:val="none"/>
              </w:rPr>
            </w:pPr>
            <w:r>
              <w:rPr>
                <w:b/>
                <w:bCs/>
                <w:color w:val="000000"/>
                <w:szCs w:val="21"/>
                <w:highlight w:val="none"/>
              </w:rPr>
              <w:t>密封情况</w:t>
            </w:r>
          </w:p>
        </w:tc>
        <w:tc>
          <w:tcPr>
            <w:tcW w:w="487"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投标保证金</w:t>
            </w:r>
          </w:p>
        </w:tc>
        <w:tc>
          <w:tcPr>
            <w:tcW w:w="551"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投标报价（元）</w:t>
            </w:r>
          </w:p>
        </w:tc>
        <w:tc>
          <w:tcPr>
            <w:tcW w:w="550" w:type="pct"/>
            <w:shd w:val="clear" w:color="000000" w:fill="auto"/>
            <w:vAlign w:val="center"/>
          </w:tcPr>
          <w:p>
            <w:pPr>
              <w:spacing w:line="400" w:lineRule="exact"/>
              <w:jc w:val="center"/>
              <w:rPr>
                <w:b/>
                <w:bCs/>
                <w:color w:val="000000"/>
                <w:szCs w:val="21"/>
                <w:highlight w:val="none"/>
              </w:rPr>
            </w:pPr>
            <w:r>
              <w:rPr>
                <w:b/>
                <w:bCs/>
                <w:color w:val="000000"/>
                <w:szCs w:val="21"/>
                <w:highlight w:val="none"/>
              </w:rPr>
              <w:t>质量目标</w:t>
            </w:r>
          </w:p>
        </w:tc>
        <w:tc>
          <w:tcPr>
            <w:tcW w:w="417" w:type="pct"/>
            <w:shd w:val="clear" w:color="000000" w:fill="auto"/>
            <w:vAlign w:val="center"/>
          </w:tcPr>
          <w:p>
            <w:pPr>
              <w:spacing w:line="400" w:lineRule="exact"/>
              <w:jc w:val="center"/>
              <w:rPr>
                <w:b/>
                <w:bCs/>
                <w:color w:val="000000"/>
                <w:szCs w:val="21"/>
                <w:highlight w:val="none"/>
              </w:rPr>
            </w:pPr>
            <w:r>
              <w:rPr>
                <w:b/>
                <w:bCs/>
                <w:color w:val="000000"/>
                <w:szCs w:val="21"/>
                <w:highlight w:val="none"/>
              </w:rPr>
              <w:t>工期</w:t>
            </w:r>
          </w:p>
        </w:tc>
        <w:tc>
          <w:tcPr>
            <w:tcW w:w="366" w:type="pct"/>
            <w:shd w:val="clear" w:color="000000" w:fill="auto"/>
            <w:vAlign w:val="center"/>
          </w:tcPr>
          <w:p>
            <w:pPr>
              <w:spacing w:line="400" w:lineRule="exact"/>
              <w:jc w:val="center"/>
              <w:rPr>
                <w:b/>
                <w:bCs/>
                <w:color w:val="000000"/>
                <w:szCs w:val="21"/>
                <w:highlight w:val="none"/>
              </w:rPr>
            </w:pPr>
            <w:r>
              <w:rPr>
                <w:b/>
                <w:bCs/>
                <w:color w:val="000000"/>
                <w:szCs w:val="21"/>
                <w:highlight w:val="none"/>
              </w:rPr>
              <w:t>备注</w:t>
            </w:r>
          </w:p>
        </w:tc>
        <w:tc>
          <w:tcPr>
            <w:tcW w:w="1232" w:type="pct"/>
            <w:shd w:val="clear" w:color="000000" w:fill="auto"/>
            <w:vAlign w:val="center"/>
          </w:tcPr>
          <w:p>
            <w:pPr>
              <w:spacing w:line="400" w:lineRule="exact"/>
              <w:jc w:val="center"/>
              <w:rPr>
                <w:b/>
                <w:bCs/>
                <w:color w:val="000000"/>
                <w:szCs w:val="21"/>
                <w:highlight w:val="none"/>
              </w:rPr>
            </w:pPr>
            <w:r>
              <w:rPr>
                <w:rFonts w:hint="eastAsia"/>
                <w:b/>
                <w:bCs/>
                <w:color w:val="000000"/>
                <w:szCs w:val="21"/>
                <w:highlight w:val="none"/>
              </w:rPr>
              <w:t>投标人法定代表人或其委托代理人</w:t>
            </w:r>
            <w:r>
              <w:rPr>
                <w:b/>
                <w:bCs/>
                <w:color w:val="000000"/>
                <w:szCs w:val="21"/>
                <w:highlight w:val="none"/>
              </w:rPr>
              <w:t>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98" w:type="pct"/>
            <w:gridSpan w:val="3"/>
            <w:shd w:val="clear" w:color="auto" w:fill="auto"/>
          </w:tcPr>
          <w:p>
            <w:pPr>
              <w:spacing w:line="400" w:lineRule="exact"/>
              <w:jc w:val="center"/>
              <w:rPr>
                <w:color w:val="000000"/>
                <w:szCs w:val="21"/>
                <w:highlight w:val="none"/>
              </w:rPr>
            </w:pPr>
            <w:r>
              <w:rPr>
                <w:color w:val="000000"/>
                <w:szCs w:val="21"/>
                <w:highlight w:val="none"/>
              </w:rPr>
              <w:t>招标人编制的标底</w:t>
            </w:r>
          </w:p>
        </w:tc>
        <w:tc>
          <w:tcPr>
            <w:tcW w:w="3602" w:type="pct"/>
            <w:gridSpan w:val="6"/>
            <w:shd w:val="clear" w:color="auto" w:fill="auto"/>
          </w:tcPr>
          <w:p>
            <w:pPr>
              <w:spacing w:line="400" w:lineRule="exact"/>
              <w:jc w:val="center"/>
              <w:rPr>
                <w:color w:val="000000"/>
                <w:szCs w:val="21"/>
                <w:highlight w:val="none"/>
              </w:rPr>
            </w:pPr>
          </w:p>
        </w:tc>
      </w:tr>
    </w:tbl>
    <w:p>
      <w:pPr>
        <w:spacing w:line="400" w:lineRule="exact"/>
        <w:rPr>
          <w:color w:val="000000"/>
          <w:szCs w:val="21"/>
          <w:highlight w:val="none"/>
        </w:rPr>
      </w:pPr>
      <w:r>
        <w:rPr>
          <w:rFonts w:hint="eastAsia"/>
          <w:color w:val="000000"/>
          <w:szCs w:val="21"/>
          <w:highlight w:val="none"/>
        </w:rPr>
        <w:t>　　　                                开标结束时间：</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时</w:t>
      </w:r>
      <w:r>
        <w:rPr>
          <w:rFonts w:hint="eastAsia"/>
          <w:color w:val="000000"/>
          <w:szCs w:val="21"/>
          <w:highlight w:val="none"/>
          <w:u w:val="single"/>
        </w:rPr>
        <w:t xml:space="preserve">     </w:t>
      </w:r>
      <w:r>
        <w:rPr>
          <w:rFonts w:hint="eastAsia"/>
          <w:color w:val="000000"/>
          <w:szCs w:val="21"/>
          <w:highlight w:val="none"/>
        </w:rPr>
        <w:t>分</w:t>
      </w:r>
    </w:p>
    <w:p>
      <w:pPr>
        <w:spacing w:line="400" w:lineRule="exact"/>
        <w:rPr>
          <w:color w:val="000000"/>
          <w:szCs w:val="21"/>
          <w:highlight w:val="none"/>
        </w:rPr>
      </w:pPr>
      <w:r>
        <w:rPr>
          <w:rFonts w:hint="eastAsia"/>
          <w:color w:val="000000"/>
          <w:szCs w:val="21"/>
          <w:highlight w:val="none"/>
        </w:rPr>
        <w:t>主持人：</w:t>
      </w:r>
      <w:r>
        <w:rPr>
          <w:color w:val="000000"/>
          <w:szCs w:val="21"/>
          <w:highlight w:val="none"/>
          <w:u w:val="single"/>
        </w:rPr>
        <w:t xml:space="preserve">         </w:t>
      </w:r>
      <w:r>
        <w:rPr>
          <w:rFonts w:hint="eastAsia"/>
          <w:color w:val="000000"/>
          <w:szCs w:val="21"/>
          <w:highlight w:val="none"/>
        </w:rPr>
        <w:t>开标人：</w:t>
      </w:r>
      <w:r>
        <w:rPr>
          <w:rFonts w:hint="eastAsia"/>
          <w:color w:val="000000"/>
          <w:szCs w:val="21"/>
          <w:highlight w:val="none"/>
          <w:u w:val="single"/>
        </w:rPr>
        <w:t xml:space="preserve">        </w:t>
      </w:r>
      <w:r>
        <w:rPr>
          <w:rFonts w:hint="eastAsia"/>
          <w:color w:val="000000"/>
          <w:szCs w:val="21"/>
          <w:highlight w:val="none"/>
        </w:rPr>
        <w:t>唱标人：</w:t>
      </w:r>
      <w:r>
        <w:rPr>
          <w:rFonts w:hint="eastAsia"/>
          <w:color w:val="000000"/>
          <w:szCs w:val="21"/>
          <w:highlight w:val="none"/>
          <w:u w:val="single"/>
        </w:rPr>
        <w:t xml:space="preserve">         </w:t>
      </w:r>
      <w:r>
        <w:rPr>
          <w:color w:val="000000"/>
          <w:szCs w:val="21"/>
          <w:highlight w:val="none"/>
        </w:rPr>
        <w:t>记录人：</w:t>
      </w:r>
      <w:r>
        <w:rPr>
          <w:color w:val="000000"/>
          <w:szCs w:val="21"/>
          <w:highlight w:val="none"/>
          <w:u w:val="single"/>
        </w:rPr>
        <w:t xml:space="preserve">         </w:t>
      </w:r>
      <w:r>
        <w:rPr>
          <w:color w:val="000000"/>
          <w:szCs w:val="21"/>
          <w:highlight w:val="none"/>
        </w:rPr>
        <w:t xml:space="preserve"> 监标人：</w:t>
      </w:r>
      <w:r>
        <w:rPr>
          <w:color w:val="000000"/>
          <w:szCs w:val="21"/>
          <w:highlight w:val="none"/>
          <w:u w:val="single"/>
        </w:rPr>
        <w:t xml:space="preserve">                   </w:t>
      </w: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年 </w:t>
      </w:r>
      <w:r>
        <w:rPr>
          <w:color w:val="000000"/>
          <w:szCs w:val="21"/>
          <w:highlight w:val="none"/>
          <w:u w:val="single"/>
        </w:rPr>
        <w:t xml:space="preserve">      </w:t>
      </w:r>
      <w:r>
        <w:rPr>
          <w:color w:val="000000"/>
          <w:szCs w:val="21"/>
          <w:highlight w:val="none"/>
        </w:rPr>
        <w:t xml:space="preserve"> 月</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r>
        <w:rPr>
          <w:rFonts w:hint="eastAsia"/>
          <w:color w:val="000000"/>
          <w:sz w:val="20"/>
          <w:szCs w:val="20"/>
          <w:highlight w:val="none"/>
        </w:rPr>
        <w:t>注：可以根据招标项目的实际需要对本开标记录表进行适当修改。</w:t>
      </w:r>
    </w:p>
    <w:p>
      <w:pPr>
        <w:rPr>
          <w:highlight w:val="none"/>
        </w:rPr>
      </w:pPr>
      <w:bookmarkStart w:id="101" w:name="_Toc49869982"/>
    </w:p>
    <w:p>
      <w:pPr>
        <w:pStyle w:val="4"/>
        <w:spacing w:line="400" w:lineRule="exact"/>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highlight w:val="none"/>
        </w:rPr>
      </w:pPr>
    </w:p>
    <w:p>
      <w:pPr>
        <w:pStyle w:val="4"/>
        <w:spacing w:line="400" w:lineRule="exact"/>
        <w:rPr>
          <w:color w:val="000000"/>
          <w:sz w:val="27"/>
          <w:szCs w:val="27"/>
          <w:highlight w:val="none"/>
        </w:rPr>
      </w:pPr>
      <w:bookmarkStart w:id="102" w:name="_Toc20099"/>
      <w:r>
        <w:rPr>
          <w:rFonts w:hint="eastAsia"/>
          <w:color w:val="000000"/>
          <w:sz w:val="27"/>
          <w:szCs w:val="27"/>
          <w:highlight w:val="none"/>
        </w:rPr>
        <w:t>附表六：中标通知书（格式）</w:t>
      </w:r>
      <w:bookmarkEnd w:id="101"/>
      <w:bookmarkEnd w:id="102"/>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（中标人名称）：</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你方于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color w:val="000000"/>
          <w:szCs w:val="21"/>
          <w:highlight w:val="none"/>
        </w:rPr>
        <w:t>（项目名称）</w:t>
      </w:r>
      <w:r>
        <w:rPr>
          <w:color w:val="000000"/>
          <w:szCs w:val="21"/>
          <w:highlight w:val="none"/>
          <w:u w:val="single"/>
        </w:rPr>
        <w:t xml:space="preserve">      </w:t>
      </w:r>
      <w:r>
        <w:rPr>
          <w:rFonts w:hint="eastAsia"/>
          <w:color w:val="000000"/>
          <w:szCs w:val="21"/>
          <w:highlight w:val="none"/>
          <w:u w:val="single"/>
        </w:rPr>
        <w:t>（</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投标文件已被我方接受，</w:t>
      </w:r>
      <w:r>
        <w:rPr>
          <w:rFonts w:hint="eastAsia"/>
          <w:color w:val="000000"/>
          <w:szCs w:val="21"/>
          <w:highlight w:val="none"/>
        </w:rPr>
        <w:t>并</w:t>
      </w:r>
      <w:r>
        <w:rPr>
          <w:color w:val="000000"/>
          <w:szCs w:val="21"/>
          <w:highlight w:val="none"/>
        </w:rPr>
        <w:t>被确定为中标人。</w:t>
      </w:r>
    </w:p>
    <w:p>
      <w:pPr>
        <w:spacing w:line="400" w:lineRule="exact"/>
        <w:rPr>
          <w:color w:val="000000"/>
          <w:szCs w:val="21"/>
          <w:highlight w:val="none"/>
        </w:rPr>
      </w:pPr>
      <w:r>
        <w:rPr>
          <w:color w:val="000000"/>
          <w:szCs w:val="21"/>
          <w:highlight w:val="none"/>
        </w:rPr>
        <w:t>　　中标价：</w:t>
      </w:r>
      <w:r>
        <w:rPr>
          <w:color w:val="000000"/>
          <w:szCs w:val="21"/>
          <w:highlight w:val="none"/>
          <w:u w:val="single"/>
        </w:rPr>
        <w:t xml:space="preserve">                </w:t>
      </w:r>
      <w:r>
        <w:rPr>
          <w:color w:val="000000"/>
          <w:szCs w:val="21"/>
          <w:highlight w:val="none"/>
        </w:rPr>
        <w:t>元。</w:t>
      </w:r>
    </w:p>
    <w:p>
      <w:pPr>
        <w:spacing w:line="400" w:lineRule="exact"/>
        <w:rPr>
          <w:color w:val="000000"/>
          <w:szCs w:val="21"/>
          <w:highlight w:val="none"/>
        </w:rPr>
      </w:pPr>
      <w:r>
        <w:rPr>
          <w:color w:val="000000"/>
          <w:szCs w:val="21"/>
          <w:highlight w:val="none"/>
        </w:rPr>
        <w:t>　　工期：</w:t>
      </w:r>
      <w:r>
        <w:rPr>
          <w:color w:val="000000"/>
          <w:szCs w:val="21"/>
          <w:highlight w:val="none"/>
          <w:u w:val="single"/>
        </w:rPr>
        <w:t xml:space="preserve">      </w:t>
      </w:r>
      <w:r>
        <w:rPr>
          <w:color w:val="000000"/>
          <w:szCs w:val="21"/>
          <w:highlight w:val="none"/>
        </w:rPr>
        <w:t>日历天。</w:t>
      </w:r>
    </w:p>
    <w:p>
      <w:pPr>
        <w:spacing w:line="400" w:lineRule="exact"/>
        <w:rPr>
          <w:color w:val="000000"/>
          <w:szCs w:val="21"/>
          <w:highlight w:val="none"/>
        </w:rPr>
      </w:pPr>
      <w:r>
        <w:rPr>
          <w:color w:val="000000"/>
          <w:szCs w:val="21"/>
          <w:highlight w:val="none"/>
        </w:rPr>
        <w:t>　  工程质量：符合</w:t>
      </w:r>
      <w:r>
        <w:rPr>
          <w:color w:val="000000"/>
          <w:szCs w:val="21"/>
          <w:highlight w:val="none"/>
          <w:u w:val="single"/>
        </w:rPr>
        <w:t xml:space="preserve">                      </w:t>
      </w:r>
      <w:r>
        <w:rPr>
          <w:color w:val="000000"/>
          <w:szCs w:val="21"/>
          <w:highlight w:val="none"/>
        </w:rPr>
        <w:t>标准。</w:t>
      </w:r>
    </w:p>
    <w:p>
      <w:pPr>
        <w:spacing w:line="400" w:lineRule="exact"/>
        <w:rPr>
          <w:color w:val="000000"/>
          <w:szCs w:val="21"/>
          <w:highlight w:val="none"/>
        </w:rPr>
      </w:pPr>
      <w:r>
        <w:rPr>
          <w:color w:val="000000"/>
          <w:szCs w:val="21"/>
          <w:highlight w:val="none"/>
        </w:rPr>
        <w:t>　　项目经理：</w:t>
      </w:r>
      <w:r>
        <w:rPr>
          <w:color w:val="000000"/>
          <w:szCs w:val="21"/>
          <w:highlight w:val="none"/>
          <w:u w:val="single"/>
        </w:rPr>
        <w:t xml:space="preserve">              </w:t>
      </w:r>
      <w:r>
        <w:rPr>
          <w:color w:val="000000"/>
          <w:szCs w:val="21"/>
          <w:highlight w:val="none"/>
        </w:rPr>
        <w:t>（姓名）。</w:t>
      </w:r>
    </w:p>
    <w:p>
      <w:pPr>
        <w:spacing w:line="400" w:lineRule="exact"/>
        <w:rPr>
          <w:color w:val="000000"/>
          <w:szCs w:val="21"/>
          <w:highlight w:val="none"/>
        </w:rPr>
      </w:pPr>
      <w:r>
        <w:rPr>
          <w:color w:val="000000"/>
          <w:szCs w:val="21"/>
          <w:highlight w:val="none"/>
        </w:rPr>
        <w:t>　　请你方在接到本通知书后的</w:t>
      </w:r>
      <w:r>
        <w:rPr>
          <w:color w:val="000000"/>
          <w:szCs w:val="21"/>
          <w:highlight w:val="none"/>
          <w:u w:val="single"/>
        </w:rPr>
        <w:t xml:space="preserve">     </w:t>
      </w:r>
      <w:r>
        <w:rPr>
          <w:color w:val="000000"/>
          <w:szCs w:val="21"/>
          <w:highlight w:val="none"/>
        </w:rPr>
        <w:t>日内到</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指定地点</w:t>
      </w:r>
      <w:r>
        <w:rPr>
          <w:color w:val="000000"/>
          <w:szCs w:val="21"/>
          <w:highlight w:val="none"/>
        </w:rPr>
        <w:t>）与我方签订施工合同</w:t>
      </w:r>
      <w:r>
        <w:rPr>
          <w:rFonts w:hint="eastAsia"/>
          <w:color w:val="000000"/>
          <w:szCs w:val="21"/>
          <w:highlight w:val="none"/>
        </w:rPr>
        <w:t>协议书</w:t>
      </w:r>
      <w:r>
        <w:rPr>
          <w:color w:val="000000"/>
          <w:szCs w:val="21"/>
          <w:highlight w:val="none"/>
        </w:rPr>
        <w:t>，在此之前按招标文件第二章“投标人须知”第7.3款规定向我方提交履约担保。</w:t>
      </w:r>
    </w:p>
    <w:p>
      <w:pPr>
        <w:spacing w:line="400" w:lineRule="exact"/>
        <w:rPr>
          <w:color w:val="000000"/>
          <w:szCs w:val="21"/>
          <w:highlight w:val="none"/>
        </w:rPr>
      </w:pPr>
      <w:r>
        <w:rPr>
          <w:color w:val="000000"/>
          <w:szCs w:val="21"/>
          <w:highlight w:val="none"/>
        </w:rPr>
        <w:t>　　特此通知。</w:t>
      </w:r>
    </w:p>
    <w:p>
      <w:pPr>
        <w:spacing w:line="400" w:lineRule="exact"/>
        <w:rPr>
          <w:color w:val="000000"/>
          <w:szCs w:val="21"/>
          <w:highlight w:val="none"/>
        </w:rPr>
      </w:pPr>
    </w:p>
    <w:p>
      <w:pPr>
        <w:spacing w:line="400" w:lineRule="exact"/>
        <w:rPr>
          <w:color w:val="000000"/>
          <w:szCs w:val="21"/>
          <w:highlight w:val="none"/>
        </w:rPr>
      </w:pPr>
    </w:p>
    <w:p>
      <w:pPr>
        <w:spacing w:line="400" w:lineRule="exact"/>
        <w:jc w:val="center"/>
        <w:rPr>
          <w:color w:val="000000"/>
          <w:szCs w:val="21"/>
          <w:highlight w:val="none"/>
        </w:rPr>
      </w:pPr>
    </w:p>
    <w:p>
      <w:pPr>
        <w:spacing w:line="400" w:lineRule="exact"/>
        <w:ind w:firstLine="5019" w:firstLineChars="2390"/>
        <w:rPr>
          <w:color w:val="000000"/>
          <w:szCs w:val="21"/>
          <w:highlight w:val="none"/>
        </w:rPr>
      </w:pPr>
      <w:r>
        <w:rPr>
          <w:color w:val="000000"/>
          <w:szCs w:val="21"/>
          <w:highlight w:val="none"/>
        </w:rPr>
        <w:t>招标人：</w:t>
      </w:r>
      <w:r>
        <w:rPr>
          <w:color w:val="000000"/>
          <w:szCs w:val="21"/>
          <w:highlight w:val="none"/>
          <w:u w:val="single"/>
        </w:rPr>
        <w:t xml:space="preserve">              </w:t>
      </w:r>
      <w:r>
        <w:rPr>
          <w:color w:val="000000"/>
          <w:szCs w:val="21"/>
          <w:highlight w:val="none"/>
        </w:rPr>
        <w:t xml:space="preserve">（盖单位章）            </w:t>
      </w:r>
    </w:p>
    <w:p>
      <w:pPr>
        <w:spacing w:line="400" w:lineRule="exact"/>
        <w:ind w:firstLine="5019" w:firstLineChars="2390"/>
        <w:rPr>
          <w:color w:val="000000"/>
          <w:szCs w:val="21"/>
          <w:highlight w:val="none"/>
        </w:rPr>
      </w:pPr>
      <w:r>
        <w:rPr>
          <w:color w:val="000000"/>
          <w:szCs w:val="21"/>
          <w:highlight w:val="none"/>
        </w:rPr>
        <w:t>法定代表人：</w:t>
      </w:r>
      <w:r>
        <w:rPr>
          <w:color w:val="000000"/>
          <w:szCs w:val="21"/>
          <w:highlight w:val="none"/>
          <w:u w:val="single"/>
        </w:rPr>
        <w:t xml:space="preserve">            </w:t>
      </w:r>
      <w:r>
        <w:rPr>
          <w:color w:val="000000"/>
          <w:szCs w:val="21"/>
          <w:highlight w:val="none"/>
        </w:rPr>
        <w:t>（签字）</w:t>
      </w:r>
    </w:p>
    <w:p>
      <w:pPr>
        <w:spacing w:line="400" w:lineRule="exact"/>
        <w:ind w:firstLine="4914" w:firstLineChars="2340"/>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color w:val="000000"/>
          <w:szCs w:val="21"/>
          <w:highlight w:val="none"/>
        </w:rPr>
        <w:t xml:space="preserve"> 日</w:t>
      </w: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103" w:name="_Toc49869983"/>
      <w:bookmarkStart w:id="104" w:name="_Toc8851"/>
      <w:r>
        <w:rPr>
          <w:rFonts w:hint="eastAsia"/>
          <w:color w:val="000000"/>
          <w:sz w:val="27"/>
          <w:szCs w:val="27"/>
          <w:highlight w:val="none"/>
        </w:rPr>
        <w:t>附表七：中标结果通知书（格式）</w:t>
      </w:r>
      <w:bookmarkEnd w:id="103"/>
      <w:bookmarkEnd w:id="104"/>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中标结果通知书（格式）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（未中标人名称）：</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我方已接受</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投标文件，确定</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）为中标人。</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感谢你单位对我</w:t>
      </w:r>
      <w:r>
        <w:rPr>
          <w:rFonts w:hint="eastAsia"/>
          <w:color w:val="000000"/>
          <w:szCs w:val="21"/>
          <w:highlight w:val="none"/>
        </w:rPr>
        <w:t>方</w:t>
      </w:r>
      <w:r>
        <w:rPr>
          <w:color w:val="000000"/>
          <w:szCs w:val="21"/>
          <w:highlight w:val="none"/>
        </w:rPr>
        <w:t>工作的大力支持！</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招标人：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法定代表人：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rPr>
          <w:highlight w:val="none"/>
        </w:rPr>
      </w:pPr>
      <w:bookmarkStart w:id="105" w:name="EB0820d66290d14fa88e14df3d7024363d"/>
      <w:bookmarkEnd w:id="105"/>
    </w:p>
    <w:p>
      <w:pPr>
        <w:spacing w:line="400" w:lineRule="exact"/>
        <w:rPr>
          <w:color w:val="000000"/>
          <w:sz w:val="20"/>
          <w:szCs w:val="20"/>
          <w:highlight w:val="none"/>
        </w:rPr>
      </w:pPr>
      <w:r>
        <w:rPr>
          <w:color w:val="000000"/>
          <w:sz w:val="20"/>
          <w:szCs w:val="20"/>
          <w:highlight w:val="none"/>
        </w:rPr>
        <w:br w:type="page"/>
      </w:r>
      <w:bookmarkStart w:id="106" w:name="EB1ddd2bc656434834bca1c7a6c432716f"/>
      <w:bookmarkEnd w:id="106"/>
    </w:p>
    <w:p>
      <w:pPr>
        <w:pStyle w:val="3"/>
        <w:spacing w:before="120" w:after="120" w:line="400" w:lineRule="exact"/>
        <w:jc w:val="center"/>
        <w:rPr>
          <w:rFonts w:ascii="黑体" w:hAnsi="黑体" w:eastAsia="黑体"/>
          <w:bCs w:val="0"/>
          <w:color w:val="000000"/>
          <w:sz w:val="31"/>
          <w:szCs w:val="31"/>
          <w:highlight w:val="none"/>
        </w:rPr>
      </w:pPr>
      <w:bookmarkStart w:id="107" w:name="EB6606d54b7c664e31ad31d4013140d221"/>
      <w:bookmarkEnd w:id="107"/>
      <w:bookmarkStart w:id="108" w:name="EB3fb3ccb23044435398d6fc1e4d31ed2c"/>
      <w:bookmarkEnd w:id="108"/>
      <w:bookmarkStart w:id="109" w:name="_Toc49869991"/>
      <w:bookmarkStart w:id="110" w:name="_Toc19865"/>
      <w:r>
        <w:rPr>
          <w:rFonts w:hint="eastAsia" w:ascii="黑体" w:hAnsi="黑体" w:eastAsia="黑体"/>
          <w:bCs w:val="0"/>
          <w:color w:val="000000"/>
          <w:sz w:val="31"/>
          <w:szCs w:val="31"/>
          <w:highlight w:val="none"/>
        </w:rPr>
        <w:t>第三章 评标办法（综合评估法）</w:t>
      </w:r>
      <w:bookmarkEnd w:id="109"/>
      <w:bookmarkEnd w:id="110"/>
    </w:p>
    <w:p>
      <w:pPr>
        <w:spacing w:line="400" w:lineRule="exact"/>
        <w:rPr>
          <w:color w:val="000000"/>
          <w:sz w:val="20"/>
          <w:szCs w:val="20"/>
          <w:highlight w:val="none"/>
        </w:rPr>
      </w:pPr>
      <w:r>
        <w:rPr>
          <w:rFonts w:hint="eastAsia"/>
          <w:color w:val="000000"/>
          <w:sz w:val="20"/>
          <w:szCs w:val="20"/>
          <w:highlight w:val="none"/>
        </w:rPr>
        <w:t>　</w:t>
      </w:r>
    </w:p>
    <w:p>
      <w:pPr>
        <w:pStyle w:val="48"/>
        <w:jc w:val="center"/>
        <w:rPr>
          <w:color w:val="000000"/>
          <w:sz w:val="27"/>
          <w:szCs w:val="27"/>
          <w:highlight w:val="none"/>
        </w:rPr>
      </w:pPr>
      <w:bookmarkStart w:id="111" w:name="_Toc49869992"/>
      <w:bookmarkStart w:id="112" w:name="_Toc16021"/>
      <w:r>
        <w:rPr>
          <w:rFonts w:hint="eastAsia"/>
          <w:color w:val="000000"/>
          <w:sz w:val="27"/>
          <w:szCs w:val="27"/>
          <w:highlight w:val="none"/>
        </w:rPr>
        <w:t>评标办法前附表</w:t>
      </w:r>
      <w:bookmarkEnd w:id="111"/>
      <w:bookmarkEnd w:id="112"/>
    </w:p>
    <w:p>
      <w:pPr>
        <w:spacing w:line="400" w:lineRule="exact"/>
        <w:rPr>
          <w:color w:val="000080"/>
          <w:sz w:val="20"/>
          <w:szCs w:val="20"/>
          <w:highlight w:val="none"/>
        </w:rPr>
      </w:pPr>
      <w:bookmarkStart w:id="113" w:name="EB0be00a5a131d4a51bff9b66ac42c2ddb"/>
    </w:p>
    <w:bookmarkEnd w:id="113"/>
    <w:p>
      <w:pPr>
        <w:spacing w:line="400" w:lineRule="exact"/>
        <w:rPr>
          <w:color w:val="000000"/>
          <w:sz w:val="20"/>
          <w:szCs w:val="20"/>
          <w:highlight w:val="none"/>
        </w:rPr>
      </w:pPr>
      <w:bookmarkStart w:id="114" w:name="EB1e94059494474615ba2638312add9eaa"/>
      <w:bookmarkEnd w:id="114"/>
      <w:bookmarkStart w:id="115" w:name="EBb6bebb7c91754f6c9f1da60b355be835"/>
      <w:bookmarkEnd w:id="115"/>
    </w:p>
    <w:tbl>
      <w:tblPr>
        <w:tblStyle w:val="36"/>
        <w:tblW w:w="91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24"/>
        <w:gridCol w:w="2147"/>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b/>
                <w:szCs w:val="21"/>
                <w:highlight w:val="none"/>
              </w:rPr>
            </w:pPr>
            <w:bookmarkStart w:id="116" w:name="EB8218b69eda9d453d8cceec7aa5088334"/>
            <w:bookmarkEnd w:id="116"/>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评审因素</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形式评审标准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投标人名称</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与营业执照、资质证书</w:t>
            </w:r>
            <w:r>
              <w:rPr>
                <w:rFonts w:hint="eastAsia" w:ascii="Times New Roman" w:hAnsi="Times New Roman"/>
                <w:szCs w:val="21"/>
                <w:highlight w:val="none"/>
              </w:rPr>
              <w:t>、安全生产许可证</w:t>
            </w:r>
            <w:r>
              <w:rPr>
                <w:rFonts w:ascii="Times New Roman" w:hAnsi="Times New Roman"/>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投标文件的签章</w:t>
            </w:r>
          </w:p>
        </w:tc>
        <w:tc>
          <w:tcPr>
            <w:tcW w:w="4950" w:type="dxa"/>
            <w:noWrap/>
            <w:vAlign w:val="center"/>
          </w:tcPr>
          <w:p>
            <w:pPr>
              <w:spacing w:line="420" w:lineRule="exact"/>
              <w:rPr>
                <w:rFonts w:ascii="Times New Roman" w:hAnsi="Times New Roman"/>
                <w:szCs w:val="21"/>
                <w:highlight w:val="none"/>
              </w:rPr>
            </w:pPr>
            <w:r>
              <w:rPr>
                <w:rFonts w:ascii="Times New Roman" w:hAnsi="Times New Roman"/>
                <w:szCs w:val="21"/>
                <w:highlight w:val="none"/>
              </w:rPr>
              <w:t>投标文件的签章符合第二章投标人须知第3.7.3项规定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投标文件格式</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报价唯一</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2.1.2</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资格评审标准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营业执照</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tcPr>
          <w:p>
            <w:pPr>
              <w:shd w:val="clear" w:color="auto" w:fill="FFFFFF"/>
              <w:spacing w:line="440" w:lineRule="exact"/>
              <w:jc w:val="center"/>
              <w:rPr>
                <w:rFonts w:ascii="Times New Roman" w:hAnsi="Times New Roman"/>
                <w:szCs w:val="21"/>
                <w:highlight w:val="none"/>
              </w:rPr>
            </w:pPr>
            <w:r>
              <w:rPr>
                <w:rFonts w:hint="eastAsia" w:ascii="Times New Roman" w:hAnsi="Times New Roman"/>
                <w:highlight w:val="none"/>
              </w:rPr>
              <w:t>安全生产许可证</w:t>
            </w:r>
          </w:p>
        </w:tc>
        <w:tc>
          <w:tcPr>
            <w:tcW w:w="4950" w:type="dxa"/>
            <w:noWrap/>
          </w:tcPr>
          <w:p>
            <w:pPr>
              <w:shd w:val="clear" w:color="auto" w:fill="FFFFFF"/>
              <w:snapToGrid w:val="0"/>
              <w:spacing w:line="300" w:lineRule="auto"/>
              <w:jc w:val="left"/>
              <w:rPr>
                <w:rFonts w:ascii="Times New Roman" w:hAnsi="Times New Roman"/>
                <w:szCs w:val="21"/>
                <w:highlight w:val="none"/>
              </w:rPr>
            </w:pPr>
            <w:r>
              <w:rPr>
                <w:rFonts w:ascii="Times New Roman" w:hAnsi="Times New Roman"/>
                <w:szCs w:val="21"/>
                <w:highlight w:val="none"/>
              </w:rPr>
              <w:t>具备有效的</w:t>
            </w:r>
            <w:r>
              <w:rPr>
                <w:rFonts w:hint="eastAsia" w:ascii="Times New Roman" w:hAnsi="Times New Roman"/>
                <w:highlight w:val="none"/>
              </w:rPr>
              <w:t>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资质等级</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highlight w:val="none"/>
              </w:rPr>
              <w:t>具备有效的资质证书且资质等级符合第二章“投标人须知”第1.4.1款规定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信誉</w:t>
            </w:r>
          </w:p>
        </w:tc>
        <w:tc>
          <w:tcPr>
            <w:tcW w:w="4950" w:type="dxa"/>
            <w:noWrap/>
          </w:tcPr>
          <w:p>
            <w:pPr>
              <w:widowControl/>
              <w:jc w:val="left"/>
              <w:rPr>
                <w:rFonts w:ascii="Times New Roman" w:hAnsi="Times New Roman"/>
                <w:szCs w:val="21"/>
                <w:highlight w:val="none"/>
              </w:rPr>
            </w:pPr>
            <w:r>
              <w:rPr>
                <w:rFonts w:hint="eastAsia" w:ascii="宋体" w:hAnsi="宋体" w:cs="宋体"/>
                <w:kern w:val="0"/>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项目经理</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ascii="Times New Roman" w:hAnsi="Times New Roman"/>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其他要求</w:t>
            </w:r>
          </w:p>
        </w:tc>
        <w:tc>
          <w:tcPr>
            <w:tcW w:w="4950" w:type="dxa"/>
            <w:noWrap/>
            <w:vAlign w:val="center"/>
          </w:tcPr>
          <w:p>
            <w:pPr>
              <w:widowControl/>
              <w:jc w:val="left"/>
              <w:rPr>
                <w:rFonts w:ascii="Times New Roman" w:hAnsi="Times New Roman"/>
                <w:szCs w:val="21"/>
                <w:highlight w:val="none"/>
              </w:rPr>
            </w:pPr>
            <w:r>
              <w:rPr>
                <w:rFonts w:hint="eastAsia" w:ascii="宋体" w:hAnsi="宋体" w:cs="宋体"/>
                <w:color w:val="000000"/>
                <w:kern w:val="0"/>
                <w:szCs w:val="21"/>
                <w:highlight w:val="none"/>
              </w:rPr>
              <w:t xml:space="preserve">符合第二章“投标人须知”第1.4.1项规定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2.1.3</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响应性评审标准</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w:t>
            </w:r>
            <w:r>
              <w:rPr>
                <w:rFonts w:hint="eastAsia" w:ascii="Times New Roman" w:cs="Times New Roman"/>
                <w:color w:val="auto"/>
                <w:sz w:val="21"/>
                <w:szCs w:val="21"/>
                <w:highlight w:val="none"/>
              </w:rPr>
              <w:t>范围</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计划</w:t>
            </w:r>
            <w:r>
              <w:rPr>
                <w:rFonts w:ascii="Times New Roman" w:cs="Times New Roman"/>
                <w:color w:val="auto"/>
                <w:sz w:val="21"/>
                <w:szCs w:val="21"/>
                <w:highlight w:val="none"/>
              </w:rPr>
              <w:t>工期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工程质量</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投标有效期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投标保证金</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权利义务</w:t>
            </w:r>
          </w:p>
        </w:tc>
        <w:tc>
          <w:tcPr>
            <w:tcW w:w="4950" w:type="dxa"/>
            <w:noWrap/>
            <w:vAlign w:val="center"/>
          </w:tcPr>
          <w:p>
            <w:pPr>
              <w:pStyle w:val="141"/>
              <w:jc w:val="both"/>
              <w:rPr>
                <w:rFonts w:ascii="Times New Roman"/>
                <w:color w:val="auto"/>
                <w:szCs w:val="21"/>
                <w:highlight w:val="none"/>
              </w:rPr>
            </w:pPr>
            <w:r>
              <w:rPr>
                <w:rFonts w:ascii="Times New Roman" w:cs="Times New Roman"/>
                <w:color w:val="auto"/>
                <w:sz w:val="21"/>
                <w:szCs w:val="21"/>
                <w:highlight w:val="none"/>
              </w:rPr>
              <w:t>符合第</w:t>
            </w:r>
            <w:r>
              <w:rPr>
                <w:rFonts w:hint="eastAsia" w:ascii="Times New Roman" w:cs="Times New Roman"/>
                <w:color w:val="auto"/>
                <w:sz w:val="21"/>
                <w:szCs w:val="21"/>
                <w:highlight w:val="none"/>
              </w:rPr>
              <w:t>四</w:t>
            </w:r>
            <w:r>
              <w:rPr>
                <w:rFonts w:ascii="Times New Roman" w:cs="Times New Roman"/>
                <w:color w:val="auto"/>
                <w:sz w:val="21"/>
                <w:szCs w:val="21"/>
                <w:highlight w:val="none"/>
              </w:rPr>
              <w:t>章</w:t>
            </w:r>
            <w:r>
              <w:rPr>
                <w:rFonts w:hint="eastAsia" w:ascii="Times New Roman" w:cs="Times New Roman"/>
                <w:color w:val="auto"/>
                <w:sz w:val="21"/>
                <w:szCs w:val="21"/>
                <w:highlight w:val="none"/>
              </w:rPr>
              <w:t>“</w:t>
            </w:r>
            <w:r>
              <w:rPr>
                <w:rFonts w:ascii="Times New Roman" w:cs="Times New Roman"/>
                <w:color w:val="auto"/>
                <w:sz w:val="21"/>
                <w:szCs w:val="21"/>
                <w:highlight w:val="none"/>
              </w:rPr>
              <w:t>合同条款及格式</w:t>
            </w:r>
            <w:r>
              <w:rPr>
                <w:rFonts w:hint="eastAsia" w:ascii="Times New Roman" w:cs="Times New Roman"/>
                <w:color w:val="auto"/>
                <w:sz w:val="21"/>
                <w:szCs w:val="21"/>
                <w:highlight w:val="none"/>
              </w:rPr>
              <w:t>”</w:t>
            </w:r>
            <w:r>
              <w:rPr>
                <w:rFonts w:ascii="Times New Roman" w:cs="Times New Roman"/>
                <w:color w:val="auto"/>
                <w:sz w:val="21"/>
                <w:szCs w:val="21"/>
                <w:highlight w:val="none"/>
              </w:rPr>
              <w:t>规定的权利义务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己标价工程量清单</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符合第五章“工程量清单”填写的有关要求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最高投标限价</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符合第二章“投标人须知”第3.2.3款规定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投标人告知承诺函</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提供有效的投标人告知承诺函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4" w:type="dxa"/>
            <w:gridSpan w:val="2"/>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条款内容</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2.2.1</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分值构成</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ascii="Times New Roman" w:hAnsi="Times New Roman"/>
                <w:szCs w:val="21"/>
                <w:highlight w:val="none"/>
              </w:rPr>
              <w:t>总分100分</w:t>
            </w:r>
            <w:r>
              <w:rPr>
                <w:rFonts w:hint="eastAsia" w:ascii="Times New Roman" w:hAnsi="Times New Roman"/>
                <w:szCs w:val="21"/>
                <w:highlight w:val="none"/>
              </w:rPr>
              <w:t>）</w:t>
            </w:r>
          </w:p>
        </w:tc>
        <w:tc>
          <w:tcPr>
            <w:tcW w:w="4950" w:type="dxa"/>
            <w:noWrap/>
            <w:vAlign w:val="center"/>
          </w:tcPr>
          <w:p>
            <w:pPr>
              <w:shd w:val="clear" w:color="auto" w:fill="FFFFFF"/>
              <w:spacing w:line="440" w:lineRule="exact"/>
              <w:rPr>
                <w:rFonts w:ascii="Times New Roman" w:hAnsi="Times New Roman"/>
                <w:highlight w:val="none"/>
              </w:rPr>
            </w:pPr>
            <w:r>
              <w:rPr>
                <w:rFonts w:hint="eastAsia" w:ascii="Times New Roman" w:hAnsi="Times New Roman"/>
                <w:highlight w:val="none"/>
              </w:rPr>
              <w:t>施工组织设计</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2</w:t>
            </w:r>
            <w:r>
              <w:rPr>
                <w:rFonts w:hint="eastAsia" w:ascii="Times New Roman" w:hAnsi="Times New Roman"/>
                <w:highlight w:val="none"/>
                <w:u w:val="single"/>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hint="eastAsia" w:ascii="Times New Roman" w:hAnsi="Times New Roman"/>
                <w:highlight w:val="none"/>
              </w:rPr>
              <w:t>项目管理机构</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5</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ascii="Times New Roman" w:hAnsi="Times New Roman"/>
                <w:highlight w:val="none"/>
              </w:rPr>
              <w:t>投标报价：</w:t>
            </w:r>
            <w:r>
              <w:rPr>
                <w:rFonts w:ascii="Times New Roman" w:hAnsi="Times New Roman"/>
                <w:highlight w:val="none"/>
                <w:u w:val="single"/>
              </w:rPr>
              <w:t xml:space="preserve">  </w:t>
            </w:r>
            <w:r>
              <w:rPr>
                <w:rFonts w:hint="eastAsia" w:ascii="Times New Roman" w:hAnsi="Times New Roman"/>
                <w:highlight w:val="none"/>
                <w:u w:val="single"/>
                <w:lang w:val="en-US" w:eastAsia="zh-CN"/>
              </w:rPr>
              <w:t>55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szCs w:val="21"/>
                <w:highlight w:val="none"/>
              </w:rPr>
            </w:pPr>
            <w:r>
              <w:rPr>
                <w:rFonts w:ascii="Times New Roman" w:hAnsi="Times New Roman"/>
                <w:highlight w:val="none"/>
              </w:rPr>
              <w:t>其他评分因素：</w:t>
            </w:r>
            <w:r>
              <w:rPr>
                <w:rFonts w:ascii="Times New Roman" w:hAnsi="Times New Roman"/>
                <w:highlight w:val="none"/>
                <w:u w:val="single"/>
              </w:rPr>
              <w:t xml:space="preserve"> </w:t>
            </w:r>
            <w:r>
              <w:rPr>
                <w:rFonts w:hint="eastAsia" w:ascii="Times New Roman" w:hAnsi="Times New Roman"/>
                <w:highlight w:val="none"/>
                <w:u w:val="single"/>
                <w:lang w:val="en-US" w:eastAsia="zh-CN"/>
              </w:rPr>
              <w:t>15</w:t>
            </w:r>
            <w:r>
              <w:rPr>
                <w:rFonts w:ascii="Times New Roman" w:hAnsi="Times New Roman"/>
                <w:highlight w:val="none"/>
                <w:u w:val="single"/>
              </w:rPr>
              <w:t xml:space="preserve">  </w:t>
            </w:r>
            <w:r>
              <w:rPr>
                <w:rFonts w:ascii="Times New Roman" w:hAnsi="Times New Roman"/>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2.2.2</w:t>
            </w:r>
          </w:p>
        </w:tc>
        <w:tc>
          <w:tcPr>
            <w:tcW w:w="2147" w:type="dxa"/>
            <w:noWrap/>
            <w:vAlign w:val="center"/>
          </w:tcPr>
          <w:p>
            <w:pPr>
              <w:shd w:val="clear" w:color="auto" w:fill="FFFFFF"/>
              <w:spacing w:line="300" w:lineRule="auto"/>
              <w:jc w:val="center"/>
              <w:rPr>
                <w:rFonts w:ascii="Times New Roman" w:hAnsi="Times New Roman"/>
                <w:szCs w:val="21"/>
                <w:highlight w:val="none"/>
              </w:rPr>
            </w:pPr>
            <w:r>
              <w:rPr>
                <w:rFonts w:hint="eastAsia" w:ascii="Times New Roman" w:hAnsi="Times New Roman"/>
                <w:szCs w:val="21"/>
                <w:highlight w:val="none"/>
              </w:rPr>
              <w:t>评标其准价计算方法</w:t>
            </w:r>
          </w:p>
        </w:tc>
        <w:tc>
          <w:tcPr>
            <w:tcW w:w="4950" w:type="dxa"/>
            <w:noWrap/>
            <w:vAlign w:val="center"/>
          </w:tcPr>
          <w:p>
            <w:pPr>
              <w:widowControl/>
              <w:jc w:val="left"/>
              <w:rPr>
                <w:rFonts w:cs="Calibri"/>
                <w:color w:val="000000"/>
                <w:kern w:val="0"/>
                <w:szCs w:val="21"/>
                <w:highlight w:val="none"/>
              </w:rPr>
            </w:pPr>
            <w:r>
              <w:rPr>
                <w:rFonts w:hint="eastAsia" w:cs="Calibri"/>
                <w:color w:val="000000"/>
                <w:kern w:val="0"/>
                <w:szCs w:val="21"/>
                <w:highlight w:val="none"/>
              </w:rPr>
              <w:t>（1）评标价平均值的计算：</w:t>
            </w:r>
          </w:p>
          <w:p>
            <w:pPr>
              <w:widowControl/>
              <w:jc w:val="left"/>
              <w:rPr>
                <w:rFonts w:cs="Calibri"/>
                <w:color w:val="000000"/>
                <w:kern w:val="0"/>
                <w:szCs w:val="21"/>
                <w:highlight w:val="none"/>
              </w:rPr>
            </w:pPr>
            <w:r>
              <w:rPr>
                <w:rFonts w:hint="eastAsia" w:cs="Calibri"/>
                <w:color w:val="000000"/>
                <w:kern w:val="0"/>
                <w:szCs w:val="21"/>
                <w:highlight w:val="none"/>
              </w:rPr>
              <w:t>根据投标人（不包括已经不参加详细评审的投标报价）的投标报价按下列方法进行计算：当投标人为 5 家以上（含 5 家）时，去掉 1 个最高价，去掉 1 个最低价，计算其余投标总报价的算术平均值；当投标人家数不多于 4家（含4家）时，计算所有投标报价的算术平均值；</w:t>
            </w:r>
          </w:p>
          <w:p>
            <w:pPr>
              <w:widowControl/>
              <w:jc w:val="left"/>
              <w:rPr>
                <w:rFonts w:cs="Calibri"/>
                <w:color w:val="000000"/>
                <w:kern w:val="0"/>
                <w:szCs w:val="21"/>
                <w:highlight w:val="none"/>
              </w:rPr>
            </w:pPr>
            <w:r>
              <w:rPr>
                <w:rFonts w:hint="eastAsia" w:cs="Calibri"/>
                <w:color w:val="000000"/>
                <w:kern w:val="0"/>
                <w:szCs w:val="21"/>
                <w:highlight w:val="none"/>
              </w:rPr>
              <w:t>（2）评标基准价的确定：</w:t>
            </w:r>
          </w:p>
          <w:p>
            <w:pPr>
              <w:widowControl/>
              <w:jc w:val="left"/>
              <w:rPr>
                <w:rFonts w:ascii="Times New Roman" w:hAnsi="Times New Roman"/>
                <w:szCs w:val="21"/>
                <w:highlight w:val="none"/>
              </w:rPr>
            </w:pPr>
            <w:r>
              <w:rPr>
                <w:rFonts w:hint="eastAsia" w:cs="Calibri"/>
                <w:color w:val="000000"/>
                <w:kern w:val="0"/>
                <w:szCs w:val="21"/>
                <w:highlight w:val="none"/>
              </w:rPr>
              <w:t xml:space="preserve">方法一：将评标价平均值直接作为评标基准价。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cs="Calibri"/>
                <w:spacing w:val="-2"/>
                <w:szCs w:val="21"/>
                <w:highlight w:val="none"/>
              </w:rPr>
            </w:pPr>
            <w:r>
              <w:rPr>
                <w:rFonts w:hint="eastAsia" w:cs="Calibri"/>
                <w:spacing w:val="-2"/>
                <w:szCs w:val="21"/>
                <w:highlight w:val="none"/>
              </w:rPr>
              <w:t>4</w:t>
            </w:r>
          </w:p>
        </w:tc>
        <w:tc>
          <w:tcPr>
            <w:tcW w:w="2147" w:type="dxa"/>
            <w:noWrap/>
            <w:vAlign w:val="center"/>
          </w:tcPr>
          <w:p>
            <w:pPr>
              <w:shd w:val="clear" w:color="auto" w:fill="FFFFFF"/>
              <w:spacing w:line="300" w:lineRule="auto"/>
              <w:jc w:val="center"/>
              <w:rPr>
                <w:spacing w:val="-1"/>
                <w:highlight w:val="none"/>
              </w:rPr>
            </w:pPr>
            <w:r>
              <w:rPr>
                <w:spacing w:val="-1"/>
                <w:highlight w:val="none"/>
              </w:rPr>
              <w:t>评标办法其他说明</w:t>
            </w:r>
          </w:p>
        </w:tc>
        <w:tc>
          <w:tcPr>
            <w:tcW w:w="4950" w:type="dxa"/>
            <w:noWrap/>
            <w:vAlign w:val="center"/>
          </w:tcPr>
          <w:p>
            <w:pPr>
              <w:widowControl/>
              <w:jc w:val="left"/>
              <w:rPr>
                <w:rFonts w:ascii="Times New Roman" w:hAnsi="Times New Roman"/>
                <w:highlight w:val="none"/>
              </w:rPr>
            </w:pPr>
            <w:r>
              <w:rPr>
                <w:rFonts w:hint="eastAsia" w:ascii="Times New Roman" w:hAnsi="Times New Roman"/>
                <w:highlight w:val="none"/>
              </w:rPr>
              <w:t>综合评分相等时， 以投标报价低的优 先； 投标报价也相等的， 以资质等级高 的优先；资质等级相同的以信用等级高 的优先；若信用等级也相同， 由评标委员会研究确定。</w:t>
            </w:r>
          </w:p>
          <w:p>
            <w:pPr>
              <w:widowControl/>
              <w:jc w:val="left"/>
              <w:rPr>
                <w:rFonts w:ascii="Times New Roman" w:hAnsi="Times New Roman"/>
                <w:highlight w:val="none"/>
              </w:rPr>
            </w:pPr>
            <w:r>
              <w:rPr>
                <w:rFonts w:hint="eastAsia" w:ascii="Times New Roman" w:hAnsi="Times New Roman"/>
                <w:highlight w:val="none"/>
              </w:rPr>
              <w:t>信用等级以《辽宁省水利建设市场主体综合信用信息表》为准。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2.2.3</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投标报价的偏差率计算公式</w:t>
            </w:r>
          </w:p>
        </w:tc>
        <w:tc>
          <w:tcPr>
            <w:tcW w:w="4950" w:type="dxa"/>
            <w:noWrap/>
            <w:vAlign w:val="center"/>
          </w:tcPr>
          <w:p>
            <w:pPr>
              <w:widowControl/>
              <w:jc w:val="left"/>
              <w:rPr>
                <w:rFonts w:ascii="Times New Roman" w:hAnsi="Times New Roman"/>
                <w:szCs w:val="21"/>
                <w:highlight w:val="none"/>
              </w:rPr>
            </w:pPr>
            <w:r>
              <w:rPr>
                <w:rFonts w:hint="eastAsia" w:ascii="Times New Roman" w:hAnsi="Times New Roman"/>
                <w:szCs w:val="21"/>
                <w:highlight w:val="none"/>
              </w:rPr>
              <w:t>偏差率</w:t>
            </w:r>
            <w:r>
              <w:rPr>
                <w:rFonts w:ascii="Times New Roman" w:hAnsi="Times New Roman"/>
                <w:szCs w:val="21"/>
                <w:highlight w:val="none"/>
              </w:rPr>
              <w:t>=100% ×（投标人报价 - 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评分因素</w:t>
            </w:r>
          </w:p>
        </w:tc>
        <w:tc>
          <w:tcPr>
            <w:tcW w:w="495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施工组织设计评分标准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暗标</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25</w:t>
            </w:r>
            <w:r>
              <w:rPr>
                <w:rFonts w:hint="eastAsia" w:ascii="Times New Roman" w:hAnsi="Times New Roman"/>
                <w:szCs w:val="21"/>
                <w:highlight w:val="none"/>
              </w:rPr>
              <w:t>分）</w:t>
            </w: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内容完整性和编制 水平（5分）</w:t>
            </w:r>
          </w:p>
        </w:tc>
        <w:tc>
          <w:tcPr>
            <w:tcW w:w="4950" w:type="dxa"/>
            <w:noWrap/>
            <w:vAlign w:val="center"/>
          </w:tcPr>
          <w:p>
            <w:pPr>
              <w:pStyle w:val="139"/>
              <w:spacing w:before="150" w:line="247" w:lineRule="auto"/>
              <w:ind w:right="101"/>
              <w:jc w:val="left"/>
              <w:rPr>
                <w:highlight w:val="none"/>
                <w:lang w:eastAsia="zh-CN"/>
              </w:rPr>
            </w:pPr>
            <w:r>
              <w:rPr>
                <w:spacing w:val="-5"/>
                <w:highlight w:val="none"/>
                <w:lang w:eastAsia="zh-CN"/>
              </w:rPr>
              <w:t>①施工组织设计内容完整、编制</w:t>
            </w:r>
            <w:r>
              <w:rPr>
                <w:spacing w:val="11"/>
                <w:highlight w:val="none"/>
                <w:lang w:eastAsia="zh-CN"/>
              </w:rPr>
              <w:t xml:space="preserve"> </w:t>
            </w:r>
            <w:r>
              <w:rPr>
                <w:spacing w:val="-5"/>
                <w:highlight w:val="none"/>
                <w:lang w:eastAsia="zh-CN"/>
              </w:rPr>
              <w:t>水平高，具有指导性和针对性得</w:t>
            </w:r>
            <w:r>
              <w:rPr>
                <w:rFonts w:hint="eastAsia"/>
                <w:spacing w:val="-14"/>
                <w:highlight w:val="none"/>
                <w:lang w:eastAsia="zh-CN"/>
              </w:rPr>
              <w:t>5</w:t>
            </w:r>
            <w:r>
              <w:rPr>
                <w:spacing w:val="-42"/>
                <w:highlight w:val="none"/>
                <w:lang w:eastAsia="zh-CN"/>
              </w:rPr>
              <w:t xml:space="preserve"> </w:t>
            </w:r>
            <w:r>
              <w:rPr>
                <w:spacing w:val="-14"/>
                <w:highlight w:val="none"/>
                <w:lang w:eastAsia="zh-CN"/>
              </w:rPr>
              <w:t>分；</w:t>
            </w:r>
          </w:p>
          <w:p>
            <w:pPr>
              <w:pStyle w:val="139"/>
              <w:spacing w:before="59" w:line="256" w:lineRule="auto"/>
              <w:ind w:right="180"/>
              <w:jc w:val="left"/>
              <w:rPr>
                <w:spacing w:val="-6"/>
                <w:highlight w:val="none"/>
                <w:lang w:eastAsia="zh-CN"/>
              </w:rPr>
            </w:pPr>
            <w:r>
              <w:rPr>
                <w:spacing w:val="-1"/>
                <w:highlight w:val="none"/>
                <w:lang w:eastAsia="zh-CN"/>
              </w:rPr>
              <w:t>②施工组织设计内容基本完</w:t>
            </w:r>
            <w:r>
              <w:rPr>
                <w:spacing w:val="-6"/>
                <w:highlight w:val="none"/>
                <w:lang w:eastAsia="zh-CN"/>
              </w:rPr>
              <w:t>整、编制水平较高的得</w:t>
            </w:r>
            <w:r>
              <w:rPr>
                <w:spacing w:val="-37"/>
                <w:highlight w:val="none"/>
                <w:lang w:eastAsia="zh-CN"/>
              </w:rPr>
              <w:t xml:space="preserve"> </w:t>
            </w:r>
            <w:r>
              <w:rPr>
                <w:rFonts w:hint="eastAsia"/>
                <w:spacing w:val="-6"/>
                <w:highlight w:val="none"/>
                <w:lang w:eastAsia="zh-CN"/>
              </w:rPr>
              <w:t>3</w:t>
            </w:r>
            <w:r>
              <w:rPr>
                <w:spacing w:val="-44"/>
                <w:highlight w:val="none"/>
                <w:lang w:eastAsia="zh-CN"/>
              </w:rPr>
              <w:t xml:space="preserve"> </w:t>
            </w:r>
            <w:r>
              <w:rPr>
                <w:spacing w:val="-6"/>
                <w:highlight w:val="none"/>
                <w:lang w:eastAsia="zh-CN"/>
              </w:rPr>
              <w:t>分；</w:t>
            </w:r>
          </w:p>
          <w:p>
            <w:pPr>
              <w:pStyle w:val="139"/>
              <w:spacing w:before="59" w:line="256" w:lineRule="auto"/>
              <w:ind w:right="180"/>
              <w:jc w:val="left"/>
              <w:rPr>
                <w:highlight w:val="none"/>
                <w:lang w:eastAsia="zh-CN"/>
              </w:rPr>
            </w:pPr>
            <w:r>
              <w:rPr>
                <w:spacing w:val="-1"/>
                <w:highlight w:val="none"/>
                <w:lang w:eastAsia="zh-CN"/>
              </w:rPr>
              <w:t>③施工组织设计指导性差或针</w:t>
            </w:r>
            <w:r>
              <w:rPr>
                <w:rFonts w:hint="eastAsia"/>
                <w:spacing w:val="-1"/>
                <w:highlight w:val="none"/>
                <w:lang w:eastAsia="zh-CN"/>
              </w:rPr>
              <w:t>对性差的得1分。</w:t>
            </w:r>
          </w:p>
          <w:p>
            <w:pPr>
              <w:pStyle w:val="141"/>
              <w:spacing w:line="360" w:lineRule="auto"/>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施工方案与技术措施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（5分）</w:t>
            </w:r>
          </w:p>
        </w:tc>
        <w:tc>
          <w:tcPr>
            <w:tcW w:w="4950" w:type="dxa"/>
            <w:noWrap/>
            <w:vAlign w:val="center"/>
          </w:tcPr>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①对项目建设特性了解透彻，施工方案与技术措</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施十分先进、经济合理，对施工具有高度指导性，得5分；</w:t>
            </w:r>
          </w:p>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②对项目建设特性了解较好，施工方案与技术措施比较先进合理，对施工具有指导性，得3分；</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③对项目建设特性了解一般，施工方案与技术措施一般，得1分；</w:t>
            </w:r>
          </w:p>
          <w:p>
            <w:pPr>
              <w:pStyle w:val="141"/>
              <w:spacing w:line="360" w:lineRule="auto"/>
              <w:jc w:val="both"/>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rFonts w:hint="eastAsia" w:ascii="Times New Roman"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质量管理体系与措施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pStyle w:val="139"/>
              <w:spacing w:before="153" w:line="247" w:lineRule="auto"/>
              <w:ind w:left="111" w:right="86" w:firstLine="75"/>
              <w:rPr>
                <w:highlight w:val="none"/>
                <w:lang w:eastAsia="zh-CN"/>
              </w:rPr>
            </w:pPr>
            <w:r>
              <w:rPr>
                <w:spacing w:val="-1"/>
                <w:highlight w:val="none"/>
                <w:lang w:eastAsia="zh-CN"/>
              </w:rPr>
              <w:t>①质量管理体系、管理机构健</w:t>
            </w:r>
            <w:r>
              <w:rPr>
                <w:spacing w:val="4"/>
                <w:highlight w:val="none"/>
                <w:lang w:eastAsia="zh-CN"/>
              </w:rPr>
              <w:t xml:space="preserve">  </w:t>
            </w:r>
            <w:r>
              <w:rPr>
                <w:spacing w:val="-4"/>
                <w:highlight w:val="none"/>
                <w:lang w:eastAsia="zh-CN"/>
              </w:rPr>
              <w:t>全，质量管理措施先进、合理、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rFonts w:hint="eastAsia"/>
                <w:spacing w:val="-23"/>
                <w:highlight w:val="none"/>
                <w:lang w:eastAsia="zh-CN"/>
              </w:rPr>
              <w:t>5</w:t>
            </w:r>
            <w:r>
              <w:rPr>
                <w:spacing w:val="-44"/>
                <w:highlight w:val="none"/>
                <w:lang w:eastAsia="zh-CN"/>
              </w:rPr>
              <w:t xml:space="preserve"> </w:t>
            </w:r>
            <w:r>
              <w:rPr>
                <w:spacing w:val="-23"/>
                <w:highlight w:val="none"/>
                <w:lang w:eastAsia="zh-CN"/>
              </w:rPr>
              <w:t>分；</w:t>
            </w:r>
          </w:p>
          <w:p>
            <w:pPr>
              <w:pStyle w:val="139"/>
              <w:spacing w:before="62" w:line="247" w:lineRule="auto"/>
              <w:ind w:left="187" w:right="101" w:hanging="78"/>
              <w:rPr>
                <w:highlight w:val="none"/>
                <w:lang w:eastAsia="zh-CN"/>
              </w:rPr>
            </w:pPr>
            <w:r>
              <w:rPr>
                <w:spacing w:val="-5"/>
                <w:highlight w:val="none"/>
                <w:lang w:eastAsia="zh-CN"/>
              </w:rPr>
              <w:t>②质量管理体系、管理机构较健</w:t>
            </w:r>
            <w:r>
              <w:rPr>
                <w:spacing w:val="12"/>
                <w:highlight w:val="none"/>
                <w:lang w:eastAsia="zh-CN"/>
              </w:rPr>
              <w:t xml:space="preserve"> </w:t>
            </w:r>
            <w:r>
              <w:rPr>
                <w:spacing w:val="-1"/>
                <w:highlight w:val="none"/>
                <w:lang w:eastAsia="zh-CN"/>
              </w:rPr>
              <w:t>全，质量管理措施较合理、可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1" w:line="218" w:lineRule="auto"/>
              <w:ind w:left="186"/>
              <w:rPr>
                <w:spacing w:val="-17"/>
                <w:highlight w:val="none"/>
                <w:lang w:eastAsia="zh-CN"/>
              </w:rPr>
            </w:pPr>
            <w:r>
              <w:rPr>
                <w:highlight w:val="none"/>
                <w:lang w:eastAsia="zh-CN"/>
              </w:rPr>
              <w:t>③质量管理体系、管理机构一</w:t>
            </w:r>
            <w:r>
              <w:rPr>
                <w:spacing w:val="-17"/>
                <w:highlight w:val="none"/>
                <w:lang w:eastAsia="zh-CN"/>
              </w:rPr>
              <w:t>般，质量管理措施一般，得</w:t>
            </w:r>
            <w:r>
              <w:rPr>
                <w:spacing w:val="-30"/>
                <w:highlight w:val="none"/>
                <w:lang w:eastAsia="zh-CN"/>
              </w:rPr>
              <w:t xml:space="preserve"> </w:t>
            </w:r>
            <w:r>
              <w:rPr>
                <w:spacing w:val="-17"/>
                <w:highlight w:val="none"/>
                <w:lang w:eastAsia="zh-CN"/>
              </w:rPr>
              <w:t>1</w:t>
            </w:r>
            <w:r>
              <w:rPr>
                <w:spacing w:val="-41"/>
                <w:highlight w:val="none"/>
                <w:lang w:eastAsia="zh-CN"/>
              </w:rPr>
              <w:t xml:space="preserve"> </w:t>
            </w:r>
            <w:r>
              <w:rPr>
                <w:spacing w:val="-17"/>
                <w:highlight w:val="none"/>
                <w:lang w:eastAsia="zh-CN"/>
              </w:rPr>
              <w:t>分；</w:t>
            </w:r>
          </w:p>
          <w:p>
            <w:pPr>
              <w:pStyle w:val="139"/>
              <w:spacing w:before="61" w:line="218" w:lineRule="auto"/>
              <w:ind w:left="186"/>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安全管理体系与措 施（3分）</w:t>
            </w:r>
          </w:p>
        </w:tc>
        <w:tc>
          <w:tcPr>
            <w:tcW w:w="4950" w:type="dxa"/>
            <w:noWrap/>
            <w:vAlign w:val="center"/>
          </w:tcPr>
          <w:p>
            <w:pPr>
              <w:pStyle w:val="139"/>
              <w:spacing w:before="151" w:line="247" w:lineRule="auto"/>
              <w:ind w:right="86"/>
              <w:rPr>
                <w:highlight w:val="none"/>
                <w:lang w:eastAsia="zh-CN"/>
              </w:rPr>
            </w:pPr>
            <w:r>
              <w:rPr>
                <w:spacing w:val="-1"/>
                <w:highlight w:val="none"/>
                <w:lang w:eastAsia="zh-CN"/>
              </w:rPr>
              <w:t>①安全管理体系、管理机构健</w:t>
            </w:r>
            <w:r>
              <w:rPr>
                <w:spacing w:val="4"/>
                <w:highlight w:val="none"/>
                <w:lang w:eastAsia="zh-CN"/>
              </w:rPr>
              <w:t xml:space="preserve">  </w:t>
            </w:r>
            <w:r>
              <w:rPr>
                <w:spacing w:val="-4"/>
                <w:highlight w:val="none"/>
                <w:lang w:eastAsia="zh-CN"/>
              </w:rPr>
              <w:t>全，安全管理措施先进、合理、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spacing w:val="-23"/>
                <w:highlight w:val="none"/>
                <w:lang w:eastAsia="zh-CN"/>
              </w:rPr>
              <w:t>3</w:t>
            </w:r>
            <w:r>
              <w:rPr>
                <w:spacing w:val="-44"/>
                <w:highlight w:val="none"/>
                <w:lang w:eastAsia="zh-CN"/>
              </w:rPr>
              <w:t xml:space="preserve"> </w:t>
            </w:r>
            <w:r>
              <w:rPr>
                <w:spacing w:val="-23"/>
                <w:highlight w:val="none"/>
                <w:lang w:eastAsia="zh-CN"/>
              </w:rPr>
              <w:t>分；</w:t>
            </w:r>
          </w:p>
          <w:p>
            <w:pPr>
              <w:pStyle w:val="139"/>
              <w:spacing w:before="62" w:line="247" w:lineRule="auto"/>
              <w:ind w:right="101"/>
              <w:rPr>
                <w:spacing w:val="-22"/>
                <w:highlight w:val="none"/>
                <w:lang w:eastAsia="zh-CN"/>
              </w:rPr>
            </w:pPr>
            <w:r>
              <w:rPr>
                <w:spacing w:val="-5"/>
                <w:highlight w:val="none"/>
                <w:lang w:eastAsia="zh-CN"/>
              </w:rPr>
              <w:t>②安全管理体系、管理机构较健</w:t>
            </w:r>
            <w:r>
              <w:rPr>
                <w:spacing w:val="12"/>
                <w:highlight w:val="none"/>
                <w:lang w:eastAsia="zh-CN"/>
              </w:rPr>
              <w:t xml:space="preserve"> </w:t>
            </w:r>
            <w:r>
              <w:rPr>
                <w:spacing w:val="-1"/>
                <w:highlight w:val="none"/>
                <w:lang w:eastAsia="zh-CN"/>
              </w:rPr>
              <w:t>全，安全管理措施较合理、可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spacing w:val="-22"/>
                <w:highlight w:val="none"/>
                <w:lang w:eastAsia="zh-CN"/>
              </w:rPr>
              <w:t>2</w:t>
            </w:r>
            <w:r>
              <w:rPr>
                <w:spacing w:val="-42"/>
                <w:highlight w:val="none"/>
                <w:lang w:eastAsia="zh-CN"/>
              </w:rPr>
              <w:t xml:space="preserve"> </w:t>
            </w:r>
            <w:r>
              <w:rPr>
                <w:spacing w:val="-22"/>
                <w:highlight w:val="none"/>
                <w:lang w:eastAsia="zh-CN"/>
              </w:rPr>
              <w:t>分；</w:t>
            </w:r>
          </w:p>
          <w:p>
            <w:pPr>
              <w:pStyle w:val="139"/>
              <w:spacing w:before="62" w:line="247" w:lineRule="auto"/>
              <w:ind w:right="101"/>
              <w:rPr>
                <w:highlight w:val="none"/>
              </w:rPr>
            </w:pPr>
            <w:r>
              <w:rPr>
                <w:spacing w:val="-5"/>
                <w:highlight w:val="none"/>
              </w:rPr>
              <w:t>③安全体系、管理机构一般，安</w:t>
            </w:r>
            <w:r>
              <w:rPr>
                <w:spacing w:val="9"/>
                <w:highlight w:val="none"/>
              </w:rPr>
              <w:t xml:space="preserve"> </w:t>
            </w:r>
            <w:r>
              <w:rPr>
                <w:spacing w:val="-4"/>
                <w:highlight w:val="none"/>
              </w:rPr>
              <w:t>全措施一般，得1</w:t>
            </w:r>
            <w:r>
              <w:rPr>
                <w:spacing w:val="-42"/>
                <w:highlight w:val="none"/>
              </w:rPr>
              <w:t xml:space="preserve"> </w:t>
            </w:r>
            <w:r>
              <w:rPr>
                <w:spacing w:val="-4"/>
                <w:highlight w:val="none"/>
              </w:rPr>
              <w:t>分；</w:t>
            </w:r>
          </w:p>
          <w:p>
            <w:pPr>
              <w:pStyle w:val="139"/>
              <w:spacing w:before="62" w:line="247" w:lineRule="auto"/>
              <w:ind w:right="101"/>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环保管理体系与措 施（3分）</w:t>
            </w:r>
          </w:p>
        </w:tc>
        <w:tc>
          <w:tcPr>
            <w:tcW w:w="4950" w:type="dxa"/>
            <w:noWrap/>
            <w:vAlign w:val="center"/>
          </w:tcPr>
          <w:p>
            <w:pPr>
              <w:pStyle w:val="139"/>
              <w:spacing w:before="151" w:line="247" w:lineRule="auto"/>
              <w:ind w:right="98"/>
              <w:rPr>
                <w:highlight w:val="none"/>
                <w:lang w:eastAsia="zh-CN"/>
              </w:rPr>
            </w:pPr>
            <w:r>
              <w:rPr>
                <w:spacing w:val="-1"/>
                <w:highlight w:val="none"/>
                <w:lang w:eastAsia="zh-CN"/>
              </w:rPr>
              <w:t xml:space="preserve">①环保管理体系、管理机构健 </w:t>
            </w:r>
            <w:r>
              <w:rPr>
                <w:spacing w:val="-18"/>
                <w:highlight w:val="none"/>
                <w:lang w:eastAsia="zh-CN"/>
              </w:rPr>
              <w:t>全，环保措施先进、合理、可靠，</w:t>
            </w:r>
            <w:r>
              <w:rPr>
                <w:spacing w:val="-13"/>
                <w:highlight w:val="none"/>
                <w:lang w:eastAsia="zh-CN"/>
              </w:rPr>
              <w:t>得</w:t>
            </w:r>
            <w:r>
              <w:rPr>
                <w:rFonts w:hint="eastAsia"/>
                <w:spacing w:val="-39"/>
                <w:highlight w:val="none"/>
                <w:lang w:eastAsia="zh-CN"/>
              </w:rPr>
              <w:t>3</w:t>
            </w:r>
            <w:r>
              <w:rPr>
                <w:spacing w:val="-13"/>
                <w:highlight w:val="none"/>
                <w:lang w:eastAsia="zh-CN"/>
              </w:rPr>
              <w:t>分；</w:t>
            </w:r>
          </w:p>
          <w:p>
            <w:pPr>
              <w:pStyle w:val="139"/>
              <w:spacing w:before="62" w:line="247" w:lineRule="auto"/>
              <w:ind w:right="101"/>
              <w:rPr>
                <w:highlight w:val="none"/>
                <w:lang w:eastAsia="zh-CN"/>
              </w:rPr>
            </w:pPr>
            <w:r>
              <w:rPr>
                <w:spacing w:val="-5"/>
                <w:highlight w:val="none"/>
                <w:lang w:eastAsia="zh-CN"/>
              </w:rPr>
              <w:t>②环保管理体系、管理机构较健</w:t>
            </w:r>
            <w:r>
              <w:rPr>
                <w:spacing w:val="12"/>
                <w:highlight w:val="none"/>
                <w:lang w:eastAsia="zh-CN"/>
              </w:rPr>
              <w:t xml:space="preserve"> </w:t>
            </w:r>
            <w:r>
              <w:rPr>
                <w:spacing w:val="-5"/>
                <w:highlight w:val="none"/>
                <w:lang w:eastAsia="zh-CN"/>
              </w:rPr>
              <w:t>全，环保措施较合理、可靠，得</w:t>
            </w:r>
            <w:r>
              <w:rPr>
                <w:rFonts w:hint="eastAsia"/>
                <w:spacing w:val="-14"/>
                <w:highlight w:val="none"/>
                <w:lang w:eastAsia="zh-CN"/>
              </w:rPr>
              <w:t>2</w:t>
            </w:r>
            <w:r>
              <w:rPr>
                <w:spacing w:val="-14"/>
                <w:highlight w:val="none"/>
                <w:lang w:eastAsia="zh-CN"/>
              </w:rPr>
              <w:t>分；</w:t>
            </w:r>
          </w:p>
          <w:p>
            <w:pPr>
              <w:pStyle w:val="139"/>
              <w:spacing w:before="61" w:line="247" w:lineRule="auto"/>
              <w:ind w:right="180"/>
              <w:rPr>
                <w:spacing w:val="-11"/>
                <w:highlight w:val="none"/>
                <w:lang w:eastAsia="zh-CN"/>
              </w:rPr>
            </w:pPr>
            <w:r>
              <w:rPr>
                <w:spacing w:val="-1"/>
                <w:highlight w:val="none"/>
                <w:lang w:eastAsia="zh-CN"/>
              </w:rPr>
              <w:t>③环保管理体系、管理机构一</w:t>
            </w:r>
            <w:r>
              <w:rPr>
                <w:spacing w:val="9"/>
                <w:highlight w:val="none"/>
                <w:lang w:eastAsia="zh-CN"/>
              </w:rPr>
              <w:t xml:space="preserve"> </w:t>
            </w:r>
            <w:r>
              <w:rPr>
                <w:spacing w:val="-11"/>
                <w:highlight w:val="none"/>
                <w:lang w:eastAsia="zh-CN"/>
              </w:rPr>
              <w:t>般，环保措施一般，</w:t>
            </w:r>
            <w:r>
              <w:rPr>
                <w:spacing w:val="-21"/>
                <w:highlight w:val="none"/>
                <w:lang w:eastAsia="zh-CN"/>
              </w:rPr>
              <w:t xml:space="preserve"> </w:t>
            </w:r>
            <w:r>
              <w:rPr>
                <w:spacing w:val="-11"/>
                <w:highlight w:val="none"/>
                <w:lang w:eastAsia="zh-CN"/>
              </w:rPr>
              <w:t>得</w:t>
            </w:r>
            <w:r>
              <w:rPr>
                <w:spacing w:val="-28"/>
                <w:highlight w:val="none"/>
                <w:lang w:eastAsia="zh-CN"/>
              </w:rPr>
              <w:t xml:space="preserve"> </w:t>
            </w:r>
            <w:r>
              <w:rPr>
                <w:spacing w:val="-11"/>
                <w:highlight w:val="none"/>
                <w:lang w:eastAsia="zh-CN"/>
              </w:rPr>
              <w:t>1</w:t>
            </w:r>
            <w:r>
              <w:rPr>
                <w:spacing w:val="-44"/>
                <w:highlight w:val="none"/>
                <w:lang w:eastAsia="zh-CN"/>
              </w:rPr>
              <w:t xml:space="preserve"> </w:t>
            </w:r>
            <w:r>
              <w:rPr>
                <w:spacing w:val="-11"/>
                <w:highlight w:val="none"/>
                <w:lang w:eastAsia="zh-CN"/>
              </w:rPr>
              <w:t>分；</w:t>
            </w:r>
          </w:p>
          <w:p>
            <w:pPr>
              <w:pStyle w:val="139"/>
              <w:spacing w:before="61" w:line="247" w:lineRule="auto"/>
              <w:ind w:right="180"/>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工程进度计划与措 施（3分）</w:t>
            </w:r>
          </w:p>
        </w:tc>
        <w:tc>
          <w:tcPr>
            <w:tcW w:w="4950" w:type="dxa"/>
            <w:noWrap/>
            <w:vAlign w:val="center"/>
          </w:tcPr>
          <w:p>
            <w:pPr>
              <w:pStyle w:val="139"/>
              <w:spacing w:before="152" w:line="247" w:lineRule="auto"/>
              <w:ind w:right="101"/>
              <w:rPr>
                <w:highlight w:val="none"/>
                <w:lang w:eastAsia="zh-CN"/>
              </w:rPr>
            </w:pPr>
            <w:r>
              <w:rPr>
                <w:spacing w:val="-1"/>
                <w:highlight w:val="none"/>
                <w:lang w:eastAsia="zh-CN"/>
              </w:rPr>
              <w:t xml:space="preserve">①对本项目的工期及关键节点 </w:t>
            </w:r>
            <w:r>
              <w:rPr>
                <w:spacing w:val="-5"/>
                <w:highlight w:val="none"/>
                <w:lang w:eastAsia="zh-CN"/>
              </w:rPr>
              <w:t>工期的重要性理解透彻，工期保</w:t>
            </w:r>
            <w:r>
              <w:rPr>
                <w:spacing w:val="-1"/>
                <w:highlight w:val="none"/>
                <w:lang w:eastAsia="zh-CN"/>
              </w:rPr>
              <w:t>证措施得当，进度计划安排合</w:t>
            </w:r>
            <w:r>
              <w:rPr>
                <w:spacing w:val="7"/>
                <w:highlight w:val="none"/>
                <w:lang w:eastAsia="zh-CN"/>
              </w:rPr>
              <w:t xml:space="preserve"> </w:t>
            </w:r>
            <w:r>
              <w:rPr>
                <w:spacing w:val="-22"/>
                <w:highlight w:val="none"/>
                <w:lang w:eastAsia="zh-CN"/>
              </w:rPr>
              <w:t>理，</w:t>
            </w:r>
            <w:r>
              <w:rPr>
                <w:spacing w:val="-26"/>
                <w:highlight w:val="none"/>
                <w:lang w:eastAsia="zh-CN"/>
              </w:rPr>
              <w:t xml:space="preserve"> </w:t>
            </w:r>
            <w:r>
              <w:rPr>
                <w:spacing w:val="-22"/>
                <w:highlight w:val="none"/>
                <w:lang w:eastAsia="zh-CN"/>
              </w:rPr>
              <w:t>得</w:t>
            </w:r>
            <w:r>
              <w:rPr>
                <w:spacing w:val="-40"/>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2" w:line="247" w:lineRule="auto"/>
              <w:ind w:right="101"/>
              <w:rPr>
                <w:highlight w:val="none"/>
                <w:lang w:eastAsia="zh-CN"/>
              </w:rPr>
            </w:pPr>
            <w:r>
              <w:rPr>
                <w:spacing w:val="-5"/>
                <w:highlight w:val="none"/>
                <w:lang w:eastAsia="zh-CN"/>
              </w:rPr>
              <w:t>②工期保证措施比较可靠，进度</w:t>
            </w:r>
            <w:r>
              <w:rPr>
                <w:spacing w:val="12"/>
                <w:highlight w:val="none"/>
                <w:lang w:eastAsia="zh-CN"/>
              </w:rPr>
              <w:t xml:space="preserve"> </w:t>
            </w:r>
            <w:r>
              <w:rPr>
                <w:spacing w:val="-4"/>
                <w:highlight w:val="none"/>
                <w:lang w:eastAsia="zh-CN"/>
              </w:rPr>
              <w:t>计划安排较合理，得</w:t>
            </w:r>
            <w:r>
              <w:rPr>
                <w:rFonts w:hint="eastAsia"/>
                <w:spacing w:val="-42"/>
                <w:highlight w:val="none"/>
                <w:lang w:eastAsia="zh-CN"/>
              </w:rPr>
              <w:t>2</w:t>
            </w:r>
            <w:r>
              <w:rPr>
                <w:spacing w:val="-4"/>
                <w:highlight w:val="none"/>
                <w:lang w:eastAsia="zh-CN"/>
              </w:rPr>
              <w:t>分；</w:t>
            </w:r>
          </w:p>
          <w:p>
            <w:pPr>
              <w:pStyle w:val="139"/>
              <w:spacing w:before="62" w:line="247" w:lineRule="auto"/>
              <w:ind w:right="101"/>
              <w:rPr>
                <w:highlight w:val="none"/>
                <w:lang w:eastAsia="zh-CN"/>
              </w:rPr>
            </w:pPr>
            <w:r>
              <w:rPr>
                <w:spacing w:val="-5"/>
                <w:highlight w:val="none"/>
                <w:lang w:eastAsia="zh-CN"/>
              </w:rPr>
              <w:t>③工期保证措施一般，进度计划</w:t>
            </w:r>
            <w:r>
              <w:rPr>
                <w:spacing w:val="12"/>
                <w:highlight w:val="none"/>
                <w:lang w:eastAsia="zh-CN"/>
              </w:rPr>
              <w:t xml:space="preserve"> </w:t>
            </w:r>
            <w:r>
              <w:rPr>
                <w:spacing w:val="-17"/>
                <w:highlight w:val="none"/>
                <w:lang w:eastAsia="zh-CN"/>
              </w:rPr>
              <w:t>安排一般，</w:t>
            </w:r>
            <w:r>
              <w:rPr>
                <w:spacing w:val="-16"/>
                <w:highlight w:val="none"/>
                <w:lang w:eastAsia="zh-CN"/>
              </w:rPr>
              <w:t xml:space="preserve"> </w:t>
            </w:r>
            <w:r>
              <w:rPr>
                <w:spacing w:val="-17"/>
                <w:highlight w:val="none"/>
                <w:lang w:eastAsia="zh-CN"/>
              </w:rPr>
              <w:t>得</w:t>
            </w:r>
            <w:r>
              <w:rPr>
                <w:spacing w:val="-28"/>
                <w:highlight w:val="none"/>
                <w:lang w:eastAsia="zh-CN"/>
              </w:rPr>
              <w:t xml:space="preserve"> </w:t>
            </w:r>
            <w:r>
              <w:rPr>
                <w:spacing w:val="-17"/>
                <w:highlight w:val="none"/>
                <w:lang w:eastAsia="zh-CN"/>
              </w:rPr>
              <w:t>1</w:t>
            </w:r>
            <w:r>
              <w:rPr>
                <w:spacing w:val="-44"/>
                <w:highlight w:val="none"/>
                <w:lang w:eastAsia="zh-CN"/>
              </w:rPr>
              <w:t xml:space="preserve"> </w:t>
            </w:r>
            <w:r>
              <w:rPr>
                <w:spacing w:val="-17"/>
                <w:highlight w:val="none"/>
                <w:lang w:eastAsia="zh-CN"/>
              </w:rPr>
              <w:t>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资源配备计划（3分）</w:t>
            </w:r>
          </w:p>
        </w:tc>
        <w:tc>
          <w:tcPr>
            <w:tcW w:w="4950" w:type="dxa"/>
            <w:noWrap/>
            <w:vAlign w:val="center"/>
          </w:tcPr>
          <w:p>
            <w:pPr>
              <w:pStyle w:val="139"/>
              <w:spacing w:before="153" w:line="218" w:lineRule="auto"/>
              <w:rPr>
                <w:highlight w:val="none"/>
                <w:lang w:eastAsia="zh-CN"/>
              </w:rPr>
            </w:pPr>
            <w:r>
              <w:rPr>
                <w:spacing w:val="-5"/>
                <w:highlight w:val="none"/>
                <w:lang w:eastAsia="zh-CN"/>
              </w:rPr>
              <w:t>①劳动力安排、材料、机械设备</w:t>
            </w:r>
            <w:r>
              <w:rPr>
                <w:spacing w:val="-1"/>
                <w:highlight w:val="none"/>
                <w:lang w:eastAsia="zh-CN"/>
              </w:rPr>
              <w:t>投入计划与施工进度计划一</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设备）和施工机具种类、数量完全满足施工要求，得</w:t>
            </w:r>
            <w:r>
              <w:rPr>
                <w:spacing w:val="-30"/>
                <w:highlight w:val="none"/>
                <w:lang w:eastAsia="zh-CN"/>
              </w:rPr>
              <w:t xml:space="preserve"> </w:t>
            </w:r>
            <w:r>
              <w:rPr>
                <w:rFonts w:hint="eastAsia"/>
                <w:spacing w:val="-5"/>
                <w:highlight w:val="none"/>
                <w:lang w:eastAsia="zh-CN"/>
              </w:rPr>
              <w:t>3</w:t>
            </w:r>
            <w:r>
              <w:rPr>
                <w:spacing w:val="-5"/>
                <w:highlight w:val="none"/>
                <w:lang w:eastAsia="zh-CN"/>
              </w:rPr>
              <w:t>分；</w:t>
            </w:r>
          </w:p>
          <w:p>
            <w:pPr>
              <w:pStyle w:val="139"/>
              <w:spacing w:before="61" w:line="218" w:lineRule="auto"/>
              <w:rPr>
                <w:highlight w:val="none"/>
                <w:lang w:eastAsia="zh-CN"/>
              </w:rPr>
            </w:pPr>
            <w:r>
              <w:rPr>
                <w:spacing w:val="-5"/>
                <w:highlight w:val="none"/>
                <w:lang w:eastAsia="zh-CN"/>
              </w:rPr>
              <w:t>②劳动力安排、材料、机械投入</w:t>
            </w:r>
            <w:r>
              <w:rPr>
                <w:spacing w:val="-1"/>
                <w:highlight w:val="none"/>
                <w:lang w:eastAsia="zh-CN"/>
              </w:rPr>
              <w:t xml:space="preserve">计划与施工进度计划基本一  </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设备）和施工机具种类、数量基本满足施工要求，得</w:t>
            </w:r>
            <w:r>
              <w:rPr>
                <w:rFonts w:hint="eastAsia"/>
                <w:spacing w:val="-5"/>
                <w:highlight w:val="none"/>
                <w:lang w:eastAsia="zh-CN"/>
              </w:rPr>
              <w:t>2</w:t>
            </w:r>
            <w:r>
              <w:rPr>
                <w:spacing w:val="-5"/>
                <w:highlight w:val="none"/>
                <w:lang w:eastAsia="zh-CN"/>
              </w:rPr>
              <w:t>分；</w:t>
            </w:r>
          </w:p>
          <w:p>
            <w:pPr>
              <w:pStyle w:val="139"/>
              <w:spacing w:before="61" w:line="261" w:lineRule="auto"/>
              <w:ind w:right="61"/>
              <w:rPr>
                <w:highlight w:val="none"/>
                <w:lang w:eastAsia="zh-CN"/>
              </w:rPr>
            </w:pPr>
            <w:r>
              <w:rPr>
                <w:spacing w:val="-5"/>
                <w:highlight w:val="none"/>
                <w:lang w:eastAsia="zh-CN"/>
              </w:rPr>
              <w:t>③劳动力安排、材料、机械投入</w:t>
            </w:r>
            <w:r>
              <w:rPr>
                <w:spacing w:val="12"/>
                <w:highlight w:val="none"/>
                <w:lang w:eastAsia="zh-CN"/>
              </w:rPr>
              <w:t xml:space="preserve"> </w:t>
            </w:r>
            <w:r>
              <w:rPr>
                <w:spacing w:val="-5"/>
                <w:highlight w:val="none"/>
                <w:lang w:eastAsia="zh-CN"/>
              </w:rPr>
              <w:t>计划与施工进度计划不一致，配</w:t>
            </w:r>
            <w:r>
              <w:rPr>
                <w:spacing w:val="10"/>
                <w:highlight w:val="none"/>
                <w:lang w:eastAsia="zh-CN"/>
              </w:rPr>
              <w:t xml:space="preserve"> </w:t>
            </w:r>
            <w:r>
              <w:rPr>
                <w:spacing w:val="-2"/>
                <w:highlight w:val="none"/>
                <w:lang w:eastAsia="zh-CN"/>
              </w:rPr>
              <w:t>备的设备（含检测、监测设备）</w:t>
            </w:r>
            <w:r>
              <w:rPr>
                <w:spacing w:val="9"/>
                <w:highlight w:val="none"/>
                <w:lang w:eastAsia="zh-CN"/>
              </w:rPr>
              <w:t xml:space="preserve"> </w:t>
            </w:r>
            <w:r>
              <w:rPr>
                <w:spacing w:val="-5"/>
                <w:highlight w:val="none"/>
                <w:lang w:eastAsia="zh-CN"/>
              </w:rPr>
              <w:t>或施工机具种类、数量不满足施</w:t>
            </w:r>
            <w:r>
              <w:rPr>
                <w:rFonts w:hint="eastAsia"/>
                <w:spacing w:val="-5"/>
                <w:highlight w:val="none"/>
                <w:lang w:eastAsia="zh-CN"/>
              </w:rPr>
              <w:t>工要求，得1分。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w:t>
            </w:r>
            <w:r>
              <w:rPr>
                <w:rFonts w:hint="eastAsia" w:ascii="Times New Roman" w:hAnsi="Times New Roman"/>
                <w:szCs w:val="21"/>
                <w:highlight w:val="none"/>
              </w:rPr>
              <w:t>(</w:t>
            </w:r>
            <w:r>
              <w:rPr>
                <w:rFonts w:ascii="Times New Roman" w:hAnsi="Times New Roman"/>
                <w:szCs w:val="21"/>
                <w:highlight w:val="none"/>
              </w:rPr>
              <w:t>2</w:t>
            </w:r>
            <w:r>
              <w:rPr>
                <w:rFonts w:hint="eastAsia" w:ascii="Times New Roman" w:hAnsi="Times New Roman"/>
                <w:szCs w:val="21"/>
                <w:highlight w:val="none"/>
              </w:rPr>
              <w:t>)</w:t>
            </w:r>
          </w:p>
        </w:tc>
        <w:tc>
          <w:tcPr>
            <w:tcW w:w="1124" w:type="dxa"/>
            <w:vMerge w:val="restart"/>
            <w:noWrap/>
            <w:vAlign w:val="center"/>
          </w:tcPr>
          <w:p>
            <w:pPr>
              <w:snapToGrid w:val="0"/>
              <w:spacing w:line="360" w:lineRule="auto"/>
              <w:jc w:val="center"/>
              <w:rPr>
                <w:highlight w:val="none"/>
              </w:rPr>
            </w:pPr>
            <w:r>
              <w:rPr>
                <w:highlight w:val="none"/>
              </w:rPr>
              <w:t>项目管理机构评分标准</w:t>
            </w:r>
          </w:p>
          <w:p>
            <w:pPr>
              <w:snapToGrid w:val="0"/>
              <w:spacing w:line="360" w:lineRule="auto"/>
              <w:jc w:val="center"/>
              <w:rPr>
                <w:rFonts w:ascii="Times New Roman" w:hAnsi="Times New Roman"/>
                <w:szCs w:val="21"/>
                <w:highlight w:val="none"/>
              </w:rPr>
            </w:pPr>
            <w:r>
              <w:rPr>
                <w:rFonts w:hint="eastAsia"/>
                <w:highlight w:val="none"/>
              </w:rPr>
              <w:t>（5分）</w:t>
            </w:r>
          </w:p>
        </w:tc>
        <w:tc>
          <w:tcPr>
            <w:tcW w:w="2147" w:type="dxa"/>
            <w:noWrap/>
            <w:vAlign w:val="center"/>
          </w:tcPr>
          <w:p>
            <w:pPr>
              <w:pStyle w:val="141"/>
              <w:jc w:val="center"/>
              <w:rPr>
                <w:rFonts w:ascii="Times New Roman" w:cs="Times New Roman"/>
                <w:color w:val="auto"/>
                <w:sz w:val="21"/>
                <w:szCs w:val="21"/>
                <w:highlight w:val="none"/>
              </w:rPr>
            </w:pPr>
            <w:r>
              <w:rPr>
                <w:rFonts w:ascii="Times New Roman" w:cs="Times New Roman"/>
                <w:color w:val="auto"/>
                <w:sz w:val="21"/>
                <w:szCs w:val="21"/>
                <w:highlight w:val="none"/>
              </w:rPr>
              <w:t>项目经理</w:t>
            </w:r>
            <w:r>
              <w:rPr>
                <w:rFonts w:hint="eastAsia" w:ascii="Times New Roman" w:cs="Times New Roman"/>
                <w:color w:val="auto"/>
                <w:sz w:val="21"/>
                <w:szCs w:val="21"/>
                <w:highlight w:val="none"/>
              </w:rPr>
              <w:t>业绩</w:t>
            </w:r>
          </w:p>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项目经理具有类似内容施工业</w:t>
            </w:r>
            <w:r>
              <w:rPr>
                <w:spacing w:val="-7"/>
                <w:highlight w:val="none"/>
              </w:rPr>
              <w:t>绩的，每提供一个得</w:t>
            </w:r>
            <w:r>
              <w:rPr>
                <w:spacing w:val="-26"/>
                <w:highlight w:val="none"/>
              </w:rPr>
              <w:t xml:space="preserve"> </w:t>
            </w:r>
            <w:r>
              <w:rPr>
                <w:spacing w:val="-7"/>
                <w:highlight w:val="none"/>
              </w:rPr>
              <w:t>1</w:t>
            </w:r>
            <w:r>
              <w:rPr>
                <w:spacing w:val="-44"/>
                <w:highlight w:val="none"/>
              </w:rPr>
              <w:t xml:space="preserve"> </w:t>
            </w:r>
            <w:r>
              <w:rPr>
                <w:spacing w:val="-7"/>
                <w:highlight w:val="none"/>
              </w:rPr>
              <w:t>分，最多</w:t>
            </w:r>
            <w:r>
              <w:rPr>
                <w:spacing w:val="-6"/>
                <w:highlight w:val="none"/>
              </w:rPr>
              <w:t>得</w:t>
            </w:r>
            <w:r>
              <w:rPr>
                <w:spacing w:val="-40"/>
                <w:highlight w:val="none"/>
              </w:rPr>
              <w:t xml:space="preserve"> </w:t>
            </w:r>
            <w:r>
              <w:rPr>
                <w:rFonts w:hint="eastAsia"/>
                <w:spacing w:val="-6"/>
                <w:highlight w:val="none"/>
              </w:rPr>
              <w:t>3</w:t>
            </w:r>
            <w:r>
              <w:rPr>
                <w:spacing w:val="-6"/>
                <w:highlight w:val="none"/>
              </w:rPr>
              <w:t>分。以合同协议书和验收鉴定书为准。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napToGrid w:val="0"/>
              <w:spacing w:line="360" w:lineRule="auto"/>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kern w:val="2"/>
                <w:sz w:val="21"/>
                <w:szCs w:val="21"/>
                <w:highlight w:val="none"/>
              </w:rPr>
            </w:pPr>
            <w:r>
              <w:rPr>
                <w:rFonts w:hint="eastAsia" w:ascii="Times New Roman" w:cs="Times New Roman"/>
                <w:color w:val="auto"/>
                <w:sz w:val="21"/>
                <w:szCs w:val="21"/>
                <w:highlight w:val="none"/>
              </w:rPr>
              <w:t>技术负责人职称（2分）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具有</w:t>
            </w:r>
            <w:r>
              <w:rPr>
                <w:spacing w:val="4"/>
                <w:highlight w:val="none"/>
              </w:rPr>
              <w:t>相关专业</w:t>
            </w:r>
            <w:r>
              <w:rPr>
                <w:rFonts w:hint="eastAsia"/>
                <w:spacing w:val="4"/>
                <w:highlight w:val="none"/>
              </w:rPr>
              <w:t>中</w:t>
            </w:r>
            <w:r>
              <w:rPr>
                <w:spacing w:val="4"/>
                <w:highlight w:val="none"/>
              </w:rPr>
              <w:t>级</w:t>
            </w:r>
            <w:r>
              <w:rPr>
                <w:rFonts w:hint="eastAsia"/>
                <w:spacing w:val="4"/>
                <w:highlight w:val="none"/>
              </w:rPr>
              <w:t>及以上</w:t>
            </w:r>
            <w:r>
              <w:rPr>
                <w:spacing w:val="4"/>
                <w:highlight w:val="none"/>
              </w:rPr>
              <w:t>技术职称</w:t>
            </w:r>
            <w:r>
              <w:rPr>
                <w:spacing w:val="-7"/>
                <w:highlight w:val="none"/>
              </w:rPr>
              <w:t>的得</w:t>
            </w:r>
            <w:r>
              <w:rPr>
                <w:spacing w:val="-23"/>
                <w:highlight w:val="none"/>
              </w:rPr>
              <w:t xml:space="preserve"> </w:t>
            </w:r>
            <w:r>
              <w:rPr>
                <w:rFonts w:hint="eastAsia"/>
                <w:spacing w:val="-7"/>
                <w:highlight w:val="none"/>
              </w:rPr>
              <w:t>2</w:t>
            </w:r>
            <w:r>
              <w:rPr>
                <w:spacing w:val="-7"/>
                <w:highlight w:val="none"/>
              </w:rPr>
              <w:t>分；其他技术职称或不提</w:t>
            </w:r>
            <w:r>
              <w:rPr>
                <w:spacing w:val="-6"/>
                <w:highlight w:val="none"/>
              </w:rPr>
              <w:t>供的得</w:t>
            </w:r>
            <w:r>
              <w:rPr>
                <w:spacing w:val="-39"/>
                <w:highlight w:val="none"/>
              </w:rPr>
              <w:t xml:space="preserve"> </w:t>
            </w:r>
            <w:r>
              <w:rPr>
                <w:spacing w:val="-6"/>
                <w:highlight w:val="none"/>
              </w:rPr>
              <w:t>0</w:t>
            </w:r>
            <w:r>
              <w:rPr>
                <w:spacing w:val="-41"/>
                <w:highlight w:val="none"/>
              </w:rPr>
              <w:t xml:space="preserve"> </w:t>
            </w:r>
            <w:r>
              <w:rPr>
                <w:spacing w:val="-6"/>
                <w:highlight w:val="none"/>
              </w:rPr>
              <w:t>分。</w:t>
            </w:r>
            <w:r>
              <w:rPr>
                <w:rFonts w:hint="eastAsia"/>
                <w:spacing w:val="-6"/>
                <w:highlight w:val="none"/>
              </w:rPr>
              <w:t>最多得2分。</w:t>
            </w:r>
            <w:r>
              <w:rPr>
                <w:spacing w:val="-6"/>
                <w:highlight w:val="none"/>
              </w:rPr>
              <w:t>以职称证书和劳动合同为准。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2.2.4(3)</w:t>
            </w:r>
          </w:p>
        </w:tc>
        <w:tc>
          <w:tcPr>
            <w:tcW w:w="1124"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投标报价评分标准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55</w:t>
            </w:r>
            <w:r>
              <w:rPr>
                <w:rFonts w:hint="eastAsia" w:ascii="Times New Roman" w:hAnsi="Times New Roman"/>
                <w:szCs w:val="21"/>
                <w:highlight w:val="none"/>
              </w:rPr>
              <w:t>分）</w:t>
            </w:r>
          </w:p>
        </w:tc>
        <w:tc>
          <w:tcPr>
            <w:tcW w:w="2147" w:type="dxa"/>
            <w:noWrap/>
            <w:vAlign w:val="center"/>
          </w:tcPr>
          <w:p>
            <w:pPr>
              <w:widowControl/>
              <w:shd w:val="clear" w:color="auto" w:fill="FFFFFF"/>
              <w:adjustRightInd w:val="0"/>
              <w:snapToGrid w:val="0"/>
              <w:spacing w:line="360" w:lineRule="auto"/>
              <w:jc w:val="center"/>
              <w:rPr>
                <w:rFonts w:ascii="Times New Roman" w:hAnsi="Times New Roman"/>
                <w:highlight w:val="none"/>
              </w:rPr>
            </w:pPr>
            <w:r>
              <w:rPr>
                <w:rFonts w:ascii="Times New Roman" w:hAnsi="Times New Roman"/>
                <w:szCs w:val="21"/>
                <w:highlight w:val="none"/>
              </w:rPr>
              <w:t>投标报价</w:t>
            </w:r>
          </w:p>
          <w:p>
            <w:pPr>
              <w:widowControl/>
              <w:shd w:val="clear" w:color="auto" w:fill="FFFFFF"/>
              <w:adjustRightInd w:val="0"/>
              <w:snapToGrid w:val="0"/>
              <w:spacing w:line="360" w:lineRule="auto"/>
              <w:jc w:val="center"/>
              <w:rPr>
                <w:rFonts w:ascii="Times New Roman" w:hAnsi="Times New Roman"/>
                <w:szCs w:val="21"/>
                <w:highlight w:val="none"/>
              </w:rPr>
            </w:pPr>
            <w:r>
              <w:rPr>
                <w:rFonts w:hint="eastAsia" w:ascii="Times New Roman" w:hAnsi="Times New Roman"/>
                <w:highlight w:val="none"/>
              </w:rPr>
              <w:t>（55分）</w:t>
            </w:r>
          </w:p>
        </w:tc>
        <w:tc>
          <w:tcPr>
            <w:tcW w:w="4950" w:type="dxa"/>
            <w:noWrap/>
            <w:vAlign w:val="center"/>
          </w:tcPr>
          <w:p>
            <w:pPr>
              <w:wordWrap w:val="0"/>
              <w:snapToGrid w:val="0"/>
              <w:spacing w:line="400" w:lineRule="exact"/>
              <w:jc w:val="left"/>
              <w:rPr>
                <w:szCs w:val="21"/>
                <w:highlight w:val="none"/>
              </w:rPr>
            </w:pPr>
            <w:r>
              <w:rPr>
                <w:rFonts w:hint="eastAsia"/>
                <w:szCs w:val="21"/>
                <w:highlight w:val="none"/>
              </w:rPr>
              <w:t>方法一：投标人的投标价等于评标基准价者得</w:t>
            </w:r>
            <w:r>
              <w:rPr>
                <w:rFonts w:hint="eastAsia"/>
                <w:szCs w:val="21"/>
                <w:highlight w:val="none"/>
                <w:u w:val="single"/>
              </w:rPr>
              <w:t>55</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（1）每高于评标基准价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（2）每低于评标基准价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pStyle w:val="139"/>
              <w:spacing w:before="63" w:line="247" w:lineRule="auto"/>
              <w:ind w:left="164" w:right="154"/>
              <w:rPr>
                <w:highlight w:val="none"/>
                <w:lang w:eastAsia="zh-CN"/>
              </w:rPr>
            </w:pPr>
            <w:r>
              <w:rPr>
                <w:spacing w:val="-10"/>
                <w:highlight w:val="none"/>
                <w:lang w:eastAsia="zh-CN"/>
              </w:rPr>
              <w:t>不足</w:t>
            </w:r>
            <w:r>
              <w:rPr>
                <w:spacing w:val="-29"/>
                <w:highlight w:val="none"/>
                <w:lang w:eastAsia="zh-CN"/>
              </w:rPr>
              <w:t xml:space="preserve"> </w:t>
            </w:r>
            <w:r>
              <w:rPr>
                <w:spacing w:val="-10"/>
                <w:highlight w:val="none"/>
                <w:lang w:eastAsia="zh-CN"/>
              </w:rPr>
              <w:t>1%时按内插法</w:t>
            </w:r>
            <w:r>
              <w:rPr>
                <w:spacing w:val="-1"/>
                <w:highlight w:val="none"/>
                <w:lang w:eastAsia="zh-CN"/>
              </w:rPr>
              <w:t>计算。得分保留两位小数，</w:t>
            </w:r>
          </w:p>
          <w:p>
            <w:pPr>
              <w:widowControl/>
              <w:jc w:val="left"/>
              <w:rPr>
                <w:rFonts w:ascii="Times New Roman" w:hAnsi="Times New Roman" w:cs="Arial"/>
                <w:highlight w:val="none"/>
              </w:rPr>
            </w:pPr>
            <w:r>
              <w:rPr>
                <w:spacing w:val="-1"/>
                <w:highlight w:val="none"/>
              </w:rPr>
              <w:t>第三位四舍五入。</w:t>
            </w:r>
            <w:r>
              <w:rPr>
                <w:rFonts w:hint="eastAsia"/>
                <w:spacing w:val="-1"/>
                <w:highlight w:val="none"/>
              </w:rPr>
              <w:t>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2.2.4(4)</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其他因素评分标准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（15分）</w:t>
            </w:r>
          </w:p>
          <w:p>
            <w:pPr>
              <w:spacing w:line="351" w:lineRule="auto"/>
              <w:rPr>
                <w:rFonts w:ascii="Arial"/>
                <w:highlight w:val="none"/>
              </w:rPr>
            </w:pPr>
          </w:p>
          <w:p>
            <w:pPr>
              <w:pStyle w:val="139"/>
              <w:spacing w:before="68" w:line="221" w:lineRule="auto"/>
              <w:ind w:left="238"/>
              <w:rPr>
                <w:highlight w:val="none"/>
                <w:lang w:eastAsia="zh-CN"/>
              </w:rPr>
            </w:pPr>
          </w:p>
          <w:p>
            <w:pPr>
              <w:spacing w:line="286" w:lineRule="auto"/>
              <w:rPr>
                <w:rFonts w:ascii="Arial"/>
                <w:highlight w:val="none"/>
              </w:rPr>
            </w:pPr>
          </w:p>
          <w:p>
            <w:pPr>
              <w:pStyle w:val="139"/>
              <w:spacing w:before="68" w:line="221" w:lineRule="auto"/>
              <w:ind w:left="339"/>
              <w:rPr>
                <w:highlight w:val="none"/>
                <w:lang w:eastAsia="zh-CN"/>
              </w:rPr>
            </w:pPr>
          </w:p>
          <w:p>
            <w:pPr>
              <w:spacing w:line="243" w:lineRule="auto"/>
              <w:rPr>
                <w:rFonts w:ascii="Arial"/>
                <w:highlight w:val="none"/>
              </w:rPr>
            </w:pPr>
          </w:p>
          <w:p>
            <w:pPr>
              <w:pStyle w:val="139"/>
              <w:spacing w:before="68" w:line="221" w:lineRule="auto"/>
              <w:ind w:left="550"/>
              <w:rPr>
                <w:highlight w:val="none"/>
                <w:lang w:eastAsia="zh-CN"/>
              </w:rPr>
            </w:pPr>
          </w:p>
        </w:tc>
        <w:tc>
          <w:tcPr>
            <w:tcW w:w="2147" w:type="dxa"/>
            <w:noWrap/>
            <w:vAlign w:val="center"/>
          </w:tcPr>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企业业绩（3分）</w:t>
            </w:r>
          </w:p>
        </w:tc>
        <w:tc>
          <w:tcPr>
            <w:tcW w:w="4950" w:type="dxa"/>
            <w:noWrap/>
            <w:vAlign w:val="center"/>
          </w:tcPr>
          <w:p>
            <w:pPr>
              <w:pStyle w:val="139"/>
              <w:spacing w:before="150" w:line="261" w:lineRule="auto"/>
              <w:ind w:left="110" w:right="101"/>
              <w:rPr>
                <w:rFonts w:ascii="Times New Roman" w:hAnsi="Times New Roman" w:cs="Arial"/>
                <w:highlight w:val="none"/>
                <w:lang w:eastAsia="zh-CN"/>
              </w:rPr>
            </w:pPr>
            <w:r>
              <w:rPr>
                <w:spacing w:val="-9"/>
                <w:highlight w:val="none"/>
                <w:lang w:eastAsia="zh-CN"/>
              </w:rPr>
              <w:t>20</w:t>
            </w:r>
            <w:r>
              <w:rPr>
                <w:rFonts w:hint="eastAsia"/>
                <w:spacing w:val="-9"/>
                <w:highlight w:val="none"/>
                <w:lang w:eastAsia="zh-CN"/>
              </w:rPr>
              <w:t>19</w:t>
            </w:r>
            <w:r>
              <w:rPr>
                <w:spacing w:val="-31"/>
                <w:highlight w:val="none"/>
                <w:lang w:eastAsia="zh-CN"/>
              </w:rPr>
              <w:t xml:space="preserve"> </w:t>
            </w:r>
            <w:r>
              <w:rPr>
                <w:spacing w:val="-9"/>
                <w:highlight w:val="none"/>
                <w:lang w:eastAsia="zh-CN"/>
              </w:rPr>
              <w:t>年</w:t>
            </w:r>
            <w:r>
              <w:rPr>
                <w:spacing w:val="-28"/>
                <w:highlight w:val="none"/>
                <w:lang w:eastAsia="zh-CN"/>
              </w:rPr>
              <w:t xml:space="preserve"> </w:t>
            </w:r>
            <w:r>
              <w:rPr>
                <w:spacing w:val="-9"/>
                <w:highlight w:val="none"/>
                <w:lang w:eastAsia="zh-CN"/>
              </w:rPr>
              <w:t>1</w:t>
            </w:r>
            <w:r>
              <w:rPr>
                <w:spacing w:val="-41"/>
                <w:highlight w:val="none"/>
                <w:lang w:eastAsia="zh-CN"/>
              </w:rPr>
              <w:t xml:space="preserve"> </w:t>
            </w:r>
            <w:r>
              <w:rPr>
                <w:spacing w:val="-9"/>
                <w:highlight w:val="none"/>
                <w:lang w:eastAsia="zh-CN"/>
              </w:rPr>
              <w:t>月</w:t>
            </w:r>
            <w:r>
              <w:rPr>
                <w:spacing w:val="-29"/>
                <w:highlight w:val="none"/>
                <w:lang w:eastAsia="zh-CN"/>
              </w:rPr>
              <w:t xml:space="preserve"> </w:t>
            </w:r>
            <w:r>
              <w:rPr>
                <w:spacing w:val="-9"/>
                <w:highlight w:val="none"/>
                <w:lang w:eastAsia="zh-CN"/>
              </w:rPr>
              <w:t>1 日至</w:t>
            </w:r>
            <w:r>
              <w:rPr>
                <w:rFonts w:hint="eastAsia"/>
                <w:spacing w:val="-9"/>
                <w:highlight w:val="none"/>
                <w:lang w:eastAsia="zh-CN"/>
              </w:rPr>
              <w:t>2024年4月</w:t>
            </w:r>
            <w:r>
              <w:rPr>
                <w:spacing w:val="-7"/>
                <w:highlight w:val="none"/>
                <w:lang w:eastAsia="zh-CN"/>
              </w:rPr>
              <w:t>，每完成</w:t>
            </w:r>
            <w:r>
              <w:rPr>
                <w:spacing w:val="-19"/>
                <w:highlight w:val="none"/>
                <w:lang w:eastAsia="zh-CN"/>
              </w:rPr>
              <w:t xml:space="preserve"> </w:t>
            </w:r>
            <w:r>
              <w:rPr>
                <w:spacing w:val="-7"/>
                <w:highlight w:val="none"/>
                <w:lang w:eastAsia="zh-CN"/>
              </w:rPr>
              <w:t>1</w:t>
            </w:r>
            <w:r>
              <w:rPr>
                <w:spacing w:val="-47"/>
                <w:highlight w:val="none"/>
                <w:lang w:eastAsia="zh-CN"/>
              </w:rPr>
              <w:t xml:space="preserve"> </w:t>
            </w:r>
            <w:r>
              <w:rPr>
                <w:spacing w:val="-7"/>
                <w:highlight w:val="none"/>
                <w:lang w:eastAsia="zh-CN"/>
              </w:rPr>
              <w:t>个与招标项</w:t>
            </w:r>
            <w:r>
              <w:rPr>
                <w:spacing w:val="-1"/>
                <w:highlight w:val="none"/>
                <w:lang w:eastAsia="zh-CN"/>
              </w:rPr>
              <w:t>目内容类似的工程施工项目得</w:t>
            </w:r>
            <w:r>
              <w:rPr>
                <w:rFonts w:hint="eastAsia"/>
                <w:spacing w:val="-44"/>
                <w:highlight w:val="none"/>
                <w:lang w:eastAsia="zh-CN"/>
              </w:rPr>
              <w:t>1</w:t>
            </w:r>
            <w:r>
              <w:rPr>
                <w:spacing w:val="-6"/>
                <w:highlight w:val="none"/>
                <w:lang w:eastAsia="zh-CN"/>
              </w:rPr>
              <w:t>分，最多得</w:t>
            </w:r>
            <w:r>
              <w:rPr>
                <w:rFonts w:hint="eastAsia"/>
                <w:spacing w:val="-38"/>
                <w:highlight w:val="none"/>
                <w:lang w:eastAsia="zh-CN"/>
              </w:rPr>
              <w:t>3</w:t>
            </w:r>
            <w:r>
              <w:rPr>
                <w:spacing w:val="-6"/>
                <w:highlight w:val="none"/>
                <w:lang w:eastAsia="zh-CN"/>
              </w:rPr>
              <w:t>分。（以中标通知</w:t>
            </w:r>
            <w:r>
              <w:rPr>
                <w:spacing w:val="-5"/>
                <w:highlight w:val="none"/>
                <w:lang w:eastAsia="zh-CN"/>
              </w:rPr>
              <w:t>书、施工合同、完工验收证明材料为准，缺一不可，业绩需在全</w:t>
            </w:r>
            <w:r>
              <w:rPr>
                <w:spacing w:val="4"/>
                <w:highlight w:val="none"/>
                <w:lang w:eastAsia="zh-CN"/>
              </w:rPr>
              <w:t xml:space="preserve">国水利建设市场监管服务平台 可查或在全国建筑市场监管公 </w:t>
            </w:r>
            <w:r>
              <w:rPr>
                <w:spacing w:val="-5"/>
                <w:highlight w:val="none"/>
                <w:lang w:eastAsia="zh-CN"/>
              </w:rPr>
              <w:t>共服务平台可查，需附网站查询截图。）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900" w:type="dxa"/>
            <w:vMerge w:val="continue"/>
            <w:noWrap/>
          </w:tcPr>
          <w:p>
            <w:pPr>
              <w:pStyle w:val="139"/>
              <w:spacing w:before="69" w:line="182" w:lineRule="auto"/>
              <w:ind w:left="536"/>
              <w:rPr>
                <w:highlight w:val="none"/>
                <w:lang w:eastAsia="zh-CN"/>
              </w:rPr>
            </w:pPr>
          </w:p>
        </w:tc>
        <w:tc>
          <w:tcPr>
            <w:tcW w:w="1124" w:type="dxa"/>
            <w:vMerge w:val="continue"/>
            <w:noWrap/>
          </w:tcPr>
          <w:p>
            <w:pPr>
              <w:pStyle w:val="139"/>
              <w:spacing w:before="68" w:line="221" w:lineRule="auto"/>
              <w:ind w:left="238"/>
              <w:rPr>
                <w:highlight w:val="none"/>
                <w:lang w:eastAsia="zh-CN"/>
              </w:rPr>
            </w:pPr>
          </w:p>
        </w:tc>
        <w:tc>
          <w:tcPr>
            <w:tcW w:w="2147" w:type="dxa"/>
            <w:noWrap/>
          </w:tcPr>
          <w:p>
            <w:pPr>
              <w:spacing w:line="245" w:lineRule="auto"/>
              <w:rPr>
                <w:rFonts w:ascii="Arial"/>
                <w:highlight w:val="none"/>
              </w:rPr>
            </w:pPr>
          </w:p>
          <w:p>
            <w:pPr>
              <w:spacing w:line="245" w:lineRule="auto"/>
              <w:rPr>
                <w:rFonts w:ascii="Arial"/>
                <w:highlight w:val="none"/>
              </w:rPr>
            </w:pPr>
          </w:p>
          <w:p>
            <w:pPr>
              <w:spacing w:line="246" w:lineRule="auto"/>
              <w:rPr>
                <w:rFonts w:ascii="Arial"/>
                <w:highlight w:val="none"/>
              </w:rPr>
            </w:pPr>
            <w:r>
              <w:rPr>
                <w:spacing w:val="-2"/>
                <w:highlight w:val="none"/>
              </w:rPr>
              <w:t>安全生产标准化</w:t>
            </w:r>
          </w:p>
          <w:p>
            <w:pPr>
              <w:pStyle w:val="139"/>
              <w:spacing w:before="69" w:line="182" w:lineRule="auto"/>
              <w:ind w:left="432"/>
              <w:rPr>
                <w:highlight w:val="none"/>
                <w:lang w:eastAsia="zh-CN"/>
              </w:rPr>
            </w:pPr>
            <w:r>
              <w:rPr>
                <w:rFonts w:hint="eastAsia"/>
                <w:spacing w:val="-2"/>
                <w:highlight w:val="none"/>
                <w:lang w:eastAsia="zh-CN"/>
              </w:rPr>
              <w:t>（2分）</w:t>
            </w:r>
          </w:p>
        </w:tc>
        <w:tc>
          <w:tcPr>
            <w:tcW w:w="4950" w:type="dxa"/>
            <w:noWrap/>
          </w:tcPr>
          <w:p>
            <w:pPr>
              <w:pStyle w:val="139"/>
              <w:spacing w:before="149" w:line="261" w:lineRule="auto"/>
              <w:ind w:left="112" w:right="101" w:firstLine="80"/>
              <w:rPr>
                <w:highlight w:val="none"/>
                <w:lang w:eastAsia="zh-CN"/>
              </w:rPr>
            </w:pPr>
            <w:r>
              <w:rPr>
                <w:spacing w:val="-2"/>
                <w:highlight w:val="none"/>
                <w:lang w:eastAsia="zh-CN"/>
              </w:rPr>
              <w:t xml:space="preserve">安全生产标准化一级达标企业 </w:t>
            </w:r>
            <w:r>
              <w:rPr>
                <w:spacing w:val="3"/>
                <w:highlight w:val="none"/>
                <w:lang w:eastAsia="zh-CN"/>
              </w:rPr>
              <w:t>得</w:t>
            </w:r>
            <w:r>
              <w:rPr>
                <w:spacing w:val="-33"/>
                <w:highlight w:val="none"/>
                <w:lang w:eastAsia="zh-CN"/>
              </w:rPr>
              <w:t xml:space="preserve"> </w:t>
            </w:r>
            <w:r>
              <w:rPr>
                <w:spacing w:val="3"/>
                <w:highlight w:val="none"/>
                <w:lang w:eastAsia="zh-CN"/>
              </w:rPr>
              <w:t>2</w:t>
            </w:r>
            <w:r>
              <w:rPr>
                <w:spacing w:val="-41"/>
                <w:highlight w:val="none"/>
                <w:lang w:eastAsia="zh-CN"/>
              </w:rPr>
              <w:t xml:space="preserve"> </w:t>
            </w:r>
            <w:r>
              <w:rPr>
                <w:spacing w:val="3"/>
                <w:highlight w:val="none"/>
                <w:lang w:eastAsia="zh-CN"/>
              </w:rPr>
              <w:t>分，二级达标企业得</w:t>
            </w:r>
            <w:r>
              <w:rPr>
                <w:spacing w:val="-32"/>
                <w:highlight w:val="none"/>
                <w:lang w:eastAsia="zh-CN"/>
              </w:rPr>
              <w:t xml:space="preserve"> </w:t>
            </w:r>
            <w:r>
              <w:rPr>
                <w:spacing w:val="3"/>
                <w:highlight w:val="none"/>
                <w:lang w:eastAsia="zh-CN"/>
              </w:rPr>
              <w:t>1.5</w:t>
            </w:r>
            <w:r>
              <w:rPr>
                <w:highlight w:val="none"/>
                <w:lang w:eastAsia="zh-CN"/>
              </w:rPr>
              <w:t xml:space="preserve">  </w:t>
            </w:r>
            <w:r>
              <w:rPr>
                <w:spacing w:val="-7"/>
                <w:highlight w:val="none"/>
                <w:lang w:eastAsia="zh-CN"/>
              </w:rPr>
              <w:t>分，三级达标企业得</w:t>
            </w:r>
            <w:r>
              <w:rPr>
                <w:spacing w:val="-26"/>
                <w:highlight w:val="none"/>
                <w:lang w:eastAsia="zh-CN"/>
              </w:rPr>
              <w:t xml:space="preserve"> </w:t>
            </w:r>
            <w:r>
              <w:rPr>
                <w:spacing w:val="-7"/>
                <w:highlight w:val="none"/>
                <w:lang w:eastAsia="zh-CN"/>
              </w:rPr>
              <w:t>1</w:t>
            </w:r>
            <w:r>
              <w:rPr>
                <w:spacing w:val="-44"/>
                <w:highlight w:val="none"/>
                <w:lang w:eastAsia="zh-CN"/>
              </w:rPr>
              <w:t xml:space="preserve"> </w:t>
            </w:r>
            <w:r>
              <w:rPr>
                <w:spacing w:val="-7"/>
                <w:highlight w:val="none"/>
                <w:lang w:eastAsia="zh-CN"/>
              </w:rPr>
              <w:t>分，未达</w:t>
            </w:r>
            <w:r>
              <w:rPr>
                <w:highlight w:val="none"/>
                <w:lang w:eastAsia="zh-CN"/>
              </w:rPr>
              <w:t xml:space="preserve"> </w:t>
            </w:r>
            <w:r>
              <w:rPr>
                <w:spacing w:val="-5"/>
                <w:highlight w:val="none"/>
                <w:lang w:eastAsia="zh-CN"/>
              </w:rPr>
              <w:t>标的企业不得分。以安全生产标</w:t>
            </w:r>
            <w:r>
              <w:rPr>
                <w:spacing w:val="-4"/>
                <w:highlight w:val="none"/>
                <w:lang w:eastAsia="zh-CN"/>
              </w:rPr>
              <w:t>准化证书为准。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900" w:type="dxa"/>
            <w:vMerge w:val="continue"/>
            <w:noWrap/>
          </w:tcPr>
          <w:p>
            <w:pPr>
              <w:pStyle w:val="139"/>
              <w:spacing w:before="69" w:line="182" w:lineRule="auto"/>
              <w:ind w:left="537"/>
              <w:rPr>
                <w:highlight w:val="none"/>
                <w:lang w:eastAsia="zh-CN"/>
              </w:rPr>
            </w:pPr>
          </w:p>
        </w:tc>
        <w:tc>
          <w:tcPr>
            <w:tcW w:w="1124" w:type="dxa"/>
            <w:vMerge w:val="continue"/>
            <w:noWrap/>
          </w:tcPr>
          <w:p>
            <w:pPr>
              <w:pStyle w:val="139"/>
              <w:spacing w:before="68" w:line="221" w:lineRule="auto"/>
              <w:ind w:left="339"/>
              <w:rPr>
                <w:highlight w:val="none"/>
                <w:lang w:eastAsia="zh-CN"/>
              </w:rPr>
            </w:pPr>
          </w:p>
        </w:tc>
        <w:tc>
          <w:tcPr>
            <w:tcW w:w="2147" w:type="dxa"/>
            <w:noWrap/>
          </w:tcPr>
          <w:p>
            <w:pPr>
              <w:spacing w:line="298" w:lineRule="auto"/>
              <w:rPr>
                <w:rFonts w:ascii="Arial"/>
                <w:highlight w:val="none"/>
              </w:rPr>
            </w:pPr>
          </w:p>
          <w:p>
            <w:pPr>
              <w:pStyle w:val="139"/>
              <w:spacing w:before="68" w:line="182" w:lineRule="auto"/>
              <w:rPr>
                <w:spacing w:val="-3"/>
                <w:highlight w:val="none"/>
              </w:rPr>
            </w:pPr>
            <w:r>
              <w:rPr>
                <w:spacing w:val="-1"/>
                <w:highlight w:val="none"/>
              </w:rPr>
              <w:t>信用等级标准</w:t>
            </w:r>
          </w:p>
          <w:p>
            <w:pPr>
              <w:pStyle w:val="139"/>
              <w:spacing w:before="68" w:line="182" w:lineRule="auto"/>
              <w:ind w:left="433"/>
              <w:rPr>
                <w:highlight w:val="none"/>
              </w:rPr>
            </w:pPr>
            <w:r>
              <w:rPr>
                <w:rFonts w:hint="eastAsia"/>
                <w:spacing w:val="-3"/>
                <w:highlight w:val="none"/>
                <w:lang w:eastAsia="zh-CN"/>
              </w:rPr>
              <w:t>（3分）</w:t>
            </w:r>
          </w:p>
        </w:tc>
        <w:tc>
          <w:tcPr>
            <w:tcW w:w="4950" w:type="dxa"/>
            <w:noWrap/>
          </w:tcPr>
          <w:p>
            <w:pPr>
              <w:pStyle w:val="139"/>
              <w:spacing w:before="149" w:line="264" w:lineRule="auto"/>
              <w:ind w:left="122" w:right="101" w:firstLine="67"/>
              <w:rPr>
                <w:highlight w:val="none"/>
                <w:lang w:eastAsia="zh-CN"/>
              </w:rPr>
            </w:pPr>
            <w:r>
              <w:rPr>
                <w:spacing w:val="-1"/>
                <w:highlight w:val="none"/>
                <w:lang w:eastAsia="zh-CN"/>
              </w:rPr>
              <w:t xml:space="preserve">按照投标人在水利部平台或辽 </w:t>
            </w:r>
            <w:r>
              <w:rPr>
                <w:spacing w:val="4"/>
                <w:highlight w:val="none"/>
                <w:lang w:eastAsia="zh-CN"/>
              </w:rPr>
              <w:t xml:space="preserve">宁平台公开的信用等级计算得 </w:t>
            </w:r>
            <w:r>
              <w:rPr>
                <w:spacing w:val="-11"/>
                <w:highlight w:val="none"/>
                <w:lang w:eastAsia="zh-CN"/>
              </w:rPr>
              <w:t>分， AAA 级得</w:t>
            </w:r>
            <w:r>
              <w:rPr>
                <w:spacing w:val="-28"/>
                <w:highlight w:val="none"/>
                <w:lang w:eastAsia="zh-CN"/>
              </w:rPr>
              <w:t xml:space="preserve"> </w:t>
            </w:r>
            <w:r>
              <w:rPr>
                <w:spacing w:val="-11"/>
                <w:highlight w:val="none"/>
                <w:lang w:eastAsia="zh-CN"/>
              </w:rPr>
              <w:t>3</w:t>
            </w:r>
            <w:r>
              <w:rPr>
                <w:spacing w:val="-44"/>
                <w:highlight w:val="none"/>
                <w:lang w:eastAsia="zh-CN"/>
              </w:rPr>
              <w:t xml:space="preserve"> </w:t>
            </w:r>
            <w:r>
              <w:rPr>
                <w:spacing w:val="-11"/>
                <w:highlight w:val="none"/>
                <w:lang w:eastAsia="zh-CN"/>
              </w:rPr>
              <w:t>分，</w:t>
            </w:r>
            <w:r>
              <w:rPr>
                <w:spacing w:val="-34"/>
                <w:highlight w:val="none"/>
                <w:lang w:eastAsia="zh-CN"/>
              </w:rPr>
              <w:t xml:space="preserve"> </w:t>
            </w:r>
            <w:r>
              <w:rPr>
                <w:spacing w:val="-11"/>
                <w:highlight w:val="none"/>
                <w:lang w:eastAsia="zh-CN"/>
              </w:rPr>
              <w:t>AA</w:t>
            </w:r>
            <w:r>
              <w:rPr>
                <w:spacing w:val="-43"/>
                <w:highlight w:val="none"/>
                <w:lang w:eastAsia="zh-CN"/>
              </w:rPr>
              <w:t xml:space="preserve"> </w:t>
            </w:r>
            <w:r>
              <w:rPr>
                <w:spacing w:val="-11"/>
                <w:highlight w:val="none"/>
                <w:lang w:eastAsia="zh-CN"/>
              </w:rPr>
              <w:t>级得评</w:t>
            </w:r>
            <w:r>
              <w:rPr>
                <w:highlight w:val="none"/>
                <w:lang w:eastAsia="zh-CN"/>
              </w:rPr>
              <w:t xml:space="preserve"> </w:t>
            </w:r>
            <w:r>
              <w:rPr>
                <w:spacing w:val="-9"/>
                <w:highlight w:val="none"/>
                <w:lang w:eastAsia="zh-CN"/>
              </w:rPr>
              <w:t>审总分的</w:t>
            </w:r>
            <w:r>
              <w:rPr>
                <w:spacing w:val="-35"/>
                <w:highlight w:val="none"/>
                <w:lang w:eastAsia="zh-CN"/>
              </w:rPr>
              <w:t xml:space="preserve"> </w:t>
            </w:r>
            <w:r>
              <w:rPr>
                <w:spacing w:val="-9"/>
                <w:highlight w:val="none"/>
                <w:lang w:eastAsia="zh-CN"/>
              </w:rPr>
              <w:t>2</w:t>
            </w:r>
            <w:r>
              <w:rPr>
                <w:spacing w:val="-44"/>
                <w:highlight w:val="none"/>
                <w:lang w:eastAsia="zh-CN"/>
              </w:rPr>
              <w:t xml:space="preserve"> </w:t>
            </w:r>
            <w:r>
              <w:rPr>
                <w:spacing w:val="-9"/>
                <w:highlight w:val="none"/>
                <w:lang w:eastAsia="zh-CN"/>
              </w:rPr>
              <w:t>分，</w:t>
            </w:r>
            <w:r>
              <w:rPr>
                <w:spacing w:val="-35"/>
                <w:highlight w:val="none"/>
                <w:lang w:eastAsia="zh-CN"/>
              </w:rPr>
              <w:t xml:space="preserve"> </w:t>
            </w:r>
            <w:r>
              <w:rPr>
                <w:spacing w:val="-9"/>
                <w:highlight w:val="none"/>
                <w:lang w:eastAsia="zh-CN"/>
              </w:rPr>
              <w:t>A</w:t>
            </w:r>
            <w:r>
              <w:rPr>
                <w:spacing w:val="-40"/>
                <w:highlight w:val="none"/>
                <w:lang w:eastAsia="zh-CN"/>
              </w:rPr>
              <w:t xml:space="preserve"> </w:t>
            </w:r>
            <w:r>
              <w:rPr>
                <w:spacing w:val="-9"/>
                <w:highlight w:val="none"/>
                <w:lang w:eastAsia="zh-CN"/>
              </w:rPr>
              <w:t>级得评审总分</w:t>
            </w:r>
            <w:r>
              <w:rPr>
                <w:highlight w:val="none"/>
                <w:lang w:eastAsia="zh-CN"/>
              </w:rPr>
              <w:t xml:space="preserve"> </w:t>
            </w:r>
            <w:r>
              <w:rPr>
                <w:spacing w:val="-17"/>
                <w:highlight w:val="none"/>
                <w:lang w:eastAsia="zh-CN"/>
              </w:rPr>
              <w:t>的</w:t>
            </w:r>
            <w:r>
              <w:rPr>
                <w:spacing w:val="-28"/>
                <w:highlight w:val="none"/>
                <w:lang w:eastAsia="zh-CN"/>
              </w:rPr>
              <w:t xml:space="preserve"> </w:t>
            </w:r>
            <w:r>
              <w:rPr>
                <w:spacing w:val="-17"/>
                <w:highlight w:val="none"/>
                <w:lang w:eastAsia="zh-CN"/>
              </w:rPr>
              <w:t>1</w:t>
            </w:r>
            <w:r>
              <w:rPr>
                <w:spacing w:val="-42"/>
                <w:highlight w:val="none"/>
                <w:lang w:eastAsia="zh-CN"/>
              </w:rPr>
              <w:t xml:space="preserve"> </w:t>
            </w:r>
            <w:r>
              <w:rPr>
                <w:spacing w:val="-17"/>
                <w:highlight w:val="none"/>
                <w:lang w:eastAsia="zh-CN"/>
              </w:rPr>
              <w:t>分，</w:t>
            </w:r>
            <w:r>
              <w:rPr>
                <w:spacing w:val="52"/>
                <w:highlight w:val="none"/>
                <w:lang w:eastAsia="zh-CN"/>
              </w:rPr>
              <w:t xml:space="preserve"> </w:t>
            </w:r>
            <w:r>
              <w:rPr>
                <w:spacing w:val="-17"/>
                <w:highlight w:val="none"/>
                <w:lang w:eastAsia="zh-CN"/>
              </w:rPr>
              <w:t>B</w:t>
            </w:r>
            <w:r>
              <w:rPr>
                <w:spacing w:val="-43"/>
                <w:highlight w:val="none"/>
                <w:lang w:eastAsia="zh-CN"/>
              </w:rPr>
              <w:t xml:space="preserve"> </w:t>
            </w:r>
            <w:r>
              <w:rPr>
                <w:spacing w:val="-17"/>
                <w:highlight w:val="none"/>
                <w:lang w:eastAsia="zh-CN"/>
              </w:rPr>
              <w:t>级得</w:t>
            </w:r>
            <w:r>
              <w:rPr>
                <w:spacing w:val="-42"/>
                <w:highlight w:val="none"/>
                <w:lang w:eastAsia="zh-CN"/>
              </w:rPr>
              <w:t xml:space="preserve"> </w:t>
            </w:r>
            <w:r>
              <w:rPr>
                <w:spacing w:val="-17"/>
                <w:highlight w:val="none"/>
                <w:lang w:eastAsia="zh-CN"/>
              </w:rPr>
              <w:t>0.5</w:t>
            </w:r>
            <w:r>
              <w:rPr>
                <w:spacing w:val="-44"/>
                <w:highlight w:val="none"/>
                <w:lang w:eastAsia="zh-CN"/>
              </w:rPr>
              <w:t xml:space="preserve"> </w:t>
            </w:r>
            <w:r>
              <w:rPr>
                <w:spacing w:val="-17"/>
                <w:highlight w:val="none"/>
                <w:lang w:eastAsia="zh-CN"/>
              </w:rPr>
              <w:t>分，</w:t>
            </w:r>
            <w:r>
              <w:rPr>
                <w:spacing w:val="-48"/>
                <w:highlight w:val="none"/>
                <w:lang w:eastAsia="zh-CN"/>
              </w:rPr>
              <w:t xml:space="preserve"> </w:t>
            </w:r>
            <w:r>
              <w:rPr>
                <w:spacing w:val="-17"/>
                <w:highlight w:val="none"/>
                <w:lang w:eastAsia="zh-CN"/>
              </w:rPr>
              <w:t>C</w:t>
            </w:r>
            <w:r>
              <w:rPr>
                <w:spacing w:val="-41"/>
                <w:highlight w:val="none"/>
                <w:lang w:eastAsia="zh-CN"/>
              </w:rPr>
              <w:t xml:space="preserve"> </w:t>
            </w:r>
            <w:r>
              <w:rPr>
                <w:spacing w:val="-17"/>
                <w:highlight w:val="none"/>
                <w:lang w:eastAsia="zh-CN"/>
              </w:rPr>
              <w:t>级及</w:t>
            </w:r>
            <w:r>
              <w:rPr>
                <w:spacing w:val="-3"/>
                <w:highlight w:val="none"/>
                <w:lang w:eastAsia="zh-CN"/>
              </w:rPr>
              <w:t>无信用等级不得分。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continue"/>
            <w:noWrap/>
          </w:tcPr>
          <w:p>
            <w:pPr>
              <w:pStyle w:val="139"/>
              <w:spacing w:before="68" w:line="182" w:lineRule="auto"/>
              <w:ind w:left="532"/>
              <w:rPr>
                <w:highlight w:val="none"/>
                <w:lang w:eastAsia="zh-CN"/>
              </w:rPr>
            </w:pPr>
          </w:p>
        </w:tc>
        <w:tc>
          <w:tcPr>
            <w:tcW w:w="1124" w:type="dxa"/>
            <w:vMerge w:val="continue"/>
            <w:noWrap/>
          </w:tcPr>
          <w:p>
            <w:pPr>
              <w:pStyle w:val="139"/>
              <w:spacing w:before="68" w:line="221" w:lineRule="auto"/>
              <w:ind w:left="550"/>
              <w:rPr>
                <w:highlight w:val="none"/>
                <w:lang w:eastAsia="zh-CN"/>
              </w:rPr>
            </w:pPr>
          </w:p>
        </w:tc>
        <w:tc>
          <w:tcPr>
            <w:tcW w:w="2147" w:type="dxa"/>
            <w:noWrap/>
          </w:tcPr>
          <w:p>
            <w:pPr>
              <w:spacing w:line="247" w:lineRule="auto"/>
              <w:rPr>
                <w:rFonts w:ascii="Arial"/>
                <w:highlight w:val="none"/>
              </w:rPr>
            </w:pPr>
          </w:p>
          <w:p>
            <w:pPr>
              <w:spacing w:line="244" w:lineRule="auto"/>
              <w:rPr>
                <w:rFonts w:ascii="Arial"/>
                <w:highlight w:val="none"/>
              </w:rPr>
            </w:pPr>
          </w:p>
          <w:p>
            <w:pPr>
              <w:spacing w:line="248" w:lineRule="auto"/>
              <w:rPr>
                <w:rFonts w:ascii="宋体" w:hAnsi="宋体" w:cs="宋体"/>
                <w:szCs w:val="21"/>
                <w:highlight w:val="none"/>
              </w:rPr>
            </w:pPr>
            <w:r>
              <w:rPr>
                <w:spacing w:val="-2"/>
                <w:highlight w:val="none"/>
              </w:rPr>
              <w:t>信用动态</w:t>
            </w:r>
            <w:r>
              <w:rPr>
                <w:rFonts w:hint="eastAsia"/>
                <w:spacing w:val="-3"/>
                <w:highlight w:val="none"/>
              </w:rPr>
              <w:t>（7分）</w:t>
            </w:r>
          </w:p>
        </w:tc>
        <w:tc>
          <w:tcPr>
            <w:tcW w:w="4950" w:type="dxa"/>
            <w:noWrap/>
          </w:tcPr>
          <w:p>
            <w:pPr>
              <w:pStyle w:val="139"/>
              <w:spacing w:before="154" w:line="256" w:lineRule="auto"/>
              <w:ind w:left="117" w:right="101" w:firstLine="72"/>
              <w:rPr>
                <w:highlight w:val="none"/>
                <w:lang w:eastAsia="zh-CN"/>
              </w:rPr>
            </w:pPr>
            <w:r>
              <w:rPr>
                <w:spacing w:val="-1"/>
                <w:highlight w:val="none"/>
                <w:lang w:eastAsia="zh-CN"/>
              </w:rPr>
              <w:t>按照开标时投标人提交的在辽</w:t>
            </w:r>
            <w:r>
              <w:rPr>
                <w:spacing w:val="-5"/>
                <w:highlight w:val="none"/>
                <w:lang w:eastAsia="zh-CN"/>
              </w:rPr>
              <w:t>宁平台打印的《辽宁省水利建设市场主体综合信用信息表》中显</w:t>
            </w:r>
            <w:r>
              <w:rPr>
                <w:spacing w:val="-3"/>
                <w:highlight w:val="none"/>
                <w:lang w:eastAsia="zh-CN"/>
              </w:rPr>
              <w:t>示的信用动态得分率乘以</w:t>
            </w:r>
            <w:r>
              <w:rPr>
                <w:spacing w:val="-34"/>
                <w:highlight w:val="none"/>
                <w:lang w:eastAsia="zh-CN"/>
              </w:rPr>
              <w:t xml:space="preserve"> </w:t>
            </w:r>
            <w:r>
              <w:rPr>
                <w:spacing w:val="-3"/>
                <w:highlight w:val="none"/>
                <w:lang w:eastAsia="zh-CN"/>
              </w:rPr>
              <w:t>7</w:t>
            </w:r>
            <w:r>
              <w:rPr>
                <w:spacing w:val="-41"/>
                <w:highlight w:val="none"/>
                <w:lang w:eastAsia="zh-CN"/>
              </w:rPr>
              <w:t xml:space="preserve"> </w:t>
            </w:r>
            <w:r>
              <w:rPr>
                <w:spacing w:val="-3"/>
                <w:highlight w:val="none"/>
                <w:lang w:eastAsia="zh-CN"/>
              </w:rPr>
              <w:t>分</w:t>
            </w:r>
            <w:r>
              <w:rPr>
                <w:spacing w:val="-4"/>
                <w:highlight w:val="none"/>
                <w:lang w:eastAsia="zh-CN"/>
              </w:rPr>
              <w:t>进行赋分。</w:t>
            </w:r>
          </w:p>
          <w:p>
            <w:pPr>
              <w:pStyle w:val="139"/>
              <w:spacing w:before="60" w:line="221" w:lineRule="auto"/>
              <w:ind w:left="114"/>
              <w:rPr>
                <w:highlight w:val="none"/>
                <w:lang w:eastAsia="zh-CN"/>
              </w:rPr>
            </w:pPr>
            <w:r>
              <w:rPr>
                <w:spacing w:val="-5"/>
                <w:highlight w:val="none"/>
                <w:lang w:eastAsia="zh-CN"/>
              </w:rPr>
              <w:t>备注：投标单位的信用等级因疫</w:t>
            </w:r>
            <w:r>
              <w:rPr>
                <w:spacing w:val="-1"/>
                <w:highlight w:val="none"/>
                <w:lang w:eastAsia="zh-CN"/>
              </w:rPr>
              <w:t>情影响导致评定结果未更新或</w:t>
            </w:r>
            <w:r>
              <w:rPr>
                <w:spacing w:val="-5"/>
                <w:highlight w:val="none"/>
                <w:lang w:eastAsia="zh-CN"/>
              </w:rPr>
              <w:t>未在有效期内的，需提供官方证</w:t>
            </w:r>
            <w:r>
              <w:rPr>
                <w:spacing w:val="-6"/>
                <w:highlight w:val="none"/>
                <w:lang w:eastAsia="zh-CN"/>
              </w:rPr>
              <w:t>明材料，如未提供视为未参与评</w:t>
            </w:r>
            <w:r>
              <w:rPr>
                <w:spacing w:val="-4"/>
                <w:highlight w:val="none"/>
                <w:lang w:eastAsia="zh-CN"/>
              </w:rPr>
              <w:t>级，在拟投项目响应截止前，打</w:t>
            </w:r>
          </w:p>
          <w:p>
            <w:pPr>
              <w:pStyle w:val="139"/>
              <w:spacing w:before="62" w:line="220" w:lineRule="auto"/>
              <w:ind w:left="128"/>
              <w:rPr>
                <w:spacing w:val="-3"/>
                <w:highlight w:val="none"/>
                <w:lang w:eastAsia="zh-CN"/>
              </w:rPr>
            </w:pPr>
            <w:r>
              <w:rPr>
                <w:spacing w:val="-11"/>
                <w:highlight w:val="none"/>
                <w:lang w:eastAsia="zh-CN"/>
              </w:rPr>
              <w:t>印相关凭证（见附件</w:t>
            </w:r>
            <w:r>
              <w:rPr>
                <w:spacing w:val="-12"/>
                <w:highlight w:val="none"/>
                <w:lang w:eastAsia="zh-CN"/>
              </w:rPr>
              <w:t>）</w:t>
            </w:r>
            <w:r>
              <w:rPr>
                <w:spacing w:val="-23"/>
                <w:highlight w:val="none"/>
                <w:lang w:eastAsia="zh-CN"/>
              </w:rPr>
              <w:t xml:space="preserve"> </w:t>
            </w:r>
            <w:r>
              <w:rPr>
                <w:spacing w:val="-12"/>
                <w:highlight w:val="none"/>
                <w:lang w:eastAsia="zh-CN"/>
              </w:rPr>
              <w:t>，</w:t>
            </w:r>
            <w:r>
              <w:rPr>
                <w:spacing w:val="-11"/>
                <w:highlight w:val="none"/>
                <w:lang w:eastAsia="zh-CN"/>
              </w:rPr>
              <w:t>经企业</w:t>
            </w:r>
            <w:r>
              <w:rPr>
                <w:spacing w:val="-5"/>
                <w:highlight w:val="none"/>
                <w:lang w:eastAsia="zh-CN"/>
              </w:rPr>
              <w:t>加盖公章后，作为响应文件组成</w:t>
            </w:r>
            <w:r>
              <w:rPr>
                <w:spacing w:val="-3"/>
                <w:highlight w:val="none"/>
                <w:lang w:eastAsia="zh-CN"/>
              </w:rPr>
              <w:t>部分</w:t>
            </w:r>
            <w:r>
              <w:rPr>
                <w:rFonts w:hint="eastAsia"/>
                <w:spacing w:val="-3"/>
                <w:highlight w:val="none"/>
                <w:lang w:eastAsia="zh-CN"/>
              </w:rPr>
              <w:t>。</w:t>
            </w:r>
          </w:p>
          <w:p>
            <w:pPr>
              <w:pStyle w:val="139"/>
              <w:spacing w:before="62" w:line="220" w:lineRule="auto"/>
              <w:ind w:left="128"/>
              <w:rPr>
                <w:spacing w:val="-3"/>
                <w:highlight w:val="none"/>
                <w:lang w:eastAsia="zh-CN"/>
              </w:rPr>
            </w:pPr>
            <w:r>
              <w:rPr>
                <w:rFonts w:hint="eastAsia"/>
                <w:spacing w:val="-3"/>
                <w:highlight w:val="none"/>
                <w:lang w:eastAsia="zh-CN"/>
              </w:rPr>
              <w:t>因为辽宁省水利建设市场监管平台近期无法提供市场主体信用信息查询结果，信用动态评分结合辽宁省水利厅建设与运行管理处2024年3月14日发布的信用动态扣分情况表进行评分。</w:t>
            </w:r>
          </w:p>
          <w:p>
            <w:pPr>
              <w:pStyle w:val="139"/>
              <w:spacing w:before="62" w:line="220" w:lineRule="auto"/>
              <w:ind w:left="128"/>
              <w:rPr>
                <w:spacing w:val="-3"/>
                <w:highlight w:val="none"/>
                <w:lang w:eastAsia="zh-CN"/>
              </w:rPr>
            </w:pPr>
          </w:p>
        </w:tc>
      </w:tr>
    </w:tbl>
    <w:p>
      <w:pPr>
        <w:rPr>
          <w:highlight w:val="none"/>
        </w:rPr>
      </w:pPr>
    </w:p>
    <w:p>
      <w:pPr>
        <w:pStyle w:val="4"/>
        <w:spacing w:line="400" w:lineRule="exact"/>
        <w:rPr>
          <w:color w:val="000000"/>
          <w:sz w:val="27"/>
          <w:szCs w:val="27"/>
          <w:highlight w:val="none"/>
        </w:rPr>
      </w:pPr>
      <w:r>
        <w:rPr>
          <w:color w:val="000000"/>
          <w:sz w:val="27"/>
          <w:szCs w:val="27"/>
          <w:highlight w:val="none"/>
        </w:rPr>
        <w:br w:type="page"/>
      </w:r>
      <w:bookmarkStart w:id="117" w:name="_Toc7784"/>
      <w:bookmarkStart w:id="118" w:name="_Toc49869993"/>
      <w:r>
        <w:rPr>
          <w:rFonts w:hint="eastAsia"/>
          <w:color w:val="000000"/>
          <w:sz w:val="27"/>
          <w:szCs w:val="27"/>
          <w:highlight w:val="none"/>
        </w:rPr>
        <w:t>1. 评标方法</w:t>
      </w:r>
      <w:bookmarkEnd w:id="117"/>
      <w:bookmarkEnd w:id="118"/>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4"/>
        <w:spacing w:line="400" w:lineRule="exact"/>
        <w:rPr>
          <w:color w:val="000000"/>
          <w:sz w:val="27"/>
          <w:szCs w:val="27"/>
          <w:highlight w:val="none"/>
        </w:rPr>
      </w:pPr>
      <w:bookmarkStart w:id="119" w:name="_Toc49869994"/>
      <w:bookmarkStart w:id="120" w:name="_Toc3016"/>
      <w:r>
        <w:rPr>
          <w:rFonts w:hint="eastAsia"/>
          <w:color w:val="000000"/>
          <w:sz w:val="27"/>
          <w:szCs w:val="27"/>
          <w:highlight w:val="none"/>
        </w:rPr>
        <w:t>2. 评审标准</w:t>
      </w:r>
      <w:bookmarkEnd w:id="119"/>
      <w:bookmarkEnd w:id="12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2.1初步评审标准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2.1.1形式评审标准: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2.1.2资格评审标准：（适用于未进行资格预审的）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2.1.3响应性评审标准: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2.2评标基准价计算公式</w:t>
      </w:r>
    </w:p>
    <w:p>
      <w:pPr>
        <w:spacing w:line="400" w:lineRule="exact"/>
        <w:rPr>
          <w:rFonts w:ascii="宋体" w:hAnsi="宋体"/>
          <w:b/>
          <w:color w:val="000000"/>
          <w:sz w:val="23"/>
          <w:szCs w:val="23"/>
          <w:highlight w:val="none"/>
        </w:rPr>
      </w:pPr>
      <w:r>
        <w:rPr>
          <w:rFonts w:hint="eastAsia" w:ascii="宋体" w:hAnsi="宋体"/>
          <w:color w:val="000000"/>
          <w:szCs w:val="21"/>
          <w:highlight w:val="none"/>
        </w:rPr>
        <w:t>见评标办法前附表</w:t>
      </w:r>
    </w:p>
    <w:p>
      <w:pPr>
        <w:pStyle w:val="4"/>
        <w:spacing w:line="400" w:lineRule="exact"/>
        <w:rPr>
          <w:color w:val="000000"/>
          <w:sz w:val="27"/>
          <w:szCs w:val="27"/>
          <w:highlight w:val="none"/>
        </w:rPr>
      </w:pPr>
      <w:bookmarkStart w:id="121" w:name="_Toc49869995"/>
      <w:bookmarkStart w:id="122" w:name="_Toc28045"/>
      <w:r>
        <w:rPr>
          <w:rFonts w:hint="eastAsia"/>
          <w:color w:val="000000"/>
          <w:sz w:val="27"/>
          <w:szCs w:val="27"/>
          <w:highlight w:val="none"/>
        </w:rPr>
        <w:t>3. 评标程序</w:t>
      </w:r>
      <w:bookmarkEnd w:id="121"/>
      <w:bookmarkEnd w:id="122"/>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 初步评审</w:t>
      </w:r>
    </w:p>
    <w:p>
      <w:pPr>
        <w:spacing w:line="400" w:lineRule="exact"/>
        <w:ind w:firstLine="420" w:firstLineChars="200"/>
        <w:rPr>
          <w:color w:val="000000"/>
          <w:highlight w:val="none"/>
        </w:rPr>
      </w:pPr>
      <w:r>
        <w:rPr>
          <w:rFonts w:hint="eastAsia"/>
          <w:color w:val="000000"/>
          <w:highlight w:val="none"/>
        </w:rPr>
        <w:t>3.1.1 评标委员会可以要求投标人提交第二章“投标人须知”第</w:t>
      </w:r>
      <w:r>
        <w:rPr>
          <w:color w:val="000000"/>
          <w:highlight w:val="none"/>
        </w:rPr>
        <w:t>3.5.1</w:t>
      </w:r>
      <w:r>
        <w:rPr>
          <w:rFonts w:hint="eastAsia"/>
          <w:color w:val="000000"/>
          <w:highlight w:val="none"/>
        </w:rPr>
        <w:t>项至</w:t>
      </w:r>
      <w:r>
        <w:rPr>
          <w:color w:val="000000"/>
          <w:highlight w:val="none"/>
        </w:rPr>
        <w:t>3.5.3</w:t>
      </w:r>
      <w:r>
        <w:rPr>
          <w:rFonts w:hint="eastAsia"/>
          <w:color w:val="000000"/>
          <w:highlight w:val="none"/>
        </w:rPr>
        <w:t>项规定的有关证明和证件的原件，以便核验。评标委员会依据本章第2.1款规定的标准对投标文件进行初步评审。有一项不符合评审标准的，作废标处理。（适用于未进行资格预审的）</w:t>
      </w:r>
    </w:p>
    <w:p>
      <w:pPr>
        <w:spacing w:line="400" w:lineRule="exact"/>
        <w:ind w:firstLine="420" w:firstLineChars="200"/>
        <w:rPr>
          <w:color w:val="000000"/>
          <w:highlight w:val="none"/>
        </w:rPr>
      </w:pPr>
      <w:r>
        <w:rPr>
          <w:rFonts w:hint="eastAsia"/>
          <w:color w:val="000000"/>
          <w:highlight w:val="none"/>
        </w:rPr>
        <w:t>3.1.1 评标委员会依据本章第2.1.1项、第2.1.3项规定的评审标准对投标文件进行初步评审。有一项不符合评审标准的，作废标处理。当投标人资格预审申请文件的内容发生重大变化时，评标委员会依据本章第2.1.2项规定的标准对其更新资料进行评审。（适用于已进行资格预审的）</w:t>
      </w:r>
    </w:p>
    <w:p>
      <w:pPr>
        <w:spacing w:line="400" w:lineRule="exact"/>
        <w:ind w:firstLine="420" w:firstLineChars="200"/>
        <w:rPr>
          <w:color w:val="000000"/>
          <w:highlight w:val="none"/>
        </w:rPr>
      </w:pPr>
      <w:r>
        <w:rPr>
          <w:rFonts w:hint="eastAsia"/>
          <w:color w:val="000000"/>
          <w:highlight w:val="none"/>
        </w:rPr>
        <w:t>3.1.2 投标人有以下情形之一的，其投标作废标处理：</w:t>
      </w:r>
    </w:p>
    <w:p>
      <w:pPr>
        <w:spacing w:line="400" w:lineRule="exact"/>
        <w:ind w:firstLine="718" w:firstLineChars="342"/>
        <w:rPr>
          <w:color w:val="000000"/>
          <w:highlight w:val="none"/>
        </w:rPr>
      </w:pPr>
      <w:r>
        <w:rPr>
          <w:rFonts w:hint="eastAsia"/>
          <w:color w:val="000000"/>
          <w:highlight w:val="none"/>
        </w:rPr>
        <w:t>（1）第二章“投标人须知”第1.4.3项规定的任何一种情形的；</w:t>
      </w:r>
    </w:p>
    <w:p>
      <w:pPr>
        <w:spacing w:line="400" w:lineRule="exact"/>
        <w:ind w:firstLine="718" w:firstLineChars="342"/>
        <w:rPr>
          <w:color w:val="000000"/>
          <w:highlight w:val="none"/>
        </w:rPr>
      </w:pPr>
      <w:r>
        <w:rPr>
          <w:rFonts w:hint="eastAsia"/>
          <w:color w:val="000000"/>
          <w:highlight w:val="none"/>
        </w:rPr>
        <w:t>（2）串通投标或弄虚作假或有其他违法行为的；</w:t>
      </w:r>
    </w:p>
    <w:p>
      <w:pPr>
        <w:spacing w:line="400" w:lineRule="exact"/>
        <w:ind w:firstLine="718" w:firstLineChars="342"/>
        <w:rPr>
          <w:color w:val="000000"/>
          <w:highlight w:val="none"/>
        </w:rPr>
      </w:pPr>
      <w:r>
        <w:rPr>
          <w:rFonts w:hint="eastAsia"/>
          <w:color w:val="000000"/>
          <w:highlight w:val="none"/>
        </w:rPr>
        <w:t>（3）不按评标委员会要求澄清、说明或补正的。</w:t>
      </w:r>
    </w:p>
    <w:p>
      <w:pPr>
        <w:spacing w:line="400" w:lineRule="exact"/>
        <w:ind w:firstLine="420" w:firstLineChars="200"/>
        <w:rPr>
          <w:color w:val="000000"/>
          <w:highlight w:val="none"/>
        </w:rPr>
      </w:pPr>
      <w:r>
        <w:rPr>
          <w:rFonts w:hint="eastAsia"/>
          <w:color w:val="000000"/>
          <w:highlight w:val="none"/>
        </w:rPr>
        <w:t>3.1.3投标报价有算术错误的，评标委员会按以下原则对投标报价进行修正，修正的价格经投标人书面确认后具有约束力。投标人不接受修正价格的，其投标作废标处理。</w:t>
      </w:r>
    </w:p>
    <w:p>
      <w:pPr>
        <w:spacing w:line="400" w:lineRule="exact"/>
        <w:ind w:firstLine="718" w:firstLineChars="342"/>
        <w:rPr>
          <w:color w:val="000000"/>
          <w:highlight w:val="none"/>
        </w:rPr>
      </w:pPr>
      <w:r>
        <w:rPr>
          <w:rFonts w:hint="eastAsia"/>
          <w:color w:val="000000"/>
          <w:highlight w:val="none"/>
        </w:rPr>
        <w:t>（1）投标文件中的大写金额与小写金额不一致的，以大写金额为准；</w:t>
      </w:r>
    </w:p>
    <w:p>
      <w:pPr>
        <w:spacing w:line="400" w:lineRule="exact"/>
        <w:ind w:firstLine="718" w:firstLineChars="342"/>
        <w:rPr>
          <w:color w:val="000000"/>
          <w:highlight w:val="none"/>
        </w:rPr>
      </w:pPr>
      <w:r>
        <w:rPr>
          <w:rFonts w:hint="eastAsia"/>
          <w:color w:val="000000"/>
          <w:highlight w:val="none"/>
        </w:rPr>
        <w:t>（2）总价金额与依据单价计算出的结果不一致的，以单价金额为准修正总价，但单价金额小数点有明显错误的除外。</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详细评审</w:t>
      </w:r>
    </w:p>
    <w:p>
      <w:pPr>
        <w:spacing w:line="400" w:lineRule="exact"/>
        <w:ind w:firstLine="420" w:firstLineChars="200"/>
        <w:rPr>
          <w:color w:val="000000"/>
          <w:highlight w:val="none"/>
        </w:rPr>
      </w:pPr>
      <w:r>
        <w:rPr>
          <w:rFonts w:hint="eastAsia"/>
          <w:color w:val="000000"/>
          <w:highlight w:val="none"/>
        </w:rPr>
        <w:t>3.2.1 评标委员会按本章第2.2款规定的量化因素和分值进行打分，并计算出综合评估得分。</w:t>
      </w:r>
    </w:p>
    <w:p>
      <w:pPr>
        <w:spacing w:line="400" w:lineRule="exact"/>
        <w:ind w:firstLine="718" w:firstLineChars="342"/>
        <w:rPr>
          <w:color w:val="000000"/>
          <w:highlight w:val="none"/>
        </w:rPr>
      </w:pPr>
      <w:r>
        <w:rPr>
          <w:rFonts w:hint="eastAsia"/>
          <w:color w:val="000000"/>
          <w:highlight w:val="none"/>
        </w:rPr>
        <w:t>（1）按本章第2.2.4（1）目规定的评审因素和分值对施工组织设计计算出得分A；</w:t>
      </w:r>
    </w:p>
    <w:p>
      <w:pPr>
        <w:spacing w:line="400" w:lineRule="exact"/>
        <w:ind w:firstLine="718" w:firstLineChars="342"/>
        <w:rPr>
          <w:color w:val="000000"/>
          <w:highlight w:val="none"/>
        </w:rPr>
      </w:pPr>
      <w:r>
        <w:rPr>
          <w:rFonts w:hint="eastAsia"/>
          <w:color w:val="000000"/>
          <w:highlight w:val="none"/>
        </w:rPr>
        <w:t>（2）按本章第2.2.4（2）目规定的评审因素和分值对项目管理机构计算出得分B；</w:t>
      </w:r>
    </w:p>
    <w:p>
      <w:pPr>
        <w:spacing w:line="400" w:lineRule="exact"/>
        <w:ind w:firstLine="718" w:firstLineChars="342"/>
        <w:rPr>
          <w:color w:val="000000"/>
          <w:highlight w:val="none"/>
        </w:rPr>
      </w:pPr>
      <w:r>
        <w:rPr>
          <w:rFonts w:hint="eastAsia"/>
          <w:color w:val="000000"/>
          <w:highlight w:val="none"/>
        </w:rPr>
        <w:t>（3）按本章第2.2.4（3）目规定的评审因素和分值对投标报价计算出得分C；</w:t>
      </w:r>
    </w:p>
    <w:p>
      <w:pPr>
        <w:spacing w:line="400" w:lineRule="exact"/>
        <w:ind w:firstLine="718" w:firstLineChars="342"/>
        <w:rPr>
          <w:color w:val="000000"/>
          <w:highlight w:val="none"/>
        </w:rPr>
      </w:pPr>
      <w:r>
        <w:rPr>
          <w:rFonts w:hint="eastAsia"/>
          <w:color w:val="000000"/>
          <w:highlight w:val="none"/>
        </w:rPr>
        <w:t>（4）按本章第2.2.4（4）目规定的评审因素和分值对其他部分计算出得分D。</w:t>
      </w:r>
    </w:p>
    <w:p>
      <w:pPr>
        <w:spacing w:line="400" w:lineRule="exact"/>
        <w:ind w:firstLine="420" w:firstLineChars="200"/>
        <w:rPr>
          <w:color w:val="000000"/>
          <w:highlight w:val="none"/>
        </w:rPr>
      </w:pPr>
      <w:r>
        <w:rPr>
          <w:rFonts w:hint="eastAsia"/>
          <w:color w:val="000000"/>
          <w:highlight w:val="none"/>
        </w:rPr>
        <w:t>3.2.2 评分分值计算保留小数点后两位，小数点后第三位“四舍五入”。</w:t>
      </w:r>
    </w:p>
    <w:p>
      <w:pPr>
        <w:spacing w:line="400" w:lineRule="exact"/>
        <w:ind w:firstLine="420" w:firstLineChars="200"/>
        <w:rPr>
          <w:color w:val="000000"/>
          <w:highlight w:val="none"/>
        </w:rPr>
      </w:pPr>
      <w:r>
        <w:rPr>
          <w:rFonts w:hint="eastAsia"/>
          <w:color w:val="000000"/>
          <w:highlight w:val="none"/>
        </w:rPr>
        <w:t>3.2.3 投标人得分=A+B+C+D。</w:t>
      </w:r>
    </w:p>
    <w:p>
      <w:pPr>
        <w:spacing w:line="400" w:lineRule="exact"/>
        <w:ind w:firstLine="420" w:firstLineChars="200"/>
        <w:rPr>
          <w:color w:val="000000"/>
          <w:highlight w:val="none"/>
        </w:rPr>
      </w:pPr>
      <w:r>
        <w:rPr>
          <w:rFonts w:hint="eastAsia"/>
          <w:color w:val="000000"/>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投标文件的澄清和补正</w:t>
      </w:r>
    </w:p>
    <w:p>
      <w:pPr>
        <w:spacing w:line="400" w:lineRule="exact"/>
        <w:ind w:firstLine="420" w:firstLineChars="200"/>
        <w:rPr>
          <w:color w:val="000000"/>
          <w:highlight w:val="none"/>
        </w:rPr>
      </w:pPr>
      <w:r>
        <w:rPr>
          <w:rFonts w:hint="eastAsia"/>
          <w:color w:val="000000"/>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highlight w:val="none"/>
        </w:rPr>
      </w:pPr>
      <w:r>
        <w:rPr>
          <w:rFonts w:hint="eastAsia"/>
          <w:color w:val="000000"/>
          <w:highlight w:val="none"/>
        </w:rPr>
        <w:t>3.3.2 澄清、说明和补正不得改变投标文件的实质性内容（算术性错误修正的除外）。投标人的书面澄清、说明和补正属于投标文件的组成部分。</w:t>
      </w:r>
    </w:p>
    <w:p>
      <w:pPr>
        <w:spacing w:line="400" w:lineRule="exact"/>
        <w:ind w:firstLine="420" w:firstLineChars="200"/>
        <w:rPr>
          <w:color w:val="000000"/>
          <w:highlight w:val="none"/>
        </w:rPr>
      </w:pPr>
      <w:r>
        <w:rPr>
          <w:rFonts w:hint="eastAsia"/>
          <w:color w:val="000000"/>
          <w:highlight w:val="none"/>
        </w:rPr>
        <w:t>3.3.3 评标委员会对投标人提交的澄清、说明或补正有疑问的，可以要求投标人进一步澄清、说明或补正，直至满足评标委员会的要求。</w:t>
      </w:r>
    </w:p>
    <w:p>
      <w:pPr>
        <w:spacing w:line="400" w:lineRule="exact"/>
        <w:ind w:right="248" w:firstLine="400" w:firstLineChars="200"/>
        <w:rPr>
          <w:color w:val="000000"/>
          <w:sz w:val="20"/>
          <w:szCs w:val="20"/>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3.4评标结果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3.4.1 评标委员会依据本章第2.2条评分标准进行评分，按评标办法前附表的约定计算投标人最终得分，根据得分由高到低的顺序推荐3名中标候选人，并标明推荐顺序。</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3.4.2 评标委员会完成评标后，应当向招标人提交书面评标报告。</w:t>
      </w:r>
    </w:p>
    <w:p>
      <w:pPr>
        <w:pStyle w:val="4"/>
        <w:spacing w:line="400" w:lineRule="exact"/>
        <w:rPr>
          <w:rFonts w:ascii="宋体" w:hAnsi="宋体" w:eastAsia="宋体"/>
          <w:color w:val="000000"/>
          <w:sz w:val="23"/>
          <w:szCs w:val="23"/>
          <w:highlight w:val="none"/>
        </w:rPr>
      </w:pPr>
      <w:bookmarkStart w:id="123" w:name="_Toc6465"/>
      <w:r>
        <w:rPr>
          <w:rFonts w:hint="eastAsia" w:ascii="宋体" w:hAnsi="宋体" w:eastAsia="宋体"/>
          <w:color w:val="000000"/>
          <w:sz w:val="23"/>
          <w:szCs w:val="23"/>
          <w:highlight w:val="none"/>
        </w:rPr>
        <w:t>4. 评标办法其他说明</w:t>
      </w:r>
      <w:bookmarkEnd w:id="123"/>
    </w:p>
    <w:p>
      <w:pPr>
        <w:rPr>
          <w:highlight w:val="none"/>
        </w:rPr>
      </w:pPr>
      <w:r>
        <w:rPr>
          <w:rFonts w:hint="eastAsia" w:ascii="宋体" w:hAnsi="宋体"/>
          <w:color w:val="000000"/>
          <w:szCs w:val="21"/>
          <w:highlight w:val="none"/>
        </w:rPr>
        <w:t>见评标办法前附表</w:t>
      </w: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4" w:name="_Toc30474"/>
      <w:bookmarkStart w:id="125" w:name="_Toc49869996"/>
      <w:r>
        <w:rPr>
          <w:color w:val="000000"/>
          <w:sz w:val="27"/>
          <w:szCs w:val="27"/>
          <w:highlight w:val="none"/>
        </w:rPr>
        <w:t>附表</w:t>
      </w:r>
      <w:r>
        <w:rPr>
          <w:rFonts w:hint="eastAsia"/>
          <w:color w:val="000000"/>
          <w:sz w:val="27"/>
          <w:szCs w:val="27"/>
          <w:highlight w:val="none"/>
        </w:rPr>
        <w:t>一</w:t>
      </w:r>
      <w:r>
        <w:rPr>
          <w:color w:val="000000"/>
          <w:sz w:val="27"/>
          <w:szCs w:val="27"/>
          <w:highlight w:val="none"/>
        </w:rPr>
        <w:t>：</w:t>
      </w:r>
      <w:r>
        <w:rPr>
          <w:rFonts w:hint="eastAsia"/>
          <w:color w:val="000000"/>
          <w:sz w:val="27"/>
          <w:szCs w:val="27"/>
          <w:highlight w:val="none"/>
        </w:rPr>
        <w:t>投标文件</w:t>
      </w:r>
      <w:r>
        <w:rPr>
          <w:color w:val="000000"/>
          <w:sz w:val="27"/>
          <w:szCs w:val="27"/>
          <w:highlight w:val="none"/>
        </w:rPr>
        <w:t>澄清通知</w:t>
      </w:r>
      <w:r>
        <w:rPr>
          <w:rFonts w:hint="eastAsia"/>
          <w:color w:val="000000"/>
          <w:sz w:val="27"/>
          <w:szCs w:val="27"/>
          <w:highlight w:val="none"/>
        </w:rPr>
        <w:t>（格式）</w:t>
      </w:r>
      <w:bookmarkEnd w:id="124"/>
      <w:bookmarkEnd w:id="125"/>
    </w:p>
    <w:p>
      <w:pPr>
        <w:spacing w:line="400" w:lineRule="exact"/>
        <w:jc w:val="center"/>
        <w:rPr>
          <w:color w:val="000000"/>
          <w:sz w:val="20"/>
          <w:szCs w:val="20"/>
          <w:highlight w:val="none"/>
        </w:rPr>
      </w:pPr>
    </w:p>
    <w:p>
      <w:pPr>
        <w:spacing w:line="400" w:lineRule="exact"/>
        <w:jc w:val="center"/>
        <w:rPr>
          <w:rFonts w:ascii="黑体" w:eastAsia="黑体"/>
          <w:b/>
          <w:color w:val="000000"/>
          <w:sz w:val="23"/>
          <w:szCs w:val="21"/>
          <w:highlight w:val="none"/>
        </w:rPr>
      </w:pPr>
      <w:r>
        <w:rPr>
          <w:rFonts w:hint="eastAsia" w:eastAsia="黑体"/>
          <w:b/>
          <w:color w:val="000000"/>
          <w:sz w:val="23"/>
          <w:szCs w:val="21"/>
          <w:highlight w:val="none"/>
        </w:rPr>
        <w:t>投标文件</w:t>
      </w:r>
      <w:r>
        <w:rPr>
          <w:rFonts w:eastAsia="黑体"/>
          <w:b/>
          <w:color w:val="000000"/>
          <w:sz w:val="23"/>
          <w:szCs w:val="21"/>
          <w:highlight w:val="none"/>
        </w:rPr>
        <w:t>澄清通知</w:t>
      </w:r>
      <w:r>
        <w:rPr>
          <w:rFonts w:hint="eastAsia" w:ascii="黑体" w:eastAsia="黑体"/>
          <w:b/>
          <w:color w:val="000000"/>
          <w:sz w:val="23"/>
          <w:szCs w:val="21"/>
          <w:highlight w:val="none"/>
        </w:rPr>
        <w:t>（格式）</w:t>
      </w:r>
    </w:p>
    <w:p>
      <w:pPr>
        <w:spacing w:line="400" w:lineRule="exact"/>
        <w:jc w:val="center"/>
        <w:rPr>
          <w:rFonts w:eastAsia="黑体"/>
          <w:color w:val="000000"/>
          <w:szCs w:val="21"/>
          <w:highlight w:val="none"/>
        </w:rPr>
      </w:pPr>
    </w:p>
    <w:p>
      <w:pPr>
        <w:spacing w:line="400" w:lineRule="exact"/>
        <w:rPr>
          <w:color w:val="000000"/>
          <w:szCs w:val="21"/>
          <w:highlight w:val="none"/>
        </w:rPr>
      </w:pPr>
      <w:r>
        <w:rPr>
          <w:color w:val="000000"/>
          <w:szCs w:val="21"/>
          <w:highlight w:val="none"/>
        </w:rPr>
        <w:t xml:space="preserve">                               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投标人名称</w:t>
      </w:r>
      <w:r>
        <w:rPr>
          <w:color w:val="000000"/>
          <w:szCs w:val="21"/>
          <w:highlight w:val="none"/>
        </w:rPr>
        <w:t>）：</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评标委员会对你方的投标文件进行了仔细的审查，现需你方对下列问题以书面形式予以澄清：</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1.</w:t>
      </w:r>
    </w:p>
    <w:p>
      <w:pPr>
        <w:spacing w:line="400" w:lineRule="exact"/>
        <w:rPr>
          <w:color w:val="000000"/>
          <w:szCs w:val="21"/>
          <w:highlight w:val="none"/>
        </w:rPr>
      </w:pPr>
      <w:r>
        <w:rPr>
          <w:color w:val="000000"/>
          <w:szCs w:val="21"/>
          <w:highlight w:val="none"/>
        </w:rPr>
        <w:t xml:space="preserve">    2.</w:t>
      </w:r>
    </w:p>
    <w:p>
      <w:pPr>
        <w:spacing w:line="400" w:lineRule="exact"/>
        <w:rPr>
          <w:color w:val="000000"/>
          <w:szCs w:val="21"/>
          <w:highlight w:val="none"/>
        </w:rPr>
      </w:pPr>
      <w:r>
        <w:rPr>
          <w:color w:val="000000"/>
          <w:szCs w:val="21"/>
          <w:highlight w:val="none"/>
        </w:rPr>
        <w:t xml:space="preserve">     ......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请将上述问题的澄清于</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r>
        <w:rPr>
          <w:color w:val="000000"/>
          <w:szCs w:val="21"/>
          <w:highlight w:val="none"/>
          <w:u w:val="single"/>
        </w:rPr>
        <w:t xml:space="preserve">      </w:t>
      </w:r>
      <w:r>
        <w:rPr>
          <w:color w:val="000000"/>
          <w:szCs w:val="21"/>
          <w:highlight w:val="none"/>
        </w:rPr>
        <w:t>时前递交至</w:t>
      </w:r>
      <w:r>
        <w:rPr>
          <w:color w:val="000000"/>
          <w:szCs w:val="21"/>
          <w:highlight w:val="none"/>
          <w:u w:val="single"/>
        </w:rPr>
        <w:t xml:space="preserve">      </w:t>
      </w:r>
      <w:r>
        <w:rPr>
          <w:color w:val="000000"/>
          <w:szCs w:val="21"/>
          <w:highlight w:val="none"/>
        </w:rPr>
        <w:t>（详细地址）</w:t>
      </w:r>
      <w:r>
        <w:rPr>
          <w:rFonts w:hint="eastAsia"/>
          <w:color w:val="000000"/>
          <w:szCs w:val="21"/>
          <w:highlight w:val="none"/>
        </w:rPr>
        <w:t>或传真至</w:t>
      </w:r>
      <w:r>
        <w:rPr>
          <w:color w:val="000000"/>
          <w:szCs w:val="21"/>
          <w:highlight w:val="none"/>
          <w:u w:val="single"/>
        </w:rPr>
        <w:t xml:space="preserve">      </w:t>
      </w:r>
      <w:r>
        <w:rPr>
          <w:color w:val="000000"/>
          <w:szCs w:val="21"/>
          <w:highlight w:val="none"/>
        </w:rPr>
        <w:t>（</w:t>
      </w:r>
      <w:r>
        <w:rPr>
          <w:rFonts w:hint="eastAsia"/>
          <w:color w:val="000000"/>
          <w:szCs w:val="21"/>
          <w:highlight w:val="none"/>
        </w:rPr>
        <w:t>传真号码</w:t>
      </w:r>
      <w:r>
        <w:rPr>
          <w:color w:val="000000"/>
          <w:szCs w:val="21"/>
          <w:highlight w:val="none"/>
        </w:rPr>
        <w:t>）。</w:t>
      </w:r>
      <w:r>
        <w:rPr>
          <w:rFonts w:hint="eastAsia"/>
          <w:color w:val="000000"/>
          <w:szCs w:val="21"/>
          <w:highlight w:val="none"/>
        </w:rPr>
        <w:t>采用传真方式的，应在</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r>
        <w:rPr>
          <w:color w:val="000000"/>
          <w:szCs w:val="21"/>
          <w:highlight w:val="none"/>
          <w:u w:val="single"/>
        </w:rPr>
        <w:t xml:space="preserve">      </w:t>
      </w:r>
      <w:r>
        <w:rPr>
          <w:rFonts w:hint="eastAsia"/>
          <w:color w:val="000000"/>
          <w:szCs w:val="21"/>
          <w:highlight w:val="none"/>
        </w:rPr>
        <w:t>时前将原件递交至</w:t>
      </w:r>
      <w:r>
        <w:rPr>
          <w:color w:val="000000"/>
          <w:szCs w:val="21"/>
          <w:highlight w:val="none"/>
          <w:u w:val="single"/>
        </w:rPr>
        <w:t xml:space="preserve">      </w:t>
      </w:r>
      <w:r>
        <w:rPr>
          <w:color w:val="000000"/>
          <w:szCs w:val="21"/>
          <w:highlight w:val="none"/>
        </w:rPr>
        <w:t>（详细</w:t>
      </w:r>
      <w:r>
        <w:rPr>
          <w:rFonts w:hint="eastAsia"/>
          <w:color w:val="000000"/>
          <w:szCs w:val="21"/>
          <w:highlight w:val="none"/>
        </w:rPr>
        <w:t>地址）。</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评标委员会负责人</w:t>
      </w:r>
      <w:r>
        <w:rPr>
          <w:color w:val="000000"/>
          <w:szCs w:val="21"/>
          <w:highlight w:val="none"/>
        </w:rPr>
        <w:t>：</w:t>
      </w:r>
      <w:r>
        <w:rPr>
          <w:rFonts w:hint="eastAsia"/>
          <w:color w:val="000000"/>
          <w:szCs w:val="21"/>
          <w:highlight w:val="none"/>
          <w:u w:val="single"/>
        </w:rPr>
        <w:t xml:space="preserve">                 </w:t>
      </w:r>
      <w:r>
        <w:rPr>
          <w:rFonts w:hint="eastAsia"/>
          <w:color w:val="000000"/>
          <w:szCs w:val="21"/>
          <w:highlight w:val="none"/>
        </w:rPr>
        <w:t xml:space="preserve">   </w:t>
      </w:r>
      <w:r>
        <w:rPr>
          <w:color w:val="000000"/>
          <w:szCs w:val="21"/>
          <w:highlight w:val="none"/>
        </w:rPr>
        <w:t>（</w:t>
      </w:r>
      <w:r>
        <w:rPr>
          <w:rFonts w:hint="eastAsia"/>
          <w:color w:val="000000"/>
          <w:szCs w:val="21"/>
          <w:highlight w:val="none"/>
        </w:rPr>
        <w:t>签字</w:t>
      </w:r>
      <w:r>
        <w:rPr>
          <w:color w:val="000000"/>
          <w:szCs w:val="21"/>
          <w:highlight w:val="none"/>
        </w:rPr>
        <w:t>）</w:t>
      </w:r>
    </w:p>
    <w:p>
      <w:pPr>
        <w:spacing w:line="400" w:lineRule="exact"/>
        <w:rPr>
          <w:color w:val="000000"/>
          <w:szCs w:val="21"/>
          <w:highlight w:val="none"/>
        </w:rPr>
      </w:pPr>
      <w:r>
        <w:rPr>
          <w:rFonts w:hint="eastAsia"/>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6" w:name="_Toc32565"/>
      <w:bookmarkStart w:id="127" w:name="_Toc49869997"/>
      <w:r>
        <w:rPr>
          <w:rFonts w:hint="eastAsia"/>
          <w:color w:val="000000"/>
          <w:sz w:val="27"/>
          <w:szCs w:val="27"/>
          <w:highlight w:val="none"/>
        </w:rPr>
        <w:t>附表二：投标文件澄清函（格式）</w:t>
      </w:r>
      <w:bookmarkEnd w:id="126"/>
      <w:bookmarkEnd w:id="127"/>
    </w:p>
    <w:p>
      <w:pPr>
        <w:spacing w:line="400" w:lineRule="exact"/>
        <w:jc w:val="center"/>
        <w:rPr>
          <w:rFonts w:ascii="黑体" w:eastAsia="黑体"/>
          <w:color w:val="000000"/>
          <w:sz w:val="27"/>
          <w:szCs w:val="27"/>
          <w:highlight w:val="none"/>
        </w:rPr>
      </w:pPr>
    </w:p>
    <w:p>
      <w:pPr>
        <w:spacing w:line="400" w:lineRule="exact"/>
        <w:jc w:val="center"/>
        <w:rPr>
          <w:rFonts w:ascii="黑体" w:eastAsia="黑体"/>
          <w:b/>
          <w:color w:val="000000"/>
          <w:sz w:val="23"/>
          <w:szCs w:val="21"/>
          <w:highlight w:val="none"/>
        </w:rPr>
      </w:pPr>
      <w:r>
        <w:rPr>
          <w:rFonts w:hint="eastAsia" w:ascii="黑体" w:eastAsia="黑体"/>
          <w:b/>
          <w:color w:val="000000"/>
          <w:sz w:val="23"/>
          <w:szCs w:val="21"/>
          <w:highlight w:val="none"/>
        </w:rPr>
        <w:t>投标文件澄清函（格式）</w:t>
      </w:r>
    </w:p>
    <w:p>
      <w:pPr>
        <w:spacing w:line="400" w:lineRule="exact"/>
        <w:jc w:val="center"/>
        <w:rPr>
          <w:rFonts w:ascii="黑体" w:eastAsia="黑体"/>
          <w:color w:val="000000"/>
          <w:szCs w:val="21"/>
          <w:highlight w:val="none"/>
        </w:rPr>
      </w:pPr>
    </w:p>
    <w:p>
      <w:pPr>
        <w:spacing w:line="400" w:lineRule="exact"/>
        <w:ind w:firstLine="3465" w:firstLineChars="1650"/>
        <w:rPr>
          <w:color w:val="000000"/>
          <w:szCs w:val="21"/>
          <w:highlight w:val="none"/>
        </w:rPr>
      </w:pPr>
      <w:r>
        <w:rPr>
          <w:rFonts w:hint="eastAsia"/>
          <w:color w:val="000000"/>
          <w:szCs w:val="21"/>
          <w:highlight w:val="none"/>
        </w:rPr>
        <w:t xml:space="preserve">编号： </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评标委员会：</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w:t>
      </w:r>
      <w:r>
        <w:rPr>
          <w:rFonts w:hint="eastAsia"/>
          <w:color w:val="000000"/>
          <w:szCs w:val="21"/>
          <w:highlight w:val="none"/>
        </w:rPr>
        <w:t>投标文件</w:t>
      </w:r>
      <w:r>
        <w:rPr>
          <w:color w:val="000000"/>
          <w:szCs w:val="21"/>
          <w:highlight w:val="none"/>
        </w:rPr>
        <w:t>澄清通知（编号：</w:t>
      </w:r>
      <w:r>
        <w:rPr>
          <w:color w:val="000000"/>
          <w:szCs w:val="21"/>
          <w:highlight w:val="none"/>
          <w:u w:val="single"/>
        </w:rPr>
        <w:t xml:space="preserve">        </w:t>
      </w:r>
      <w:r>
        <w:rPr>
          <w:color w:val="000000"/>
          <w:szCs w:val="21"/>
          <w:highlight w:val="none"/>
        </w:rPr>
        <w:t>）已收悉，现</w:t>
      </w:r>
      <w:r>
        <w:rPr>
          <w:rFonts w:hint="eastAsia"/>
          <w:color w:val="000000"/>
          <w:szCs w:val="21"/>
          <w:highlight w:val="none"/>
        </w:rPr>
        <w:t>就有关问题</w:t>
      </w:r>
      <w:r>
        <w:rPr>
          <w:color w:val="000000"/>
          <w:szCs w:val="21"/>
          <w:highlight w:val="none"/>
        </w:rPr>
        <w:t>澄清如下：</w:t>
      </w:r>
    </w:p>
    <w:p>
      <w:pPr>
        <w:spacing w:line="400" w:lineRule="exact"/>
        <w:rPr>
          <w:color w:val="000000"/>
          <w:szCs w:val="21"/>
          <w:highlight w:val="none"/>
        </w:rPr>
      </w:pPr>
      <w:r>
        <w:rPr>
          <w:color w:val="000000"/>
          <w:szCs w:val="21"/>
          <w:highlight w:val="none"/>
        </w:rPr>
        <w:t>　     1.</w:t>
      </w:r>
    </w:p>
    <w:p>
      <w:pPr>
        <w:spacing w:line="400" w:lineRule="exact"/>
        <w:rPr>
          <w:color w:val="000000"/>
          <w:szCs w:val="21"/>
          <w:highlight w:val="none"/>
        </w:rPr>
      </w:pPr>
      <w:r>
        <w:rPr>
          <w:color w:val="000000"/>
          <w:szCs w:val="21"/>
          <w:highlight w:val="none"/>
        </w:rPr>
        <w:t>　     2.</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投标人：</w:t>
      </w:r>
      <w:r>
        <w:rPr>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法定代表人或其</w:t>
      </w:r>
      <w:r>
        <w:rPr>
          <w:rFonts w:hint="eastAsia"/>
          <w:color w:val="000000"/>
          <w:szCs w:val="21"/>
          <w:highlight w:val="none"/>
        </w:rPr>
        <w:t>委托</w:t>
      </w:r>
      <w:r>
        <w:rPr>
          <w:color w:val="000000"/>
          <w:szCs w:val="21"/>
          <w:highlight w:val="none"/>
        </w:rPr>
        <w:t>代理人：</w:t>
      </w:r>
      <w:r>
        <w:rPr>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ind w:firstLine="400" w:firstLineChars="200"/>
        <w:rPr>
          <w:color w:val="000000"/>
          <w:sz w:val="20"/>
          <w:szCs w:val="20"/>
          <w:highlight w:val="none"/>
        </w:rPr>
      </w:pPr>
    </w:p>
    <w:p>
      <w:pPr>
        <w:rPr>
          <w:highlight w:val="none"/>
        </w:rPr>
      </w:pPr>
      <w:bookmarkStart w:id="128" w:name="_Toc49869998"/>
    </w:p>
    <w:bookmarkEnd w:id="128"/>
    <w:p>
      <w:pPr>
        <w:spacing w:line="400" w:lineRule="exact"/>
        <w:rPr>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129" w:name="_Toc49869999"/>
      <w:bookmarkStart w:id="130" w:name="_Toc144974826"/>
      <w:bookmarkStart w:id="131" w:name="_Toc168475883"/>
      <w:bookmarkStart w:id="132" w:name="_Toc168476286"/>
      <w:bookmarkStart w:id="133" w:name="EBeabbe39b5933463e8fb010377b73f354"/>
      <w:bookmarkStart w:id="134" w:name="_Toc229305402"/>
    </w:p>
    <w:p>
      <w:pPr>
        <w:pStyle w:val="3"/>
        <w:spacing w:before="120" w:after="120" w:line="400" w:lineRule="exact"/>
        <w:jc w:val="center"/>
        <w:rPr>
          <w:rFonts w:ascii="黑体" w:hAnsi="黑体" w:eastAsia="黑体"/>
          <w:bCs w:val="0"/>
          <w:color w:val="000000"/>
          <w:sz w:val="31"/>
          <w:szCs w:val="31"/>
          <w:highlight w:val="none"/>
        </w:rPr>
      </w:pPr>
    </w:p>
    <w:p>
      <w:pPr>
        <w:rPr>
          <w:rFonts w:ascii="黑体" w:hAnsi="黑体" w:eastAsia="黑体"/>
          <w:bCs w:val="0"/>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 w:val="0"/>
          <w:bCs w:val="0"/>
          <w:color w:val="000000"/>
          <w:sz w:val="31"/>
          <w:szCs w:val="31"/>
          <w:highlight w:val="none"/>
        </w:rPr>
      </w:pPr>
      <w:bookmarkStart w:id="135" w:name="_Toc30098"/>
      <w:r>
        <w:rPr>
          <w:rFonts w:hint="eastAsia" w:ascii="黑体" w:hAnsi="黑体" w:eastAsia="黑体"/>
          <w:bCs w:val="0"/>
          <w:color w:val="000000"/>
          <w:sz w:val="31"/>
          <w:szCs w:val="31"/>
          <w:highlight w:val="none"/>
        </w:rPr>
        <w:t>第四章 合同条款及格式</w:t>
      </w:r>
      <w:bookmarkEnd w:id="129"/>
      <w:bookmarkEnd w:id="135"/>
    </w:p>
    <w:bookmarkEnd w:id="130"/>
    <w:bookmarkEnd w:id="131"/>
    <w:bookmarkEnd w:id="132"/>
    <w:bookmarkEnd w:id="133"/>
    <w:bookmarkEnd w:id="134"/>
    <w:p>
      <w:pPr>
        <w:spacing w:line="490" w:lineRule="exact"/>
        <w:rPr>
          <w:sz w:val="20"/>
          <w:highlight w:val="none"/>
        </w:rPr>
      </w:pPr>
      <w:bookmarkStart w:id="136" w:name="_Toc49870005"/>
    </w:p>
    <w:p>
      <w:pPr>
        <w:spacing w:line="490" w:lineRule="exact"/>
        <w:jc w:val="center"/>
        <w:outlineLvl w:val="1"/>
        <w:rPr>
          <w:b/>
          <w:sz w:val="32"/>
          <w:szCs w:val="40"/>
          <w:highlight w:val="none"/>
        </w:rPr>
      </w:pPr>
      <w:bookmarkStart w:id="137" w:name="_Toc304541305"/>
      <w:bookmarkStart w:id="138" w:name="_Toc20502"/>
      <w:bookmarkStart w:id="139" w:name="_Toc19346"/>
      <w:bookmarkStart w:id="140" w:name="_Toc304541317"/>
      <w:r>
        <w:rPr>
          <w:b/>
          <w:sz w:val="32"/>
          <w:szCs w:val="40"/>
          <w:highlight w:val="none"/>
        </w:rPr>
        <w:t>第1节  通用合同条款</w:t>
      </w:r>
      <w:bookmarkEnd w:id="137"/>
      <w:bookmarkEnd w:id="138"/>
      <w:bookmarkEnd w:id="139"/>
      <w:bookmarkEnd w:id="140"/>
    </w:p>
    <w:p>
      <w:pPr>
        <w:spacing w:line="490" w:lineRule="exact"/>
        <w:rPr>
          <w:sz w:val="20"/>
          <w:highlight w:val="none"/>
        </w:rPr>
      </w:pPr>
      <w:bookmarkStart w:id="141" w:name="_Toc189386103"/>
    </w:p>
    <w:p>
      <w:pPr>
        <w:pStyle w:val="5"/>
        <w:keepNext w:val="0"/>
        <w:keepLines w:val="0"/>
        <w:spacing w:before="0" w:after="0" w:line="490" w:lineRule="exact"/>
        <w:ind w:firstLine="422" w:firstLineChars="200"/>
        <w:rPr>
          <w:bCs w:val="0"/>
          <w:color w:val="auto"/>
          <w:sz w:val="21"/>
          <w:szCs w:val="21"/>
          <w:highlight w:val="none"/>
        </w:rPr>
      </w:pPr>
      <w:bookmarkStart w:id="142" w:name="_Toc11581"/>
      <w:bookmarkStart w:id="143" w:name="_Toc23610"/>
      <w:r>
        <w:rPr>
          <w:bCs w:val="0"/>
          <w:color w:val="auto"/>
          <w:sz w:val="21"/>
          <w:szCs w:val="21"/>
          <w:highlight w:val="none"/>
        </w:rPr>
        <w:t>1</w:t>
      </w:r>
      <w:r>
        <w:rPr>
          <w:rFonts w:hint="eastAsia"/>
          <w:bCs w:val="0"/>
          <w:color w:val="auto"/>
          <w:sz w:val="21"/>
          <w:szCs w:val="21"/>
          <w:highlight w:val="none"/>
        </w:rPr>
        <w:t>.</w:t>
      </w:r>
      <w:r>
        <w:rPr>
          <w:bCs w:val="0"/>
          <w:color w:val="auto"/>
          <w:sz w:val="21"/>
          <w:szCs w:val="21"/>
          <w:highlight w:val="none"/>
        </w:rPr>
        <w:t>一般约定</w:t>
      </w:r>
      <w:bookmarkEnd w:id="141"/>
      <w:bookmarkEnd w:id="142"/>
      <w:bookmarkEnd w:id="143"/>
    </w:p>
    <w:p>
      <w:pPr>
        <w:spacing w:line="490" w:lineRule="exact"/>
        <w:ind w:firstLine="422" w:firstLineChars="200"/>
        <w:outlineLvl w:val="3"/>
        <w:rPr>
          <w:b/>
          <w:bCs/>
          <w:kern w:val="0"/>
          <w:szCs w:val="21"/>
          <w:highlight w:val="none"/>
        </w:rPr>
      </w:pPr>
      <w:bookmarkStart w:id="144" w:name="_Toc189386104"/>
      <w:bookmarkStart w:id="145" w:name="_Toc511318046"/>
      <w:bookmarkStart w:id="146" w:name="_Toc511317297"/>
      <w:r>
        <w:rPr>
          <w:b/>
          <w:bCs/>
          <w:kern w:val="0"/>
          <w:szCs w:val="21"/>
          <w:highlight w:val="none"/>
        </w:rPr>
        <w:t>1.1 词语定义</w:t>
      </w:r>
      <w:bookmarkEnd w:id="144"/>
      <w:bookmarkEnd w:id="145"/>
      <w:bookmarkEnd w:id="146"/>
    </w:p>
    <w:p>
      <w:pPr>
        <w:spacing w:line="490" w:lineRule="exact"/>
        <w:ind w:firstLine="420" w:firstLineChars="200"/>
        <w:rPr>
          <w:kern w:val="0"/>
          <w:szCs w:val="21"/>
          <w:highlight w:val="none"/>
        </w:rPr>
      </w:pPr>
      <w:r>
        <w:rPr>
          <w:kern w:val="0"/>
          <w:szCs w:val="21"/>
          <w:highlight w:val="none"/>
        </w:rPr>
        <w:t>通用合同条款、专用合同条款中的下列词语应具有本款所赋予的含义。</w:t>
      </w:r>
    </w:p>
    <w:p>
      <w:pPr>
        <w:spacing w:line="490" w:lineRule="exact"/>
        <w:ind w:firstLine="422" w:firstLineChars="200"/>
        <w:rPr>
          <w:b/>
          <w:kern w:val="0"/>
          <w:szCs w:val="21"/>
          <w:highlight w:val="none"/>
        </w:rPr>
      </w:pPr>
      <w:r>
        <w:rPr>
          <w:b/>
          <w:kern w:val="0"/>
          <w:szCs w:val="21"/>
          <w:highlight w:val="none"/>
        </w:rPr>
        <w:t>1.1.1 合同</w:t>
      </w:r>
    </w:p>
    <w:p>
      <w:pPr>
        <w:spacing w:line="490" w:lineRule="exact"/>
        <w:ind w:firstLine="420" w:firstLineChars="200"/>
        <w:rPr>
          <w:kern w:val="0"/>
          <w:szCs w:val="21"/>
          <w:highlight w:val="none"/>
        </w:rPr>
      </w:pPr>
      <w:r>
        <w:rPr>
          <w:kern w:val="0"/>
          <w:szCs w:val="21"/>
          <w:highlight w:val="none"/>
        </w:rPr>
        <w:t>1.1.1.1 合同文件（或称合同）：指合同协议书、中标通知书、投标函及投标函附录、专用合同条款、通用合同条款、技术标准和要求、图纸、已标价工程量清单，以及其他合同文件。</w:t>
      </w:r>
    </w:p>
    <w:p>
      <w:pPr>
        <w:spacing w:line="490" w:lineRule="exact"/>
        <w:ind w:firstLine="420" w:firstLineChars="200"/>
        <w:rPr>
          <w:kern w:val="0"/>
          <w:szCs w:val="21"/>
          <w:highlight w:val="none"/>
        </w:rPr>
      </w:pPr>
      <w:r>
        <w:rPr>
          <w:kern w:val="0"/>
          <w:szCs w:val="21"/>
          <w:highlight w:val="none"/>
        </w:rPr>
        <w:t>1.1.1.2 合同协议书：指第1.5款所指的合同协议书。</w:t>
      </w:r>
    </w:p>
    <w:p>
      <w:pPr>
        <w:spacing w:line="490" w:lineRule="exact"/>
        <w:ind w:firstLine="420" w:firstLineChars="200"/>
        <w:rPr>
          <w:kern w:val="0"/>
          <w:szCs w:val="21"/>
          <w:highlight w:val="none"/>
        </w:rPr>
      </w:pPr>
      <w:r>
        <w:rPr>
          <w:kern w:val="0"/>
          <w:szCs w:val="21"/>
          <w:highlight w:val="none"/>
        </w:rPr>
        <w:t>1.1.1.3 中标通知书：指发包人通知承包人中标的函件。</w:t>
      </w:r>
    </w:p>
    <w:p>
      <w:pPr>
        <w:spacing w:line="490" w:lineRule="exact"/>
        <w:ind w:firstLine="420" w:firstLineChars="200"/>
        <w:rPr>
          <w:kern w:val="0"/>
          <w:szCs w:val="21"/>
          <w:highlight w:val="none"/>
        </w:rPr>
      </w:pPr>
      <w:r>
        <w:rPr>
          <w:kern w:val="0"/>
          <w:szCs w:val="21"/>
          <w:highlight w:val="none"/>
        </w:rPr>
        <w:t>1.1.1.4 投标函：指构成合同文件组成部分的由承包人填写并签署的投标函。</w:t>
      </w:r>
    </w:p>
    <w:p>
      <w:pPr>
        <w:spacing w:line="490" w:lineRule="exact"/>
        <w:ind w:firstLine="420" w:firstLineChars="200"/>
        <w:rPr>
          <w:kern w:val="0"/>
          <w:szCs w:val="21"/>
          <w:highlight w:val="none"/>
        </w:rPr>
      </w:pPr>
      <w:r>
        <w:rPr>
          <w:kern w:val="0"/>
          <w:szCs w:val="21"/>
          <w:highlight w:val="none"/>
        </w:rPr>
        <w:t>1.1.1.5 投标函附录：指附在投标函后构成合同文件的投标函附录。</w:t>
      </w:r>
    </w:p>
    <w:p>
      <w:pPr>
        <w:spacing w:line="490" w:lineRule="exact"/>
        <w:ind w:firstLine="420" w:firstLineChars="200"/>
        <w:rPr>
          <w:kern w:val="0"/>
          <w:szCs w:val="21"/>
          <w:highlight w:val="none"/>
        </w:rPr>
      </w:pPr>
      <w:r>
        <w:rPr>
          <w:kern w:val="0"/>
          <w:szCs w:val="21"/>
          <w:highlight w:val="none"/>
        </w:rPr>
        <w:t>1.1.1.6 技术标准和要求：指构成合同文件组成部分的名为技术标准和要求（合同技术条款）的文件，包括合同双方当事人约定对其所作的修改或补充。</w:t>
      </w:r>
    </w:p>
    <w:p>
      <w:pPr>
        <w:spacing w:line="490" w:lineRule="exact"/>
        <w:ind w:firstLine="420" w:firstLineChars="200"/>
        <w:rPr>
          <w:kern w:val="0"/>
          <w:szCs w:val="21"/>
          <w:highlight w:val="none"/>
        </w:rPr>
      </w:pPr>
      <w:r>
        <w:rPr>
          <w:kern w:val="0"/>
          <w:szCs w:val="21"/>
          <w:highlight w:val="none"/>
        </w:rPr>
        <w:t>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spacing w:line="490" w:lineRule="exact"/>
        <w:ind w:firstLine="420" w:firstLineChars="200"/>
        <w:rPr>
          <w:kern w:val="0"/>
          <w:szCs w:val="21"/>
          <w:highlight w:val="none"/>
        </w:rPr>
      </w:pPr>
      <w:r>
        <w:rPr>
          <w:kern w:val="0"/>
          <w:szCs w:val="21"/>
          <w:highlight w:val="none"/>
        </w:rPr>
        <w:t>1.1.1.8 已标价工程量清单：指构成合同文件组成部分的由承包人按照规定的格式和要求填写并标明价格的工程量清单。</w:t>
      </w:r>
    </w:p>
    <w:p>
      <w:pPr>
        <w:spacing w:line="490" w:lineRule="exact"/>
        <w:ind w:firstLine="420" w:firstLineChars="200"/>
        <w:rPr>
          <w:kern w:val="0"/>
          <w:szCs w:val="21"/>
          <w:highlight w:val="none"/>
        </w:rPr>
      </w:pPr>
      <w:r>
        <w:rPr>
          <w:kern w:val="0"/>
          <w:szCs w:val="21"/>
          <w:highlight w:val="none"/>
        </w:rPr>
        <w:t>1.1.1.9 其他合同文件：指经合同双方当事人确认构成合同文件的其他文件。</w:t>
      </w:r>
    </w:p>
    <w:p>
      <w:pPr>
        <w:spacing w:line="490" w:lineRule="exact"/>
        <w:ind w:firstLine="422" w:firstLineChars="200"/>
        <w:rPr>
          <w:b/>
          <w:kern w:val="0"/>
          <w:szCs w:val="21"/>
          <w:highlight w:val="none"/>
        </w:rPr>
      </w:pPr>
      <w:r>
        <w:rPr>
          <w:b/>
          <w:kern w:val="0"/>
          <w:szCs w:val="21"/>
          <w:highlight w:val="none"/>
        </w:rPr>
        <w:t>1.1.2 合同当事人和人员</w:t>
      </w:r>
    </w:p>
    <w:p>
      <w:pPr>
        <w:spacing w:line="490" w:lineRule="exact"/>
        <w:ind w:firstLine="420" w:firstLineChars="200"/>
        <w:rPr>
          <w:kern w:val="0"/>
          <w:szCs w:val="21"/>
          <w:highlight w:val="none"/>
        </w:rPr>
      </w:pPr>
      <w:r>
        <w:rPr>
          <w:kern w:val="0"/>
          <w:szCs w:val="21"/>
          <w:highlight w:val="none"/>
        </w:rPr>
        <w:t>1.1.2.1 合同当事人:指发包人和（或）承包人。</w:t>
      </w:r>
    </w:p>
    <w:p>
      <w:pPr>
        <w:spacing w:line="490" w:lineRule="exact"/>
        <w:ind w:firstLine="420" w:firstLineChars="200"/>
        <w:rPr>
          <w:kern w:val="0"/>
          <w:szCs w:val="21"/>
          <w:highlight w:val="none"/>
        </w:rPr>
      </w:pPr>
      <w:r>
        <w:rPr>
          <w:kern w:val="0"/>
          <w:szCs w:val="21"/>
          <w:highlight w:val="none"/>
        </w:rPr>
        <w:t>1.1.2.2 发包人：指专用合同条款中指明并与承包人在合同协议书中签字的当事人。</w:t>
      </w:r>
    </w:p>
    <w:p>
      <w:pPr>
        <w:spacing w:line="490" w:lineRule="exact"/>
        <w:ind w:firstLine="420" w:firstLineChars="200"/>
        <w:rPr>
          <w:kern w:val="0"/>
          <w:szCs w:val="21"/>
          <w:highlight w:val="none"/>
        </w:rPr>
      </w:pPr>
      <w:r>
        <w:rPr>
          <w:kern w:val="0"/>
          <w:szCs w:val="21"/>
          <w:highlight w:val="none"/>
        </w:rPr>
        <w:t>1.1.2.3 承包人：指专用合同条款中指明并与发包人在合同协议书中签字的当事人。</w:t>
      </w:r>
    </w:p>
    <w:p>
      <w:pPr>
        <w:spacing w:line="490" w:lineRule="exact"/>
        <w:ind w:firstLine="420" w:firstLineChars="200"/>
        <w:rPr>
          <w:kern w:val="0"/>
          <w:szCs w:val="21"/>
          <w:highlight w:val="none"/>
        </w:rPr>
      </w:pPr>
      <w:r>
        <w:rPr>
          <w:kern w:val="0"/>
          <w:szCs w:val="21"/>
          <w:highlight w:val="none"/>
        </w:rPr>
        <w:t>1.1.2.4 承包人项目经理：指承包人派驻施工场地的全权负责人。</w:t>
      </w:r>
    </w:p>
    <w:p>
      <w:pPr>
        <w:spacing w:line="490" w:lineRule="exact"/>
        <w:ind w:firstLine="420" w:firstLineChars="200"/>
        <w:rPr>
          <w:kern w:val="0"/>
          <w:szCs w:val="21"/>
          <w:highlight w:val="none"/>
        </w:rPr>
      </w:pPr>
      <w:r>
        <w:rPr>
          <w:kern w:val="0"/>
          <w:szCs w:val="21"/>
          <w:highlight w:val="none"/>
        </w:rPr>
        <w:t>1.1.2.5 分包人：指专用合同条款中指明的，从承包人处分包合同中某一部分工程，并与其签订分包合同的分包人。</w:t>
      </w:r>
    </w:p>
    <w:p>
      <w:pPr>
        <w:spacing w:line="490" w:lineRule="exact"/>
        <w:ind w:firstLine="420" w:firstLineChars="200"/>
        <w:rPr>
          <w:kern w:val="0"/>
          <w:szCs w:val="21"/>
          <w:highlight w:val="none"/>
        </w:rPr>
      </w:pPr>
      <w:r>
        <w:rPr>
          <w:kern w:val="0"/>
          <w:szCs w:val="21"/>
          <w:highlight w:val="none"/>
        </w:rPr>
        <w:t>1.1.2.6 监理人：指在专用合同条款中指明的，受发包人委托对合同履行实施管理的法人或其他组织。</w:t>
      </w:r>
    </w:p>
    <w:p>
      <w:pPr>
        <w:spacing w:line="490" w:lineRule="exact"/>
        <w:ind w:firstLine="420" w:firstLineChars="200"/>
        <w:rPr>
          <w:kern w:val="0"/>
          <w:szCs w:val="21"/>
          <w:highlight w:val="none"/>
        </w:rPr>
      </w:pPr>
      <w:r>
        <w:rPr>
          <w:kern w:val="0"/>
          <w:szCs w:val="21"/>
          <w:highlight w:val="none"/>
        </w:rPr>
        <w:t>1.1.2.7 总监理工程师（总监）：指由监理人委派常驻施工场地对合同履行实施管理的全权负责人。</w:t>
      </w:r>
    </w:p>
    <w:p>
      <w:pPr>
        <w:spacing w:line="490" w:lineRule="exact"/>
        <w:ind w:firstLine="422" w:firstLineChars="200"/>
        <w:rPr>
          <w:b/>
          <w:kern w:val="0"/>
          <w:szCs w:val="21"/>
          <w:highlight w:val="none"/>
        </w:rPr>
      </w:pPr>
      <w:r>
        <w:rPr>
          <w:b/>
          <w:kern w:val="0"/>
          <w:szCs w:val="21"/>
          <w:highlight w:val="none"/>
        </w:rPr>
        <w:t>1.1.3 工程和设备</w:t>
      </w:r>
    </w:p>
    <w:p>
      <w:pPr>
        <w:spacing w:line="490" w:lineRule="exact"/>
        <w:ind w:firstLine="420" w:firstLineChars="200"/>
        <w:rPr>
          <w:kern w:val="0"/>
          <w:szCs w:val="21"/>
          <w:highlight w:val="none"/>
        </w:rPr>
      </w:pPr>
      <w:r>
        <w:rPr>
          <w:kern w:val="0"/>
          <w:szCs w:val="21"/>
          <w:highlight w:val="none"/>
        </w:rPr>
        <w:t>1.1.3.1 工程：指永久工程和（或）临时工程。</w:t>
      </w:r>
    </w:p>
    <w:p>
      <w:pPr>
        <w:spacing w:line="490" w:lineRule="exact"/>
        <w:ind w:firstLine="420" w:firstLineChars="200"/>
        <w:rPr>
          <w:kern w:val="0"/>
          <w:szCs w:val="21"/>
          <w:highlight w:val="none"/>
        </w:rPr>
      </w:pPr>
      <w:r>
        <w:rPr>
          <w:kern w:val="0"/>
          <w:szCs w:val="21"/>
          <w:highlight w:val="none"/>
        </w:rPr>
        <w:t>1.1.3.2 永久工程：指按合同约定建造并移交给发包人的工程，包括工程设备。</w:t>
      </w:r>
    </w:p>
    <w:p>
      <w:pPr>
        <w:spacing w:line="490" w:lineRule="exact"/>
        <w:ind w:firstLine="420" w:firstLineChars="200"/>
        <w:rPr>
          <w:kern w:val="0"/>
          <w:szCs w:val="21"/>
          <w:highlight w:val="none"/>
        </w:rPr>
      </w:pPr>
      <w:r>
        <w:rPr>
          <w:kern w:val="0"/>
          <w:szCs w:val="21"/>
          <w:highlight w:val="none"/>
        </w:rPr>
        <w:t>1.1.3.3 临时工程：指为完成合同约定的永久工程所修建的各类临时性工程，不包括施工设备。</w:t>
      </w:r>
    </w:p>
    <w:p>
      <w:pPr>
        <w:spacing w:line="490" w:lineRule="exact"/>
        <w:ind w:firstLine="420" w:firstLineChars="200"/>
        <w:rPr>
          <w:kern w:val="0"/>
          <w:szCs w:val="21"/>
          <w:highlight w:val="none"/>
        </w:rPr>
      </w:pPr>
      <w:r>
        <w:rPr>
          <w:kern w:val="0"/>
          <w:szCs w:val="21"/>
          <w:highlight w:val="none"/>
        </w:rPr>
        <w:t>1.1.3.4 单位工程：指专用合同条款中指明特定范围的永久工程。</w:t>
      </w:r>
    </w:p>
    <w:p>
      <w:pPr>
        <w:spacing w:line="490" w:lineRule="exact"/>
        <w:ind w:firstLine="420" w:firstLineChars="200"/>
        <w:rPr>
          <w:kern w:val="0"/>
          <w:szCs w:val="21"/>
          <w:highlight w:val="none"/>
        </w:rPr>
      </w:pPr>
      <w:r>
        <w:rPr>
          <w:kern w:val="0"/>
          <w:szCs w:val="21"/>
          <w:highlight w:val="none"/>
        </w:rPr>
        <w:t>1.1.3.5 工程设备：指构成或计划构成永久工程一部分的机电设备、金属结构设备、仪器装置及其他类似的设备和装置。</w:t>
      </w:r>
    </w:p>
    <w:p>
      <w:pPr>
        <w:spacing w:line="490" w:lineRule="exact"/>
        <w:ind w:firstLine="420" w:firstLineChars="200"/>
        <w:rPr>
          <w:kern w:val="0"/>
          <w:szCs w:val="21"/>
          <w:highlight w:val="none"/>
        </w:rPr>
      </w:pPr>
      <w:r>
        <w:rPr>
          <w:kern w:val="0"/>
          <w:szCs w:val="21"/>
          <w:highlight w:val="none"/>
        </w:rPr>
        <w:t>1.1.3.6 施工设备：指为完成合同约定的各项工作所需的设备、器具和其他物品，不包括临时工程和材料。</w:t>
      </w:r>
    </w:p>
    <w:p>
      <w:pPr>
        <w:spacing w:line="490" w:lineRule="exact"/>
        <w:ind w:firstLine="420" w:firstLineChars="200"/>
        <w:rPr>
          <w:kern w:val="0"/>
          <w:szCs w:val="21"/>
          <w:highlight w:val="none"/>
        </w:rPr>
      </w:pPr>
      <w:r>
        <w:rPr>
          <w:kern w:val="0"/>
          <w:szCs w:val="21"/>
          <w:highlight w:val="none"/>
        </w:rPr>
        <w:t>1.1.3.7 临时设施：指为完成合同约定的各项工作所服务的临时性生产和生活设施。</w:t>
      </w:r>
    </w:p>
    <w:p>
      <w:pPr>
        <w:spacing w:line="490" w:lineRule="exact"/>
        <w:ind w:firstLine="420" w:firstLineChars="200"/>
        <w:rPr>
          <w:kern w:val="0"/>
          <w:szCs w:val="21"/>
          <w:highlight w:val="none"/>
        </w:rPr>
      </w:pPr>
      <w:r>
        <w:rPr>
          <w:kern w:val="0"/>
          <w:szCs w:val="21"/>
          <w:highlight w:val="none"/>
        </w:rPr>
        <w:t>1.1.3.8 承包人设备：指承包人自带的施工设备。</w:t>
      </w:r>
    </w:p>
    <w:p>
      <w:pPr>
        <w:spacing w:line="490" w:lineRule="exact"/>
        <w:ind w:firstLine="420" w:firstLineChars="200"/>
        <w:rPr>
          <w:kern w:val="0"/>
          <w:szCs w:val="21"/>
          <w:highlight w:val="none"/>
        </w:rPr>
      </w:pPr>
      <w:r>
        <w:rPr>
          <w:kern w:val="0"/>
          <w:szCs w:val="21"/>
          <w:highlight w:val="none"/>
        </w:rPr>
        <w:t>1.1.3.9 施工场地（或称工地、现场）：指用于合同工程施工的场所，以及在合同中指定作为施工场地组成部分的其他场所，包括永久占地和临时占地。</w:t>
      </w:r>
    </w:p>
    <w:p>
      <w:pPr>
        <w:spacing w:line="490" w:lineRule="exact"/>
        <w:ind w:firstLine="420" w:firstLineChars="200"/>
        <w:rPr>
          <w:kern w:val="0"/>
          <w:szCs w:val="21"/>
          <w:highlight w:val="none"/>
        </w:rPr>
      </w:pPr>
      <w:r>
        <w:rPr>
          <w:kern w:val="0"/>
          <w:szCs w:val="21"/>
          <w:highlight w:val="none"/>
        </w:rPr>
        <w:t>1.1.3.10 永久占地：指发包人为建设本合同工程永久征用的场地。</w:t>
      </w:r>
    </w:p>
    <w:p>
      <w:pPr>
        <w:spacing w:line="490" w:lineRule="exact"/>
        <w:ind w:firstLine="420" w:firstLineChars="200"/>
        <w:rPr>
          <w:kern w:val="0"/>
          <w:szCs w:val="21"/>
          <w:highlight w:val="none"/>
        </w:rPr>
      </w:pPr>
      <w:r>
        <w:rPr>
          <w:kern w:val="0"/>
          <w:szCs w:val="21"/>
          <w:highlight w:val="none"/>
        </w:rPr>
        <w:t>1.1.3.11 临时占地：指发包人为建设本合同工程临时征用，承包人在完工后须按合同要求退还的场地。</w:t>
      </w:r>
    </w:p>
    <w:p>
      <w:pPr>
        <w:spacing w:line="490" w:lineRule="exact"/>
        <w:ind w:firstLine="422" w:firstLineChars="200"/>
        <w:rPr>
          <w:b/>
          <w:kern w:val="0"/>
          <w:szCs w:val="21"/>
          <w:highlight w:val="none"/>
        </w:rPr>
      </w:pPr>
      <w:r>
        <w:rPr>
          <w:b/>
          <w:kern w:val="0"/>
          <w:szCs w:val="21"/>
          <w:highlight w:val="none"/>
        </w:rPr>
        <w:t>1.1.4 日期</w:t>
      </w:r>
    </w:p>
    <w:p>
      <w:pPr>
        <w:spacing w:line="490" w:lineRule="exact"/>
        <w:ind w:firstLine="420" w:firstLineChars="200"/>
        <w:rPr>
          <w:kern w:val="0"/>
          <w:szCs w:val="21"/>
          <w:highlight w:val="none"/>
        </w:rPr>
      </w:pPr>
      <w:r>
        <w:rPr>
          <w:kern w:val="0"/>
          <w:szCs w:val="21"/>
          <w:highlight w:val="none"/>
        </w:rPr>
        <w:t>1.1.4.1 开工通知：指监理人按第11.1款通知承包人开工的函件。</w:t>
      </w:r>
    </w:p>
    <w:p>
      <w:pPr>
        <w:spacing w:line="490" w:lineRule="exact"/>
        <w:ind w:firstLine="420" w:firstLineChars="200"/>
        <w:rPr>
          <w:kern w:val="0"/>
          <w:szCs w:val="21"/>
          <w:highlight w:val="none"/>
        </w:rPr>
      </w:pPr>
      <w:r>
        <w:rPr>
          <w:kern w:val="0"/>
          <w:szCs w:val="21"/>
          <w:highlight w:val="none"/>
        </w:rPr>
        <w:t>1.1.4.2 开工日期：指监理人按第11.1款发出的开工通知中写明的开工日期。</w:t>
      </w:r>
    </w:p>
    <w:p>
      <w:pPr>
        <w:spacing w:line="490" w:lineRule="exact"/>
        <w:ind w:firstLine="420" w:firstLineChars="200"/>
        <w:rPr>
          <w:kern w:val="0"/>
          <w:szCs w:val="21"/>
          <w:highlight w:val="none"/>
        </w:rPr>
      </w:pPr>
      <w:r>
        <w:rPr>
          <w:kern w:val="0"/>
          <w:szCs w:val="21"/>
          <w:highlight w:val="none"/>
        </w:rPr>
        <w:t>1.1.4.3 工期：指承包人在投标函中承诺的完成合同工程所需的期限，包括按第11.3 款、第11.4款和第11.6款约定所作的变更。</w:t>
      </w:r>
    </w:p>
    <w:p>
      <w:pPr>
        <w:spacing w:line="490" w:lineRule="exact"/>
        <w:ind w:firstLine="420" w:firstLineChars="200"/>
        <w:rPr>
          <w:kern w:val="0"/>
          <w:szCs w:val="21"/>
          <w:highlight w:val="none"/>
        </w:rPr>
      </w:pPr>
      <w:r>
        <w:rPr>
          <w:kern w:val="0"/>
          <w:szCs w:val="21"/>
          <w:highlight w:val="none"/>
        </w:rPr>
        <w:t>1.1.4.4 竣工日期：即合同工程完工日期，指第1.1.4.3目约定工期届满时的日期。实际完工日期以合同工程完工证书中写明的日期为准。</w:t>
      </w:r>
    </w:p>
    <w:p>
      <w:pPr>
        <w:spacing w:line="490" w:lineRule="exact"/>
        <w:ind w:firstLine="420" w:firstLineChars="200"/>
        <w:rPr>
          <w:kern w:val="0"/>
          <w:szCs w:val="21"/>
          <w:highlight w:val="none"/>
        </w:rPr>
      </w:pPr>
      <w:r>
        <w:rPr>
          <w:kern w:val="0"/>
          <w:szCs w:val="21"/>
          <w:highlight w:val="none"/>
        </w:rPr>
        <w:t>1.1.4.5 缺陷责任期：即工程质量保修期，指履行第19.2款约定的缺陷责任的期限，包括根据第19.3款约定所作的延长，具体期限由专用合同条款约定。</w:t>
      </w:r>
    </w:p>
    <w:p>
      <w:pPr>
        <w:spacing w:line="490" w:lineRule="exact"/>
        <w:ind w:firstLine="420" w:firstLineChars="200"/>
        <w:rPr>
          <w:kern w:val="0"/>
          <w:szCs w:val="21"/>
          <w:highlight w:val="none"/>
        </w:rPr>
      </w:pPr>
      <w:r>
        <w:rPr>
          <w:kern w:val="0"/>
          <w:szCs w:val="21"/>
          <w:highlight w:val="none"/>
        </w:rPr>
        <w:t>1.1.4.6 基准日期：指投标截止时间前28天的日期。</w:t>
      </w:r>
    </w:p>
    <w:p>
      <w:pPr>
        <w:spacing w:line="490" w:lineRule="exact"/>
        <w:ind w:firstLine="420" w:firstLineChars="200"/>
        <w:rPr>
          <w:kern w:val="0"/>
          <w:szCs w:val="21"/>
          <w:highlight w:val="none"/>
        </w:rPr>
      </w:pPr>
      <w:r>
        <w:rPr>
          <w:kern w:val="0"/>
          <w:szCs w:val="21"/>
          <w:highlight w:val="none"/>
        </w:rPr>
        <w:t>1.1.4.7 天：除特别指明外，指日历天。合同中按天计算时间的，开始当天不计入，从次日开始计算。期限最后一天的截止时间为当天24:00。</w:t>
      </w:r>
    </w:p>
    <w:p>
      <w:pPr>
        <w:spacing w:line="490" w:lineRule="exact"/>
        <w:ind w:firstLine="422" w:firstLineChars="200"/>
        <w:rPr>
          <w:b/>
          <w:kern w:val="0"/>
          <w:szCs w:val="21"/>
          <w:highlight w:val="none"/>
        </w:rPr>
      </w:pPr>
      <w:r>
        <w:rPr>
          <w:b/>
          <w:kern w:val="0"/>
          <w:szCs w:val="21"/>
          <w:highlight w:val="none"/>
        </w:rPr>
        <w:t>1.1.5 合同价格和费用</w:t>
      </w:r>
    </w:p>
    <w:p>
      <w:pPr>
        <w:spacing w:line="490" w:lineRule="exact"/>
        <w:ind w:firstLine="420" w:firstLineChars="200"/>
        <w:rPr>
          <w:kern w:val="0"/>
          <w:szCs w:val="21"/>
          <w:highlight w:val="none"/>
        </w:rPr>
      </w:pPr>
      <w:r>
        <w:rPr>
          <w:kern w:val="0"/>
          <w:szCs w:val="21"/>
          <w:highlight w:val="none"/>
        </w:rPr>
        <w:t>1.1.5.1 签约合同价：指签定合同时合同协议书中写明的，包括了暂列金额、暂估价的合同总金额。</w:t>
      </w:r>
    </w:p>
    <w:p>
      <w:pPr>
        <w:spacing w:line="490" w:lineRule="exact"/>
        <w:ind w:firstLine="420" w:firstLineChars="200"/>
        <w:rPr>
          <w:kern w:val="0"/>
          <w:szCs w:val="21"/>
          <w:highlight w:val="none"/>
        </w:rPr>
      </w:pPr>
      <w:r>
        <w:rPr>
          <w:kern w:val="0"/>
          <w:szCs w:val="21"/>
          <w:highlight w:val="none"/>
        </w:rPr>
        <w:t>1.1.5.2 合同价格：指承包人按合同约定完成了包括缺陷责任期内的全部承包工作后，发包人应付给承包人的金额，包括在履行合同过程中按合同约定进行的变更和调整。</w:t>
      </w:r>
    </w:p>
    <w:p>
      <w:pPr>
        <w:spacing w:line="490" w:lineRule="exact"/>
        <w:ind w:firstLine="420" w:firstLineChars="200"/>
        <w:rPr>
          <w:kern w:val="0"/>
          <w:szCs w:val="21"/>
          <w:highlight w:val="none"/>
        </w:rPr>
      </w:pPr>
      <w:r>
        <w:rPr>
          <w:kern w:val="0"/>
          <w:szCs w:val="21"/>
          <w:highlight w:val="none"/>
        </w:rPr>
        <w:t>1.1.5.3 费用：指为履行合同所发生的或将要发生的所有合理开支，包括管理费和应分摊的其他费用，但不包括利润。</w:t>
      </w:r>
    </w:p>
    <w:p>
      <w:pPr>
        <w:spacing w:line="490" w:lineRule="exact"/>
        <w:ind w:firstLine="420" w:firstLineChars="200"/>
        <w:rPr>
          <w:kern w:val="0"/>
          <w:szCs w:val="21"/>
          <w:highlight w:val="none"/>
        </w:rPr>
      </w:pPr>
      <w:r>
        <w:rPr>
          <w:kern w:val="0"/>
          <w:szCs w:val="21"/>
          <w:highlight w:val="none"/>
        </w:rPr>
        <w:t>1.1.5.4 暂列金额：指已标价工程量清单中所列的暂列金额，用于在签订协议书时尚未确定或不可预见变更的施工及其所需材料、工程设备、服务等的金额，包括以计日工方式支付的金额。</w:t>
      </w:r>
    </w:p>
    <w:p>
      <w:pPr>
        <w:spacing w:line="490" w:lineRule="exact"/>
        <w:ind w:firstLine="420" w:firstLineChars="200"/>
        <w:rPr>
          <w:kern w:val="0"/>
          <w:szCs w:val="21"/>
          <w:highlight w:val="none"/>
        </w:rPr>
      </w:pPr>
      <w:r>
        <w:rPr>
          <w:kern w:val="0"/>
          <w:szCs w:val="21"/>
          <w:highlight w:val="none"/>
        </w:rPr>
        <w:t>1.1.5.5 暂估价：指发包人在工程量清单中给定的用于支付必然发生但暂时不能确定价格的材料、设备以及专业工程的金额。</w:t>
      </w:r>
    </w:p>
    <w:p>
      <w:pPr>
        <w:spacing w:line="490" w:lineRule="exact"/>
        <w:ind w:firstLine="420" w:firstLineChars="200"/>
        <w:rPr>
          <w:kern w:val="0"/>
          <w:szCs w:val="21"/>
          <w:highlight w:val="none"/>
        </w:rPr>
      </w:pPr>
      <w:r>
        <w:rPr>
          <w:kern w:val="0"/>
          <w:szCs w:val="21"/>
          <w:highlight w:val="none"/>
        </w:rPr>
        <w:t>1.1.5.6 计日工：指对零星工作采取的一种计价方式，按合同中的计日工子目及其单价计价付款。</w:t>
      </w:r>
    </w:p>
    <w:p>
      <w:pPr>
        <w:spacing w:line="490" w:lineRule="exact"/>
        <w:ind w:firstLine="420" w:firstLineChars="200"/>
        <w:rPr>
          <w:kern w:val="0"/>
          <w:szCs w:val="21"/>
          <w:highlight w:val="none"/>
        </w:rPr>
      </w:pPr>
      <w:r>
        <w:rPr>
          <w:kern w:val="0"/>
          <w:szCs w:val="21"/>
          <w:highlight w:val="none"/>
        </w:rPr>
        <w:t>1.1.5.7 质量保证金（或称保留金）：指按第17.4.1项约定用于保证在缺陷责任期内履行缺陷修复义务的金额。</w:t>
      </w:r>
    </w:p>
    <w:p>
      <w:pPr>
        <w:spacing w:line="490" w:lineRule="exact"/>
        <w:ind w:firstLine="422" w:firstLineChars="200"/>
        <w:rPr>
          <w:b/>
          <w:kern w:val="0"/>
          <w:szCs w:val="21"/>
          <w:highlight w:val="none"/>
        </w:rPr>
      </w:pPr>
      <w:r>
        <w:rPr>
          <w:b/>
          <w:kern w:val="0"/>
          <w:szCs w:val="21"/>
          <w:highlight w:val="none"/>
        </w:rPr>
        <w:t>1.1.6 其他</w:t>
      </w:r>
    </w:p>
    <w:p>
      <w:pPr>
        <w:spacing w:line="490" w:lineRule="exact"/>
        <w:ind w:firstLine="420" w:firstLineChars="200"/>
        <w:rPr>
          <w:kern w:val="0"/>
          <w:szCs w:val="21"/>
          <w:highlight w:val="none"/>
        </w:rPr>
      </w:pPr>
      <w:r>
        <w:rPr>
          <w:kern w:val="0"/>
          <w:szCs w:val="21"/>
          <w:highlight w:val="none"/>
        </w:rPr>
        <w:t>1.1.6.1 书面形式：指合同文件、信函、电报、传真等可以有形地表现所载内容的形式。</w:t>
      </w:r>
    </w:p>
    <w:p>
      <w:pPr>
        <w:spacing w:line="490" w:lineRule="exact"/>
        <w:ind w:firstLine="422" w:firstLineChars="200"/>
        <w:outlineLvl w:val="3"/>
        <w:rPr>
          <w:b/>
          <w:bCs/>
          <w:kern w:val="0"/>
          <w:szCs w:val="21"/>
          <w:highlight w:val="none"/>
        </w:rPr>
      </w:pPr>
      <w:bookmarkStart w:id="147" w:name="_Toc511317298"/>
      <w:bookmarkStart w:id="148" w:name="_Toc189386105"/>
      <w:bookmarkStart w:id="149" w:name="_Toc511318047"/>
      <w:r>
        <w:rPr>
          <w:b/>
          <w:bCs/>
          <w:kern w:val="0"/>
          <w:szCs w:val="21"/>
          <w:highlight w:val="none"/>
        </w:rPr>
        <w:t>1.2 语言文字</w:t>
      </w:r>
      <w:bookmarkEnd w:id="147"/>
      <w:bookmarkEnd w:id="148"/>
      <w:bookmarkEnd w:id="149"/>
    </w:p>
    <w:p>
      <w:pPr>
        <w:spacing w:line="490" w:lineRule="exact"/>
        <w:ind w:firstLine="420" w:firstLineChars="200"/>
        <w:rPr>
          <w:kern w:val="0"/>
          <w:szCs w:val="21"/>
          <w:highlight w:val="none"/>
        </w:rPr>
      </w:pPr>
      <w:r>
        <w:rPr>
          <w:kern w:val="0"/>
          <w:szCs w:val="21"/>
          <w:highlight w:val="none"/>
        </w:rPr>
        <w:t>除专用术语外，合同使用的语言文字为中文。必要时专用术语应附有中文注释。</w:t>
      </w:r>
    </w:p>
    <w:p>
      <w:pPr>
        <w:spacing w:line="490" w:lineRule="exact"/>
        <w:ind w:firstLine="422" w:firstLineChars="200"/>
        <w:outlineLvl w:val="3"/>
        <w:rPr>
          <w:b/>
          <w:bCs/>
          <w:kern w:val="0"/>
          <w:szCs w:val="21"/>
          <w:highlight w:val="none"/>
        </w:rPr>
      </w:pPr>
      <w:bookmarkStart w:id="150" w:name="_Toc511318048"/>
      <w:bookmarkStart w:id="151" w:name="_Toc189386106"/>
      <w:bookmarkStart w:id="152" w:name="_Toc511317299"/>
      <w:r>
        <w:rPr>
          <w:b/>
          <w:bCs/>
          <w:kern w:val="0"/>
          <w:szCs w:val="21"/>
          <w:highlight w:val="none"/>
        </w:rPr>
        <w:t>1.3 法律</w:t>
      </w:r>
      <w:bookmarkEnd w:id="150"/>
      <w:bookmarkEnd w:id="151"/>
      <w:bookmarkEnd w:id="152"/>
    </w:p>
    <w:p>
      <w:pPr>
        <w:spacing w:line="490" w:lineRule="exact"/>
        <w:ind w:firstLine="420" w:firstLineChars="200"/>
        <w:rPr>
          <w:kern w:val="0"/>
          <w:szCs w:val="21"/>
          <w:highlight w:val="none"/>
        </w:rPr>
      </w:pPr>
      <w:r>
        <w:rPr>
          <w:kern w:val="0"/>
          <w:szCs w:val="21"/>
          <w:highlight w:val="none"/>
        </w:rPr>
        <w:t>适用于合同的法律包括中华人民共和国法律、行政法规、部门规章，以及工程所在地的地方法规、自治条例、单行条例和地方政府规章。</w:t>
      </w:r>
    </w:p>
    <w:p>
      <w:pPr>
        <w:spacing w:line="490" w:lineRule="exact"/>
        <w:ind w:firstLine="422" w:firstLineChars="200"/>
        <w:outlineLvl w:val="3"/>
        <w:rPr>
          <w:b/>
          <w:bCs/>
          <w:kern w:val="0"/>
          <w:szCs w:val="21"/>
          <w:highlight w:val="none"/>
        </w:rPr>
      </w:pPr>
      <w:bookmarkStart w:id="153" w:name="_Toc511318049"/>
      <w:bookmarkStart w:id="154" w:name="_Toc189386107"/>
      <w:bookmarkStart w:id="155" w:name="_Toc511317300"/>
      <w:r>
        <w:rPr>
          <w:b/>
          <w:bCs/>
          <w:kern w:val="0"/>
          <w:szCs w:val="21"/>
          <w:highlight w:val="none"/>
        </w:rPr>
        <w:t>1.4 合同文件的优先顺序</w:t>
      </w:r>
      <w:bookmarkEnd w:id="153"/>
      <w:bookmarkEnd w:id="154"/>
      <w:bookmarkEnd w:id="155"/>
    </w:p>
    <w:p>
      <w:pPr>
        <w:spacing w:line="490" w:lineRule="exact"/>
        <w:ind w:firstLine="420" w:firstLineChars="200"/>
        <w:rPr>
          <w:kern w:val="0"/>
          <w:szCs w:val="21"/>
          <w:highlight w:val="none"/>
        </w:rPr>
      </w:pPr>
      <w:r>
        <w:rPr>
          <w:kern w:val="0"/>
          <w:szCs w:val="21"/>
          <w:highlight w:val="none"/>
        </w:rPr>
        <w:t>组成合同的各项文件应互相解释，互为说明。除专用合同条款另有约定外，解释合同文件的优先顺序如下：</w:t>
      </w:r>
    </w:p>
    <w:p>
      <w:pPr>
        <w:spacing w:line="490" w:lineRule="exact"/>
        <w:ind w:firstLine="420" w:firstLineChars="200"/>
        <w:rPr>
          <w:kern w:val="0"/>
          <w:szCs w:val="21"/>
          <w:highlight w:val="none"/>
        </w:rPr>
      </w:pPr>
      <w:r>
        <w:rPr>
          <w:kern w:val="0"/>
          <w:szCs w:val="21"/>
          <w:highlight w:val="none"/>
        </w:rPr>
        <w:t>（1）合同协议书；</w:t>
      </w:r>
    </w:p>
    <w:p>
      <w:pPr>
        <w:spacing w:line="490" w:lineRule="exact"/>
        <w:ind w:firstLine="420" w:firstLineChars="200"/>
        <w:rPr>
          <w:kern w:val="0"/>
          <w:szCs w:val="21"/>
          <w:highlight w:val="none"/>
        </w:rPr>
      </w:pPr>
      <w:r>
        <w:rPr>
          <w:kern w:val="0"/>
          <w:szCs w:val="21"/>
          <w:highlight w:val="none"/>
        </w:rPr>
        <w:t>（2）中标通知书；</w:t>
      </w:r>
    </w:p>
    <w:p>
      <w:pPr>
        <w:spacing w:line="490" w:lineRule="exact"/>
        <w:ind w:firstLine="420" w:firstLineChars="200"/>
        <w:rPr>
          <w:kern w:val="0"/>
          <w:szCs w:val="21"/>
          <w:highlight w:val="none"/>
        </w:rPr>
      </w:pPr>
      <w:r>
        <w:rPr>
          <w:kern w:val="0"/>
          <w:szCs w:val="21"/>
          <w:highlight w:val="none"/>
        </w:rPr>
        <w:t>（3）投标函及投标函附录；</w:t>
      </w:r>
    </w:p>
    <w:p>
      <w:pPr>
        <w:spacing w:line="490" w:lineRule="exact"/>
        <w:ind w:firstLine="420" w:firstLineChars="200"/>
        <w:rPr>
          <w:kern w:val="0"/>
          <w:szCs w:val="21"/>
          <w:highlight w:val="none"/>
        </w:rPr>
      </w:pPr>
      <w:r>
        <w:rPr>
          <w:kern w:val="0"/>
          <w:szCs w:val="21"/>
          <w:highlight w:val="none"/>
        </w:rPr>
        <w:t>（4）专用合同条款；</w:t>
      </w:r>
    </w:p>
    <w:p>
      <w:pPr>
        <w:spacing w:line="490" w:lineRule="exact"/>
        <w:ind w:firstLine="420" w:firstLineChars="200"/>
        <w:rPr>
          <w:kern w:val="0"/>
          <w:szCs w:val="21"/>
          <w:highlight w:val="none"/>
        </w:rPr>
      </w:pPr>
      <w:r>
        <w:rPr>
          <w:kern w:val="0"/>
          <w:szCs w:val="21"/>
          <w:highlight w:val="none"/>
        </w:rPr>
        <w:t>（5）通用合同条款；</w:t>
      </w:r>
    </w:p>
    <w:p>
      <w:pPr>
        <w:spacing w:line="490" w:lineRule="exact"/>
        <w:ind w:firstLine="420" w:firstLineChars="200"/>
        <w:rPr>
          <w:kern w:val="0"/>
          <w:szCs w:val="21"/>
          <w:highlight w:val="none"/>
        </w:rPr>
      </w:pPr>
      <w:r>
        <w:rPr>
          <w:kern w:val="0"/>
          <w:szCs w:val="21"/>
          <w:highlight w:val="none"/>
        </w:rPr>
        <w:t>（6）技术标准和要求；</w:t>
      </w:r>
    </w:p>
    <w:p>
      <w:pPr>
        <w:spacing w:line="490" w:lineRule="exact"/>
        <w:ind w:firstLine="420" w:firstLineChars="200"/>
        <w:rPr>
          <w:kern w:val="0"/>
          <w:szCs w:val="21"/>
          <w:highlight w:val="none"/>
        </w:rPr>
      </w:pPr>
      <w:r>
        <w:rPr>
          <w:kern w:val="0"/>
          <w:szCs w:val="21"/>
          <w:highlight w:val="none"/>
        </w:rPr>
        <w:t>（7）图纸；</w:t>
      </w:r>
    </w:p>
    <w:p>
      <w:pPr>
        <w:spacing w:line="490" w:lineRule="exact"/>
        <w:ind w:firstLine="420" w:firstLineChars="200"/>
        <w:rPr>
          <w:kern w:val="0"/>
          <w:szCs w:val="21"/>
          <w:highlight w:val="none"/>
        </w:rPr>
      </w:pPr>
      <w:r>
        <w:rPr>
          <w:kern w:val="0"/>
          <w:szCs w:val="21"/>
          <w:highlight w:val="none"/>
        </w:rPr>
        <w:t>（8）已标价工程量清单；</w:t>
      </w:r>
    </w:p>
    <w:p>
      <w:pPr>
        <w:spacing w:line="490" w:lineRule="exact"/>
        <w:ind w:firstLine="420" w:firstLineChars="200"/>
        <w:rPr>
          <w:kern w:val="0"/>
          <w:szCs w:val="21"/>
          <w:highlight w:val="none"/>
        </w:rPr>
      </w:pPr>
      <w:r>
        <w:rPr>
          <w:kern w:val="0"/>
          <w:szCs w:val="21"/>
          <w:highlight w:val="none"/>
        </w:rPr>
        <w:t>（9）其他合同文件。</w:t>
      </w:r>
    </w:p>
    <w:p>
      <w:pPr>
        <w:spacing w:line="490" w:lineRule="exact"/>
        <w:ind w:firstLine="422" w:firstLineChars="200"/>
        <w:outlineLvl w:val="3"/>
        <w:rPr>
          <w:b/>
          <w:bCs/>
          <w:kern w:val="0"/>
          <w:szCs w:val="21"/>
          <w:highlight w:val="none"/>
        </w:rPr>
      </w:pPr>
      <w:bookmarkStart w:id="156" w:name="_Toc511318050"/>
      <w:bookmarkStart w:id="157" w:name="_Toc511317301"/>
      <w:bookmarkStart w:id="158" w:name="_Toc189386108"/>
      <w:r>
        <w:rPr>
          <w:b/>
          <w:bCs/>
          <w:kern w:val="0"/>
          <w:szCs w:val="21"/>
          <w:highlight w:val="none"/>
        </w:rPr>
        <w:t>1.5 合同协议书</w:t>
      </w:r>
      <w:bookmarkEnd w:id="156"/>
      <w:bookmarkEnd w:id="157"/>
      <w:bookmarkEnd w:id="158"/>
    </w:p>
    <w:p>
      <w:pPr>
        <w:spacing w:line="490" w:lineRule="exact"/>
        <w:ind w:firstLine="420" w:firstLineChars="200"/>
        <w:rPr>
          <w:kern w:val="0"/>
          <w:szCs w:val="21"/>
          <w:highlight w:val="none"/>
        </w:rPr>
      </w:pPr>
      <w:r>
        <w:rPr>
          <w:kern w:val="0"/>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spacing w:line="490" w:lineRule="exact"/>
        <w:ind w:firstLine="422" w:firstLineChars="200"/>
        <w:outlineLvl w:val="3"/>
        <w:rPr>
          <w:b/>
          <w:bCs/>
          <w:kern w:val="0"/>
          <w:szCs w:val="21"/>
          <w:highlight w:val="none"/>
        </w:rPr>
      </w:pPr>
      <w:bookmarkStart w:id="159" w:name="_Toc511317302"/>
      <w:bookmarkStart w:id="160" w:name="_Toc511318051"/>
      <w:bookmarkStart w:id="161" w:name="_Toc189386109"/>
      <w:r>
        <w:rPr>
          <w:b/>
          <w:bCs/>
          <w:kern w:val="0"/>
          <w:szCs w:val="21"/>
          <w:highlight w:val="none"/>
        </w:rPr>
        <w:t>1.6 图纸和承包人文件</w:t>
      </w:r>
      <w:bookmarkEnd w:id="159"/>
      <w:bookmarkEnd w:id="160"/>
      <w:bookmarkEnd w:id="161"/>
    </w:p>
    <w:p>
      <w:pPr>
        <w:spacing w:line="490" w:lineRule="exact"/>
        <w:ind w:firstLine="422" w:firstLineChars="200"/>
        <w:rPr>
          <w:b/>
          <w:kern w:val="0"/>
          <w:szCs w:val="21"/>
          <w:highlight w:val="none"/>
        </w:rPr>
      </w:pPr>
      <w:r>
        <w:rPr>
          <w:b/>
          <w:kern w:val="0"/>
          <w:szCs w:val="21"/>
          <w:highlight w:val="none"/>
        </w:rPr>
        <w:t>1.6.1 图纸的提供</w:t>
      </w:r>
    </w:p>
    <w:p>
      <w:pPr>
        <w:spacing w:line="490" w:lineRule="exact"/>
        <w:ind w:firstLine="420" w:firstLineChars="200"/>
        <w:rPr>
          <w:kern w:val="0"/>
          <w:szCs w:val="21"/>
          <w:highlight w:val="none"/>
        </w:rPr>
      </w:pPr>
      <w:r>
        <w:rPr>
          <w:kern w:val="0"/>
          <w:szCs w:val="21"/>
          <w:highlight w:val="none"/>
        </w:rPr>
        <w:t>发包人应按技术标准和要求（合同技术条款）约定的期限和数量将施工图纸以及其它图纸（包括配套说明和有关资料）提供给承包人。由于发包人未按时提供图纸造成工期延误的，按第11.3款的约定办理。</w:t>
      </w:r>
    </w:p>
    <w:p>
      <w:pPr>
        <w:spacing w:line="490" w:lineRule="exact"/>
        <w:ind w:firstLine="422" w:firstLineChars="200"/>
        <w:rPr>
          <w:b/>
          <w:kern w:val="0"/>
          <w:szCs w:val="21"/>
          <w:highlight w:val="none"/>
        </w:rPr>
      </w:pPr>
      <w:r>
        <w:rPr>
          <w:b/>
          <w:kern w:val="0"/>
          <w:szCs w:val="21"/>
          <w:highlight w:val="none"/>
        </w:rPr>
        <w:t>1.6.2 承包人提供的文件</w:t>
      </w:r>
    </w:p>
    <w:p>
      <w:pPr>
        <w:spacing w:line="490" w:lineRule="exact"/>
        <w:ind w:firstLine="420" w:firstLineChars="200"/>
        <w:rPr>
          <w:kern w:val="0"/>
          <w:szCs w:val="21"/>
          <w:highlight w:val="none"/>
        </w:rPr>
      </w:pPr>
      <w:r>
        <w:rPr>
          <w:kern w:val="0"/>
          <w:szCs w:val="21"/>
          <w:highlight w:val="none"/>
        </w:rPr>
        <w:t>承包人提供的文件应按技术标准和要求（合同技术条款）约定的期限和数量提供给监理人。监理人应按技术标准和要求（合同技术条款）约定的期限批复承包人。</w:t>
      </w:r>
    </w:p>
    <w:p>
      <w:pPr>
        <w:spacing w:line="490" w:lineRule="exact"/>
        <w:ind w:firstLine="422" w:firstLineChars="200"/>
        <w:rPr>
          <w:b/>
          <w:kern w:val="0"/>
          <w:szCs w:val="21"/>
          <w:highlight w:val="none"/>
        </w:rPr>
      </w:pPr>
      <w:r>
        <w:rPr>
          <w:b/>
          <w:kern w:val="0"/>
          <w:szCs w:val="21"/>
          <w:highlight w:val="none"/>
        </w:rPr>
        <w:t>1.6.3 图纸的修改</w:t>
      </w:r>
    </w:p>
    <w:p>
      <w:pPr>
        <w:spacing w:line="490" w:lineRule="exact"/>
        <w:ind w:firstLine="420" w:firstLineChars="200"/>
        <w:rPr>
          <w:kern w:val="0"/>
          <w:szCs w:val="21"/>
          <w:highlight w:val="none"/>
        </w:rPr>
      </w:pPr>
      <w:r>
        <w:rPr>
          <w:kern w:val="0"/>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spacing w:line="490" w:lineRule="exact"/>
        <w:ind w:firstLine="422" w:firstLineChars="200"/>
        <w:rPr>
          <w:b/>
          <w:kern w:val="0"/>
          <w:szCs w:val="21"/>
          <w:highlight w:val="none"/>
        </w:rPr>
      </w:pPr>
      <w:r>
        <w:rPr>
          <w:b/>
          <w:kern w:val="0"/>
          <w:szCs w:val="21"/>
          <w:highlight w:val="none"/>
        </w:rPr>
        <w:t>1.6.4 图纸的错误</w:t>
      </w:r>
    </w:p>
    <w:p>
      <w:pPr>
        <w:spacing w:line="490" w:lineRule="exact"/>
        <w:ind w:firstLine="420" w:firstLineChars="200"/>
        <w:rPr>
          <w:kern w:val="0"/>
          <w:szCs w:val="21"/>
          <w:highlight w:val="none"/>
        </w:rPr>
      </w:pPr>
      <w:r>
        <w:rPr>
          <w:kern w:val="0"/>
          <w:szCs w:val="21"/>
          <w:highlight w:val="none"/>
        </w:rPr>
        <w:t>承包人发现发包人提供的图纸存在明显错误或疏忽，应及时通知监理人。</w:t>
      </w:r>
    </w:p>
    <w:p>
      <w:pPr>
        <w:spacing w:line="490" w:lineRule="exact"/>
        <w:ind w:firstLine="422" w:firstLineChars="200"/>
        <w:rPr>
          <w:b/>
          <w:kern w:val="0"/>
          <w:szCs w:val="21"/>
          <w:highlight w:val="none"/>
        </w:rPr>
      </w:pPr>
      <w:r>
        <w:rPr>
          <w:b/>
          <w:kern w:val="0"/>
          <w:szCs w:val="21"/>
          <w:highlight w:val="none"/>
        </w:rPr>
        <w:t>1.6.5 图纸和承包人文件的保管</w:t>
      </w:r>
    </w:p>
    <w:p>
      <w:pPr>
        <w:spacing w:line="490" w:lineRule="exact"/>
        <w:ind w:firstLine="420" w:firstLineChars="200"/>
        <w:rPr>
          <w:kern w:val="0"/>
          <w:szCs w:val="21"/>
          <w:highlight w:val="none"/>
        </w:rPr>
      </w:pPr>
      <w:r>
        <w:rPr>
          <w:kern w:val="0"/>
          <w:szCs w:val="21"/>
          <w:highlight w:val="none"/>
        </w:rPr>
        <w:t>监理人和承包人均应在施工场地各保存一套完整的包含第1.6.1项、第1.6.2 项、第1.6.3 项约定内容的图纸和承包人文件。</w:t>
      </w:r>
    </w:p>
    <w:p>
      <w:pPr>
        <w:spacing w:line="490" w:lineRule="exact"/>
        <w:ind w:firstLine="422" w:firstLineChars="200"/>
        <w:outlineLvl w:val="3"/>
        <w:rPr>
          <w:b/>
          <w:bCs/>
          <w:kern w:val="0"/>
          <w:szCs w:val="21"/>
          <w:highlight w:val="none"/>
        </w:rPr>
      </w:pPr>
      <w:bookmarkStart w:id="162" w:name="_Toc189386110"/>
      <w:bookmarkStart w:id="163" w:name="_Toc511317303"/>
      <w:bookmarkStart w:id="164" w:name="_Toc511318052"/>
      <w:r>
        <w:rPr>
          <w:b/>
          <w:bCs/>
          <w:kern w:val="0"/>
          <w:szCs w:val="21"/>
          <w:highlight w:val="none"/>
        </w:rPr>
        <w:t>1.7 联络</w:t>
      </w:r>
      <w:bookmarkEnd w:id="162"/>
      <w:bookmarkEnd w:id="163"/>
      <w:bookmarkEnd w:id="164"/>
    </w:p>
    <w:p>
      <w:pPr>
        <w:spacing w:line="490" w:lineRule="exact"/>
        <w:ind w:firstLine="420" w:firstLineChars="200"/>
        <w:rPr>
          <w:kern w:val="0"/>
          <w:szCs w:val="21"/>
          <w:highlight w:val="none"/>
        </w:rPr>
      </w:pPr>
      <w:r>
        <w:rPr>
          <w:kern w:val="0"/>
          <w:szCs w:val="21"/>
          <w:highlight w:val="none"/>
        </w:rPr>
        <w:t>1.7.1 与合同有关的通知、批准、证明、证书、指示、要求、请求、同意、意见、确定和决定等，均应采用书面形式。</w:t>
      </w:r>
    </w:p>
    <w:p>
      <w:pPr>
        <w:spacing w:line="490" w:lineRule="exact"/>
        <w:ind w:firstLine="420" w:firstLineChars="200"/>
        <w:rPr>
          <w:kern w:val="0"/>
          <w:szCs w:val="21"/>
          <w:highlight w:val="none"/>
        </w:rPr>
      </w:pPr>
      <w:r>
        <w:rPr>
          <w:kern w:val="0"/>
          <w:szCs w:val="21"/>
          <w:highlight w:val="none"/>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spacing w:line="490" w:lineRule="exact"/>
        <w:ind w:firstLine="420" w:firstLineChars="200"/>
        <w:rPr>
          <w:kern w:val="0"/>
          <w:szCs w:val="21"/>
          <w:highlight w:val="none"/>
        </w:rPr>
      </w:pPr>
      <w:r>
        <w:rPr>
          <w:kern w:val="0"/>
          <w:szCs w:val="21"/>
          <w:highlight w:val="none"/>
        </w:rPr>
        <w:t>1.7.3 来往函件均应按合同约定的期限及时发出和答复，不得无故扣压和拖延，亦不得拒收。否则，由此造成的后果由责任方负责。</w:t>
      </w:r>
    </w:p>
    <w:p>
      <w:pPr>
        <w:spacing w:line="490" w:lineRule="exact"/>
        <w:ind w:firstLine="422" w:firstLineChars="200"/>
        <w:outlineLvl w:val="3"/>
        <w:rPr>
          <w:b/>
          <w:bCs/>
          <w:kern w:val="0"/>
          <w:szCs w:val="21"/>
          <w:highlight w:val="none"/>
        </w:rPr>
      </w:pPr>
      <w:bookmarkStart w:id="165" w:name="_Toc189386111"/>
      <w:bookmarkStart w:id="166" w:name="_Toc511318053"/>
      <w:bookmarkStart w:id="167" w:name="_Toc511317304"/>
      <w:r>
        <w:rPr>
          <w:b/>
          <w:bCs/>
          <w:kern w:val="0"/>
          <w:szCs w:val="21"/>
          <w:highlight w:val="none"/>
        </w:rPr>
        <w:t>1.8 转让</w:t>
      </w:r>
      <w:bookmarkEnd w:id="165"/>
      <w:bookmarkEnd w:id="166"/>
      <w:bookmarkEnd w:id="167"/>
    </w:p>
    <w:p>
      <w:pPr>
        <w:spacing w:line="490" w:lineRule="exact"/>
        <w:ind w:firstLine="420" w:firstLineChars="200"/>
        <w:rPr>
          <w:kern w:val="0"/>
          <w:szCs w:val="21"/>
          <w:highlight w:val="none"/>
        </w:rPr>
      </w:pPr>
      <w:r>
        <w:rPr>
          <w:kern w:val="0"/>
          <w:szCs w:val="21"/>
          <w:highlight w:val="none"/>
        </w:rPr>
        <w:t>除合同另有约定外，未经对方当事人同意，一方当事人不得将合同权利全部或部分转让给第三人，也不得全部或部分转移合同义务。</w:t>
      </w:r>
    </w:p>
    <w:p>
      <w:pPr>
        <w:spacing w:line="490" w:lineRule="exact"/>
        <w:ind w:firstLine="422" w:firstLineChars="200"/>
        <w:outlineLvl w:val="3"/>
        <w:rPr>
          <w:b/>
          <w:bCs/>
          <w:kern w:val="0"/>
          <w:szCs w:val="21"/>
          <w:highlight w:val="none"/>
        </w:rPr>
      </w:pPr>
      <w:bookmarkStart w:id="168" w:name="_Toc189386112"/>
      <w:bookmarkStart w:id="169" w:name="_Toc511318054"/>
      <w:bookmarkStart w:id="170" w:name="_Toc511317305"/>
      <w:r>
        <w:rPr>
          <w:b/>
          <w:bCs/>
          <w:kern w:val="0"/>
          <w:szCs w:val="21"/>
          <w:highlight w:val="none"/>
        </w:rPr>
        <w:t>1.9 严禁贿赂</w:t>
      </w:r>
      <w:bookmarkEnd w:id="168"/>
      <w:bookmarkEnd w:id="169"/>
      <w:bookmarkEnd w:id="170"/>
    </w:p>
    <w:p>
      <w:pPr>
        <w:spacing w:line="490" w:lineRule="exact"/>
        <w:ind w:firstLine="420" w:firstLineChars="200"/>
        <w:rPr>
          <w:kern w:val="0"/>
          <w:szCs w:val="21"/>
          <w:highlight w:val="none"/>
        </w:rPr>
      </w:pPr>
      <w:r>
        <w:rPr>
          <w:kern w:val="0"/>
          <w:szCs w:val="21"/>
          <w:highlight w:val="none"/>
        </w:rPr>
        <w:t>合同双方当事人不得以贿赂或变相贿赂的方式，谋取不当利益或损害对方权益。因贿赂造成对方损失的，行为人应赔偿损失，并承担相应的法律责任。</w:t>
      </w:r>
    </w:p>
    <w:p>
      <w:pPr>
        <w:spacing w:line="490" w:lineRule="exact"/>
        <w:ind w:firstLine="422" w:firstLineChars="200"/>
        <w:outlineLvl w:val="3"/>
        <w:rPr>
          <w:b/>
          <w:bCs/>
          <w:kern w:val="0"/>
          <w:szCs w:val="21"/>
          <w:highlight w:val="none"/>
        </w:rPr>
      </w:pPr>
      <w:bookmarkStart w:id="171" w:name="_Toc189386113"/>
      <w:bookmarkStart w:id="172" w:name="_Toc511318055"/>
      <w:bookmarkStart w:id="173" w:name="_Toc511317306"/>
      <w:r>
        <w:rPr>
          <w:b/>
          <w:bCs/>
          <w:kern w:val="0"/>
          <w:szCs w:val="21"/>
          <w:highlight w:val="none"/>
        </w:rPr>
        <w:t>1.10 化石、文物</w:t>
      </w:r>
      <w:bookmarkEnd w:id="171"/>
      <w:bookmarkEnd w:id="172"/>
      <w:bookmarkEnd w:id="173"/>
    </w:p>
    <w:p>
      <w:pPr>
        <w:spacing w:line="490" w:lineRule="exact"/>
        <w:ind w:firstLine="420" w:firstLineChars="200"/>
        <w:rPr>
          <w:kern w:val="0"/>
          <w:szCs w:val="21"/>
          <w:highlight w:val="none"/>
        </w:rPr>
      </w:pPr>
      <w:r>
        <w:rPr>
          <w:kern w:val="0"/>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490" w:lineRule="exact"/>
        <w:ind w:firstLine="420" w:firstLineChars="200"/>
        <w:rPr>
          <w:kern w:val="0"/>
          <w:szCs w:val="21"/>
          <w:highlight w:val="none"/>
        </w:rPr>
      </w:pPr>
      <w:r>
        <w:rPr>
          <w:kern w:val="0"/>
          <w:szCs w:val="21"/>
          <w:highlight w:val="none"/>
        </w:rPr>
        <w:t>1.10.2 承包人发现文物后不及时报告或隐瞒不报，致使文物丢失或损坏的，应赔偿损失，并承担相应的法律责任。</w:t>
      </w:r>
    </w:p>
    <w:p>
      <w:pPr>
        <w:spacing w:line="490" w:lineRule="exact"/>
        <w:ind w:firstLine="422" w:firstLineChars="200"/>
        <w:outlineLvl w:val="3"/>
        <w:rPr>
          <w:b/>
          <w:bCs/>
          <w:kern w:val="0"/>
          <w:szCs w:val="21"/>
          <w:highlight w:val="none"/>
        </w:rPr>
      </w:pPr>
      <w:bookmarkStart w:id="174" w:name="_Toc511318056"/>
      <w:bookmarkStart w:id="175" w:name="_Toc511317307"/>
      <w:bookmarkStart w:id="176" w:name="_Toc189386114"/>
      <w:r>
        <w:rPr>
          <w:b/>
          <w:bCs/>
          <w:kern w:val="0"/>
          <w:szCs w:val="21"/>
          <w:highlight w:val="none"/>
        </w:rPr>
        <w:t>1.11 专利技术</w:t>
      </w:r>
      <w:bookmarkEnd w:id="174"/>
      <w:bookmarkEnd w:id="175"/>
      <w:bookmarkEnd w:id="176"/>
    </w:p>
    <w:p>
      <w:pPr>
        <w:spacing w:line="490" w:lineRule="exact"/>
        <w:ind w:firstLine="420" w:firstLineChars="200"/>
        <w:rPr>
          <w:kern w:val="0"/>
          <w:szCs w:val="21"/>
          <w:highlight w:val="none"/>
        </w:rPr>
      </w:pPr>
      <w:r>
        <w:rPr>
          <w:kern w:val="0"/>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pPr>
        <w:spacing w:line="490" w:lineRule="exact"/>
        <w:ind w:firstLine="420" w:firstLineChars="200"/>
        <w:rPr>
          <w:kern w:val="0"/>
          <w:szCs w:val="21"/>
          <w:highlight w:val="none"/>
        </w:rPr>
      </w:pPr>
      <w:r>
        <w:rPr>
          <w:kern w:val="0"/>
          <w:szCs w:val="21"/>
          <w:highlight w:val="none"/>
        </w:rPr>
        <w:t>1.11.2 承包人在投标文件中采用专利技术的，专利技术的使用费包含在投标报价内。</w:t>
      </w:r>
    </w:p>
    <w:p>
      <w:pPr>
        <w:spacing w:line="490" w:lineRule="exact"/>
        <w:ind w:firstLine="420" w:firstLineChars="200"/>
        <w:rPr>
          <w:kern w:val="0"/>
          <w:szCs w:val="21"/>
          <w:highlight w:val="none"/>
        </w:rPr>
      </w:pPr>
      <w:r>
        <w:rPr>
          <w:kern w:val="0"/>
          <w:szCs w:val="21"/>
          <w:highlight w:val="none"/>
        </w:rPr>
        <w:t>1.11.3 承包人的技术秘密和声明需要保密的资料和信息，发包人和监理人不得为合同以外的目的泄露给他人。</w:t>
      </w:r>
    </w:p>
    <w:p>
      <w:pPr>
        <w:spacing w:line="490" w:lineRule="exact"/>
        <w:ind w:firstLine="420" w:firstLineChars="200"/>
        <w:rPr>
          <w:kern w:val="0"/>
          <w:szCs w:val="21"/>
          <w:highlight w:val="none"/>
        </w:rPr>
      </w:pPr>
      <w:r>
        <w:rPr>
          <w:kern w:val="0"/>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p>
    <w:p>
      <w:pPr>
        <w:spacing w:line="490" w:lineRule="exact"/>
        <w:ind w:firstLine="422" w:firstLineChars="200"/>
        <w:outlineLvl w:val="3"/>
        <w:rPr>
          <w:b/>
          <w:bCs/>
          <w:kern w:val="0"/>
          <w:szCs w:val="21"/>
          <w:highlight w:val="none"/>
        </w:rPr>
      </w:pPr>
      <w:bookmarkStart w:id="177" w:name="_Toc511318057"/>
      <w:bookmarkStart w:id="178" w:name="_Toc189386115"/>
      <w:bookmarkStart w:id="179" w:name="_Toc511317308"/>
      <w:r>
        <w:rPr>
          <w:b/>
          <w:bCs/>
          <w:kern w:val="0"/>
          <w:szCs w:val="21"/>
          <w:highlight w:val="none"/>
        </w:rPr>
        <w:t>1.12 图纸和文件的保密</w:t>
      </w:r>
      <w:bookmarkEnd w:id="177"/>
      <w:bookmarkEnd w:id="178"/>
      <w:bookmarkEnd w:id="179"/>
    </w:p>
    <w:p>
      <w:pPr>
        <w:spacing w:line="490" w:lineRule="exact"/>
        <w:ind w:firstLine="420" w:firstLineChars="200"/>
        <w:rPr>
          <w:kern w:val="0"/>
          <w:szCs w:val="21"/>
          <w:highlight w:val="none"/>
        </w:rPr>
      </w:pPr>
      <w:r>
        <w:rPr>
          <w:kern w:val="0"/>
          <w:szCs w:val="21"/>
          <w:highlight w:val="none"/>
        </w:rPr>
        <w:t>1.12.1 发包人提供的图纸和文件，未经发包人同意，承包人不得为合同以外的目的泄露给他人或公开发表与引用。</w:t>
      </w:r>
    </w:p>
    <w:p>
      <w:pPr>
        <w:spacing w:line="490" w:lineRule="exact"/>
        <w:ind w:firstLine="420" w:firstLineChars="200"/>
        <w:rPr>
          <w:kern w:val="0"/>
          <w:szCs w:val="21"/>
          <w:highlight w:val="none"/>
        </w:rPr>
      </w:pPr>
      <w:r>
        <w:rPr>
          <w:kern w:val="0"/>
          <w:szCs w:val="21"/>
          <w:highlight w:val="none"/>
        </w:rPr>
        <w:t>1.12.2 承包人提供的文件，未经承包人同意，发包人和监理人不得为合同以外的目的泄露给他人或公开发表与引用。</w:t>
      </w:r>
    </w:p>
    <w:p>
      <w:pPr>
        <w:pStyle w:val="5"/>
        <w:keepNext w:val="0"/>
        <w:keepLines w:val="0"/>
        <w:spacing w:before="0" w:after="0" w:line="490" w:lineRule="exact"/>
        <w:ind w:firstLine="422" w:firstLineChars="200"/>
        <w:rPr>
          <w:bCs w:val="0"/>
          <w:color w:val="auto"/>
          <w:sz w:val="21"/>
          <w:szCs w:val="21"/>
          <w:highlight w:val="none"/>
        </w:rPr>
      </w:pPr>
      <w:bookmarkStart w:id="180" w:name="_Toc15957"/>
      <w:bookmarkStart w:id="181" w:name="_Toc189386116"/>
      <w:bookmarkStart w:id="182" w:name="_Toc28778"/>
      <w:r>
        <w:rPr>
          <w:bCs w:val="0"/>
          <w:color w:val="auto"/>
          <w:sz w:val="21"/>
          <w:szCs w:val="21"/>
          <w:highlight w:val="none"/>
        </w:rPr>
        <w:t>2</w:t>
      </w:r>
      <w:r>
        <w:rPr>
          <w:rFonts w:hint="eastAsia"/>
          <w:bCs w:val="0"/>
          <w:color w:val="auto"/>
          <w:sz w:val="21"/>
          <w:szCs w:val="21"/>
          <w:highlight w:val="none"/>
        </w:rPr>
        <w:t>.</w:t>
      </w:r>
      <w:r>
        <w:rPr>
          <w:bCs w:val="0"/>
          <w:color w:val="auto"/>
          <w:sz w:val="21"/>
          <w:szCs w:val="21"/>
          <w:highlight w:val="none"/>
        </w:rPr>
        <w:t>发包人义务</w:t>
      </w:r>
      <w:bookmarkEnd w:id="180"/>
      <w:bookmarkEnd w:id="181"/>
      <w:bookmarkEnd w:id="182"/>
    </w:p>
    <w:p>
      <w:pPr>
        <w:spacing w:line="490" w:lineRule="exact"/>
        <w:ind w:firstLine="422" w:firstLineChars="200"/>
        <w:outlineLvl w:val="3"/>
        <w:rPr>
          <w:b/>
          <w:bCs/>
          <w:kern w:val="0"/>
          <w:szCs w:val="21"/>
          <w:highlight w:val="none"/>
        </w:rPr>
      </w:pPr>
      <w:bookmarkStart w:id="183" w:name="_Toc511317310"/>
      <w:bookmarkStart w:id="184" w:name="_Toc511318059"/>
      <w:bookmarkStart w:id="185" w:name="_Toc189386117"/>
      <w:r>
        <w:rPr>
          <w:b/>
          <w:bCs/>
          <w:kern w:val="0"/>
          <w:szCs w:val="21"/>
          <w:highlight w:val="none"/>
        </w:rPr>
        <w:t>2.1 遵守法律</w:t>
      </w:r>
      <w:bookmarkEnd w:id="183"/>
      <w:bookmarkEnd w:id="184"/>
      <w:bookmarkEnd w:id="185"/>
    </w:p>
    <w:p>
      <w:pPr>
        <w:spacing w:line="490" w:lineRule="exact"/>
        <w:ind w:firstLine="420" w:firstLineChars="200"/>
        <w:rPr>
          <w:kern w:val="0"/>
          <w:szCs w:val="21"/>
          <w:highlight w:val="none"/>
        </w:rPr>
      </w:pPr>
      <w:r>
        <w:rPr>
          <w:kern w:val="0"/>
          <w:szCs w:val="21"/>
          <w:highlight w:val="none"/>
        </w:rPr>
        <w:t>发包人在履行合同过程中应遵守法律，并保证承包人免于承担因发包人违反法律而引起的任何责任。</w:t>
      </w:r>
    </w:p>
    <w:p>
      <w:pPr>
        <w:spacing w:line="490" w:lineRule="exact"/>
        <w:ind w:firstLine="422" w:firstLineChars="200"/>
        <w:outlineLvl w:val="3"/>
        <w:rPr>
          <w:b/>
          <w:bCs/>
          <w:kern w:val="0"/>
          <w:szCs w:val="21"/>
          <w:highlight w:val="none"/>
        </w:rPr>
      </w:pPr>
      <w:bookmarkStart w:id="186" w:name="_Toc511317311"/>
      <w:bookmarkStart w:id="187" w:name="_Toc189386118"/>
      <w:bookmarkStart w:id="188" w:name="_Toc511318060"/>
      <w:r>
        <w:rPr>
          <w:b/>
          <w:bCs/>
          <w:kern w:val="0"/>
          <w:szCs w:val="21"/>
          <w:highlight w:val="none"/>
        </w:rPr>
        <w:t>2.2 发出开工通知</w:t>
      </w:r>
      <w:bookmarkEnd w:id="186"/>
      <w:bookmarkEnd w:id="187"/>
      <w:bookmarkEnd w:id="188"/>
    </w:p>
    <w:p>
      <w:pPr>
        <w:spacing w:line="490" w:lineRule="exact"/>
        <w:ind w:firstLine="420" w:firstLineChars="200"/>
        <w:rPr>
          <w:kern w:val="0"/>
          <w:szCs w:val="21"/>
          <w:highlight w:val="none"/>
        </w:rPr>
      </w:pPr>
      <w:r>
        <w:rPr>
          <w:kern w:val="0"/>
          <w:szCs w:val="21"/>
          <w:highlight w:val="none"/>
        </w:rPr>
        <w:t>发包人应委托监理人按第11.1款的约定向承包人发出开工通知。</w:t>
      </w:r>
    </w:p>
    <w:p>
      <w:pPr>
        <w:spacing w:line="490" w:lineRule="exact"/>
        <w:ind w:firstLine="422" w:firstLineChars="200"/>
        <w:outlineLvl w:val="3"/>
        <w:rPr>
          <w:b/>
          <w:bCs/>
          <w:kern w:val="0"/>
          <w:szCs w:val="21"/>
          <w:highlight w:val="none"/>
        </w:rPr>
      </w:pPr>
      <w:bookmarkStart w:id="189" w:name="_Toc511317312"/>
      <w:bookmarkStart w:id="190" w:name="_Toc189386119"/>
      <w:bookmarkStart w:id="191" w:name="_Toc511318061"/>
      <w:r>
        <w:rPr>
          <w:b/>
          <w:bCs/>
          <w:kern w:val="0"/>
          <w:szCs w:val="21"/>
          <w:highlight w:val="none"/>
        </w:rPr>
        <w:t>2.3 提供施工场地</w:t>
      </w:r>
      <w:bookmarkEnd w:id="189"/>
      <w:bookmarkEnd w:id="190"/>
      <w:bookmarkEnd w:id="191"/>
    </w:p>
    <w:p>
      <w:pPr>
        <w:spacing w:line="490" w:lineRule="exact"/>
        <w:ind w:firstLine="420" w:firstLineChars="200"/>
        <w:rPr>
          <w:kern w:val="0"/>
          <w:szCs w:val="21"/>
          <w:highlight w:val="none"/>
        </w:rPr>
      </w:pPr>
      <w:r>
        <w:rPr>
          <w:kern w:val="0"/>
          <w:szCs w:val="21"/>
          <w:highlight w:val="none"/>
        </w:rPr>
        <w:t>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spacing w:line="490" w:lineRule="exact"/>
        <w:ind w:firstLine="420" w:firstLineChars="200"/>
        <w:rPr>
          <w:kern w:val="0"/>
          <w:szCs w:val="21"/>
          <w:highlight w:val="none"/>
        </w:rPr>
      </w:pPr>
      <w:r>
        <w:rPr>
          <w:kern w:val="0"/>
          <w:szCs w:val="21"/>
          <w:highlight w:val="none"/>
        </w:rPr>
        <w:t>2.3.2 发包人提供的施工用地范围在专用合同条款中约定。</w:t>
      </w:r>
    </w:p>
    <w:p>
      <w:pPr>
        <w:spacing w:line="490" w:lineRule="exact"/>
        <w:ind w:firstLine="420" w:firstLineChars="200"/>
        <w:rPr>
          <w:kern w:val="0"/>
          <w:szCs w:val="21"/>
          <w:highlight w:val="none"/>
        </w:rPr>
      </w:pPr>
      <w:r>
        <w:rPr>
          <w:kern w:val="0"/>
          <w:szCs w:val="21"/>
          <w:highlight w:val="none"/>
        </w:rPr>
        <w:t>2.3.3 除专用合同条款另有约定外，发包人应按技术标准和要求（合同技术条款）的约定，向承包人提供施工场地内的工程地质图纸和报告，以及地下障碍物图纸等施工场地有关资料，并保证资料的真实、准确、完整。</w:t>
      </w:r>
    </w:p>
    <w:p>
      <w:pPr>
        <w:spacing w:line="490" w:lineRule="exact"/>
        <w:ind w:firstLine="422" w:firstLineChars="200"/>
        <w:outlineLvl w:val="3"/>
        <w:rPr>
          <w:b/>
          <w:bCs/>
          <w:kern w:val="0"/>
          <w:szCs w:val="21"/>
          <w:highlight w:val="none"/>
        </w:rPr>
      </w:pPr>
      <w:bookmarkStart w:id="192" w:name="_Toc189386120"/>
      <w:bookmarkStart w:id="193" w:name="_Toc511317313"/>
      <w:bookmarkStart w:id="194" w:name="_Toc511318062"/>
      <w:r>
        <w:rPr>
          <w:b/>
          <w:bCs/>
          <w:kern w:val="0"/>
          <w:szCs w:val="21"/>
          <w:highlight w:val="none"/>
        </w:rPr>
        <w:t>2.4 协助承包人办理证件和批件</w:t>
      </w:r>
      <w:bookmarkEnd w:id="192"/>
      <w:bookmarkEnd w:id="193"/>
      <w:bookmarkEnd w:id="194"/>
    </w:p>
    <w:p>
      <w:pPr>
        <w:spacing w:line="490" w:lineRule="exact"/>
        <w:ind w:firstLine="420" w:firstLineChars="200"/>
        <w:rPr>
          <w:kern w:val="0"/>
          <w:szCs w:val="21"/>
          <w:highlight w:val="none"/>
        </w:rPr>
      </w:pPr>
      <w:r>
        <w:rPr>
          <w:kern w:val="0"/>
          <w:szCs w:val="21"/>
          <w:highlight w:val="none"/>
        </w:rPr>
        <w:t>发包人应协助承包人办理法律规定的有关施工证件和批件。</w:t>
      </w:r>
    </w:p>
    <w:p>
      <w:pPr>
        <w:spacing w:line="490" w:lineRule="exact"/>
        <w:ind w:firstLine="422" w:firstLineChars="200"/>
        <w:outlineLvl w:val="3"/>
        <w:rPr>
          <w:b/>
          <w:bCs/>
          <w:kern w:val="0"/>
          <w:szCs w:val="21"/>
          <w:highlight w:val="none"/>
        </w:rPr>
      </w:pPr>
      <w:bookmarkStart w:id="195" w:name="_Toc511317314"/>
      <w:bookmarkStart w:id="196" w:name="_Toc189386121"/>
      <w:bookmarkStart w:id="197" w:name="_Toc511318063"/>
      <w:r>
        <w:rPr>
          <w:b/>
          <w:bCs/>
          <w:kern w:val="0"/>
          <w:szCs w:val="21"/>
          <w:highlight w:val="none"/>
        </w:rPr>
        <w:t>2.5 组织设计交底</w:t>
      </w:r>
      <w:bookmarkEnd w:id="195"/>
      <w:bookmarkEnd w:id="196"/>
      <w:bookmarkEnd w:id="197"/>
    </w:p>
    <w:p>
      <w:pPr>
        <w:spacing w:line="490" w:lineRule="exact"/>
        <w:ind w:firstLine="420" w:firstLineChars="200"/>
        <w:rPr>
          <w:kern w:val="0"/>
          <w:szCs w:val="21"/>
          <w:highlight w:val="none"/>
        </w:rPr>
      </w:pPr>
      <w:r>
        <w:rPr>
          <w:kern w:val="0"/>
          <w:szCs w:val="21"/>
          <w:highlight w:val="none"/>
        </w:rPr>
        <w:t>发包人应根据合同进度计划，组织设计单位向承包人进行设计交底。</w:t>
      </w:r>
    </w:p>
    <w:p>
      <w:pPr>
        <w:spacing w:line="490" w:lineRule="exact"/>
        <w:ind w:firstLine="422" w:firstLineChars="200"/>
        <w:outlineLvl w:val="3"/>
        <w:rPr>
          <w:b/>
          <w:bCs/>
          <w:kern w:val="0"/>
          <w:szCs w:val="21"/>
          <w:highlight w:val="none"/>
        </w:rPr>
      </w:pPr>
      <w:bookmarkStart w:id="198" w:name="_Toc511317315"/>
      <w:bookmarkStart w:id="199" w:name="_Toc189386122"/>
      <w:bookmarkStart w:id="200" w:name="_Toc511318064"/>
      <w:r>
        <w:rPr>
          <w:b/>
          <w:bCs/>
          <w:kern w:val="0"/>
          <w:szCs w:val="21"/>
          <w:highlight w:val="none"/>
        </w:rPr>
        <w:t>2.6 支付合同价款</w:t>
      </w:r>
      <w:bookmarkEnd w:id="198"/>
      <w:bookmarkEnd w:id="199"/>
      <w:bookmarkEnd w:id="200"/>
    </w:p>
    <w:p>
      <w:pPr>
        <w:spacing w:line="490" w:lineRule="exact"/>
        <w:ind w:firstLine="420" w:firstLineChars="200"/>
        <w:rPr>
          <w:kern w:val="0"/>
          <w:szCs w:val="21"/>
          <w:highlight w:val="none"/>
        </w:rPr>
      </w:pPr>
      <w:r>
        <w:rPr>
          <w:kern w:val="0"/>
          <w:szCs w:val="21"/>
          <w:highlight w:val="none"/>
        </w:rPr>
        <w:t>发包人应按合同约定向承包人及时支付合同价款。</w:t>
      </w:r>
    </w:p>
    <w:p>
      <w:pPr>
        <w:spacing w:line="490" w:lineRule="exact"/>
        <w:ind w:firstLine="422" w:firstLineChars="200"/>
        <w:outlineLvl w:val="3"/>
        <w:rPr>
          <w:b/>
          <w:bCs/>
          <w:kern w:val="0"/>
          <w:szCs w:val="21"/>
          <w:highlight w:val="none"/>
        </w:rPr>
      </w:pPr>
      <w:bookmarkStart w:id="201" w:name="_Toc511318065"/>
      <w:bookmarkStart w:id="202" w:name="_Toc511317316"/>
      <w:r>
        <w:rPr>
          <w:b/>
          <w:bCs/>
          <w:kern w:val="0"/>
          <w:szCs w:val="21"/>
          <w:highlight w:val="none"/>
        </w:rPr>
        <w:t>2.7 组织竣工验收（组织法人验收）</w:t>
      </w:r>
      <w:bookmarkEnd w:id="201"/>
      <w:bookmarkEnd w:id="202"/>
    </w:p>
    <w:p>
      <w:pPr>
        <w:spacing w:line="490" w:lineRule="exact"/>
        <w:ind w:firstLine="420" w:firstLineChars="200"/>
        <w:rPr>
          <w:szCs w:val="21"/>
          <w:highlight w:val="none"/>
        </w:rPr>
      </w:pPr>
      <w:r>
        <w:rPr>
          <w:szCs w:val="21"/>
          <w:highlight w:val="none"/>
        </w:rPr>
        <w:t>发包人应按合同约定及时组织法人验收。</w:t>
      </w:r>
    </w:p>
    <w:p>
      <w:pPr>
        <w:spacing w:line="490" w:lineRule="exact"/>
        <w:ind w:firstLine="422" w:firstLineChars="200"/>
        <w:outlineLvl w:val="3"/>
        <w:rPr>
          <w:b/>
          <w:bCs/>
          <w:kern w:val="0"/>
          <w:szCs w:val="21"/>
          <w:highlight w:val="none"/>
        </w:rPr>
      </w:pPr>
      <w:bookmarkStart w:id="203" w:name="_Toc189386124"/>
      <w:bookmarkStart w:id="204" w:name="_Toc511317317"/>
      <w:bookmarkStart w:id="205" w:name="_Toc511318066"/>
      <w:r>
        <w:rPr>
          <w:b/>
          <w:bCs/>
          <w:kern w:val="0"/>
          <w:szCs w:val="21"/>
          <w:highlight w:val="none"/>
        </w:rPr>
        <w:t>2.8 其他义务</w:t>
      </w:r>
      <w:bookmarkEnd w:id="203"/>
      <w:bookmarkEnd w:id="204"/>
      <w:bookmarkEnd w:id="205"/>
    </w:p>
    <w:p>
      <w:pPr>
        <w:spacing w:line="490" w:lineRule="exact"/>
        <w:ind w:firstLine="420" w:firstLineChars="200"/>
        <w:rPr>
          <w:kern w:val="0"/>
          <w:szCs w:val="21"/>
          <w:highlight w:val="none"/>
        </w:rPr>
      </w:pPr>
      <w:r>
        <w:rPr>
          <w:kern w:val="0"/>
          <w:szCs w:val="21"/>
          <w:highlight w:val="none"/>
        </w:rPr>
        <w:t>其它义务在专用合同条款中补充约定。</w:t>
      </w:r>
    </w:p>
    <w:p>
      <w:pPr>
        <w:pStyle w:val="5"/>
        <w:keepNext w:val="0"/>
        <w:keepLines w:val="0"/>
        <w:spacing w:before="0" w:after="0" w:line="490" w:lineRule="exact"/>
        <w:ind w:firstLine="422" w:firstLineChars="200"/>
        <w:rPr>
          <w:bCs w:val="0"/>
          <w:color w:val="auto"/>
          <w:sz w:val="21"/>
          <w:szCs w:val="21"/>
          <w:highlight w:val="none"/>
        </w:rPr>
      </w:pPr>
      <w:bookmarkStart w:id="206" w:name="_Toc29893"/>
      <w:bookmarkStart w:id="207" w:name="_Toc18657"/>
      <w:bookmarkStart w:id="208" w:name="_Toc189386125"/>
      <w:r>
        <w:rPr>
          <w:bCs w:val="0"/>
          <w:color w:val="auto"/>
          <w:sz w:val="21"/>
          <w:szCs w:val="21"/>
          <w:highlight w:val="none"/>
        </w:rPr>
        <w:t>3</w:t>
      </w:r>
      <w:r>
        <w:rPr>
          <w:rFonts w:hint="eastAsia"/>
          <w:bCs w:val="0"/>
          <w:color w:val="auto"/>
          <w:sz w:val="21"/>
          <w:szCs w:val="21"/>
          <w:highlight w:val="none"/>
        </w:rPr>
        <w:t>.</w:t>
      </w:r>
      <w:r>
        <w:rPr>
          <w:bCs w:val="0"/>
          <w:color w:val="auto"/>
          <w:sz w:val="21"/>
          <w:szCs w:val="21"/>
          <w:highlight w:val="none"/>
        </w:rPr>
        <w:t>监理人</w:t>
      </w:r>
      <w:bookmarkEnd w:id="206"/>
      <w:bookmarkEnd w:id="207"/>
      <w:bookmarkEnd w:id="208"/>
    </w:p>
    <w:p>
      <w:pPr>
        <w:spacing w:line="490" w:lineRule="exact"/>
        <w:ind w:firstLine="422" w:firstLineChars="200"/>
        <w:outlineLvl w:val="3"/>
        <w:rPr>
          <w:b/>
          <w:bCs/>
          <w:kern w:val="0"/>
          <w:szCs w:val="21"/>
          <w:highlight w:val="none"/>
        </w:rPr>
      </w:pPr>
      <w:bookmarkStart w:id="209" w:name="_Toc511317319"/>
      <w:bookmarkStart w:id="210" w:name="_Toc511318068"/>
      <w:bookmarkStart w:id="211" w:name="_Toc189386126"/>
      <w:r>
        <w:rPr>
          <w:b/>
          <w:bCs/>
          <w:kern w:val="0"/>
          <w:szCs w:val="21"/>
          <w:highlight w:val="none"/>
        </w:rPr>
        <w:t>3.1 监理人的职责和权力</w:t>
      </w:r>
      <w:bookmarkEnd w:id="209"/>
      <w:bookmarkEnd w:id="210"/>
      <w:bookmarkEnd w:id="211"/>
    </w:p>
    <w:p>
      <w:pPr>
        <w:spacing w:line="490" w:lineRule="exact"/>
        <w:ind w:firstLine="420" w:firstLineChars="200"/>
        <w:rPr>
          <w:kern w:val="0"/>
          <w:szCs w:val="21"/>
          <w:highlight w:val="none"/>
        </w:rPr>
      </w:pPr>
      <w:r>
        <w:rPr>
          <w:kern w:val="0"/>
          <w:szCs w:val="21"/>
          <w:highlight w:val="none"/>
        </w:rPr>
        <w:t>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spacing w:line="490" w:lineRule="exact"/>
        <w:ind w:firstLine="420" w:firstLineChars="200"/>
        <w:rPr>
          <w:kern w:val="0"/>
          <w:szCs w:val="21"/>
          <w:highlight w:val="none"/>
        </w:rPr>
      </w:pPr>
      <w:r>
        <w:rPr>
          <w:kern w:val="0"/>
          <w:szCs w:val="21"/>
          <w:highlight w:val="none"/>
        </w:rPr>
        <w:t>3.1.2 监理人发出的任何指示应视为已得到发包人的批准，但监理人无权免除或变更合同约定的发包人和承包人的权利、义务和责任。</w:t>
      </w:r>
    </w:p>
    <w:p>
      <w:pPr>
        <w:spacing w:line="490" w:lineRule="exact"/>
        <w:ind w:firstLine="420" w:firstLineChars="200"/>
        <w:rPr>
          <w:kern w:val="0"/>
          <w:szCs w:val="21"/>
          <w:highlight w:val="none"/>
        </w:rPr>
      </w:pPr>
      <w:r>
        <w:rPr>
          <w:kern w:val="0"/>
          <w:szCs w:val="21"/>
          <w:highlight w:val="none"/>
        </w:rPr>
        <w:t>3.1.3 合同约定应由承包人承担的义务和责任，不因监理人对承包人提交文件的审查或批准，对工程、材料和设备的检查和检验，以及为实施监理作出的指示等职务行为而减轻或解除。</w:t>
      </w:r>
    </w:p>
    <w:p>
      <w:pPr>
        <w:spacing w:line="490" w:lineRule="exact"/>
        <w:ind w:firstLine="422" w:firstLineChars="200"/>
        <w:outlineLvl w:val="3"/>
        <w:rPr>
          <w:b/>
          <w:bCs/>
          <w:kern w:val="0"/>
          <w:szCs w:val="21"/>
          <w:highlight w:val="none"/>
        </w:rPr>
      </w:pPr>
      <w:bookmarkStart w:id="212" w:name="_Toc511318069"/>
      <w:bookmarkStart w:id="213" w:name="_Toc189386127"/>
      <w:bookmarkStart w:id="214" w:name="_Toc511317320"/>
      <w:r>
        <w:rPr>
          <w:b/>
          <w:bCs/>
          <w:kern w:val="0"/>
          <w:szCs w:val="21"/>
          <w:highlight w:val="none"/>
        </w:rPr>
        <w:t>3.2 总监理工程师</w:t>
      </w:r>
      <w:bookmarkEnd w:id="212"/>
      <w:bookmarkEnd w:id="213"/>
      <w:bookmarkEnd w:id="214"/>
    </w:p>
    <w:p>
      <w:pPr>
        <w:spacing w:line="490" w:lineRule="exact"/>
        <w:ind w:firstLine="420" w:firstLineChars="200"/>
        <w:rPr>
          <w:kern w:val="0"/>
          <w:szCs w:val="21"/>
          <w:highlight w:val="none"/>
        </w:rPr>
      </w:pPr>
      <w:r>
        <w:rPr>
          <w:kern w:val="0"/>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pPr>
        <w:spacing w:line="490" w:lineRule="exact"/>
        <w:ind w:firstLine="422" w:firstLineChars="200"/>
        <w:outlineLvl w:val="3"/>
        <w:rPr>
          <w:b/>
          <w:bCs/>
          <w:kern w:val="0"/>
          <w:szCs w:val="21"/>
          <w:highlight w:val="none"/>
        </w:rPr>
      </w:pPr>
      <w:bookmarkStart w:id="215" w:name="_Toc511318070"/>
      <w:bookmarkStart w:id="216" w:name="_Toc511317321"/>
      <w:bookmarkStart w:id="217" w:name="_Toc189386128"/>
      <w:r>
        <w:rPr>
          <w:b/>
          <w:bCs/>
          <w:kern w:val="0"/>
          <w:szCs w:val="21"/>
          <w:highlight w:val="none"/>
        </w:rPr>
        <w:t>3.3 监理人员</w:t>
      </w:r>
      <w:bookmarkEnd w:id="215"/>
      <w:bookmarkEnd w:id="216"/>
      <w:bookmarkEnd w:id="217"/>
    </w:p>
    <w:p>
      <w:pPr>
        <w:spacing w:line="490" w:lineRule="exact"/>
        <w:ind w:firstLine="420" w:firstLineChars="200"/>
        <w:rPr>
          <w:kern w:val="0"/>
          <w:szCs w:val="21"/>
          <w:highlight w:val="none"/>
        </w:rPr>
      </w:pPr>
      <w:r>
        <w:rPr>
          <w:kern w:val="0"/>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490" w:lineRule="exact"/>
        <w:ind w:firstLine="420" w:firstLineChars="200"/>
        <w:rPr>
          <w:kern w:val="0"/>
          <w:szCs w:val="21"/>
          <w:highlight w:val="none"/>
        </w:rPr>
      </w:pPr>
      <w:r>
        <w:rPr>
          <w:kern w:val="0"/>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490" w:lineRule="exact"/>
        <w:ind w:firstLine="420" w:firstLineChars="200"/>
        <w:rPr>
          <w:kern w:val="0"/>
          <w:szCs w:val="21"/>
          <w:highlight w:val="none"/>
        </w:rPr>
      </w:pPr>
      <w:r>
        <w:rPr>
          <w:kern w:val="0"/>
          <w:szCs w:val="21"/>
          <w:highlight w:val="none"/>
        </w:rPr>
        <w:t>3.3.3 承包人对总监理工程师授权的监理人员发出的指示有疑问的，可向总监理工程师提出书面异议，总监理工程师应在48小时内对该指示予以确认、更改或撤销。</w:t>
      </w:r>
    </w:p>
    <w:p>
      <w:pPr>
        <w:spacing w:line="490" w:lineRule="exact"/>
        <w:ind w:firstLine="420" w:firstLineChars="200"/>
        <w:rPr>
          <w:kern w:val="0"/>
          <w:szCs w:val="21"/>
          <w:highlight w:val="none"/>
        </w:rPr>
      </w:pPr>
      <w:r>
        <w:rPr>
          <w:kern w:val="0"/>
          <w:szCs w:val="21"/>
          <w:highlight w:val="none"/>
        </w:rPr>
        <w:t>3.3.4 除专用合同条款另有约定外，总监理工程师不应将第3.5款约定应由总监理工程师作出确定的权力授权或委托给其他监理人员。</w:t>
      </w:r>
    </w:p>
    <w:p>
      <w:pPr>
        <w:spacing w:line="490" w:lineRule="exact"/>
        <w:ind w:firstLine="422" w:firstLineChars="200"/>
        <w:outlineLvl w:val="3"/>
        <w:rPr>
          <w:b/>
          <w:bCs/>
          <w:kern w:val="0"/>
          <w:szCs w:val="21"/>
          <w:highlight w:val="none"/>
        </w:rPr>
      </w:pPr>
      <w:bookmarkStart w:id="218" w:name="_Toc511318071"/>
      <w:bookmarkStart w:id="219" w:name="_Toc189386129"/>
      <w:bookmarkStart w:id="220" w:name="_Toc511317322"/>
      <w:r>
        <w:rPr>
          <w:b/>
          <w:bCs/>
          <w:kern w:val="0"/>
          <w:szCs w:val="21"/>
          <w:highlight w:val="none"/>
        </w:rPr>
        <w:t>3.4 监理人的指示</w:t>
      </w:r>
      <w:bookmarkEnd w:id="218"/>
      <w:bookmarkEnd w:id="219"/>
      <w:bookmarkEnd w:id="220"/>
    </w:p>
    <w:p>
      <w:pPr>
        <w:spacing w:line="490" w:lineRule="exact"/>
        <w:ind w:firstLine="420" w:firstLineChars="200"/>
        <w:rPr>
          <w:kern w:val="0"/>
          <w:szCs w:val="21"/>
          <w:highlight w:val="none"/>
        </w:rPr>
      </w:pPr>
      <w:r>
        <w:rPr>
          <w:kern w:val="0"/>
          <w:szCs w:val="21"/>
          <w:highlight w:val="none"/>
        </w:rPr>
        <w:t>3.4.1 监理人应按第3.1款的约定向承包人发出指示，监理人的指示应盖有监理人授权的施工场地机构章，并由总监理工程师或总监理工程师按第3.3.1项约定授权的监理人员签字。</w:t>
      </w:r>
    </w:p>
    <w:p>
      <w:pPr>
        <w:spacing w:line="490" w:lineRule="exact"/>
        <w:ind w:firstLine="420" w:firstLineChars="200"/>
        <w:rPr>
          <w:kern w:val="0"/>
          <w:szCs w:val="21"/>
          <w:highlight w:val="none"/>
        </w:rPr>
      </w:pPr>
      <w:r>
        <w:rPr>
          <w:kern w:val="0"/>
          <w:szCs w:val="21"/>
          <w:highlight w:val="none"/>
        </w:rPr>
        <w:t>3.4.2 承包人收到监理人按第3.4.1 项作出的指示后应遵照执行。指示构成变更的，应按第15 条处理。</w:t>
      </w:r>
    </w:p>
    <w:p>
      <w:pPr>
        <w:spacing w:line="490" w:lineRule="exact"/>
        <w:ind w:firstLine="420" w:firstLineChars="200"/>
        <w:rPr>
          <w:kern w:val="0"/>
          <w:szCs w:val="21"/>
          <w:highlight w:val="none"/>
        </w:rPr>
      </w:pPr>
      <w:r>
        <w:rPr>
          <w:kern w:val="0"/>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490" w:lineRule="exact"/>
        <w:ind w:firstLine="420" w:firstLineChars="200"/>
        <w:rPr>
          <w:kern w:val="0"/>
          <w:szCs w:val="21"/>
          <w:highlight w:val="none"/>
        </w:rPr>
      </w:pPr>
      <w:r>
        <w:rPr>
          <w:kern w:val="0"/>
          <w:szCs w:val="21"/>
          <w:highlight w:val="none"/>
        </w:rPr>
        <w:t>3.4.4 除合同另有约定外，承包人只从总监理工程师或按第3.3.1 项被授权的监理人员处取得指示。</w:t>
      </w:r>
    </w:p>
    <w:p>
      <w:pPr>
        <w:spacing w:line="490" w:lineRule="exact"/>
        <w:ind w:firstLine="420" w:firstLineChars="200"/>
        <w:rPr>
          <w:kern w:val="0"/>
          <w:szCs w:val="21"/>
          <w:highlight w:val="none"/>
        </w:rPr>
      </w:pPr>
      <w:r>
        <w:rPr>
          <w:kern w:val="0"/>
          <w:szCs w:val="21"/>
          <w:highlight w:val="none"/>
        </w:rPr>
        <w:t>3.4.5 由于监理人未能按合同约定发出指示、指示延误或指示错误而导致承包人费用增加和（或）工期延误的，由发包人承担赔偿责任。</w:t>
      </w:r>
    </w:p>
    <w:p>
      <w:pPr>
        <w:spacing w:line="490" w:lineRule="exact"/>
        <w:ind w:firstLine="422" w:firstLineChars="200"/>
        <w:outlineLvl w:val="3"/>
        <w:rPr>
          <w:b/>
          <w:bCs/>
          <w:kern w:val="0"/>
          <w:szCs w:val="21"/>
          <w:highlight w:val="none"/>
        </w:rPr>
      </w:pPr>
      <w:bookmarkStart w:id="221" w:name="_Toc511318072"/>
      <w:bookmarkStart w:id="222" w:name="_Toc189386130"/>
      <w:bookmarkStart w:id="223" w:name="_Toc511317323"/>
      <w:r>
        <w:rPr>
          <w:b/>
          <w:bCs/>
          <w:kern w:val="0"/>
          <w:szCs w:val="21"/>
          <w:highlight w:val="none"/>
        </w:rPr>
        <w:t>3.5 商定或确定</w:t>
      </w:r>
      <w:bookmarkEnd w:id="221"/>
      <w:bookmarkEnd w:id="222"/>
      <w:bookmarkEnd w:id="223"/>
    </w:p>
    <w:p>
      <w:pPr>
        <w:spacing w:line="490" w:lineRule="exact"/>
        <w:ind w:firstLine="420" w:firstLineChars="200"/>
        <w:rPr>
          <w:kern w:val="0"/>
          <w:szCs w:val="21"/>
          <w:highlight w:val="none"/>
        </w:rPr>
      </w:pPr>
      <w:r>
        <w:rPr>
          <w:kern w:val="0"/>
          <w:szCs w:val="21"/>
          <w:highlight w:val="none"/>
        </w:rPr>
        <w:t>3.5.1 合同约定总监理工程师应按照本款对任何事项进行商定或确定时，总监理工程师应与合同当事人协商，尽量达成一致。不能达成一致的，总监理工程师应认真研究后审慎确定。</w:t>
      </w:r>
    </w:p>
    <w:p>
      <w:pPr>
        <w:spacing w:line="490" w:lineRule="exact"/>
        <w:ind w:firstLine="420" w:firstLineChars="200"/>
        <w:rPr>
          <w:kern w:val="0"/>
          <w:szCs w:val="21"/>
          <w:highlight w:val="none"/>
        </w:rPr>
      </w:pPr>
      <w:r>
        <w:rPr>
          <w:kern w:val="0"/>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5"/>
        <w:keepNext w:val="0"/>
        <w:keepLines w:val="0"/>
        <w:spacing w:before="0" w:after="0" w:line="490" w:lineRule="exact"/>
        <w:ind w:firstLine="422" w:firstLineChars="200"/>
        <w:rPr>
          <w:bCs w:val="0"/>
          <w:color w:val="auto"/>
          <w:sz w:val="21"/>
          <w:szCs w:val="21"/>
          <w:highlight w:val="none"/>
        </w:rPr>
      </w:pPr>
      <w:bookmarkStart w:id="224" w:name="_Toc10938"/>
      <w:bookmarkStart w:id="225" w:name="_Toc189386131"/>
      <w:bookmarkStart w:id="226" w:name="_Toc2389"/>
      <w:r>
        <w:rPr>
          <w:bCs w:val="0"/>
          <w:color w:val="auto"/>
          <w:sz w:val="21"/>
          <w:szCs w:val="21"/>
          <w:highlight w:val="none"/>
        </w:rPr>
        <w:t>4</w:t>
      </w:r>
      <w:r>
        <w:rPr>
          <w:rFonts w:hint="eastAsia"/>
          <w:bCs w:val="0"/>
          <w:color w:val="auto"/>
          <w:sz w:val="21"/>
          <w:szCs w:val="21"/>
          <w:highlight w:val="none"/>
        </w:rPr>
        <w:t>.</w:t>
      </w:r>
      <w:r>
        <w:rPr>
          <w:bCs w:val="0"/>
          <w:color w:val="auto"/>
          <w:sz w:val="21"/>
          <w:szCs w:val="21"/>
          <w:highlight w:val="none"/>
        </w:rPr>
        <w:t>承包人</w:t>
      </w:r>
      <w:bookmarkEnd w:id="224"/>
      <w:bookmarkEnd w:id="225"/>
      <w:bookmarkEnd w:id="226"/>
    </w:p>
    <w:p>
      <w:pPr>
        <w:spacing w:line="490" w:lineRule="exact"/>
        <w:ind w:firstLine="422" w:firstLineChars="200"/>
        <w:outlineLvl w:val="3"/>
        <w:rPr>
          <w:b/>
          <w:bCs/>
          <w:kern w:val="0"/>
          <w:szCs w:val="21"/>
          <w:highlight w:val="none"/>
        </w:rPr>
      </w:pPr>
      <w:bookmarkStart w:id="227" w:name="_Toc511317325"/>
      <w:bookmarkStart w:id="228" w:name="_Toc511318074"/>
      <w:bookmarkStart w:id="229" w:name="_Toc189386132"/>
      <w:r>
        <w:rPr>
          <w:b/>
          <w:bCs/>
          <w:kern w:val="0"/>
          <w:szCs w:val="21"/>
          <w:highlight w:val="none"/>
        </w:rPr>
        <w:t>4.1 承包人的一般义务</w:t>
      </w:r>
      <w:bookmarkEnd w:id="227"/>
      <w:bookmarkEnd w:id="228"/>
      <w:bookmarkEnd w:id="229"/>
    </w:p>
    <w:p>
      <w:pPr>
        <w:spacing w:line="490" w:lineRule="exact"/>
        <w:ind w:firstLine="422" w:firstLineChars="200"/>
        <w:rPr>
          <w:b/>
          <w:kern w:val="0"/>
          <w:szCs w:val="21"/>
          <w:highlight w:val="none"/>
        </w:rPr>
      </w:pPr>
      <w:r>
        <w:rPr>
          <w:b/>
          <w:kern w:val="0"/>
          <w:szCs w:val="21"/>
          <w:highlight w:val="none"/>
        </w:rPr>
        <w:t>4.1.1 遵守法律</w:t>
      </w:r>
    </w:p>
    <w:p>
      <w:pPr>
        <w:spacing w:line="490" w:lineRule="exact"/>
        <w:ind w:firstLine="420" w:firstLineChars="200"/>
        <w:rPr>
          <w:kern w:val="0"/>
          <w:szCs w:val="21"/>
          <w:highlight w:val="none"/>
        </w:rPr>
      </w:pPr>
      <w:r>
        <w:rPr>
          <w:kern w:val="0"/>
          <w:szCs w:val="21"/>
          <w:highlight w:val="none"/>
        </w:rPr>
        <w:t>承包人在履行合同过程中应遵守法律，并保证发包人免于承担因承包人违反法律而引起的任何责任。</w:t>
      </w:r>
    </w:p>
    <w:p>
      <w:pPr>
        <w:spacing w:line="490" w:lineRule="exact"/>
        <w:ind w:firstLine="422" w:firstLineChars="200"/>
        <w:rPr>
          <w:b/>
          <w:kern w:val="0"/>
          <w:szCs w:val="21"/>
          <w:highlight w:val="none"/>
        </w:rPr>
      </w:pPr>
      <w:r>
        <w:rPr>
          <w:b/>
          <w:kern w:val="0"/>
          <w:szCs w:val="21"/>
          <w:highlight w:val="none"/>
        </w:rPr>
        <w:t>4.1.2 依法纳税</w:t>
      </w:r>
    </w:p>
    <w:p>
      <w:pPr>
        <w:spacing w:line="490" w:lineRule="exact"/>
        <w:ind w:firstLine="420" w:firstLineChars="200"/>
        <w:rPr>
          <w:kern w:val="0"/>
          <w:szCs w:val="21"/>
          <w:highlight w:val="none"/>
        </w:rPr>
      </w:pPr>
      <w:r>
        <w:rPr>
          <w:kern w:val="0"/>
          <w:szCs w:val="21"/>
          <w:highlight w:val="none"/>
        </w:rPr>
        <w:t>承包人应按有关法律规定纳税，应缴纳的税金包括在合同价格内。</w:t>
      </w:r>
    </w:p>
    <w:p>
      <w:pPr>
        <w:spacing w:line="490" w:lineRule="exact"/>
        <w:ind w:firstLine="422" w:firstLineChars="200"/>
        <w:rPr>
          <w:b/>
          <w:kern w:val="0"/>
          <w:szCs w:val="21"/>
          <w:highlight w:val="none"/>
        </w:rPr>
      </w:pPr>
      <w:r>
        <w:rPr>
          <w:b/>
          <w:kern w:val="0"/>
          <w:szCs w:val="21"/>
          <w:highlight w:val="none"/>
        </w:rPr>
        <w:t>4.1.3 完成各项承包工作</w:t>
      </w:r>
    </w:p>
    <w:p>
      <w:pPr>
        <w:spacing w:line="490" w:lineRule="exact"/>
        <w:ind w:firstLine="420" w:firstLineChars="200"/>
        <w:rPr>
          <w:kern w:val="0"/>
          <w:szCs w:val="21"/>
          <w:highlight w:val="none"/>
        </w:rPr>
      </w:pPr>
      <w:r>
        <w:rPr>
          <w:kern w:val="0"/>
          <w:szCs w:val="21"/>
          <w:highlight w:val="none"/>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spacing w:line="490" w:lineRule="exact"/>
        <w:ind w:firstLine="422" w:firstLineChars="200"/>
        <w:rPr>
          <w:b/>
          <w:kern w:val="0"/>
          <w:szCs w:val="21"/>
          <w:highlight w:val="none"/>
        </w:rPr>
      </w:pPr>
      <w:r>
        <w:rPr>
          <w:b/>
          <w:kern w:val="0"/>
          <w:szCs w:val="21"/>
          <w:highlight w:val="none"/>
        </w:rPr>
        <w:t>4.1.4 对施工作业和施工方法的完备性负责</w:t>
      </w:r>
    </w:p>
    <w:p>
      <w:pPr>
        <w:spacing w:line="490" w:lineRule="exact"/>
        <w:ind w:firstLine="420" w:firstLineChars="200"/>
        <w:rPr>
          <w:kern w:val="0"/>
          <w:szCs w:val="21"/>
          <w:highlight w:val="none"/>
        </w:rPr>
      </w:pPr>
      <w:r>
        <w:rPr>
          <w:kern w:val="0"/>
          <w:szCs w:val="21"/>
          <w:highlight w:val="none"/>
        </w:rPr>
        <w:t>承包人应按合同约定的工作内容和施工进度要求，编制施工组织设计和施工措施计划，并对所有施工作业和施工方法的完备性和安全可靠性负责。</w:t>
      </w:r>
    </w:p>
    <w:p>
      <w:pPr>
        <w:spacing w:line="490" w:lineRule="exact"/>
        <w:ind w:firstLine="422" w:firstLineChars="200"/>
        <w:rPr>
          <w:b/>
          <w:kern w:val="0"/>
          <w:szCs w:val="21"/>
          <w:highlight w:val="none"/>
        </w:rPr>
      </w:pPr>
      <w:r>
        <w:rPr>
          <w:b/>
          <w:kern w:val="0"/>
          <w:szCs w:val="21"/>
          <w:highlight w:val="none"/>
        </w:rPr>
        <w:t>4.1.5 保证工程施工和人员的安全</w:t>
      </w:r>
    </w:p>
    <w:p>
      <w:pPr>
        <w:spacing w:line="490" w:lineRule="exact"/>
        <w:ind w:firstLine="420" w:firstLineChars="200"/>
        <w:rPr>
          <w:kern w:val="0"/>
          <w:szCs w:val="21"/>
          <w:highlight w:val="none"/>
        </w:rPr>
      </w:pPr>
      <w:r>
        <w:rPr>
          <w:kern w:val="0"/>
          <w:szCs w:val="21"/>
          <w:highlight w:val="none"/>
        </w:rPr>
        <w:t>承包人应按第9.2 款约定采取施工安全措施，确保工程及其人员、材料、设备和设施的安全，防止因工程施工造成的人身伤害和财产损失。</w:t>
      </w:r>
    </w:p>
    <w:p>
      <w:pPr>
        <w:spacing w:line="490" w:lineRule="exact"/>
        <w:ind w:firstLine="422" w:firstLineChars="200"/>
        <w:rPr>
          <w:b/>
          <w:kern w:val="0"/>
          <w:szCs w:val="21"/>
          <w:highlight w:val="none"/>
        </w:rPr>
      </w:pPr>
      <w:r>
        <w:rPr>
          <w:b/>
          <w:kern w:val="0"/>
          <w:szCs w:val="21"/>
          <w:highlight w:val="none"/>
        </w:rPr>
        <w:t>4.1.6 负责施工场地及其周边环境与生态的保护工作</w:t>
      </w:r>
    </w:p>
    <w:p>
      <w:pPr>
        <w:spacing w:line="490" w:lineRule="exact"/>
        <w:ind w:firstLine="420" w:firstLineChars="200"/>
        <w:rPr>
          <w:kern w:val="0"/>
          <w:szCs w:val="21"/>
          <w:highlight w:val="none"/>
        </w:rPr>
      </w:pPr>
      <w:r>
        <w:rPr>
          <w:kern w:val="0"/>
          <w:szCs w:val="21"/>
          <w:highlight w:val="none"/>
        </w:rPr>
        <w:t>承包人应按照第9.4 款约定负责施工场地及其周边环境与生态的保护工作。</w:t>
      </w:r>
    </w:p>
    <w:p>
      <w:pPr>
        <w:spacing w:line="490" w:lineRule="exact"/>
        <w:ind w:firstLine="422" w:firstLineChars="200"/>
        <w:rPr>
          <w:b/>
          <w:kern w:val="0"/>
          <w:szCs w:val="21"/>
          <w:highlight w:val="none"/>
        </w:rPr>
      </w:pPr>
      <w:r>
        <w:rPr>
          <w:b/>
          <w:kern w:val="0"/>
          <w:szCs w:val="21"/>
          <w:highlight w:val="none"/>
        </w:rPr>
        <w:t>4.1.7 避免施工对公众与他人的利益造成损害</w:t>
      </w:r>
    </w:p>
    <w:p>
      <w:pPr>
        <w:spacing w:line="490" w:lineRule="exact"/>
        <w:ind w:firstLine="420" w:firstLineChars="200"/>
        <w:rPr>
          <w:kern w:val="0"/>
          <w:szCs w:val="21"/>
          <w:highlight w:val="none"/>
        </w:rPr>
      </w:pPr>
      <w:r>
        <w:rPr>
          <w:kern w:val="0"/>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490" w:lineRule="exact"/>
        <w:ind w:firstLine="422" w:firstLineChars="200"/>
        <w:rPr>
          <w:b/>
          <w:kern w:val="0"/>
          <w:szCs w:val="21"/>
          <w:highlight w:val="none"/>
        </w:rPr>
      </w:pPr>
      <w:r>
        <w:rPr>
          <w:b/>
          <w:kern w:val="0"/>
          <w:szCs w:val="21"/>
          <w:highlight w:val="none"/>
        </w:rPr>
        <w:t>4.1.8 为他人提供方便</w:t>
      </w:r>
    </w:p>
    <w:p>
      <w:pPr>
        <w:spacing w:line="490" w:lineRule="exact"/>
        <w:ind w:firstLine="420" w:firstLineChars="200"/>
        <w:rPr>
          <w:kern w:val="0"/>
          <w:szCs w:val="21"/>
          <w:highlight w:val="none"/>
        </w:rPr>
      </w:pPr>
      <w:r>
        <w:rPr>
          <w:kern w:val="0"/>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pPr>
        <w:spacing w:line="490" w:lineRule="exact"/>
        <w:ind w:firstLine="422" w:firstLineChars="200"/>
        <w:rPr>
          <w:b/>
          <w:kern w:val="0"/>
          <w:szCs w:val="21"/>
          <w:highlight w:val="none"/>
        </w:rPr>
      </w:pPr>
      <w:r>
        <w:rPr>
          <w:b/>
          <w:kern w:val="0"/>
          <w:szCs w:val="21"/>
          <w:highlight w:val="none"/>
        </w:rPr>
        <w:t>4.1.9 工程的维护和照管</w:t>
      </w:r>
    </w:p>
    <w:p>
      <w:pPr>
        <w:spacing w:line="490" w:lineRule="exact"/>
        <w:ind w:firstLine="420" w:firstLineChars="200"/>
        <w:rPr>
          <w:kern w:val="0"/>
          <w:szCs w:val="21"/>
          <w:highlight w:val="none"/>
        </w:rPr>
      </w:pPr>
      <w:r>
        <w:rPr>
          <w:kern w:val="0"/>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spacing w:line="490" w:lineRule="exact"/>
        <w:ind w:firstLine="422" w:firstLineChars="200"/>
        <w:rPr>
          <w:b/>
          <w:kern w:val="0"/>
          <w:szCs w:val="21"/>
          <w:highlight w:val="none"/>
        </w:rPr>
      </w:pPr>
      <w:r>
        <w:rPr>
          <w:b/>
          <w:kern w:val="0"/>
          <w:szCs w:val="21"/>
          <w:highlight w:val="none"/>
        </w:rPr>
        <w:t>4.1.10 其他义务</w:t>
      </w:r>
    </w:p>
    <w:p>
      <w:pPr>
        <w:spacing w:line="490" w:lineRule="exact"/>
        <w:ind w:firstLine="420" w:firstLineChars="200"/>
        <w:rPr>
          <w:kern w:val="0"/>
          <w:szCs w:val="21"/>
          <w:highlight w:val="none"/>
        </w:rPr>
      </w:pPr>
      <w:r>
        <w:rPr>
          <w:kern w:val="0"/>
          <w:szCs w:val="21"/>
          <w:highlight w:val="none"/>
        </w:rPr>
        <w:t>其它义务在专用合同条款中补充约定。</w:t>
      </w:r>
    </w:p>
    <w:p>
      <w:pPr>
        <w:spacing w:line="490" w:lineRule="exact"/>
        <w:ind w:firstLine="422" w:firstLineChars="200"/>
        <w:outlineLvl w:val="3"/>
        <w:rPr>
          <w:b/>
          <w:bCs/>
          <w:kern w:val="0"/>
          <w:szCs w:val="21"/>
          <w:highlight w:val="none"/>
        </w:rPr>
      </w:pPr>
      <w:bookmarkStart w:id="230" w:name="_Toc511318075"/>
      <w:bookmarkStart w:id="231" w:name="_Toc511317326"/>
      <w:bookmarkStart w:id="232" w:name="_Toc189386133"/>
      <w:r>
        <w:rPr>
          <w:b/>
          <w:bCs/>
          <w:kern w:val="0"/>
          <w:szCs w:val="21"/>
          <w:highlight w:val="none"/>
        </w:rPr>
        <w:t>4.2 履约担保</w:t>
      </w:r>
      <w:bookmarkEnd w:id="230"/>
      <w:bookmarkEnd w:id="231"/>
      <w:bookmarkEnd w:id="232"/>
    </w:p>
    <w:p>
      <w:pPr>
        <w:spacing w:line="490" w:lineRule="exact"/>
        <w:ind w:firstLine="420" w:firstLineChars="200"/>
        <w:rPr>
          <w:kern w:val="0"/>
          <w:szCs w:val="21"/>
          <w:highlight w:val="none"/>
        </w:rPr>
      </w:pPr>
      <w:r>
        <w:rPr>
          <w:kern w:val="0"/>
          <w:szCs w:val="21"/>
          <w:highlight w:val="none"/>
        </w:rPr>
        <w:t>承包人应保证其履约担保在发包人颁发合同工程完工证书前一直有效。发包人应在合同工程完工证书颁发后28天内将履约担保退还给承包人。</w:t>
      </w:r>
    </w:p>
    <w:p>
      <w:pPr>
        <w:spacing w:line="490" w:lineRule="exact"/>
        <w:ind w:firstLine="422" w:firstLineChars="200"/>
        <w:outlineLvl w:val="3"/>
        <w:rPr>
          <w:b/>
          <w:bCs/>
          <w:kern w:val="0"/>
          <w:szCs w:val="21"/>
          <w:highlight w:val="none"/>
        </w:rPr>
      </w:pPr>
      <w:bookmarkStart w:id="233" w:name="_Toc189386134"/>
      <w:bookmarkStart w:id="234" w:name="_Toc511318076"/>
      <w:bookmarkStart w:id="235" w:name="_Toc511317327"/>
      <w:r>
        <w:rPr>
          <w:b/>
          <w:bCs/>
          <w:kern w:val="0"/>
          <w:szCs w:val="21"/>
          <w:highlight w:val="none"/>
        </w:rPr>
        <w:t>4.3 分包</w:t>
      </w:r>
      <w:bookmarkEnd w:id="233"/>
      <w:bookmarkEnd w:id="234"/>
      <w:bookmarkEnd w:id="235"/>
    </w:p>
    <w:p>
      <w:pPr>
        <w:spacing w:line="490" w:lineRule="exact"/>
        <w:ind w:firstLine="420" w:firstLineChars="200"/>
        <w:rPr>
          <w:kern w:val="0"/>
          <w:szCs w:val="21"/>
          <w:highlight w:val="none"/>
        </w:rPr>
      </w:pPr>
      <w:r>
        <w:rPr>
          <w:kern w:val="0"/>
          <w:szCs w:val="21"/>
          <w:highlight w:val="none"/>
        </w:rPr>
        <w:t>4.3.1 承包人不得将其承包的全部工程转包给第三人，或将其承包的全部工程肢解后以分包的名义转包给第三人。</w:t>
      </w:r>
    </w:p>
    <w:p>
      <w:pPr>
        <w:spacing w:line="490" w:lineRule="exact"/>
        <w:ind w:firstLine="420" w:firstLineChars="200"/>
        <w:rPr>
          <w:kern w:val="0"/>
          <w:szCs w:val="21"/>
          <w:highlight w:val="none"/>
        </w:rPr>
      </w:pPr>
      <w:r>
        <w:rPr>
          <w:kern w:val="0"/>
          <w:szCs w:val="21"/>
          <w:highlight w:val="none"/>
        </w:rPr>
        <w:t>4.3.2 承包人不得将工程主体、关键性工作分包给第三人。除专用合同条款另有约定外，未经发包人同意，承包人不得将工程的其他部分或工作分包给第三人。</w:t>
      </w:r>
    </w:p>
    <w:p>
      <w:pPr>
        <w:spacing w:line="490" w:lineRule="exact"/>
        <w:ind w:firstLine="420" w:firstLineChars="200"/>
        <w:rPr>
          <w:kern w:val="0"/>
          <w:szCs w:val="21"/>
          <w:highlight w:val="none"/>
        </w:rPr>
      </w:pPr>
      <w:r>
        <w:rPr>
          <w:kern w:val="0"/>
          <w:szCs w:val="21"/>
          <w:highlight w:val="none"/>
        </w:rPr>
        <w:t>4.3.3 分包人的资格能力应与其分包工程的标准和规模相适应。</w:t>
      </w:r>
    </w:p>
    <w:p>
      <w:pPr>
        <w:spacing w:line="490" w:lineRule="exact"/>
        <w:ind w:firstLine="420" w:firstLineChars="200"/>
        <w:rPr>
          <w:kern w:val="0"/>
          <w:szCs w:val="21"/>
          <w:highlight w:val="none"/>
        </w:rPr>
      </w:pPr>
      <w:r>
        <w:rPr>
          <w:kern w:val="0"/>
          <w:szCs w:val="21"/>
          <w:highlight w:val="none"/>
        </w:rPr>
        <w:t>4.3.4 按投标函附录约定分包工程的，承包人应向发包人和监理人提交分包合同副本。</w:t>
      </w:r>
    </w:p>
    <w:p>
      <w:pPr>
        <w:spacing w:line="490" w:lineRule="exact"/>
        <w:ind w:firstLine="420" w:firstLineChars="200"/>
        <w:rPr>
          <w:kern w:val="0"/>
          <w:szCs w:val="21"/>
          <w:highlight w:val="none"/>
        </w:rPr>
      </w:pPr>
      <w:r>
        <w:rPr>
          <w:kern w:val="0"/>
          <w:szCs w:val="21"/>
          <w:highlight w:val="none"/>
        </w:rPr>
        <w:t>4.3.5 承包人应与分包人就分包工程向发包人承担连带责任。</w:t>
      </w:r>
    </w:p>
    <w:p>
      <w:pPr>
        <w:spacing w:line="490" w:lineRule="exact"/>
        <w:ind w:firstLine="420" w:firstLineChars="200"/>
        <w:rPr>
          <w:kern w:val="0"/>
          <w:szCs w:val="21"/>
          <w:highlight w:val="none"/>
        </w:rPr>
      </w:pPr>
      <w:r>
        <w:rPr>
          <w:kern w:val="0"/>
          <w:szCs w:val="21"/>
          <w:highlight w:val="none"/>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spacing w:line="490" w:lineRule="exact"/>
        <w:ind w:firstLine="420" w:firstLineChars="200"/>
        <w:rPr>
          <w:kern w:val="0"/>
          <w:szCs w:val="21"/>
          <w:highlight w:val="none"/>
        </w:rPr>
      </w:pPr>
      <w:r>
        <w:rPr>
          <w:kern w:val="0"/>
          <w:szCs w:val="21"/>
          <w:highlight w:val="none"/>
        </w:rPr>
        <w:t>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spacing w:line="490" w:lineRule="exact"/>
        <w:ind w:firstLine="420" w:firstLineChars="200"/>
        <w:rPr>
          <w:kern w:val="0"/>
          <w:szCs w:val="21"/>
          <w:highlight w:val="none"/>
        </w:rPr>
      </w:pPr>
      <w:r>
        <w:rPr>
          <w:kern w:val="0"/>
          <w:szCs w:val="21"/>
          <w:highlight w:val="none"/>
        </w:rPr>
        <w:t>由指定分包人造成的与其分包工作有关的一切索赔、诉讼和损失赔偿由指定分包人直接对发包人负责，承包人不对此承担责任。</w:t>
      </w:r>
    </w:p>
    <w:p>
      <w:pPr>
        <w:spacing w:line="490" w:lineRule="exact"/>
        <w:ind w:firstLine="420" w:firstLineChars="200"/>
        <w:rPr>
          <w:kern w:val="0"/>
          <w:szCs w:val="21"/>
          <w:highlight w:val="none"/>
        </w:rPr>
      </w:pPr>
      <w:r>
        <w:rPr>
          <w:kern w:val="0"/>
          <w:szCs w:val="21"/>
          <w:highlight w:val="none"/>
        </w:rPr>
        <w:t>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spacing w:line="490" w:lineRule="exact"/>
        <w:ind w:firstLine="420" w:firstLineChars="200"/>
        <w:rPr>
          <w:kern w:val="0"/>
          <w:szCs w:val="21"/>
          <w:highlight w:val="none"/>
        </w:rPr>
      </w:pPr>
      <w:r>
        <w:rPr>
          <w:kern w:val="0"/>
          <w:szCs w:val="21"/>
          <w:highlight w:val="none"/>
        </w:rPr>
        <w:t>4.3.9 除第4.3.7项规定的指定分包外，承包人对其分包项目的实施以及分包人的行为向发包人负全部责任。承包人应对分包项目的工程进度、质量、安全、计量和验收等实施监督和管理。</w:t>
      </w:r>
    </w:p>
    <w:p>
      <w:pPr>
        <w:spacing w:line="490" w:lineRule="exact"/>
        <w:ind w:firstLine="420" w:firstLineChars="200"/>
        <w:rPr>
          <w:kern w:val="0"/>
          <w:szCs w:val="21"/>
          <w:highlight w:val="none"/>
        </w:rPr>
      </w:pPr>
      <w:r>
        <w:rPr>
          <w:kern w:val="0"/>
          <w:szCs w:val="21"/>
          <w:highlight w:val="none"/>
        </w:rPr>
        <w:t>4.3.10 分包人应按专用合同条款的约定设立项目管理机构组织管理分包工程的施工活动。</w:t>
      </w:r>
    </w:p>
    <w:p>
      <w:pPr>
        <w:spacing w:line="490" w:lineRule="exact"/>
        <w:ind w:firstLine="422" w:firstLineChars="200"/>
        <w:outlineLvl w:val="3"/>
        <w:rPr>
          <w:b/>
          <w:bCs/>
          <w:kern w:val="0"/>
          <w:szCs w:val="21"/>
          <w:highlight w:val="none"/>
        </w:rPr>
      </w:pPr>
      <w:bookmarkStart w:id="236" w:name="_Toc189386135"/>
      <w:bookmarkStart w:id="237" w:name="_Toc511318077"/>
      <w:bookmarkStart w:id="238" w:name="_Toc511317328"/>
      <w:r>
        <w:rPr>
          <w:b/>
          <w:bCs/>
          <w:kern w:val="0"/>
          <w:szCs w:val="21"/>
          <w:highlight w:val="none"/>
        </w:rPr>
        <w:t>4.4 联合体</w:t>
      </w:r>
      <w:bookmarkEnd w:id="236"/>
      <w:bookmarkEnd w:id="237"/>
      <w:bookmarkEnd w:id="238"/>
    </w:p>
    <w:p>
      <w:pPr>
        <w:spacing w:line="490" w:lineRule="exact"/>
        <w:ind w:firstLine="420" w:firstLineChars="200"/>
        <w:rPr>
          <w:kern w:val="0"/>
          <w:szCs w:val="21"/>
          <w:highlight w:val="none"/>
        </w:rPr>
      </w:pPr>
      <w:r>
        <w:rPr>
          <w:kern w:val="0"/>
          <w:szCs w:val="21"/>
          <w:highlight w:val="none"/>
        </w:rPr>
        <w:t>4.4.1 联合体各方应共同与发包人签订合同协议书。联合体各方应为履行合同承担连带责任。</w:t>
      </w:r>
    </w:p>
    <w:p>
      <w:pPr>
        <w:spacing w:line="490" w:lineRule="exact"/>
        <w:ind w:firstLine="420" w:firstLineChars="200"/>
        <w:rPr>
          <w:kern w:val="0"/>
          <w:szCs w:val="21"/>
          <w:highlight w:val="none"/>
        </w:rPr>
      </w:pPr>
      <w:r>
        <w:rPr>
          <w:kern w:val="0"/>
          <w:szCs w:val="21"/>
          <w:highlight w:val="none"/>
        </w:rPr>
        <w:t>4.4.2 联合体协议经发包人确认后作为合同附件。在履行合同过程中，未经发包人同意，不得修改联合体协议。</w:t>
      </w:r>
    </w:p>
    <w:p>
      <w:pPr>
        <w:spacing w:line="490" w:lineRule="exact"/>
        <w:ind w:firstLine="420" w:firstLineChars="200"/>
        <w:rPr>
          <w:kern w:val="0"/>
          <w:szCs w:val="21"/>
          <w:highlight w:val="none"/>
        </w:rPr>
      </w:pPr>
      <w:r>
        <w:rPr>
          <w:kern w:val="0"/>
          <w:szCs w:val="21"/>
          <w:highlight w:val="none"/>
        </w:rPr>
        <w:t>4.4.3 联合体牵头人负责与发包人和监理人联系，并接受指示，负责组织联合体各成员全面履行合同。</w:t>
      </w:r>
    </w:p>
    <w:p>
      <w:pPr>
        <w:spacing w:line="490" w:lineRule="exact"/>
        <w:ind w:firstLine="422" w:firstLineChars="200"/>
        <w:outlineLvl w:val="3"/>
        <w:rPr>
          <w:b/>
          <w:bCs/>
          <w:kern w:val="0"/>
          <w:szCs w:val="21"/>
          <w:highlight w:val="none"/>
        </w:rPr>
      </w:pPr>
      <w:bookmarkStart w:id="239" w:name="_Toc189386136"/>
      <w:bookmarkStart w:id="240" w:name="_Toc511318078"/>
      <w:bookmarkStart w:id="241" w:name="_Toc511317329"/>
      <w:r>
        <w:rPr>
          <w:b/>
          <w:kern w:val="0"/>
          <w:szCs w:val="21"/>
          <w:highlight w:val="none"/>
        </w:rPr>
        <w:t>4.5 承包人项目经理</w:t>
      </w:r>
      <w:bookmarkEnd w:id="239"/>
      <w:bookmarkEnd w:id="240"/>
      <w:bookmarkEnd w:id="241"/>
    </w:p>
    <w:p>
      <w:pPr>
        <w:spacing w:line="490" w:lineRule="exact"/>
        <w:ind w:firstLine="420" w:firstLineChars="200"/>
        <w:rPr>
          <w:kern w:val="0"/>
          <w:szCs w:val="21"/>
          <w:highlight w:val="none"/>
        </w:rPr>
      </w:pPr>
      <w:r>
        <w:rPr>
          <w:kern w:val="0"/>
          <w:szCs w:val="21"/>
          <w:highlight w:val="none"/>
        </w:rPr>
        <w:t>4.5.1 承包人应按合同约定指派项目经理，并在约定的期限内到职。承包人更换项目经理应事先征得发包人同意，并应在更换14 天前通知发包人和监理人。承包人项目经理短期离开施工场地，应事先征得监理人同意，并委派代表代行其职责。</w:t>
      </w:r>
    </w:p>
    <w:p>
      <w:pPr>
        <w:spacing w:line="490" w:lineRule="exact"/>
        <w:ind w:firstLine="420" w:firstLineChars="200"/>
        <w:rPr>
          <w:kern w:val="0"/>
          <w:szCs w:val="21"/>
          <w:highlight w:val="none"/>
        </w:rPr>
      </w:pPr>
      <w:r>
        <w:rPr>
          <w:kern w:val="0"/>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spacing w:line="490" w:lineRule="exact"/>
        <w:ind w:firstLine="420" w:firstLineChars="200"/>
        <w:rPr>
          <w:kern w:val="0"/>
          <w:szCs w:val="21"/>
          <w:highlight w:val="none"/>
        </w:rPr>
      </w:pPr>
      <w:r>
        <w:rPr>
          <w:kern w:val="0"/>
          <w:szCs w:val="21"/>
          <w:highlight w:val="none"/>
        </w:rPr>
        <w:t>4.5.3 承包人为履行合同发出的一切函件均应盖有承包人授权的施工场地管理机构章，并由承包人项目经理或其授权代表签字。</w:t>
      </w:r>
    </w:p>
    <w:p>
      <w:pPr>
        <w:spacing w:line="490" w:lineRule="exact"/>
        <w:ind w:firstLine="420" w:firstLineChars="200"/>
        <w:rPr>
          <w:kern w:val="0"/>
          <w:szCs w:val="21"/>
          <w:highlight w:val="none"/>
        </w:rPr>
      </w:pPr>
      <w:r>
        <w:rPr>
          <w:kern w:val="0"/>
          <w:szCs w:val="21"/>
          <w:highlight w:val="none"/>
        </w:rPr>
        <w:t>4.5.4 承包人项目经理可以授权其下属人员履行其某项职责，但事先应将这些人员的姓名和授权范围通知监理人。</w:t>
      </w:r>
    </w:p>
    <w:p>
      <w:pPr>
        <w:spacing w:line="490" w:lineRule="exact"/>
        <w:ind w:firstLine="422" w:firstLineChars="200"/>
        <w:outlineLvl w:val="3"/>
        <w:rPr>
          <w:b/>
          <w:bCs/>
          <w:kern w:val="0"/>
          <w:szCs w:val="21"/>
          <w:highlight w:val="none"/>
        </w:rPr>
      </w:pPr>
      <w:bookmarkStart w:id="242" w:name="_Toc189386137"/>
      <w:bookmarkStart w:id="243" w:name="_Toc511317330"/>
      <w:bookmarkStart w:id="244" w:name="_Toc511318079"/>
      <w:r>
        <w:rPr>
          <w:b/>
          <w:bCs/>
          <w:kern w:val="0"/>
          <w:szCs w:val="21"/>
          <w:highlight w:val="none"/>
        </w:rPr>
        <w:t>4.6 承包人人员的管理</w:t>
      </w:r>
      <w:bookmarkEnd w:id="242"/>
      <w:bookmarkEnd w:id="243"/>
      <w:bookmarkEnd w:id="244"/>
    </w:p>
    <w:p>
      <w:pPr>
        <w:spacing w:line="490" w:lineRule="exact"/>
        <w:ind w:firstLine="420" w:firstLineChars="200"/>
        <w:rPr>
          <w:kern w:val="0"/>
          <w:szCs w:val="21"/>
          <w:highlight w:val="none"/>
        </w:rPr>
      </w:pPr>
      <w:r>
        <w:rPr>
          <w:kern w:val="0"/>
          <w:szCs w:val="21"/>
          <w:highlight w:val="none"/>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490" w:lineRule="exact"/>
        <w:ind w:firstLine="420" w:firstLineChars="200"/>
        <w:rPr>
          <w:kern w:val="0"/>
          <w:szCs w:val="21"/>
          <w:highlight w:val="none"/>
        </w:rPr>
      </w:pPr>
      <w:r>
        <w:rPr>
          <w:kern w:val="0"/>
          <w:szCs w:val="21"/>
          <w:highlight w:val="none"/>
        </w:rPr>
        <w:t>4.6.2 为完成合同约定的各项工作，承包人应向施工场地派遣或雇佣足够数量的下列人员：</w:t>
      </w:r>
    </w:p>
    <w:p>
      <w:pPr>
        <w:spacing w:line="490" w:lineRule="exact"/>
        <w:ind w:firstLine="420" w:firstLineChars="200"/>
        <w:rPr>
          <w:kern w:val="0"/>
          <w:szCs w:val="21"/>
          <w:highlight w:val="none"/>
        </w:rPr>
      </w:pPr>
      <w:r>
        <w:rPr>
          <w:kern w:val="0"/>
          <w:szCs w:val="21"/>
          <w:highlight w:val="none"/>
        </w:rPr>
        <w:t>（1）具有相应资格的专业技工和合格的普工；</w:t>
      </w:r>
    </w:p>
    <w:p>
      <w:pPr>
        <w:spacing w:line="490" w:lineRule="exact"/>
        <w:ind w:firstLine="420" w:firstLineChars="200"/>
        <w:rPr>
          <w:kern w:val="0"/>
          <w:szCs w:val="21"/>
          <w:highlight w:val="none"/>
        </w:rPr>
      </w:pPr>
      <w:r>
        <w:rPr>
          <w:kern w:val="0"/>
          <w:szCs w:val="21"/>
          <w:highlight w:val="none"/>
        </w:rPr>
        <w:t>（2）具有相应施工经验的技术人员；</w:t>
      </w:r>
    </w:p>
    <w:p>
      <w:pPr>
        <w:spacing w:line="490" w:lineRule="exact"/>
        <w:ind w:firstLine="420" w:firstLineChars="200"/>
        <w:rPr>
          <w:kern w:val="0"/>
          <w:szCs w:val="21"/>
          <w:highlight w:val="none"/>
        </w:rPr>
      </w:pPr>
      <w:r>
        <w:rPr>
          <w:kern w:val="0"/>
          <w:szCs w:val="21"/>
          <w:highlight w:val="none"/>
        </w:rPr>
        <w:t>（3）具有相应岗位资格的各级管理人员。</w:t>
      </w:r>
    </w:p>
    <w:p>
      <w:pPr>
        <w:spacing w:line="490" w:lineRule="exact"/>
        <w:ind w:firstLine="420" w:firstLineChars="200"/>
        <w:rPr>
          <w:kern w:val="0"/>
          <w:szCs w:val="21"/>
          <w:highlight w:val="none"/>
        </w:rPr>
      </w:pPr>
      <w:r>
        <w:rPr>
          <w:kern w:val="0"/>
          <w:szCs w:val="21"/>
          <w:highlight w:val="none"/>
        </w:rPr>
        <w:t>4.6.3 承包人安排在施工场地的主要管理人员和技术骨干应相对稳定。承包人更换主要管理人员和技术骨干时，应取得监理人的同意。</w:t>
      </w:r>
    </w:p>
    <w:p>
      <w:pPr>
        <w:spacing w:line="490" w:lineRule="exact"/>
        <w:ind w:firstLine="420" w:firstLineChars="200"/>
        <w:rPr>
          <w:kern w:val="0"/>
          <w:szCs w:val="21"/>
          <w:highlight w:val="none"/>
        </w:rPr>
      </w:pPr>
      <w:r>
        <w:rPr>
          <w:kern w:val="0"/>
          <w:szCs w:val="21"/>
          <w:highlight w:val="none"/>
        </w:rPr>
        <w:t>4.6.4 特殊岗位的工作人员均应持有相应的资格证明，监理人有权随时检查。监理人认为有必要时，可进行现场考核。</w:t>
      </w:r>
    </w:p>
    <w:p>
      <w:pPr>
        <w:spacing w:line="490" w:lineRule="exact"/>
        <w:ind w:firstLine="422" w:firstLineChars="200"/>
        <w:outlineLvl w:val="3"/>
        <w:rPr>
          <w:b/>
          <w:bCs/>
          <w:kern w:val="0"/>
          <w:szCs w:val="21"/>
          <w:highlight w:val="none"/>
        </w:rPr>
      </w:pPr>
      <w:bookmarkStart w:id="245" w:name="_Toc511318080"/>
      <w:bookmarkStart w:id="246" w:name="_Toc189386138"/>
      <w:bookmarkStart w:id="247" w:name="_Toc511317331"/>
      <w:r>
        <w:rPr>
          <w:b/>
          <w:bCs/>
          <w:kern w:val="0"/>
          <w:szCs w:val="21"/>
          <w:highlight w:val="none"/>
        </w:rPr>
        <w:t>4.7 撤换承包人项目经理和其他人员</w:t>
      </w:r>
      <w:bookmarkEnd w:id="245"/>
      <w:bookmarkEnd w:id="246"/>
      <w:bookmarkEnd w:id="247"/>
    </w:p>
    <w:p>
      <w:pPr>
        <w:spacing w:line="490" w:lineRule="exact"/>
        <w:ind w:firstLine="420" w:firstLineChars="200"/>
        <w:rPr>
          <w:kern w:val="0"/>
          <w:szCs w:val="21"/>
          <w:highlight w:val="none"/>
        </w:rPr>
      </w:pPr>
      <w:r>
        <w:rPr>
          <w:kern w:val="0"/>
          <w:szCs w:val="21"/>
          <w:highlight w:val="none"/>
        </w:rPr>
        <w:t>承包人应对其项目经理和其他人员进行有效管理。监理人要求撤换不能胜任本职工作、行为不端或玩忽职守的承包人项目经理和其他人员的，承包人应予以撤换。</w:t>
      </w:r>
    </w:p>
    <w:p>
      <w:pPr>
        <w:spacing w:line="490" w:lineRule="exact"/>
        <w:ind w:firstLine="422" w:firstLineChars="200"/>
        <w:outlineLvl w:val="3"/>
        <w:rPr>
          <w:b/>
          <w:bCs/>
          <w:kern w:val="0"/>
          <w:szCs w:val="21"/>
          <w:highlight w:val="none"/>
        </w:rPr>
      </w:pPr>
      <w:bookmarkStart w:id="248" w:name="_Toc189386139"/>
      <w:bookmarkStart w:id="249" w:name="_Toc511318081"/>
      <w:bookmarkStart w:id="250" w:name="_Toc511317332"/>
      <w:r>
        <w:rPr>
          <w:b/>
          <w:bCs/>
          <w:kern w:val="0"/>
          <w:szCs w:val="21"/>
          <w:highlight w:val="none"/>
        </w:rPr>
        <w:t>4.8 保障承包人人员的合法权益</w:t>
      </w:r>
      <w:bookmarkEnd w:id="248"/>
      <w:bookmarkEnd w:id="249"/>
      <w:bookmarkEnd w:id="250"/>
    </w:p>
    <w:p>
      <w:pPr>
        <w:spacing w:line="490" w:lineRule="exact"/>
        <w:ind w:firstLine="420" w:firstLineChars="200"/>
        <w:rPr>
          <w:kern w:val="0"/>
          <w:szCs w:val="21"/>
          <w:highlight w:val="none"/>
        </w:rPr>
      </w:pPr>
      <w:r>
        <w:rPr>
          <w:kern w:val="0"/>
          <w:szCs w:val="21"/>
          <w:highlight w:val="none"/>
        </w:rPr>
        <w:t>4.8.1 承包人应与其雇佣的人员签订劳动合同，并按时发放工资。</w:t>
      </w:r>
    </w:p>
    <w:p>
      <w:pPr>
        <w:spacing w:line="490" w:lineRule="exact"/>
        <w:ind w:firstLine="420" w:firstLineChars="200"/>
        <w:rPr>
          <w:kern w:val="0"/>
          <w:szCs w:val="21"/>
          <w:highlight w:val="none"/>
        </w:rPr>
      </w:pPr>
      <w:r>
        <w:rPr>
          <w:kern w:val="0"/>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490" w:lineRule="exact"/>
        <w:ind w:firstLine="420" w:firstLineChars="200"/>
        <w:rPr>
          <w:kern w:val="0"/>
          <w:szCs w:val="21"/>
          <w:highlight w:val="none"/>
        </w:rPr>
      </w:pPr>
      <w:r>
        <w:rPr>
          <w:kern w:val="0"/>
          <w:szCs w:val="21"/>
          <w:highlight w:val="none"/>
        </w:rPr>
        <w:t>4.8.3 承包人应为其雇佣人员提供必要的食宿条件，以及符合环境保护和卫生要求的生活环境，在远离城镇的施工场地，还应配备必要的伤病防治和急救的医务人员与医疗设施。</w:t>
      </w:r>
    </w:p>
    <w:p>
      <w:pPr>
        <w:spacing w:line="490" w:lineRule="exact"/>
        <w:ind w:firstLine="420" w:firstLineChars="200"/>
        <w:rPr>
          <w:kern w:val="0"/>
          <w:szCs w:val="21"/>
          <w:highlight w:val="none"/>
        </w:rPr>
      </w:pPr>
      <w:r>
        <w:rPr>
          <w:kern w:val="0"/>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490" w:lineRule="exact"/>
        <w:ind w:firstLine="420" w:firstLineChars="200"/>
        <w:rPr>
          <w:kern w:val="0"/>
          <w:szCs w:val="21"/>
          <w:highlight w:val="none"/>
        </w:rPr>
      </w:pPr>
      <w:r>
        <w:rPr>
          <w:kern w:val="0"/>
          <w:szCs w:val="21"/>
          <w:highlight w:val="none"/>
        </w:rPr>
        <w:t>4.8.5 承包人应按有关法律规定和合同约定，为其雇佣人员办理保险。</w:t>
      </w:r>
    </w:p>
    <w:p>
      <w:pPr>
        <w:spacing w:line="490" w:lineRule="exact"/>
        <w:ind w:firstLine="420" w:firstLineChars="200"/>
        <w:rPr>
          <w:kern w:val="0"/>
          <w:szCs w:val="21"/>
          <w:highlight w:val="none"/>
        </w:rPr>
      </w:pPr>
      <w:r>
        <w:rPr>
          <w:kern w:val="0"/>
          <w:szCs w:val="21"/>
          <w:highlight w:val="none"/>
        </w:rPr>
        <w:t>4.8.6 承包人应负责处理其雇佣人员因工伤亡事故的善后事宜。</w:t>
      </w:r>
    </w:p>
    <w:p>
      <w:pPr>
        <w:spacing w:line="490" w:lineRule="exact"/>
        <w:ind w:firstLine="422" w:firstLineChars="200"/>
        <w:outlineLvl w:val="3"/>
        <w:rPr>
          <w:b/>
          <w:bCs/>
          <w:kern w:val="0"/>
          <w:szCs w:val="21"/>
          <w:highlight w:val="none"/>
        </w:rPr>
      </w:pPr>
      <w:bookmarkStart w:id="251" w:name="_Toc511317333"/>
      <w:bookmarkStart w:id="252" w:name="_Toc189386140"/>
      <w:bookmarkStart w:id="253" w:name="_Toc511318082"/>
      <w:r>
        <w:rPr>
          <w:b/>
          <w:bCs/>
          <w:kern w:val="0"/>
          <w:szCs w:val="21"/>
          <w:highlight w:val="none"/>
        </w:rPr>
        <w:t>4.9 工程价款应专款专用</w:t>
      </w:r>
      <w:bookmarkEnd w:id="251"/>
      <w:bookmarkEnd w:id="252"/>
      <w:bookmarkEnd w:id="253"/>
    </w:p>
    <w:p>
      <w:pPr>
        <w:spacing w:line="490" w:lineRule="exact"/>
        <w:ind w:firstLine="420" w:firstLineChars="200"/>
        <w:rPr>
          <w:kern w:val="0"/>
          <w:szCs w:val="21"/>
          <w:highlight w:val="none"/>
        </w:rPr>
      </w:pPr>
      <w:r>
        <w:rPr>
          <w:kern w:val="0"/>
          <w:szCs w:val="21"/>
          <w:highlight w:val="none"/>
        </w:rPr>
        <w:t>发包人按合同约定支付给承包人的各项价款应专用于合同工程。</w:t>
      </w:r>
    </w:p>
    <w:p>
      <w:pPr>
        <w:spacing w:line="490" w:lineRule="exact"/>
        <w:ind w:firstLine="422" w:firstLineChars="200"/>
        <w:outlineLvl w:val="3"/>
        <w:rPr>
          <w:b/>
          <w:bCs/>
          <w:kern w:val="0"/>
          <w:szCs w:val="21"/>
          <w:highlight w:val="none"/>
        </w:rPr>
      </w:pPr>
      <w:bookmarkStart w:id="254" w:name="_Toc511317334"/>
      <w:bookmarkStart w:id="255" w:name="_Toc511318083"/>
      <w:bookmarkStart w:id="256" w:name="_Toc189386141"/>
      <w:r>
        <w:rPr>
          <w:b/>
          <w:bCs/>
          <w:kern w:val="0"/>
          <w:szCs w:val="21"/>
          <w:highlight w:val="none"/>
        </w:rPr>
        <w:t>4.10 承包人现场查勘</w:t>
      </w:r>
      <w:bookmarkEnd w:id="254"/>
      <w:bookmarkEnd w:id="255"/>
      <w:bookmarkEnd w:id="256"/>
    </w:p>
    <w:p>
      <w:pPr>
        <w:spacing w:line="490" w:lineRule="exact"/>
        <w:ind w:firstLine="420" w:firstLineChars="200"/>
        <w:rPr>
          <w:kern w:val="0"/>
          <w:szCs w:val="21"/>
          <w:highlight w:val="none"/>
        </w:rPr>
      </w:pPr>
      <w:r>
        <w:rPr>
          <w:kern w:val="0"/>
          <w:szCs w:val="21"/>
          <w:highlight w:val="none"/>
        </w:rPr>
        <w:t>4.10.1 发包人应将其持有的现场地质勘探资料、水文气象资料提供给承包人，并对其准确性负责。但承包人应对其阅读上述有关资料后所作出的解释和推断负责。</w:t>
      </w:r>
    </w:p>
    <w:p>
      <w:pPr>
        <w:spacing w:line="490" w:lineRule="exact"/>
        <w:ind w:firstLine="420" w:firstLineChars="200"/>
        <w:rPr>
          <w:kern w:val="0"/>
          <w:szCs w:val="21"/>
          <w:highlight w:val="none"/>
        </w:rPr>
      </w:pPr>
      <w:r>
        <w:rPr>
          <w:kern w:val="0"/>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490" w:lineRule="exact"/>
        <w:ind w:firstLine="422" w:firstLineChars="200"/>
        <w:outlineLvl w:val="3"/>
        <w:rPr>
          <w:b/>
          <w:bCs/>
          <w:kern w:val="0"/>
          <w:szCs w:val="21"/>
          <w:highlight w:val="none"/>
        </w:rPr>
      </w:pPr>
      <w:bookmarkStart w:id="257" w:name="_Toc511317335"/>
      <w:bookmarkStart w:id="258" w:name="_Toc511318084"/>
      <w:bookmarkStart w:id="259" w:name="_Toc189386142"/>
      <w:r>
        <w:rPr>
          <w:b/>
          <w:bCs/>
          <w:kern w:val="0"/>
          <w:szCs w:val="21"/>
          <w:highlight w:val="none"/>
        </w:rPr>
        <w:t>4.11 不利物质条件</w:t>
      </w:r>
      <w:bookmarkEnd w:id="257"/>
      <w:bookmarkEnd w:id="258"/>
      <w:bookmarkEnd w:id="259"/>
    </w:p>
    <w:p>
      <w:pPr>
        <w:spacing w:line="490" w:lineRule="exact"/>
        <w:ind w:firstLine="420" w:firstLineChars="200"/>
        <w:rPr>
          <w:kern w:val="0"/>
          <w:szCs w:val="21"/>
          <w:highlight w:val="none"/>
        </w:rPr>
      </w:pPr>
      <w:r>
        <w:rPr>
          <w:kern w:val="0"/>
          <w:szCs w:val="21"/>
          <w:highlight w:val="none"/>
        </w:rPr>
        <w:t>4.11.1 除专用合同条款另有约定外，不利物质条件是指在施工中遭遇不可预见的外界障碍或自然条件造成施工受阻。</w:t>
      </w:r>
    </w:p>
    <w:p>
      <w:pPr>
        <w:spacing w:line="490" w:lineRule="exact"/>
        <w:ind w:firstLine="420" w:firstLineChars="200"/>
        <w:rPr>
          <w:kern w:val="0"/>
          <w:szCs w:val="21"/>
          <w:highlight w:val="none"/>
        </w:rPr>
      </w:pPr>
      <w:r>
        <w:rPr>
          <w:kern w:val="0"/>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pPr>
        <w:pStyle w:val="5"/>
        <w:keepNext w:val="0"/>
        <w:keepLines w:val="0"/>
        <w:spacing w:before="0" w:after="0" w:line="490" w:lineRule="exact"/>
        <w:ind w:firstLine="422" w:firstLineChars="200"/>
        <w:rPr>
          <w:bCs w:val="0"/>
          <w:color w:val="auto"/>
          <w:sz w:val="21"/>
          <w:szCs w:val="21"/>
          <w:highlight w:val="none"/>
        </w:rPr>
      </w:pPr>
      <w:bookmarkStart w:id="260" w:name="_Toc189386143"/>
      <w:bookmarkStart w:id="261" w:name="_Toc31164"/>
      <w:bookmarkStart w:id="262" w:name="_Toc3997"/>
      <w:r>
        <w:rPr>
          <w:bCs w:val="0"/>
          <w:color w:val="auto"/>
          <w:sz w:val="21"/>
          <w:szCs w:val="21"/>
          <w:highlight w:val="none"/>
        </w:rPr>
        <w:t>5</w:t>
      </w:r>
      <w:r>
        <w:rPr>
          <w:rFonts w:hint="eastAsia"/>
          <w:bCs w:val="0"/>
          <w:color w:val="auto"/>
          <w:sz w:val="21"/>
          <w:szCs w:val="21"/>
          <w:highlight w:val="none"/>
        </w:rPr>
        <w:t>.</w:t>
      </w:r>
      <w:r>
        <w:rPr>
          <w:bCs w:val="0"/>
          <w:color w:val="auto"/>
          <w:sz w:val="21"/>
          <w:szCs w:val="21"/>
          <w:highlight w:val="none"/>
        </w:rPr>
        <w:t>材料和工程设备</w:t>
      </w:r>
      <w:bookmarkEnd w:id="260"/>
      <w:bookmarkEnd w:id="261"/>
      <w:bookmarkEnd w:id="262"/>
    </w:p>
    <w:p>
      <w:pPr>
        <w:spacing w:line="490" w:lineRule="exact"/>
        <w:ind w:firstLine="422" w:firstLineChars="200"/>
        <w:outlineLvl w:val="3"/>
        <w:rPr>
          <w:b/>
          <w:bCs/>
          <w:kern w:val="0"/>
          <w:szCs w:val="21"/>
          <w:highlight w:val="none"/>
        </w:rPr>
      </w:pPr>
      <w:bookmarkStart w:id="263" w:name="_Toc511317337"/>
      <w:bookmarkStart w:id="264" w:name="_Toc189386144"/>
      <w:bookmarkStart w:id="265" w:name="_Toc511318086"/>
      <w:r>
        <w:rPr>
          <w:b/>
          <w:bCs/>
          <w:kern w:val="0"/>
          <w:szCs w:val="21"/>
          <w:highlight w:val="none"/>
        </w:rPr>
        <w:t>5.1承包人提供的材料和工程设备</w:t>
      </w:r>
      <w:bookmarkEnd w:id="263"/>
      <w:bookmarkEnd w:id="264"/>
      <w:bookmarkEnd w:id="265"/>
    </w:p>
    <w:p>
      <w:pPr>
        <w:spacing w:line="490" w:lineRule="exact"/>
        <w:ind w:firstLine="420" w:firstLineChars="200"/>
        <w:rPr>
          <w:kern w:val="0"/>
          <w:szCs w:val="21"/>
          <w:highlight w:val="none"/>
        </w:rPr>
      </w:pPr>
      <w:r>
        <w:rPr>
          <w:kern w:val="0"/>
          <w:szCs w:val="21"/>
          <w:highlight w:val="none"/>
        </w:rPr>
        <w:t>5.1.1 除第5.2款约定由发包人提供的材料和工程设备外，承包人负责采购、运输和保管完成本合同工作所需的材料和工程设备。承包人应对其采购的材料和工程设备负责。</w:t>
      </w:r>
    </w:p>
    <w:p>
      <w:pPr>
        <w:spacing w:line="490" w:lineRule="exact"/>
        <w:ind w:firstLine="420" w:firstLineChars="200"/>
        <w:rPr>
          <w:kern w:val="0"/>
          <w:szCs w:val="21"/>
          <w:highlight w:val="none"/>
        </w:rPr>
      </w:pPr>
      <w:r>
        <w:rPr>
          <w:kern w:val="0"/>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490" w:lineRule="exact"/>
        <w:ind w:firstLine="420" w:firstLineChars="200"/>
        <w:rPr>
          <w:kern w:val="0"/>
          <w:szCs w:val="21"/>
          <w:highlight w:val="none"/>
        </w:rPr>
      </w:pPr>
      <w:r>
        <w:rPr>
          <w:kern w:val="0"/>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490" w:lineRule="exact"/>
        <w:ind w:firstLine="422" w:firstLineChars="200"/>
        <w:outlineLvl w:val="3"/>
        <w:rPr>
          <w:b/>
          <w:bCs/>
          <w:kern w:val="0"/>
          <w:szCs w:val="21"/>
          <w:highlight w:val="none"/>
        </w:rPr>
      </w:pPr>
      <w:bookmarkStart w:id="266" w:name="_Toc189386145"/>
      <w:r>
        <w:rPr>
          <w:b/>
          <w:bCs/>
          <w:kern w:val="0"/>
          <w:szCs w:val="21"/>
          <w:highlight w:val="none"/>
        </w:rPr>
        <w:t>5.2 发包人提供的材料和工程设备</w:t>
      </w:r>
      <w:bookmarkEnd w:id="266"/>
    </w:p>
    <w:p>
      <w:pPr>
        <w:spacing w:line="490" w:lineRule="exact"/>
        <w:ind w:firstLine="420" w:firstLineChars="200"/>
        <w:rPr>
          <w:kern w:val="0"/>
          <w:szCs w:val="21"/>
          <w:highlight w:val="none"/>
        </w:rPr>
      </w:pPr>
      <w:r>
        <w:rPr>
          <w:kern w:val="0"/>
          <w:szCs w:val="21"/>
          <w:highlight w:val="none"/>
        </w:rPr>
        <w:t>5.2.1 发包人提供的材料和工程设备，应在专用合同条款中写明材料和工程设备的名称、规格、数量、价格、交货方式、交货地点和计划交货日期等。</w:t>
      </w:r>
    </w:p>
    <w:p>
      <w:pPr>
        <w:spacing w:line="490" w:lineRule="exact"/>
        <w:ind w:firstLine="420" w:firstLineChars="200"/>
        <w:rPr>
          <w:kern w:val="0"/>
          <w:szCs w:val="21"/>
          <w:highlight w:val="none"/>
        </w:rPr>
      </w:pPr>
      <w:r>
        <w:rPr>
          <w:kern w:val="0"/>
          <w:szCs w:val="21"/>
          <w:highlight w:val="none"/>
        </w:rPr>
        <w:t>5.2.2 承包人应根据合同进度计划的安排，向监理人报送要求发包人交货的日期计划。发包人应按照监理人与合同双方当事人商定的交货日期，向承包人提交材料和工程设备。</w:t>
      </w:r>
    </w:p>
    <w:p>
      <w:pPr>
        <w:spacing w:line="490" w:lineRule="exact"/>
        <w:ind w:firstLine="420" w:firstLineChars="200"/>
        <w:rPr>
          <w:kern w:val="0"/>
          <w:szCs w:val="21"/>
          <w:highlight w:val="none"/>
        </w:rPr>
      </w:pPr>
      <w:r>
        <w:rPr>
          <w:kern w:val="0"/>
          <w:szCs w:val="21"/>
          <w:highlight w:val="none"/>
        </w:rPr>
        <w:t>5.2.3 发包人应在材料和工程设备到货7天前通知承包人，承包人应会同监理人在约定的时间内，赴交货地点共同进行验收。发包人提供的材料和工程设备运至交货地点验收后，由承包人负责接收、卸货、运输和保管。</w:t>
      </w:r>
    </w:p>
    <w:p>
      <w:pPr>
        <w:spacing w:line="490" w:lineRule="exact"/>
        <w:ind w:firstLine="420" w:firstLineChars="200"/>
        <w:rPr>
          <w:kern w:val="0"/>
          <w:szCs w:val="21"/>
          <w:highlight w:val="none"/>
        </w:rPr>
      </w:pPr>
      <w:r>
        <w:rPr>
          <w:kern w:val="0"/>
          <w:szCs w:val="21"/>
          <w:highlight w:val="none"/>
        </w:rPr>
        <w:t>5.2.4 发包人要求向承包人提前交货的，承包人不得拒绝，但发包人应承担承包人由此增加的费用。</w:t>
      </w:r>
    </w:p>
    <w:p>
      <w:pPr>
        <w:spacing w:line="490" w:lineRule="exact"/>
        <w:ind w:firstLine="420" w:firstLineChars="200"/>
        <w:rPr>
          <w:kern w:val="0"/>
          <w:szCs w:val="21"/>
          <w:highlight w:val="none"/>
        </w:rPr>
      </w:pPr>
      <w:r>
        <w:rPr>
          <w:kern w:val="0"/>
          <w:szCs w:val="21"/>
          <w:highlight w:val="none"/>
        </w:rPr>
        <w:t>5.2.5 承包人要求更改交货日期或地点的，应事先报请监理人批准。由于承包人要求更改交货时间或地点所增加的费用和（或）工期延误由承包人承担。</w:t>
      </w:r>
    </w:p>
    <w:p>
      <w:pPr>
        <w:spacing w:line="490" w:lineRule="exact"/>
        <w:ind w:firstLine="420" w:firstLineChars="200"/>
        <w:rPr>
          <w:kern w:val="0"/>
          <w:szCs w:val="21"/>
          <w:highlight w:val="none"/>
        </w:rPr>
      </w:pPr>
      <w:r>
        <w:rPr>
          <w:kern w:val="0"/>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490" w:lineRule="exact"/>
        <w:ind w:firstLine="422" w:firstLineChars="200"/>
        <w:outlineLvl w:val="3"/>
        <w:rPr>
          <w:b/>
          <w:bCs/>
          <w:kern w:val="0"/>
          <w:szCs w:val="21"/>
          <w:highlight w:val="none"/>
        </w:rPr>
      </w:pPr>
      <w:bookmarkStart w:id="267" w:name="_Toc189386146"/>
      <w:r>
        <w:rPr>
          <w:b/>
          <w:bCs/>
          <w:kern w:val="0"/>
          <w:szCs w:val="21"/>
          <w:highlight w:val="none"/>
        </w:rPr>
        <w:t>5.3 材料和工程设备专用于合同工程</w:t>
      </w:r>
      <w:bookmarkEnd w:id="267"/>
    </w:p>
    <w:p>
      <w:pPr>
        <w:spacing w:line="490" w:lineRule="exact"/>
        <w:ind w:firstLine="420" w:firstLineChars="200"/>
        <w:rPr>
          <w:kern w:val="0"/>
          <w:szCs w:val="21"/>
          <w:highlight w:val="none"/>
        </w:rPr>
      </w:pPr>
      <w:r>
        <w:rPr>
          <w:kern w:val="0"/>
          <w:szCs w:val="21"/>
          <w:highlight w:val="none"/>
        </w:rPr>
        <w:t>5.3.1 运入施工场地的材料、工程设备，包括备品备件、安装专用工器具与随机资料，必须专用于合同工程，未经监理人同意，承包人不得运出施工场地或挪作他用。</w:t>
      </w:r>
    </w:p>
    <w:p>
      <w:pPr>
        <w:spacing w:line="490" w:lineRule="exact"/>
        <w:ind w:firstLine="420" w:firstLineChars="200"/>
        <w:rPr>
          <w:kern w:val="0"/>
          <w:szCs w:val="21"/>
          <w:highlight w:val="none"/>
        </w:rPr>
      </w:pPr>
      <w:r>
        <w:rPr>
          <w:kern w:val="0"/>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490" w:lineRule="exact"/>
        <w:ind w:firstLine="422" w:firstLineChars="200"/>
        <w:outlineLvl w:val="3"/>
        <w:rPr>
          <w:b/>
          <w:bCs/>
          <w:kern w:val="0"/>
          <w:szCs w:val="21"/>
          <w:highlight w:val="none"/>
        </w:rPr>
      </w:pPr>
      <w:bookmarkStart w:id="268" w:name="_Toc189386147"/>
      <w:r>
        <w:rPr>
          <w:b/>
          <w:bCs/>
          <w:kern w:val="0"/>
          <w:szCs w:val="21"/>
          <w:highlight w:val="none"/>
        </w:rPr>
        <w:t>5.4 禁止使用不合格的材料和工程设备</w:t>
      </w:r>
      <w:bookmarkEnd w:id="268"/>
    </w:p>
    <w:p>
      <w:pPr>
        <w:spacing w:line="490" w:lineRule="exact"/>
        <w:ind w:firstLine="420" w:firstLineChars="200"/>
        <w:rPr>
          <w:kern w:val="0"/>
          <w:szCs w:val="21"/>
          <w:highlight w:val="none"/>
        </w:rPr>
      </w:pPr>
      <w:r>
        <w:rPr>
          <w:kern w:val="0"/>
          <w:szCs w:val="21"/>
          <w:highlight w:val="none"/>
        </w:rPr>
        <w:t>5.4.1  监理人有权拒绝承包人提供的不合格材料或工程设备，并要求承包人立即进行更换。监理人应在更换后再次进行检查和检验，由此增加的费用和（或）工期延误由承包人承担。</w:t>
      </w:r>
    </w:p>
    <w:p>
      <w:pPr>
        <w:spacing w:line="490" w:lineRule="exact"/>
        <w:ind w:firstLine="420" w:firstLineChars="200"/>
        <w:rPr>
          <w:kern w:val="0"/>
          <w:szCs w:val="21"/>
          <w:highlight w:val="none"/>
        </w:rPr>
      </w:pPr>
      <w:r>
        <w:rPr>
          <w:kern w:val="0"/>
          <w:szCs w:val="21"/>
          <w:highlight w:val="none"/>
        </w:rPr>
        <w:t>5.4.2 监理人发现承包人使用了不合格的材料和工程设备，应即时发出指示要求承包人立即改正，并禁止在工程中继续使用不合格的材料和工程设备。</w:t>
      </w:r>
    </w:p>
    <w:p>
      <w:pPr>
        <w:spacing w:line="490" w:lineRule="exact"/>
        <w:ind w:firstLine="420" w:firstLineChars="200"/>
        <w:rPr>
          <w:kern w:val="0"/>
          <w:szCs w:val="21"/>
          <w:highlight w:val="none"/>
        </w:rPr>
      </w:pPr>
      <w:r>
        <w:rPr>
          <w:kern w:val="0"/>
          <w:szCs w:val="21"/>
          <w:highlight w:val="none"/>
        </w:rPr>
        <w:t>5.4.3 发包人提供的材料或工程设备不符合合同要求的，承包人有权拒绝，并可要求发包人更换，由此增加的费用和（或）工期延误由发包人承担。</w:t>
      </w:r>
    </w:p>
    <w:p>
      <w:pPr>
        <w:pStyle w:val="5"/>
        <w:keepNext w:val="0"/>
        <w:keepLines w:val="0"/>
        <w:spacing w:before="0" w:after="0" w:line="490" w:lineRule="exact"/>
        <w:ind w:firstLine="422" w:firstLineChars="200"/>
        <w:rPr>
          <w:bCs w:val="0"/>
          <w:color w:val="auto"/>
          <w:sz w:val="21"/>
          <w:szCs w:val="21"/>
          <w:highlight w:val="none"/>
        </w:rPr>
      </w:pPr>
      <w:bookmarkStart w:id="269" w:name="_Toc189386148"/>
      <w:bookmarkStart w:id="270" w:name="_Toc11785"/>
      <w:bookmarkStart w:id="271" w:name="_Toc19529"/>
      <w:r>
        <w:rPr>
          <w:bCs w:val="0"/>
          <w:color w:val="auto"/>
          <w:sz w:val="21"/>
          <w:szCs w:val="21"/>
          <w:highlight w:val="none"/>
        </w:rPr>
        <w:t>6</w:t>
      </w:r>
      <w:r>
        <w:rPr>
          <w:rFonts w:hint="eastAsia"/>
          <w:bCs w:val="0"/>
          <w:color w:val="auto"/>
          <w:sz w:val="21"/>
          <w:szCs w:val="21"/>
          <w:highlight w:val="none"/>
        </w:rPr>
        <w:t>.</w:t>
      </w:r>
      <w:r>
        <w:rPr>
          <w:bCs w:val="0"/>
          <w:color w:val="auto"/>
          <w:sz w:val="21"/>
          <w:szCs w:val="21"/>
          <w:highlight w:val="none"/>
        </w:rPr>
        <w:t>施工设备和临时设施</w:t>
      </w:r>
      <w:bookmarkEnd w:id="269"/>
      <w:bookmarkEnd w:id="270"/>
      <w:bookmarkEnd w:id="271"/>
    </w:p>
    <w:p>
      <w:pPr>
        <w:spacing w:line="490" w:lineRule="exact"/>
        <w:ind w:firstLine="422" w:firstLineChars="200"/>
        <w:outlineLvl w:val="3"/>
        <w:rPr>
          <w:b/>
          <w:bCs/>
          <w:kern w:val="0"/>
          <w:szCs w:val="21"/>
          <w:highlight w:val="none"/>
        </w:rPr>
      </w:pPr>
      <w:bookmarkStart w:id="272" w:name="_Toc189386149"/>
      <w:r>
        <w:rPr>
          <w:b/>
          <w:bCs/>
          <w:kern w:val="0"/>
          <w:szCs w:val="21"/>
          <w:highlight w:val="none"/>
        </w:rPr>
        <w:t>6.1承包人提供的施工设备和临时设施</w:t>
      </w:r>
      <w:bookmarkEnd w:id="272"/>
    </w:p>
    <w:p>
      <w:pPr>
        <w:spacing w:line="490" w:lineRule="exact"/>
        <w:ind w:firstLine="420" w:firstLineChars="200"/>
        <w:rPr>
          <w:kern w:val="0"/>
          <w:szCs w:val="21"/>
          <w:highlight w:val="none"/>
        </w:rPr>
      </w:pPr>
      <w:r>
        <w:rPr>
          <w:kern w:val="0"/>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pPr>
        <w:spacing w:line="490" w:lineRule="exact"/>
        <w:ind w:firstLine="420" w:firstLineChars="200"/>
        <w:rPr>
          <w:kern w:val="0"/>
          <w:szCs w:val="21"/>
          <w:highlight w:val="none"/>
        </w:rPr>
      </w:pPr>
      <w:r>
        <w:rPr>
          <w:kern w:val="0"/>
          <w:szCs w:val="21"/>
          <w:highlight w:val="none"/>
        </w:rPr>
        <w:t>6.1.2 除专用合同条款另有约定外，承包人应自行承担修建临时设施的费用，需要临时占地的，应由发包人办理申请手续并承担相应费用。</w:t>
      </w:r>
    </w:p>
    <w:p>
      <w:pPr>
        <w:spacing w:line="490" w:lineRule="exact"/>
        <w:ind w:firstLine="422" w:firstLineChars="200"/>
        <w:outlineLvl w:val="3"/>
        <w:rPr>
          <w:b/>
          <w:bCs/>
          <w:kern w:val="0"/>
          <w:szCs w:val="21"/>
          <w:highlight w:val="none"/>
        </w:rPr>
      </w:pPr>
      <w:bookmarkStart w:id="273" w:name="_Toc189386150"/>
      <w:r>
        <w:rPr>
          <w:b/>
          <w:bCs/>
          <w:kern w:val="0"/>
          <w:szCs w:val="21"/>
          <w:highlight w:val="none"/>
        </w:rPr>
        <w:t>6.2 发包人提供的施工设备和临时设施</w:t>
      </w:r>
      <w:bookmarkEnd w:id="273"/>
    </w:p>
    <w:p>
      <w:pPr>
        <w:spacing w:line="490" w:lineRule="exact"/>
        <w:ind w:firstLine="420" w:firstLineChars="200"/>
        <w:rPr>
          <w:kern w:val="0"/>
          <w:szCs w:val="21"/>
          <w:highlight w:val="none"/>
        </w:rPr>
      </w:pPr>
      <w:r>
        <w:rPr>
          <w:kern w:val="0"/>
          <w:szCs w:val="21"/>
          <w:highlight w:val="none"/>
        </w:rPr>
        <w:t>发包人提供的施工设备或临时设施在专用合同条款中约定。</w:t>
      </w:r>
    </w:p>
    <w:p>
      <w:pPr>
        <w:spacing w:line="490" w:lineRule="exact"/>
        <w:ind w:firstLine="422" w:firstLineChars="200"/>
        <w:outlineLvl w:val="3"/>
        <w:rPr>
          <w:b/>
          <w:bCs/>
          <w:kern w:val="0"/>
          <w:szCs w:val="21"/>
          <w:highlight w:val="none"/>
        </w:rPr>
      </w:pPr>
      <w:bookmarkStart w:id="274" w:name="_Toc189386151"/>
      <w:r>
        <w:rPr>
          <w:b/>
          <w:bCs/>
          <w:kern w:val="0"/>
          <w:szCs w:val="21"/>
          <w:highlight w:val="none"/>
        </w:rPr>
        <w:t>6.3 要求承包人增加或更换施工设备</w:t>
      </w:r>
      <w:bookmarkEnd w:id="274"/>
    </w:p>
    <w:p>
      <w:pPr>
        <w:spacing w:line="490" w:lineRule="exact"/>
        <w:ind w:firstLine="420" w:firstLineChars="200"/>
        <w:rPr>
          <w:kern w:val="0"/>
          <w:szCs w:val="21"/>
          <w:highlight w:val="none"/>
        </w:rPr>
      </w:pPr>
      <w:r>
        <w:rPr>
          <w:kern w:val="0"/>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pPr>
        <w:spacing w:line="490" w:lineRule="exact"/>
        <w:ind w:firstLine="422" w:firstLineChars="200"/>
        <w:outlineLvl w:val="3"/>
        <w:rPr>
          <w:b/>
          <w:bCs/>
          <w:kern w:val="0"/>
          <w:szCs w:val="21"/>
          <w:highlight w:val="none"/>
        </w:rPr>
      </w:pPr>
      <w:bookmarkStart w:id="275" w:name="_Toc189386152"/>
      <w:r>
        <w:rPr>
          <w:b/>
          <w:bCs/>
          <w:kern w:val="0"/>
          <w:szCs w:val="21"/>
          <w:highlight w:val="none"/>
        </w:rPr>
        <w:t>6.4 施工设备和临时设施专用于合同工程</w:t>
      </w:r>
      <w:bookmarkEnd w:id="275"/>
    </w:p>
    <w:p>
      <w:pPr>
        <w:spacing w:line="490" w:lineRule="exact"/>
        <w:ind w:firstLine="420" w:firstLineChars="200"/>
        <w:rPr>
          <w:kern w:val="0"/>
          <w:szCs w:val="21"/>
          <w:highlight w:val="none"/>
        </w:rPr>
      </w:pPr>
      <w:r>
        <w:rPr>
          <w:kern w:val="0"/>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pPr>
        <w:spacing w:line="490" w:lineRule="exact"/>
        <w:ind w:firstLine="420" w:firstLineChars="200"/>
        <w:rPr>
          <w:kern w:val="0"/>
          <w:szCs w:val="21"/>
          <w:highlight w:val="none"/>
        </w:rPr>
      </w:pPr>
      <w:r>
        <w:rPr>
          <w:kern w:val="0"/>
          <w:szCs w:val="21"/>
          <w:highlight w:val="none"/>
        </w:rPr>
        <w:t>6.4.2 经监理人同意，承包人可根据合同进度计划撤走闲置的施工设备。</w:t>
      </w:r>
    </w:p>
    <w:p>
      <w:pPr>
        <w:pStyle w:val="5"/>
        <w:keepNext w:val="0"/>
        <w:keepLines w:val="0"/>
        <w:spacing w:before="0" w:after="0" w:line="490" w:lineRule="exact"/>
        <w:ind w:firstLine="422" w:firstLineChars="200"/>
        <w:rPr>
          <w:bCs w:val="0"/>
          <w:color w:val="auto"/>
          <w:sz w:val="21"/>
          <w:szCs w:val="21"/>
          <w:highlight w:val="none"/>
        </w:rPr>
      </w:pPr>
      <w:bookmarkStart w:id="276" w:name="_Toc8023"/>
      <w:bookmarkStart w:id="277" w:name="_Toc189386153"/>
      <w:bookmarkStart w:id="278" w:name="_Toc26221"/>
      <w:r>
        <w:rPr>
          <w:bCs w:val="0"/>
          <w:color w:val="auto"/>
          <w:sz w:val="21"/>
          <w:szCs w:val="21"/>
          <w:highlight w:val="none"/>
        </w:rPr>
        <w:t>7</w:t>
      </w:r>
      <w:r>
        <w:rPr>
          <w:rFonts w:hint="eastAsia"/>
          <w:bCs w:val="0"/>
          <w:color w:val="auto"/>
          <w:sz w:val="21"/>
          <w:szCs w:val="21"/>
          <w:highlight w:val="none"/>
        </w:rPr>
        <w:t>.</w:t>
      </w:r>
      <w:r>
        <w:rPr>
          <w:bCs w:val="0"/>
          <w:color w:val="auto"/>
          <w:sz w:val="21"/>
          <w:szCs w:val="21"/>
          <w:highlight w:val="none"/>
        </w:rPr>
        <w:t>交通运输</w:t>
      </w:r>
      <w:bookmarkEnd w:id="276"/>
      <w:bookmarkEnd w:id="277"/>
      <w:bookmarkEnd w:id="278"/>
    </w:p>
    <w:p>
      <w:pPr>
        <w:spacing w:line="490" w:lineRule="exact"/>
        <w:ind w:firstLine="422" w:firstLineChars="200"/>
        <w:outlineLvl w:val="3"/>
        <w:rPr>
          <w:b/>
          <w:bCs/>
          <w:kern w:val="0"/>
          <w:szCs w:val="21"/>
          <w:highlight w:val="none"/>
        </w:rPr>
      </w:pPr>
      <w:bookmarkStart w:id="279" w:name="_Toc189386154"/>
      <w:r>
        <w:rPr>
          <w:b/>
          <w:bCs/>
          <w:kern w:val="0"/>
          <w:szCs w:val="21"/>
          <w:highlight w:val="none"/>
        </w:rPr>
        <w:t>7.1道路通行权和场外设施</w:t>
      </w:r>
      <w:bookmarkEnd w:id="279"/>
    </w:p>
    <w:p>
      <w:pPr>
        <w:spacing w:line="490" w:lineRule="exact"/>
        <w:ind w:firstLine="420" w:firstLineChars="200"/>
        <w:rPr>
          <w:kern w:val="0"/>
          <w:szCs w:val="21"/>
          <w:highlight w:val="none"/>
        </w:rPr>
      </w:pPr>
      <w:r>
        <w:rPr>
          <w:kern w:val="0"/>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spacing w:line="490" w:lineRule="exact"/>
        <w:ind w:firstLine="422" w:firstLineChars="200"/>
        <w:outlineLvl w:val="3"/>
        <w:rPr>
          <w:b/>
          <w:bCs/>
          <w:kern w:val="0"/>
          <w:szCs w:val="21"/>
          <w:highlight w:val="none"/>
        </w:rPr>
      </w:pPr>
      <w:bookmarkStart w:id="280" w:name="_Toc511318089"/>
      <w:bookmarkStart w:id="281" w:name="_Toc189386155"/>
      <w:bookmarkStart w:id="282" w:name="_Toc511317340"/>
      <w:r>
        <w:rPr>
          <w:b/>
          <w:bCs/>
          <w:kern w:val="0"/>
          <w:szCs w:val="21"/>
          <w:highlight w:val="none"/>
        </w:rPr>
        <w:t>7.2 场内施工道路</w:t>
      </w:r>
      <w:bookmarkEnd w:id="280"/>
      <w:bookmarkEnd w:id="281"/>
      <w:bookmarkEnd w:id="282"/>
    </w:p>
    <w:p>
      <w:pPr>
        <w:spacing w:line="490" w:lineRule="exact"/>
        <w:ind w:firstLine="420" w:firstLineChars="200"/>
        <w:rPr>
          <w:kern w:val="0"/>
          <w:szCs w:val="21"/>
          <w:highlight w:val="none"/>
        </w:rPr>
      </w:pPr>
      <w:r>
        <w:rPr>
          <w:kern w:val="0"/>
          <w:szCs w:val="21"/>
          <w:highlight w:val="none"/>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spacing w:line="490" w:lineRule="exact"/>
        <w:ind w:firstLine="420" w:firstLineChars="200"/>
        <w:rPr>
          <w:kern w:val="0"/>
          <w:szCs w:val="21"/>
          <w:highlight w:val="none"/>
        </w:rPr>
      </w:pPr>
      <w:r>
        <w:rPr>
          <w:kern w:val="0"/>
          <w:szCs w:val="21"/>
          <w:highlight w:val="none"/>
        </w:rPr>
        <w:t>7.2.2 承包人修建的临时道路和交通设施，应免费提供发包人、监理人以及与本合同有关的其他承包人使用。</w:t>
      </w:r>
    </w:p>
    <w:p>
      <w:pPr>
        <w:spacing w:line="490" w:lineRule="exact"/>
        <w:ind w:firstLine="422" w:firstLineChars="200"/>
        <w:outlineLvl w:val="3"/>
        <w:rPr>
          <w:b/>
          <w:bCs/>
          <w:kern w:val="0"/>
          <w:szCs w:val="21"/>
          <w:highlight w:val="none"/>
        </w:rPr>
      </w:pPr>
      <w:bookmarkStart w:id="283" w:name="_Toc189386156"/>
      <w:bookmarkStart w:id="284" w:name="_Toc511318090"/>
      <w:bookmarkStart w:id="285" w:name="_Toc511317341"/>
      <w:r>
        <w:rPr>
          <w:b/>
          <w:bCs/>
          <w:kern w:val="0"/>
          <w:szCs w:val="21"/>
          <w:highlight w:val="none"/>
        </w:rPr>
        <w:t>7.3 场外交通</w:t>
      </w:r>
      <w:bookmarkEnd w:id="283"/>
      <w:bookmarkEnd w:id="284"/>
      <w:bookmarkEnd w:id="285"/>
    </w:p>
    <w:p>
      <w:pPr>
        <w:spacing w:line="490" w:lineRule="exact"/>
        <w:ind w:firstLine="420" w:firstLineChars="200"/>
        <w:rPr>
          <w:kern w:val="0"/>
          <w:szCs w:val="21"/>
          <w:highlight w:val="none"/>
        </w:rPr>
      </w:pPr>
      <w:r>
        <w:rPr>
          <w:kern w:val="0"/>
          <w:szCs w:val="21"/>
          <w:highlight w:val="none"/>
        </w:rPr>
        <w:t>7.3.1 承包人车辆外出行驶所需的场外公共道路的通行费、养路费和税款等由承包人承担。</w:t>
      </w:r>
    </w:p>
    <w:p>
      <w:pPr>
        <w:spacing w:line="490" w:lineRule="exact"/>
        <w:ind w:firstLine="420" w:firstLineChars="200"/>
        <w:rPr>
          <w:kern w:val="0"/>
          <w:szCs w:val="21"/>
          <w:highlight w:val="none"/>
        </w:rPr>
      </w:pPr>
      <w:r>
        <w:rPr>
          <w:kern w:val="0"/>
          <w:szCs w:val="21"/>
          <w:highlight w:val="none"/>
        </w:rPr>
        <w:t>7.3.2 承包人应遵守有关交通法规，严格按照道路和桥梁的限制荷重安全行驶，并服从交通管理部门的检查和监督。</w:t>
      </w:r>
    </w:p>
    <w:p>
      <w:pPr>
        <w:spacing w:line="490" w:lineRule="exact"/>
        <w:ind w:firstLine="422" w:firstLineChars="200"/>
        <w:outlineLvl w:val="3"/>
        <w:rPr>
          <w:b/>
          <w:bCs/>
          <w:kern w:val="0"/>
          <w:szCs w:val="21"/>
          <w:highlight w:val="none"/>
        </w:rPr>
      </w:pPr>
      <w:bookmarkStart w:id="286" w:name="_Toc511317342"/>
      <w:bookmarkStart w:id="287" w:name="_Toc511318091"/>
      <w:bookmarkStart w:id="288" w:name="_Toc189386157"/>
      <w:r>
        <w:rPr>
          <w:b/>
          <w:bCs/>
          <w:kern w:val="0"/>
          <w:szCs w:val="21"/>
          <w:highlight w:val="none"/>
        </w:rPr>
        <w:t>7.4 超大件和超重件的运输</w:t>
      </w:r>
      <w:bookmarkEnd w:id="286"/>
      <w:bookmarkEnd w:id="287"/>
      <w:bookmarkEnd w:id="288"/>
    </w:p>
    <w:p>
      <w:pPr>
        <w:spacing w:line="490" w:lineRule="exact"/>
        <w:ind w:firstLine="420" w:firstLineChars="200"/>
        <w:rPr>
          <w:kern w:val="0"/>
          <w:szCs w:val="21"/>
          <w:highlight w:val="none"/>
        </w:rPr>
      </w:pPr>
      <w:r>
        <w:rPr>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490" w:lineRule="exact"/>
        <w:ind w:firstLine="422" w:firstLineChars="200"/>
        <w:outlineLvl w:val="3"/>
        <w:rPr>
          <w:b/>
          <w:bCs/>
          <w:kern w:val="0"/>
          <w:szCs w:val="21"/>
          <w:highlight w:val="none"/>
        </w:rPr>
      </w:pPr>
      <w:bookmarkStart w:id="289" w:name="_Toc511318092"/>
      <w:bookmarkStart w:id="290" w:name="_Toc511317343"/>
      <w:bookmarkStart w:id="291" w:name="_Toc189386158"/>
      <w:r>
        <w:rPr>
          <w:b/>
          <w:bCs/>
          <w:kern w:val="0"/>
          <w:szCs w:val="21"/>
          <w:highlight w:val="none"/>
        </w:rPr>
        <w:t>7.5 道路和桥梁的损坏责任</w:t>
      </w:r>
      <w:bookmarkEnd w:id="289"/>
      <w:bookmarkEnd w:id="290"/>
      <w:bookmarkEnd w:id="291"/>
    </w:p>
    <w:p>
      <w:pPr>
        <w:spacing w:line="490" w:lineRule="exact"/>
        <w:ind w:firstLine="420" w:firstLineChars="200"/>
        <w:rPr>
          <w:kern w:val="0"/>
          <w:szCs w:val="21"/>
          <w:highlight w:val="none"/>
        </w:rPr>
      </w:pPr>
      <w:r>
        <w:rPr>
          <w:kern w:val="0"/>
          <w:szCs w:val="21"/>
          <w:highlight w:val="none"/>
        </w:rPr>
        <w:t>因承包人运输造成施工场地内外公共道路和桥梁损坏的，由承包人承担修复损坏的全部费用和可能引起的赔偿。</w:t>
      </w:r>
    </w:p>
    <w:p>
      <w:pPr>
        <w:spacing w:line="490" w:lineRule="exact"/>
        <w:ind w:firstLine="422" w:firstLineChars="200"/>
        <w:outlineLvl w:val="3"/>
        <w:rPr>
          <w:b/>
          <w:bCs/>
          <w:kern w:val="0"/>
          <w:szCs w:val="21"/>
          <w:highlight w:val="none"/>
        </w:rPr>
      </w:pPr>
      <w:bookmarkStart w:id="292" w:name="_Toc189386159"/>
      <w:bookmarkStart w:id="293" w:name="_Toc511317344"/>
      <w:bookmarkStart w:id="294" w:name="_Toc511318093"/>
      <w:r>
        <w:rPr>
          <w:b/>
          <w:bCs/>
          <w:kern w:val="0"/>
          <w:szCs w:val="21"/>
          <w:highlight w:val="none"/>
        </w:rPr>
        <w:t>7.6 水路和航空运输</w:t>
      </w:r>
      <w:bookmarkEnd w:id="292"/>
      <w:bookmarkEnd w:id="293"/>
      <w:bookmarkEnd w:id="294"/>
    </w:p>
    <w:p>
      <w:pPr>
        <w:spacing w:line="490" w:lineRule="exact"/>
        <w:ind w:firstLine="420" w:firstLineChars="200"/>
        <w:rPr>
          <w:kern w:val="0"/>
          <w:szCs w:val="21"/>
          <w:highlight w:val="none"/>
        </w:rPr>
      </w:pPr>
      <w:r>
        <w:rPr>
          <w:kern w:val="0"/>
          <w:szCs w:val="21"/>
          <w:highlight w:val="none"/>
        </w:rPr>
        <w:t>本条上述各款的内容适用于水路运输和航空运输，其中</w:t>
      </w:r>
      <w:r>
        <w:rPr>
          <w:rFonts w:hint="eastAsia"/>
          <w:kern w:val="0"/>
          <w:szCs w:val="21"/>
          <w:highlight w:val="none"/>
        </w:rPr>
        <w:t>“</w:t>
      </w:r>
      <w:r>
        <w:rPr>
          <w:kern w:val="0"/>
          <w:szCs w:val="21"/>
          <w:highlight w:val="none"/>
        </w:rPr>
        <w:t>道路</w:t>
      </w:r>
      <w:r>
        <w:rPr>
          <w:rFonts w:hint="eastAsia"/>
          <w:kern w:val="0"/>
          <w:szCs w:val="21"/>
          <w:highlight w:val="none"/>
        </w:rPr>
        <w:t>”</w:t>
      </w:r>
      <w:r>
        <w:rPr>
          <w:kern w:val="0"/>
          <w:szCs w:val="21"/>
          <w:highlight w:val="none"/>
        </w:rPr>
        <w:t>一词的涵义包括河道、航线、船闸、机场、码头、堤防以及水路或航空运输中其他相似结构物；</w:t>
      </w:r>
      <w:r>
        <w:rPr>
          <w:rFonts w:hint="eastAsia"/>
          <w:kern w:val="0"/>
          <w:szCs w:val="21"/>
          <w:highlight w:val="none"/>
        </w:rPr>
        <w:t>“</w:t>
      </w:r>
      <w:r>
        <w:rPr>
          <w:kern w:val="0"/>
          <w:szCs w:val="21"/>
          <w:highlight w:val="none"/>
        </w:rPr>
        <w:t>车辆</w:t>
      </w:r>
      <w:r>
        <w:rPr>
          <w:rFonts w:hint="eastAsia"/>
          <w:kern w:val="0"/>
          <w:szCs w:val="21"/>
          <w:highlight w:val="none"/>
        </w:rPr>
        <w:t>”</w:t>
      </w:r>
      <w:r>
        <w:rPr>
          <w:kern w:val="0"/>
          <w:szCs w:val="21"/>
          <w:highlight w:val="none"/>
        </w:rPr>
        <w:t>一词的涵义包括船舶和飞机等。</w:t>
      </w:r>
    </w:p>
    <w:p>
      <w:pPr>
        <w:pStyle w:val="5"/>
        <w:keepNext w:val="0"/>
        <w:keepLines w:val="0"/>
        <w:spacing w:before="0" w:after="0" w:line="490" w:lineRule="exact"/>
        <w:ind w:firstLine="422" w:firstLineChars="200"/>
        <w:rPr>
          <w:bCs w:val="0"/>
          <w:color w:val="auto"/>
          <w:sz w:val="21"/>
          <w:szCs w:val="21"/>
          <w:highlight w:val="none"/>
        </w:rPr>
      </w:pPr>
      <w:bookmarkStart w:id="295" w:name="_Toc189386160"/>
      <w:bookmarkStart w:id="296" w:name="_Toc19452"/>
      <w:bookmarkStart w:id="297" w:name="_Toc27069"/>
      <w:r>
        <w:rPr>
          <w:bCs w:val="0"/>
          <w:color w:val="auto"/>
          <w:sz w:val="21"/>
          <w:szCs w:val="21"/>
          <w:highlight w:val="none"/>
        </w:rPr>
        <w:t>8</w:t>
      </w:r>
      <w:r>
        <w:rPr>
          <w:rFonts w:hint="eastAsia"/>
          <w:bCs w:val="0"/>
          <w:color w:val="auto"/>
          <w:sz w:val="21"/>
          <w:szCs w:val="21"/>
          <w:highlight w:val="none"/>
        </w:rPr>
        <w:t>.</w:t>
      </w:r>
      <w:r>
        <w:rPr>
          <w:bCs w:val="0"/>
          <w:color w:val="auto"/>
          <w:sz w:val="21"/>
          <w:szCs w:val="21"/>
          <w:highlight w:val="none"/>
        </w:rPr>
        <w:t>测量放线</w:t>
      </w:r>
      <w:bookmarkEnd w:id="295"/>
      <w:bookmarkEnd w:id="296"/>
      <w:bookmarkEnd w:id="297"/>
    </w:p>
    <w:p>
      <w:pPr>
        <w:spacing w:line="490" w:lineRule="exact"/>
        <w:ind w:firstLine="422" w:firstLineChars="200"/>
        <w:outlineLvl w:val="3"/>
        <w:rPr>
          <w:b/>
          <w:bCs/>
          <w:kern w:val="0"/>
          <w:szCs w:val="21"/>
          <w:highlight w:val="none"/>
        </w:rPr>
      </w:pPr>
      <w:bookmarkStart w:id="298" w:name="_Toc189386161"/>
      <w:r>
        <w:rPr>
          <w:b/>
          <w:bCs/>
          <w:kern w:val="0"/>
          <w:szCs w:val="21"/>
          <w:highlight w:val="none"/>
        </w:rPr>
        <w:t>8.1施工控制网</w:t>
      </w:r>
      <w:bookmarkEnd w:id="298"/>
    </w:p>
    <w:p>
      <w:pPr>
        <w:spacing w:line="490" w:lineRule="exact"/>
        <w:ind w:firstLine="420" w:firstLineChars="200"/>
        <w:rPr>
          <w:kern w:val="0"/>
          <w:szCs w:val="21"/>
          <w:highlight w:val="none"/>
        </w:rPr>
      </w:pPr>
      <w:r>
        <w:rPr>
          <w:kern w:val="0"/>
          <w:szCs w:val="21"/>
          <w:highlight w:val="none"/>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spacing w:line="490" w:lineRule="exact"/>
        <w:ind w:firstLine="420" w:firstLineChars="200"/>
        <w:rPr>
          <w:kern w:val="0"/>
          <w:szCs w:val="21"/>
          <w:highlight w:val="none"/>
        </w:rPr>
      </w:pPr>
      <w:r>
        <w:rPr>
          <w:kern w:val="0"/>
          <w:szCs w:val="21"/>
          <w:highlight w:val="none"/>
        </w:rPr>
        <w:t>8.1.2 承包人应负责管理施工控制网点。施工控制网点丢失或损坏的，承包人应及时修复。承包人应承担施工控制网点的管理与修复费用，并在工程竣工后将施工控制网点移交发包人。</w:t>
      </w:r>
    </w:p>
    <w:p>
      <w:pPr>
        <w:spacing w:line="490" w:lineRule="exact"/>
        <w:ind w:firstLine="422" w:firstLineChars="200"/>
        <w:outlineLvl w:val="3"/>
        <w:rPr>
          <w:b/>
          <w:bCs/>
          <w:kern w:val="0"/>
          <w:szCs w:val="21"/>
          <w:highlight w:val="none"/>
        </w:rPr>
      </w:pPr>
      <w:bookmarkStart w:id="299" w:name="_Toc189386162"/>
      <w:r>
        <w:rPr>
          <w:b/>
          <w:bCs/>
          <w:kern w:val="0"/>
          <w:szCs w:val="21"/>
          <w:highlight w:val="none"/>
        </w:rPr>
        <w:t>8.2 施工测量</w:t>
      </w:r>
      <w:bookmarkEnd w:id="299"/>
    </w:p>
    <w:p>
      <w:pPr>
        <w:spacing w:line="490" w:lineRule="exact"/>
        <w:ind w:firstLine="420" w:firstLineChars="200"/>
        <w:rPr>
          <w:kern w:val="0"/>
          <w:szCs w:val="21"/>
          <w:highlight w:val="none"/>
        </w:rPr>
      </w:pPr>
      <w:r>
        <w:rPr>
          <w:kern w:val="0"/>
          <w:szCs w:val="21"/>
          <w:highlight w:val="none"/>
        </w:rPr>
        <w:t>8.2.1 承包人应负责施工过程中的全部施工测量放线工作，并配置合格的人员、仪器、设备和其他物品。</w:t>
      </w:r>
    </w:p>
    <w:p>
      <w:pPr>
        <w:spacing w:line="490" w:lineRule="exact"/>
        <w:ind w:firstLine="420" w:firstLineChars="200"/>
        <w:rPr>
          <w:kern w:val="0"/>
          <w:szCs w:val="21"/>
          <w:highlight w:val="none"/>
        </w:rPr>
      </w:pPr>
      <w:r>
        <w:rPr>
          <w:kern w:val="0"/>
          <w:szCs w:val="21"/>
          <w:highlight w:val="none"/>
        </w:rPr>
        <w:t>8.2.2 监理人可以指示承包人进行抽样复测，当复测中发现错误或出现超过合同约定的误差时，承包人应按监理人指示进行修正或补测，并承担相应的复测费用。</w:t>
      </w:r>
    </w:p>
    <w:p>
      <w:pPr>
        <w:spacing w:line="490" w:lineRule="exact"/>
        <w:ind w:firstLine="422" w:firstLineChars="200"/>
        <w:outlineLvl w:val="3"/>
        <w:rPr>
          <w:b/>
          <w:bCs/>
          <w:kern w:val="0"/>
          <w:szCs w:val="21"/>
          <w:highlight w:val="none"/>
        </w:rPr>
      </w:pPr>
      <w:bookmarkStart w:id="300" w:name="_Toc189386163"/>
      <w:r>
        <w:rPr>
          <w:b/>
          <w:bCs/>
          <w:kern w:val="0"/>
          <w:szCs w:val="21"/>
          <w:highlight w:val="none"/>
        </w:rPr>
        <w:t>8.3 基准资料错误的责任</w:t>
      </w:r>
      <w:bookmarkEnd w:id="300"/>
    </w:p>
    <w:p>
      <w:pPr>
        <w:spacing w:line="490" w:lineRule="exact"/>
        <w:ind w:firstLine="420" w:firstLineChars="200"/>
        <w:rPr>
          <w:kern w:val="0"/>
          <w:szCs w:val="21"/>
          <w:highlight w:val="none"/>
        </w:rPr>
      </w:pPr>
      <w:r>
        <w:rPr>
          <w:kern w:val="0"/>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490" w:lineRule="exact"/>
        <w:ind w:firstLine="422" w:firstLineChars="200"/>
        <w:outlineLvl w:val="3"/>
        <w:rPr>
          <w:b/>
          <w:bCs/>
          <w:kern w:val="0"/>
          <w:szCs w:val="21"/>
          <w:highlight w:val="none"/>
        </w:rPr>
      </w:pPr>
      <w:bookmarkStart w:id="301" w:name="_Toc189386164"/>
      <w:r>
        <w:rPr>
          <w:b/>
          <w:bCs/>
          <w:kern w:val="0"/>
          <w:szCs w:val="21"/>
          <w:highlight w:val="none"/>
        </w:rPr>
        <w:t>8.4 监理人使用施工控制网</w:t>
      </w:r>
      <w:bookmarkEnd w:id="301"/>
    </w:p>
    <w:p>
      <w:pPr>
        <w:spacing w:line="490" w:lineRule="exact"/>
        <w:ind w:firstLine="420" w:firstLineChars="200"/>
        <w:rPr>
          <w:kern w:val="0"/>
          <w:szCs w:val="21"/>
          <w:highlight w:val="none"/>
        </w:rPr>
      </w:pPr>
      <w:r>
        <w:rPr>
          <w:kern w:val="0"/>
          <w:szCs w:val="21"/>
          <w:highlight w:val="none"/>
        </w:rPr>
        <w:t>监理人需要使用施工控制网的，承包人应提供必要的协助，发包人不再为此支付费用。</w:t>
      </w:r>
    </w:p>
    <w:p>
      <w:pPr>
        <w:spacing w:line="490" w:lineRule="exact"/>
        <w:ind w:firstLine="422" w:firstLineChars="200"/>
        <w:outlineLvl w:val="3"/>
        <w:rPr>
          <w:b/>
          <w:bCs/>
          <w:kern w:val="0"/>
          <w:szCs w:val="21"/>
          <w:highlight w:val="none"/>
        </w:rPr>
      </w:pPr>
      <w:r>
        <w:rPr>
          <w:b/>
          <w:bCs/>
          <w:kern w:val="0"/>
          <w:szCs w:val="21"/>
          <w:highlight w:val="none"/>
        </w:rPr>
        <w:t>8.5 补充地质勘探</w:t>
      </w:r>
    </w:p>
    <w:p>
      <w:pPr>
        <w:spacing w:line="490" w:lineRule="exact"/>
        <w:ind w:firstLine="420" w:firstLineChars="200"/>
        <w:rPr>
          <w:kern w:val="0"/>
          <w:szCs w:val="21"/>
          <w:highlight w:val="none"/>
        </w:rPr>
      </w:pPr>
      <w:r>
        <w:rPr>
          <w:kern w:val="0"/>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5"/>
        <w:keepNext w:val="0"/>
        <w:keepLines w:val="0"/>
        <w:spacing w:before="0" w:after="0" w:line="490" w:lineRule="exact"/>
        <w:ind w:firstLine="422" w:firstLineChars="200"/>
        <w:rPr>
          <w:bCs w:val="0"/>
          <w:color w:val="auto"/>
          <w:sz w:val="21"/>
          <w:szCs w:val="21"/>
          <w:highlight w:val="none"/>
        </w:rPr>
      </w:pPr>
      <w:bookmarkStart w:id="302" w:name="_Toc189386165"/>
      <w:bookmarkStart w:id="303" w:name="_Toc21002"/>
      <w:bookmarkStart w:id="304" w:name="_Toc5323"/>
      <w:r>
        <w:rPr>
          <w:bCs w:val="0"/>
          <w:color w:val="auto"/>
          <w:sz w:val="21"/>
          <w:szCs w:val="21"/>
          <w:highlight w:val="none"/>
        </w:rPr>
        <w:t>9</w:t>
      </w:r>
      <w:r>
        <w:rPr>
          <w:rFonts w:hint="eastAsia"/>
          <w:bCs w:val="0"/>
          <w:color w:val="auto"/>
          <w:sz w:val="21"/>
          <w:szCs w:val="21"/>
          <w:highlight w:val="none"/>
        </w:rPr>
        <w:t>.</w:t>
      </w:r>
      <w:r>
        <w:rPr>
          <w:bCs w:val="0"/>
          <w:color w:val="auto"/>
          <w:sz w:val="21"/>
          <w:szCs w:val="21"/>
          <w:highlight w:val="none"/>
        </w:rPr>
        <w:t>施工安全、治安保卫和环境保护</w:t>
      </w:r>
      <w:bookmarkEnd w:id="302"/>
      <w:bookmarkEnd w:id="303"/>
      <w:bookmarkEnd w:id="304"/>
    </w:p>
    <w:p>
      <w:pPr>
        <w:spacing w:line="490" w:lineRule="exact"/>
        <w:ind w:firstLine="422" w:firstLineChars="200"/>
        <w:outlineLvl w:val="3"/>
        <w:rPr>
          <w:b/>
          <w:bCs/>
          <w:kern w:val="0"/>
          <w:szCs w:val="21"/>
          <w:highlight w:val="none"/>
        </w:rPr>
      </w:pPr>
      <w:bookmarkStart w:id="305" w:name="_Toc189386166"/>
      <w:r>
        <w:rPr>
          <w:b/>
          <w:bCs/>
          <w:kern w:val="0"/>
          <w:szCs w:val="21"/>
          <w:highlight w:val="none"/>
        </w:rPr>
        <w:t>9.1发包人的施工安全责任</w:t>
      </w:r>
      <w:bookmarkEnd w:id="305"/>
    </w:p>
    <w:p>
      <w:pPr>
        <w:spacing w:line="490" w:lineRule="exact"/>
        <w:ind w:firstLine="420" w:firstLineChars="200"/>
        <w:rPr>
          <w:kern w:val="0"/>
          <w:szCs w:val="21"/>
          <w:highlight w:val="none"/>
        </w:rPr>
      </w:pPr>
      <w:r>
        <w:rPr>
          <w:kern w:val="0"/>
          <w:szCs w:val="21"/>
          <w:highlight w:val="none"/>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spacing w:line="490" w:lineRule="exact"/>
        <w:ind w:firstLine="420" w:firstLineChars="200"/>
        <w:rPr>
          <w:kern w:val="0"/>
          <w:szCs w:val="21"/>
          <w:highlight w:val="none"/>
        </w:rPr>
      </w:pPr>
      <w:r>
        <w:rPr>
          <w:kern w:val="0"/>
          <w:szCs w:val="21"/>
          <w:highlight w:val="none"/>
        </w:rPr>
        <w:t>9.1.2 发包人应对其现场机构雇佣的全部人员的工伤事故承担责任，但由于承包人原因造成发包人人员工伤的，应由承包人承担责任。</w:t>
      </w:r>
    </w:p>
    <w:p>
      <w:pPr>
        <w:spacing w:line="490" w:lineRule="exact"/>
        <w:ind w:firstLine="420" w:firstLineChars="200"/>
        <w:rPr>
          <w:kern w:val="0"/>
          <w:szCs w:val="21"/>
          <w:highlight w:val="none"/>
        </w:rPr>
      </w:pPr>
      <w:r>
        <w:rPr>
          <w:kern w:val="0"/>
          <w:szCs w:val="21"/>
          <w:highlight w:val="none"/>
        </w:rPr>
        <w:t>9.1.3 发包人应负责赔偿以下各种情况造成的第三者人身伤亡和财产损失：</w:t>
      </w:r>
    </w:p>
    <w:p>
      <w:pPr>
        <w:spacing w:line="490" w:lineRule="exact"/>
        <w:ind w:firstLine="420" w:firstLineChars="200"/>
        <w:rPr>
          <w:kern w:val="0"/>
          <w:szCs w:val="21"/>
          <w:highlight w:val="none"/>
        </w:rPr>
      </w:pPr>
      <w:r>
        <w:rPr>
          <w:kern w:val="0"/>
          <w:szCs w:val="21"/>
          <w:highlight w:val="none"/>
        </w:rPr>
        <w:t>（1）工程或工程的任何部分对土地的占用所造成的第三者财产损失；</w:t>
      </w:r>
    </w:p>
    <w:p>
      <w:pPr>
        <w:spacing w:line="490" w:lineRule="exact"/>
        <w:ind w:firstLine="420" w:firstLineChars="200"/>
        <w:rPr>
          <w:kern w:val="0"/>
          <w:szCs w:val="21"/>
          <w:highlight w:val="none"/>
        </w:rPr>
      </w:pPr>
      <w:r>
        <w:rPr>
          <w:kern w:val="0"/>
          <w:szCs w:val="21"/>
          <w:highlight w:val="none"/>
        </w:rPr>
        <w:t>（2）由于发包人原因在施工场地及其毗邻地带造成的第三者人身伤亡和财产损失。</w:t>
      </w:r>
    </w:p>
    <w:p>
      <w:pPr>
        <w:spacing w:line="490" w:lineRule="exact"/>
        <w:ind w:firstLine="420" w:firstLineChars="200"/>
        <w:rPr>
          <w:kern w:val="0"/>
          <w:szCs w:val="21"/>
          <w:highlight w:val="none"/>
        </w:rPr>
      </w:pPr>
      <w:r>
        <w:rPr>
          <w:kern w:val="0"/>
          <w:szCs w:val="21"/>
          <w:highlight w:val="none"/>
        </w:rPr>
        <w:t>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pPr>
        <w:spacing w:line="490" w:lineRule="exact"/>
        <w:ind w:firstLine="420" w:firstLineChars="200"/>
        <w:rPr>
          <w:kern w:val="0"/>
          <w:szCs w:val="21"/>
          <w:highlight w:val="none"/>
        </w:rPr>
      </w:pPr>
      <w:r>
        <w:rPr>
          <w:kern w:val="0"/>
          <w:szCs w:val="21"/>
          <w:highlight w:val="none"/>
        </w:rPr>
        <w:t>9.1.5 发包人按照已标价工程量清单所列金额和合同约定的计量支付规定，支付安全作业环境及安全施工措施所需费用。</w:t>
      </w:r>
    </w:p>
    <w:p>
      <w:pPr>
        <w:spacing w:line="490" w:lineRule="exact"/>
        <w:ind w:firstLine="420" w:firstLineChars="200"/>
        <w:rPr>
          <w:kern w:val="0"/>
          <w:szCs w:val="21"/>
          <w:highlight w:val="none"/>
        </w:rPr>
      </w:pPr>
      <w:r>
        <w:rPr>
          <w:kern w:val="0"/>
          <w:szCs w:val="21"/>
          <w:highlight w:val="none"/>
        </w:rPr>
        <w:t>9.1.6 发包人负责组织工程参建单位编制保证安全生产的措施方案。工程开工前，就落实保证安全生产的措施进行全面系统的布置，进一步明确承包人的安全生产责任。</w:t>
      </w:r>
    </w:p>
    <w:p>
      <w:pPr>
        <w:spacing w:line="490" w:lineRule="exact"/>
        <w:ind w:firstLine="420" w:firstLineChars="200"/>
        <w:rPr>
          <w:kern w:val="0"/>
          <w:szCs w:val="21"/>
          <w:highlight w:val="none"/>
        </w:rPr>
      </w:pPr>
      <w:r>
        <w:rPr>
          <w:kern w:val="0"/>
          <w:szCs w:val="21"/>
          <w:highlight w:val="none"/>
        </w:rPr>
        <w:t>9.1.7 发包人负责在拆除工程和爆破工程施工14天前向有关部门或机构报送相关备案资料。</w:t>
      </w:r>
    </w:p>
    <w:p>
      <w:pPr>
        <w:spacing w:line="490" w:lineRule="exact"/>
        <w:ind w:firstLine="422" w:firstLineChars="200"/>
        <w:outlineLvl w:val="3"/>
        <w:rPr>
          <w:b/>
          <w:bCs/>
          <w:kern w:val="0"/>
          <w:szCs w:val="21"/>
          <w:highlight w:val="none"/>
        </w:rPr>
      </w:pPr>
      <w:bookmarkStart w:id="306" w:name="_Toc511317347"/>
      <w:bookmarkStart w:id="307" w:name="_Toc511318096"/>
      <w:bookmarkStart w:id="308" w:name="_Toc189386167"/>
      <w:r>
        <w:rPr>
          <w:b/>
          <w:bCs/>
          <w:kern w:val="0"/>
          <w:szCs w:val="21"/>
          <w:highlight w:val="none"/>
        </w:rPr>
        <w:t>9.2 承包人的施工安全责任</w:t>
      </w:r>
      <w:bookmarkEnd w:id="306"/>
      <w:bookmarkEnd w:id="307"/>
      <w:bookmarkEnd w:id="308"/>
    </w:p>
    <w:p>
      <w:pPr>
        <w:spacing w:line="490" w:lineRule="exact"/>
        <w:ind w:firstLine="420" w:firstLineChars="200"/>
        <w:rPr>
          <w:kern w:val="0"/>
          <w:szCs w:val="21"/>
          <w:highlight w:val="none"/>
        </w:rPr>
      </w:pPr>
      <w:r>
        <w:rPr>
          <w:kern w:val="0"/>
          <w:szCs w:val="21"/>
          <w:highlight w:val="none"/>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9.2.2 承包人应加强施工作业安全管理，特别应加强易燃、易爆材料、火工器材、有毒与腐蚀性材料和其他危险品的管理，以及对爆破作业和地下工程施工等危险作业的管理。</w:t>
      </w:r>
    </w:p>
    <w:p>
      <w:pPr>
        <w:spacing w:line="490" w:lineRule="exact"/>
        <w:ind w:firstLine="420" w:firstLineChars="200"/>
        <w:rPr>
          <w:kern w:val="0"/>
          <w:szCs w:val="21"/>
          <w:highlight w:val="none"/>
        </w:rPr>
      </w:pPr>
      <w:r>
        <w:rPr>
          <w:kern w:val="0"/>
          <w:szCs w:val="21"/>
          <w:highlight w:val="none"/>
        </w:rPr>
        <w:t>9.2.3 承包人应严格按照国家安全标准制定施工安全操作规程，配备必要的安全生产和劳动保护设施，加强对承包人人员的安全教育，并发放安全工作手册和劳动保护用具。</w:t>
      </w:r>
    </w:p>
    <w:p>
      <w:pPr>
        <w:spacing w:line="490" w:lineRule="exact"/>
        <w:ind w:firstLine="420" w:firstLineChars="200"/>
        <w:rPr>
          <w:kern w:val="0"/>
          <w:szCs w:val="21"/>
          <w:highlight w:val="none"/>
        </w:rPr>
      </w:pPr>
      <w:r>
        <w:rPr>
          <w:kern w:val="0"/>
          <w:szCs w:val="21"/>
          <w:highlight w:val="none"/>
        </w:rPr>
        <w:t>9.2.4 承包人应按监理人的指示制定应对灾害的紧急预案，报送监理人审批。承包人还应按预案做好安全检查，配置必要的救助物资和器材，切实保护好有关人员的人身和财产安全。</w:t>
      </w:r>
    </w:p>
    <w:p>
      <w:pPr>
        <w:spacing w:line="490" w:lineRule="exact"/>
        <w:ind w:firstLine="420" w:firstLineChars="200"/>
        <w:rPr>
          <w:kern w:val="0"/>
          <w:szCs w:val="21"/>
          <w:highlight w:val="none"/>
        </w:rPr>
      </w:pPr>
      <w:r>
        <w:rPr>
          <w:kern w:val="0"/>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490" w:lineRule="exact"/>
        <w:ind w:firstLine="420" w:firstLineChars="200"/>
        <w:rPr>
          <w:kern w:val="0"/>
          <w:szCs w:val="21"/>
          <w:highlight w:val="none"/>
        </w:rPr>
      </w:pPr>
      <w:r>
        <w:rPr>
          <w:kern w:val="0"/>
          <w:szCs w:val="21"/>
          <w:highlight w:val="none"/>
        </w:rPr>
        <w:t>9.2.6 承包人应对其履行合同所雇佣的全部人员，包括分包人人员的工伤事故承担责任，但由于发包人原因造成承包人人员工伤事故的，应由发包人承担责任。</w:t>
      </w:r>
    </w:p>
    <w:p>
      <w:pPr>
        <w:spacing w:line="490" w:lineRule="exact"/>
        <w:ind w:firstLine="420" w:firstLineChars="200"/>
        <w:rPr>
          <w:kern w:val="0"/>
          <w:szCs w:val="21"/>
          <w:highlight w:val="none"/>
        </w:rPr>
      </w:pPr>
      <w:r>
        <w:rPr>
          <w:kern w:val="0"/>
          <w:szCs w:val="21"/>
          <w:highlight w:val="none"/>
        </w:rPr>
        <w:t>9.2.7 由于承包人原因在施工场地内及其毗邻地带造成的第三者人员伤亡和财产损失，由承包人负责赔偿。</w:t>
      </w:r>
    </w:p>
    <w:p>
      <w:pPr>
        <w:spacing w:line="490" w:lineRule="exact"/>
        <w:ind w:firstLine="420" w:firstLineChars="200"/>
        <w:rPr>
          <w:kern w:val="0"/>
          <w:szCs w:val="21"/>
          <w:highlight w:val="none"/>
        </w:rPr>
      </w:pPr>
      <w:r>
        <w:rPr>
          <w:kern w:val="0"/>
          <w:szCs w:val="21"/>
          <w:highlight w:val="none"/>
        </w:rPr>
        <w:t>9.2.8 承包人已标价工程量清单应包含工程安全作业环境及安全施工措施所需费用。</w:t>
      </w:r>
    </w:p>
    <w:p>
      <w:pPr>
        <w:spacing w:line="490" w:lineRule="exact"/>
        <w:ind w:firstLine="420" w:firstLineChars="200"/>
        <w:rPr>
          <w:kern w:val="0"/>
          <w:szCs w:val="21"/>
          <w:highlight w:val="none"/>
        </w:rPr>
      </w:pPr>
      <w:r>
        <w:rPr>
          <w:kern w:val="0"/>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spacing w:line="490" w:lineRule="exact"/>
        <w:ind w:firstLine="420" w:firstLineChars="200"/>
        <w:rPr>
          <w:kern w:val="0"/>
          <w:szCs w:val="21"/>
          <w:highlight w:val="none"/>
        </w:rPr>
      </w:pPr>
      <w:r>
        <w:rPr>
          <w:kern w:val="0"/>
          <w:szCs w:val="21"/>
          <w:highlight w:val="none"/>
        </w:rPr>
        <w:t>9.2.10 承包人应设立安全生产管理机构，施工现场应有专职安全生产管理人员。</w:t>
      </w:r>
    </w:p>
    <w:p>
      <w:pPr>
        <w:spacing w:line="490" w:lineRule="exact"/>
        <w:ind w:firstLine="420" w:firstLineChars="200"/>
        <w:rPr>
          <w:kern w:val="0"/>
          <w:szCs w:val="21"/>
          <w:highlight w:val="none"/>
        </w:rPr>
      </w:pPr>
      <w:r>
        <w:rPr>
          <w:kern w:val="0"/>
          <w:szCs w:val="21"/>
          <w:highlight w:val="none"/>
        </w:rPr>
        <w:t>9.2.11 承包人应负责对特种作业人员进行专门的安全作业培训，并保证特种作业人员持证上岗。</w:t>
      </w:r>
    </w:p>
    <w:p>
      <w:pPr>
        <w:spacing w:line="490" w:lineRule="exact"/>
        <w:ind w:firstLine="420" w:firstLineChars="200"/>
        <w:rPr>
          <w:kern w:val="0"/>
          <w:szCs w:val="21"/>
          <w:highlight w:val="none"/>
        </w:rPr>
      </w:pPr>
      <w:r>
        <w:rPr>
          <w:kern w:val="0"/>
          <w:szCs w:val="21"/>
          <w:highlight w:val="none"/>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spacing w:line="490" w:lineRule="exact"/>
        <w:ind w:firstLine="420" w:firstLineChars="200"/>
        <w:rPr>
          <w:kern w:val="0"/>
          <w:szCs w:val="21"/>
          <w:highlight w:val="none"/>
        </w:rPr>
      </w:pPr>
      <w:r>
        <w:rPr>
          <w:kern w:val="0"/>
          <w:szCs w:val="21"/>
          <w:highlight w:val="none"/>
        </w:rPr>
        <w:t>9.2.13 承包人在使用施工起重机械和整体提升脚手架、模板等自升式架设设施前，应组织有关单位进行验收。</w:t>
      </w:r>
    </w:p>
    <w:p>
      <w:pPr>
        <w:spacing w:line="490" w:lineRule="exact"/>
        <w:ind w:firstLine="422" w:firstLineChars="200"/>
        <w:outlineLvl w:val="3"/>
        <w:rPr>
          <w:b/>
          <w:bCs/>
          <w:kern w:val="0"/>
          <w:szCs w:val="21"/>
          <w:highlight w:val="none"/>
        </w:rPr>
      </w:pPr>
      <w:bookmarkStart w:id="309" w:name="_Toc511318097"/>
      <w:bookmarkStart w:id="310" w:name="_Toc511317348"/>
      <w:bookmarkStart w:id="311" w:name="_Toc189386168"/>
      <w:r>
        <w:rPr>
          <w:b/>
          <w:bCs/>
          <w:kern w:val="0"/>
          <w:szCs w:val="21"/>
          <w:highlight w:val="none"/>
        </w:rPr>
        <w:t>9.3 治安保卫</w:t>
      </w:r>
      <w:bookmarkEnd w:id="309"/>
      <w:bookmarkEnd w:id="310"/>
      <w:bookmarkEnd w:id="311"/>
    </w:p>
    <w:p>
      <w:pPr>
        <w:spacing w:line="490" w:lineRule="exact"/>
        <w:ind w:firstLine="420" w:firstLineChars="200"/>
        <w:rPr>
          <w:kern w:val="0"/>
          <w:szCs w:val="21"/>
          <w:highlight w:val="none"/>
        </w:rPr>
      </w:pPr>
      <w:r>
        <w:rPr>
          <w:kern w:val="0"/>
          <w:szCs w:val="21"/>
          <w:highlight w:val="none"/>
        </w:rPr>
        <w:t>9.3.1 除合同另有约定外，发包人应与当地公安部门协商，在现场建立治安管理机构或联防组织，统一管理施工场地的治安保卫事项，履行合同工程的治安保卫职责。</w:t>
      </w:r>
    </w:p>
    <w:p>
      <w:pPr>
        <w:spacing w:line="490" w:lineRule="exact"/>
        <w:ind w:firstLine="420" w:firstLineChars="200"/>
        <w:rPr>
          <w:kern w:val="0"/>
          <w:szCs w:val="21"/>
          <w:highlight w:val="none"/>
        </w:rPr>
      </w:pPr>
      <w:r>
        <w:rPr>
          <w:kern w:val="0"/>
          <w:szCs w:val="21"/>
          <w:highlight w:val="none"/>
        </w:rPr>
        <w:t>9.3.2 发包人和承包人除应协助现场治安管理机构或联防组织维护施工场地的社会治安外，还应做好包括生活区在内的各自管辖区的治安保卫工作。</w:t>
      </w:r>
    </w:p>
    <w:p>
      <w:pPr>
        <w:spacing w:line="490" w:lineRule="exact"/>
        <w:ind w:firstLine="420" w:firstLineChars="200"/>
        <w:rPr>
          <w:kern w:val="0"/>
          <w:szCs w:val="21"/>
          <w:highlight w:val="none"/>
        </w:rPr>
      </w:pPr>
      <w:r>
        <w:rPr>
          <w:kern w:val="0"/>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490" w:lineRule="exact"/>
        <w:ind w:firstLine="422" w:firstLineChars="200"/>
        <w:outlineLvl w:val="3"/>
        <w:rPr>
          <w:b/>
          <w:bCs/>
          <w:kern w:val="0"/>
          <w:szCs w:val="21"/>
          <w:highlight w:val="none"/>
        </w:rPr>
      </w:pPr>
      <w:bookmarkStart w:id="312" w:name="_Toc189386169"/>
      <w:bookmarkStart w:id="313" w:name="_Toc511318098"/>
      <w:bookmarkStart w:id="314" w:name="_Toc511317349"/>
      <w:r>
        <w:rPr>
          <w:b/>
          <w:bCs/>
          <w:kern w:val="0"/>
          <w:szCs w:val="21"/>
          <w:highlight w:val="none"/>
        </w:rPr>
        <w:t>9.4 环境保护</w:t>
      </w:r>
      <w:bookmarkEnd w:id="312"/>
      <w:bookmarkEnd w:id="313"/>
      <w:bookmarkEnd w:id="314"/>
    </w:p>
    <w:p>
      <w:pPr>
        <w:spacing w:line="490" w:lineRule="exact"/>
        <w:ind w:firstLine="420" w:firstLineChars="200"/>
        <w:rPr>
          <w:kern w:val="0"/>
          <w:szCs w:val="21"/>
          <w:highlight w:val="none"/>
        </w:rPr>
      </w:pPr>
      <w:r>
        <w:rPr>
          <w:kern w:val="0"/>
          <w:szCs w:val="21"/>
          <w:highlight w:val="none"/>
        </w:rPr>
        <w:t>9.4.1 承包人在施工过程中，应遵守有关环境保护的法律，履行合同约定的环境保护义务，并对违反法律和合同约定义务所造成的环境破坏、人身伤害和财产损失负责。</w:t>
      </w:r>
    </w:p>
    <w:p>
      <w:pPr>
        <w:spacing w:line="490" w:lineRule="exact"/>
        <w:ind w:firstLine="420" w:firstLineChars="200"/>
        <w:rPr>
          <w:kern w:val="0"/>
          <w:szCs w:val="21"/>
          <w:highlight w:val="none"/>
        </w:rPr>
      </w:pPr>
      <w:r>
        <w:rPr>
          <w:kern w:val="0"/>
          <w:szCs w:val="21"/>
          <w:highlight w:val="none"/>
        </w:rPr>
        <w:t>9.4.2 承包人应按合同约定的环保工作内容，编制施工环保措施计划，报送监理人审批。</w:t>
      </w:r>
    </w:p>
    <w:p>
      <w:pPr>
        <w:spacing w:line="490" w:lineRule="exact"/>
        <w:ind w:firstLine="420" w:firstLineChars="200"/>
        <w:rPr>
          <w:kern w:val="0"/>
          <w:szCs w:val="21"/>
          <w:highlight w:val="none"/>
        </w:rPr>
      </w:pPr>
      <w:r>
        <w:rPr>
          <w:kern w:val="0"/>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490" w:lineRule="exact"/>
        <w:ind w:firstLine="420" w:firstLineChars="200"/>
        <w:rPr>
          <w:kern w:val="0"/>
          <w:szCs w:val="21"/>
          <w:highlight w:val="none"/>
        </w:rPr>
      </w:pPr>
      <w:r>
        <w:rPr>
          <w:kern w:val="0"/>
          <w:szCs w:val="21"/>
          <w:highlight w:val="none"/>
        </w:rPr>
        <w:t>9.4.4 承包人应按合同约定采取有效措施，对施工开挖的边坡及时进行支护,维护排水设施，并进行水土保护，避免因施工造成的地质灾害。</w:t>
      </w:r>
    </w:p>
    <w:p>
      <w:pPr>
        <w:spacing w:line="490" w:lineRule="exact"/>
        <w:ind w:firstLine="420" w:firstLineChars="200"/>
        <w:rPr>
          <w:kern w:val="0"/>
          <w:szCs w:val="21"/>
          <w:highlight w:val="none"/>
        </w:rPr>
      </w:pPr>
      <w:r>
        <w:rPr>
          <w:kern w:val="0"/>
          <w:szCs w:val="21"/>
          <w:highlight w:val="none"/>
        </w:rPr>
        <w:t>9.4.5 承包人应按国家饮用水管理标准定期对饮用水源进行监测，防止施工活动污染饮用水源。</w:t>
      </w:r>
    </w:p>
    <w:p>
      <w:pPr>
        <w:spacing w:line="490" w:lineRule="exact"/>
        <w:ind w:firstLine="420" w:firstLineChars="200"/>
        <w:rPr>
          <w:kern w:val="0"/>
          <w:szCs w:val="21"/>
          <w:highlight w:val="none"/>
        </w:rPr>
      </w:pPr>
      <w:r>
        <w:rPr>
          <w:kern w:val="0"/>
          <w:szCs w:val="21"/>
          <w:highlight w:val="none"/>
        </w:rPr>
        <w:t>9.4.6 承包人应按合同约定，加强对噪声、粉尘、废气、废水和废油的控制，努力降低噪声，控制粉尘和废气浓度，做好废水和废油的治理和排放。</w:t>
      </w:r>
    </w:p>
    <w:p>
      <w:pPr>
        <w:spacing w:line="490" w:lineRule="exact"/>
        <w:ind w:firstLine="422" w:firstLineChars="200"/>
        <w:outlineLvl w:val="3"/>
        <w:rPr>
          <w:b/>
          <w:bCs/>
          <w:kern w:val="0"/>
          <w:szCs w:val="21"/>
          <w:highlight w:val="none"/>
        </w:rPr>
      </w:pPr>
      <w:bookmarkStart w:id="315" w:name="_Toc511318099"/>
      <w:bookmarkStart w:id="316" w:name="_Toc189386170"/>
      <w:bookmarkStart w:id="317" w:name="_Toc511317350"/>
      <w:r>
        <w:rPr>
          <w:b/>
          <w:bCs/>
          <w:kern w:val="0"/>
          <w:szCs w:val="21"/>
          <w:highlight w:val="none"/>
        </w:rPr>
        <w:t>9.5 事故处理</w:t>
      </w:r>
      <w:bookmarkEnd w:id="315"/>
      <w:bookmarkEnd w:id="316"/>
      <w:bookmarkEnd w:id="317"/>
    </w:p>
    <w:p>
      <w:pPr>
        <w:spacing w:line="490" w:lineRule="exact"/>
        <w:ind w:firstLine="420" w:firstLineChars="200"/>
        <w:rPr>
          <w:kern w:val="0"/>
          <w:szCs w:val="21"/>
          <w:highlight w:val="none"/>
        </w:rPr>
      </w:pPr>
      <w:r>
        <w:rPr>
          <w:kern w:val="0"/>
          <w:szCs w:val="21"/>
          <w:highlight w:val="none"/>
        </w:rPr>
        <w:t>9.5.1 发包人负责组织参建单位制定本工程的质量与安全事故应急预案，建立质量与安全事故应急处置指挥部。</w:t>
      </w:r>
    </w:p>
    <w:p>
      <w:pPr>
        <w:spacing w:line="490" w:lineRule="exact"/>
        <w:ind w:firstLine="420" w:firstLineChars="200"/>
        <w:rPr>
          <w:kern w:val="0"/>
          <w:szCs w:val="21"/>
          <w:highlight w:val="none"/>
        </w:rPr>
      </w:pPr>
      <w:r>
        <w:rPr>
          <w:kern w:val="0"/>
          <w:szCs w:val="21"/>
          <w:highlight w:val="none"/>
        </w:rPr>
        <w:t>9.5.2 承包人应对施工现场易发生重大事故的部位、环节进行监控，配备救援器材、设备，并定期组织演练。</w:t>
      </w:r>
    </w:p>
    <w:p>
      <w:pPr>
        <w:spacing w:line="490" w:lineRule="exact"/>
        <w:ind w:firstLine="420" w:firstLineChars="200"/>
        <w:rPr>
          <w:kern w:val="0"/>
          <w:szCs w:val="21"/>
          <w:highlight w:val="none"/>
        </w:rPr>
      </w:pPr>
      <w:r>
        <w:rPr>
          <w:kern w:val="0"/>
          <w:szCs w:val="21"/>
          <w:highlight w:val="none"/>
        </w:rPr>
        <w:t>9.5.3 工程开工前，承包人应根据本工程的特点制定施工现场施工质量与安全事故应急预案，并报发包人备案。</w:t>
      </w:r>
    </w:p>
    <w:p>
      <w:pPr>
        <w:spacing w:line="490" w:lineRule="exact"/>
        <w:ind w:firstLine="420" w:firstLineChars="200"/>
        <w:rPr>
          <w:kern w:val="0"/>
          <w:szCs w:val="21"/>
          <w:highlight w:val="none"/>
        </w:rPr>
      </w:pPr>
      <w:r>
        <w:rPr>
          <w:kern w:val="0"/>
          <w:szCs w:val="21"/>
          <w:highlight w:val="none"/>
        </w:rPr>
        <w:t>9.5.4 施工过程中发生事故时，发包人、承包人应立即启动应急预案。</w:t>
      </w:r>
    </w:p>
    <w:p>
      <w:pPr>
        <w:spacing w:line="490" w:lineRule="exact"/>
        <w:ind w:firstLine="420" w:firstLineChars="200"/>
        <w:rPr>
          <w:kern w:val="0"/>
          <w:szCs w:val="21"/>
          <w:highlight w:val="none"/>
        </w:rPr>
      </w:pPr>
      <w:r>
        <w:rPr>
          <w:kern w:val="0"/>
          <w:szCs w:val="21"/>
          <w:highlight w:val="none"/>
        </w:rPr>
        <w:t>9.5.5 事故调查处理由发包人按相关规定履行手续，承包人应配合。</w:t>
      </w:r>
    </w:p>
    <w:p>
      <w:pPr>
        <w:spacing w:line="490" w:lineRule="exact"/>
        <w:ind w:firstLine="422" w:firstLineChars="200"/>
        <w:outlineLvl w:val="3"/>
        <w:rPr>
          <w:b/>
          <w:bCs/>
          <w:kern w:val="0"/>
          <w:szCs w:val="21"/>
          <w:highlight w:val="none"/>
        </w:rPr>
      </w:pPr>
      <w:bookmarkStart w:id="318" w:name="_Toc511317351"/>
      <w:bookmarkStart w:id="319" w:name="_Toc511318100"/>
      <w:r>
        <w:rPr>
          <w:b/>
          <w:bCs/>
          <w:kern w:val="0"/>
          <w:szCs w:val="21"/>
          <w:highlight w:val="none"/>
        </w:rPr>
        <w:t>9.6  水土保持</w:t>
      </w:r>
      <w:bookmarkEnd w:id="318"/>
      <w:bookmarkEnd w:id="319"/>
    </w:p>
    <w:p>
      <w:pPr>
        <w:spacing w:line="490" w:lineRule="exact"/>
        <w:ind w:firstLine="420" w:firstLineChars="200"/>
        <w:rPr>
          <w:kern w:val="0"/>
          <w:szCs w:val="21"/>
          <w:highlight w:val="none"/>
        </w:rPr>
      </w:pPr>
      <w:r>
        <w:rPr>
          <w:kern w:val="0"/>
          <w:szCs w:val="21"/>
          <w:highlight w:val="none"/>
        </w:rPr>
        <w:t>9.6.1 发包人应及时向承包人提供水土保持方案。</w:t>
      </w:r>
    </w:p>
    <w:p>
      <w:pPr>
        <w:spacing w:line="490" w:lineRule="exact"/>
        <w:ind w:firstLine="420" w:firstLineChars="200"/>
        <w:rPr>
          <w:kern w:val="0"/>
          <w:szCs w:val="21"/>
          <w:highlight w:val="none"/>
        </w:rPr>
      </w:pPr>
      <w:r>
        <w:rPr>
          <w:kern w:val="0"/>
          <w:szCs w:val="21"/>
          <w:highlight w:val="none"/>
        </w:rPr>
        <w:t>9.6.2 承包人在施工过程中，应遵守有关水土保持的法律法规和规章，履行合同约定的水土保持义务，并对其违反法律和合同约定义务所造成的水土流失灾害、人身伤害和财产损失负责。</w:t>
      </w:r>
    </w:p>
    <w:p>
      <w:pPr>
        <w:spacing w:line="490" w:lineRule="exact"/>
        <w:ind w:firstLine="420" w:firstLineChars="200"/>
        <w:rPr>
          <w:kern w:val="0"/>
          <w:szCs w:val="21"/>
          <w:highlight w:val="none"/>
        </w:rPr>
      </w:pPr>
      <w:r>
        <w:rPr>
          <w:kern w:val="0"/>
          <w:szCs w:val="21"/>
          <w:highlight w:val="none"/>
        </w:rPr>
        <w:t>9.6.3 承包人的水土保持措施计划，应满足技术标准和要求（合同技术条款）约定的要求。</w:t>
      </w:r>
    </w:p>
    <w:p>
      <w:pPr>
        <w:spacing w:line="490" w:lineRule="exact"/>
        <w:ind w:firstLine="422" w:firstLineChars="200"/>
        <w:outlineLvl w:val="3"/>
        <w:rPr>
          <w:b/>
          <w:bCs/>
          <w:kern w:val="0"/>
          <w:szCs w:val="21"/>
          <w:highlight w:val="none"/>
        </w:rPr>
      </w:pPr>
      <w:bookmarkStart w:id="320" w:name="_Toc511317352"/>
      <w:bookmarkStart w:id="321" w:name="_Toc511318101"/>
      <w:r>
        <w:rPr>
          <w:b/>
          <w:bCs/>
          <w:kern w:val="0"/>
          <w:szCs w:val="21"/>
          <w:highlight w:val="none"/>
        </w:rPr>
        <w:t>9.7 文明工地</w:t>
      </w:r>
      <w:bookmarkEnd w:id="320"/>
      <w:bookmarkEnd w:id="321"/>
    </w:p>
    <w:p>
      <w:pPr>
        <w:spacing w:line="490" w:lineRule="exact"/>
        <w:ind w:firstLine="420" w:firstLineChars="200"/>
        <w:rPr>
          <w:kern w:val="0"/>
          <w:szCs w:val="21"/>
          <w:highlight w:val="none"/>
        </w:rPr>
      </w:pPr>
      <w:r>
        <w:rPr>
          <w:kern w:val="0"/>
          <w:szCs w:val="21"/>
          <w:highlight w:val="none"/>
        </w:rPr>
        <w:t>9.7.1 发包人应按专用合同条款的约定，负责建立创建文明建设工地的组织机构，制定创建文明建设工地的规划和办法。</w:t>
      </w:r>
    </w:p>
    <w:p>
      <w:pPr>
        <w:spacing w:line="490" w:lineRule="exact"/>
        <w:ind w:firstLine="420" w:firstLineChars="200"/>
        <w:rPr>
          <w:kern w:val="0"/>
          <w:szCs w:val="21"/>
          <w:highlight w:val="none"/>
        </w:rPr>
      </w:pPr>
      <w:r>
        <w:rPr>
          <w:kern w:val="0"/>
          <w:szCs w:val="21"/>
          <w:highlight w:val="none"/>
        </w:rPr>
        <w:t>9.7.2 承包人应按创建文明建设工地的规划和办法，履行职责，承担相应责任。所需费用应含在已标价工程量清单中。</w:t>
      </w:r>
    </w:p>
    <w:p>
      <w:pPr>
        <w:spacing w:line="490" w:lineRule="exact"/>
        <w:ind w:firstLine="422" w:firstLineChars="200"/>
        <w:outlineLvl w:val="3"/>
        <w:rPr>
          <w:b/>
          <w:bCs/>
          <w:kern w:val="0"/>
          <w:szCs w:val="21"/>
          <w:highlight w:val="none"/>
        </w:rPr>
      </w:pPr>
      <w:bookmarkStart w:id="322" w:name="_Toc511318102"/>
      <w:bookmarkStart w:id="323" w:name="_Toc511317353"/>
      <w:r>
        <w:rPr>
          <w:b/>
          <w:bCs/>
          <w:kern w:val="0"/>
          <w:szCs w:val="21"/>
          <w:highlight w:val="none"/>
        </w:rPr>
        <w:t>9.8  防汛度汛</w:t>
      </w:r>
      <w:bookmarkEnd w:id="322"/>
      <w:bookmarkEnd w:id="323"/>
    </w:p>
    <w:p>
      <w:pPr>
        <w:spacing w:line="490" w:lineRule="exact"/>
        <w:ind w:firstLine="420" w:firstLineChars="200"/>
        <w:rPr>
          <w:kern w:val="0"/>
          <w:szCs w:val="21"/>
          <w:highlight w:val="none"/>
        </w:rPr>
      </w:pPr>
      <w:r>
        <w:rPr>
          <w:kern w:val="0"/>
          <w:szCs w:val="21"/>
          <w:highlight w:val="none"/>
        </w:rPr>
        <w:t>9.8.1 发包人负责组织工程参建单位编制本工程的度汛方案和措施。</w:t>
      </w:r>
    </w:p>
    <w:p>
      <w:pPr>
        <w:spacing w:line="490" w:lineRule="exact"/>
        <w:ind w:firstLine="420" w:firstLineChars="200"/>
        <w:rPr>
          <w:kern w:val="0"/>
          <w:szCs w:val="21"/>
          <w:highlight w:val="none"/>
        </w:rPr>
      </w:pPr>
      <w:r>
        <w:rPr>
          <w:kern w:val="0"/>
          <w:szCs w:val="21"/>
          <w:highlight w:val="none"/>
        </w:rPr>
        <w:t>9.8.2 承包人应根据发包人编制的本工程度汛方案和措施，制定相应的度汛方案，报发包人批准后实施。</w:t>
      </w:r>
    </w:p>
    <w:p>
      <w:pPr>
        <w:pStyle w:val="5"/>
        <w:keepNext w:val="0"/>
        <w:keepLines w:val="0"/>
        <w:spacing w:before="0" w:after="0" w:line="490" w:lineRule="exact"/>
        <w:ind w:firstLine="422" w:firstLineChars="200"/>
        <w:rPr>
          <w:bCs w:val="0"/>
          <w:color w:val="auto"/>
          <w:sz w:val="21"/>
          <w:szCs w:val="21"/>
          <w:highlight w:val="none"/>
        </w:rPr>
      </w:pPr>
      <w:bookmarkStart w:id="324" w:name="_Toc189386171"/>
      <w:bookmarkStart w:id="325" w:name="_Toc13021"/>
      <w:bookmarkStart w:id="326" w:name="_Toc13845"/>
      <w:r>
        <w:rPr>
          <w:bCs w:val="0"/>
          <w:color w:val="auto"/>
          <w:sz w:val="21"/>
          <w:szCs w:val="21"/>
          <w:highlight w:val="none"/>
        </w:rPr>
        <w:t>10</w:t>
      </w:r>
      <w:r>
        <w:rPr>
          <w:rFonts w:hint="eastAsia"/>
          <w:bCs w:val="0"/>
          <w:color w:val="auto"/>
          <w:sz w:val="21"/>
          <w:szCs w:val="21"/>
          <w:highlight w:val="none"/>
        </w:rPr>
        <w:t>.</w:t>
      </w:r>
      <w:r>
        <w:rPr>
          <w:bCs w:val="0"/>
          <w:color w:val="auto"/>
          <w:sz w:val="21"/>
          <w:szCs w:val="21"/>
          <w:highlight w:val="none"/>
        </w:rPr>
        <w:t>进度计划</w:t>
      </w:r>
      <w:bookmarkEnd w:id="324"/>
      <w:bookmarkEnd w:id="325"/>
      <w:bookmarkEnd w:id="326"/>
    </w:p>
    <w:p>
      <w:pPr>
        <w:spacing w:line="490" w:lineRule="exact"/>
        <w:ind w:firstLine="422" w:firstLineChars="200"/>
        <w:outlineLvl w:val="3"/>
        <w:rPr>
          <w:b/>
          <w:bCs/>
          <w:kern w:val="0"/>
          <w:szCs w:val="21"/>
          <w:highlight w:val="none"/>
        </w:rPr>
      </w:pPr>
      <w:bookmarkStart w:id="327" w:name="_Toc189386172"/>
      <w:bookmarkStart w:id="328" w:name="_Toc511317355"/>
      <w:bookmarkStart w:id="329" w:name="_Toc511318104"/>
      <w:r>
        <w:rPr>
          <w:b/>
          <w:bCs/>
          <w:kern w:val="0"/>
          <w:szCs w:val="21"/>
          <w:highlight w:val="none"/>
        </w:rPr>
        <w:t>10.1 合同进度计划</w:t>
      </w:r>
      <w:bookmarkEnd w:id="327"/>
      <w:bookmarkEnd w:id="328"/>
      <w:bookmarkEnd w:id="329"/>
    </w:p>
    <w:p>
      <w:pPr>
        <w:spacing w:line="490" w:lineRule="exact"/>
        <w:ind w:firstLine="420" w:firstLineChars="200"/>
        <w:rPr>
          <w:kern w:val="0"/>
          <w:szCs w:val="21"/>
          <w:highlight w:val="none"/>
        </w:rPr>
      </w:pPr>
      <w:r>
        <w:rPr>
          <w:kern w:val="0"/>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spacing w:line="490" w:lineRule="exact"/>
        <w:ind w:firstLine="422" w:firstLineChars="200"/>
        <w:outlineLvl w:val="3"/>
        <w:rPr>
          <w:b/>
          <w:bCs/>
          <w:kern w:val="0"/>
          <w:szCs w:val="21"/>
          <w:highlight w:val="none"/>
        </w:rPr>
      </w:pPr>
      <w:bookmarkStart w:id="330" w:name="_Toc511318105"/>
      <w:bookmarkStart w:id="331" w:name="_Toc511317356"/>
      <w:bookmarkStart w:id="332" w:name="_Toc189386173"/>
      <w:r>
        <w:rPr>
          <w:b/>
          <w:bCs/>
          <w:kern w:val="0"/>
          <w:szCs w:val="21"/>
          <w:highlight w:val="none"/>
        </w:rPr>
        <w:t>10.2 合同进度计划的修订</w:t>
      </w:r>
      <w:bookmarkEnd w:id="330"/>
      <w:bookmarkEnd w:id="331"/>
      <w:bookmarkEnd w:id="332"/>
    </w:p>
    <w:p>
      <w:pPr>
        <w:spacing w:line="490" w:lineRule="exact"/>
        <w:ind w:firstLine="420" w:firstLineChars="200"/>
        <w:rPr>
          <w:kern w:val="0"/>
          <w:szCs w:val="21"/>
          <w:highlight w:val="none"/>
        </w:rPr>
      </w:pPr>
      <w:r>
        <w:rPr>
          <w:kern w:val="0"/>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spacing w:line="490" w:lineRule="exact"/>
        <w:ind w:firstLine="420" w:firstLineChars="200"/>
        <w:rPr>
          <w:kern w:val="0"/>
          <w:szCs w:val="21"/>
          <w:highlight w:val="none"/>
        </w:rPr>
      </w:pPr>
      <w:r>
        <w:rPr>
          <w:kern w:val="0"/>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spacing w:line="490" w:lineRule="exact"/>
        <w:ind w:firstLine="422" w:firstLineChars="200"/>
        <w:outlineLvl w:val="3"/>
        <w:rPr>
          <w:b/>
          <w:bCs/>
          <w:kern w:val="0"/>
          <w:szCs w:val="21"/>
          <w:highlight w:val="none"/>
        </w:rPr>
      </w:pPr>
      <w:bookmarkStart w:id="333" w:name="_Toc511317357"/>
      <w:bookmarkStart w:id="334" w:name="_Toc511318106"/>
      <w:r>
        <w:rPr>
          <w:b/>
          <w:bCs/>
          <w:kern w:val="0"/>
          <w:szCs w:val="21"/>
          <w:highlight w:val="none"/>
        </w:rPr>
        <w:t>10.3 单位工程进度计划</w:t>
      </w:r>
      <w:bookmarkEnd w:id="333"/>
      <w:bookmarkEnd w:id="334"/>
    </w:p>
    <w:p>
      <w:pPr>
        <w:spacing w:line="490" w:lineRule="exact"/>
        <w:ind w:firstLine="420" w:firstLineChars="200"/>
        <w:rPr>
          <w:kern w:val="0"/>
          <w:szCs w:val="21"/>
          <w:highlight w:val="none"/>
        </w:rPr>
      </w:pPr>
      <w:r>
        <w:rPr>
          <w:kern w:val="0"/>
          <w:szCs w:val="21"/>
          <w:highlight w:val="none"/>
        </w:rPr>
        <w:t>监理人认为有必要时，承包人应按监理人指示的内容和期限，并根据合同进度计划的进度控制要求，编制单位工程进度计划，提交监理人审批。</w:t>
      </w:r>
    </w:p>
    <w:p>
      <w:pPr>
        <w:spacing w:line="490" w:lineRule="exact"/>
        <w:ind w:firstLine="422" w:firstLineChars="200"/>
        <w:outlineLvl w:val="3"/>
        <w:rPr>
          <w:b/>
          <w:bCs/>
          <w:kern w:val="0"/>
          <w:szCs w:val="21"/>
          <w:highlight w:val="none"/>
        </w:rPr>
      </w:pPr>
      <w:bookmarkStart w:id="335" w:name="_Toc511317358"/>
      <w:bookmarkStart w:id="336" w:name="_Toc511318107"/>
      <w:r>
        <w:rPr>
          <w:b/>
          <w:bCs/>
          <w:kern w:val="0"/>
          <w:szCs w:val="21"/>
          <w:highlight w:val="none"/>
        </w:rPr>
        <w:t>10.4 提交资金流估算表</w:t>
      </w:r>
      <w:bookmarkEnd w:id="335"/>
      <w:bookmarkEnd w:id="336"/>
    </w:p>
    <w:p>
      <w:pPr>
        <w:spacing w:line="490" w:lineRule="exact"/>
        <w:ind w:firstLine="420" w:firstLineChars="200"/>
        <w:rPr>
          <w:kern w:val="0"/>
          <w:szCs w:val="21"/>
          <w:highlight w:val="none"/>
        </w:rPr>
      </w:pPr>
      <w:r>
        <w:rPr>
          <w:kern w:val="0"/>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spacing w:beforeLines="50" w:afterLines="50" w:line="490" w:lineRule="exact"/>
        <w:ind w:firstLine="422" w:firstLineChars="200"/>
        <w:jc w:val="center"/>
        <w:rPr>
          <w:b/>
          <w:kern w:val="0"/>
          <w:szCs w:val="21"/>
          <w:highlight w:val="none"/>
        </w:rPr>
      </w:pPr>
      <w:r>
        <w:rPr>
          <w:b/>
          <w:kern w:val="0"/>
          <w:szCs w:val="21"/>
          <w:highlight w:val="none"/>
        </w:rPr>
        <w:t>资金流估算表（参考格式）</w:t>
      </w:r>
    </w:p>
    <w:p>
      <w:pPr>
        <w:spacing w:line="276" w:lineRule="auto"/>
        <w:ind w:firstLine="7560" w:firstLineChars="3600"/>
        <w:rPr>
          <w:kern w:val="0"/>
          <w:szCs w:val="21"/>
          <w:highlight w:val="none"/>
        </w:rPr>
      </w:pPr>
      <w:r>
        <w:rPr>
          <w:kern w:val="0"/>
          <w:szCs w:val="21"/>
          <w:highlight w:val="none"/>
        </w:rPr>
        <w:t>金额单位</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1187"/>
        <w:gridCol w:w="1062"/>
        <w:gridCol w:w="1206"/>
        <w:gridCol w:w="1151"/>
        <w:gridCol w:w="927"/>
        <w:gridCol w:w="615"/>
        <w:gridCol w:w="851"/>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jc w:val="center"/>
              <w:rPr>
                <w:kern w:val="0"/>
                <w:szCs w:val="21"/>
                <w:highlight w:val="none"/>
              </w:rPr>
            </w:pPr>
            <w:r>
              <w:rPr>
                <w:kern w:val="0"/>
                <w:szCs w:val="21"/>
                <w:highlight w:val="none"/>
              </w:rPr>
              <w:t>年</w:t>
            </w:r>
          </w:p>
        </w:tc>
        <w:tc>
          <w:tcPr>
            <w:tcW w:w="426" w:type="dxa"/>
            <w:vAlign w:val="center"/>
          </w:tcPr>
          <w:p>
            <w:pPr>
              <w:jc w:val="center"/>
              <w:rPr>
                <w:kern w:val="0"/>
                <w:szCs w:val="21"/>
                <w:highlight w:val="none"/>
              </w:rPr>
            </w:pPr>
            <w:r>
              <w:rPr>
                <w:kern w:val="0"/>
                <w:szCs w:val="21"/>
                <w:highlight w:val="none"/>
              </w:rPr>
              <w:t>月</w:t>
            </w:r>
          </w:p>
        </w:tc>
        <w:tc>
          <w:tcPr>
            <w:tcW w:w="1187" w:type="dxa"/>
            <w:vAlign w:val="center"/>
          </w:tcPr>
          <w:p>
            <w:pPr>
              <w:jc w:val="center"/>
              <w:rPr>
                <w:kern w:val="0"/>
                <w:szCs w:val="21"/>
                <w:highlight w:val="none"/>
              </w:rPr>
            </w:pPr>
            <w:r>
              <w:rPr>
                <w:kern w:val="0"/>
                <w:szCs w:val="21"/>
                <w:highlight w:val="none"/>
              </w:rPr>
              <w:t>工程预付款</w:t>
            </w:r>
          </w:p>
        </w:tc>
        <w:tc>
          <w:tcPr>
            <w:tcW w:w="1062" w:type="dxa"/>
            <w:vAlign w:val="center"/>
          </w:tcPr>
          <w:p>
            <w:pPr>
              <w:jc w:val="center"/>
              <w:rPr>
                <w:kern w:val="0"/>
                <w:szCs w:val="21"/>
                <w:highlight w:val="none"/>
              </w:rPr>
            </w:pPr>
            <w:r>
              <w:rPr>
                <w:kern w:val="0"/>
                <w:szCs w:val="21"/>
                <w:highlight w:val="none"/>
              </w:rPr>
              <w:t>完成工作量付款</w:t>
            </w:r>
          </w:p>
        </w:tc>
        <w:tc>
          <w:tcPr>
            <w:tcW w:w="1206" w:type="dxa"/>
            <w:vAlign w:val="center"/>
          </w:tcPr>
          <w:p>
            <w:pPr>
              <w:jc w:val="center"/>
              <w:rPr>
                <w:kern w:val="0"/>
                <w:szCs w:val="21"/>
                <w:highlight w:val="none"/>
              </w:rPr>
            </w:pPr>
            <w:r>
              <w:rPr>
                <w:kern w:val="0"/>
                <w:szCs w:val="21"/>
                <w:highlight w:val="none"/>
              </w:rPr>
              <w:t>质量保证金扣留</w:t>
            </w:r>
          </w:p>
        </w:tc>
        <w:tc>
          <w:tcPr>
            <w:tcW w:w="1151" w:type="dxa"/>
            <w:vAlign w:val="center"/>
          </w:tcPr>
          <w:p>
            <w:pPr>
              <w:jc w:val="center"/>
              <w:rPr>
                <w:kern w:val="0"/>
                <w:szCs w:val="21"/>
                <w:highlight w:val="none"/>
              </w:rPr>
            </w:pPr>
            <w:r>
              <w:rPr>
                <w:kern w:val="0"/>
                <w:szCs w:val="21"/>
                <w:highlight w:val="none"/>
              </w:rPr>
              <w:t>材料款扣除</w:t>
            </w:r>
          </w:p>
        </w:tc>
        <w:tc>
          <w:tcPr>
            <w:tcW w:w="927" w:type="dxa"/>
            <w:vAlign w:val="center"/>
          </w:tcPr>
          <w:p>
            <w:pPr>
              <w:jc w:val="center"/>
              <w:rPr>
                <w:kern w:val="0"/>
                <w:szCs w:val="21"/>
                <w:highlight w:val="none"/>
              </w:rPr>
            </w:pPr>
            <w:r>
              <w:rPr>
                <w:kern w:val="0"/>
                <w:szCs w:val="21"/>
                <w:highlight w:val="none"/>
              </w:rPr>
              <w:t>预付款扣还</w:t>
            </w:r>
          </w:p>
        </w:tc>
        <w:tc>
          <w:tcPr>
            <w:tcW w:w="615" w:type="dxa"/>
            <w:vAlign w:val="center"/>
          </w:tcPr>
          <w:p>
            <w:pPr>
              <w:jc w:val="center"/>
              <w:rPr>
                <w:kern w:val="0"/>
                <w:szCs w:val="21"/>
                <w:highlight w:val="none"/>
              </w:rPr>
            </w:pPr>
            <w:r>
              <w:rPr>
                <w:kern w:val="0"/>
                <w:szCs w:val="21"/>
                <w:highlight w:val="none"/>
              </w:rPr>
              <w:t>其它</w:t>
            </w:r>
          </w:p>
        </w:tc>
        <w:tc>
          <w:tcPr>
            <w:tcW w:w="851" w:type="dxa"/>
            <w:vAlign w:val="center"/>
          </w:tcPr>
          <w:p>
            <w:pPr>
              <w:jc w:val="center"/>
              <w:rPr>
                <w:kern w:val="0"/>
                <w:szCs w:val="21"/>
                <w:highlight w:val="none"/>
              </w:rPr>
            </w:pPr>
            <w:r>
              <w:rPr>
                <w:kern w:val="0"/>
                <w:szCs w:val="21"/>
                <w:highlight w:val="none"/>
              </w:rPr>
              <w:t>应收款</w:t>
            </w:r>
          </w:p>
        </w:tc>
        <w:tc>
          <w:tcPr>
            <w:tcW w:w="1158" w:type="dxa"/>
            <w:vAlign w:val="center"/>
          </w:tcPr>
          <w:p>
            <w:pPr>
              <w:jc w:val="center"/>
              <w:rPr>
                <w:kern w:val="0"/>
                <w:szCs w:val="21"/>
                <w:highlight w:val="none"/>
              </w:rPr>
            </w:pPr>
            <w:r>
              <w:rPr>
                <w:kern w:val="0"/>
                <w:szCs w:val="21"/>
                <w:highlight w:val="none"/>
              </w:rPr>
              <w:t>累计应收款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bl>
    <w:p>
      <w:pPr>
        <w:pStyle w:val="5"/>
        <w:keepNext w:val="0"/>
        <w:keepLines w:val="0"/>
        <w:spacing w:before="0" w:after="0" w:line="490" w:lineRule="exact"/>
        <w:ind w:firstLine="422" w:firstLineChars="200"/>
        <w:rPr>
          <w:color w:val="auto"/>
          <w:sz w:val="21"/>
          <w:szCs w:val="21"/>
          <w:highlight w:val="none"/>
        </w:rPr>
      </w:pPr>
      <w:bookmarkStart w:id="337" w:name="_Toc189386174"/>
      <w:bookmarkStart w:id="338" w:name="_Toc12767"/>
      <w:bookmarkStart w:id="339" w:name="_Toc26441"/>
      <w:r>
        <w:rPr>
          <w:rFonts w:hint="eastAsia"/>
          <w:color w:val="auto"/>
          <w:sz w:val="21"/>
          <w:szCs w:val="21"/>
          <w:highlight w:val="none"/>
        </w:rPr>
        <w:t>11.</w:t>
      </w:r>
      <w:r>
        <w:rPr>
          <w:color w:val="auto"/>
          <w:sz w:val="21"/>
          <w:szCs w:val="21"/>
          <w:highlight w:val="none"/>
        </w:rPr>
        <w:t>开工和竣工</w:t>
      </w:r>
      <w:bookmarkEnd w:id="337"/>
      <w:r>
        <w:rPr>
          <w:rFonts w:hint="eastAsia"/>
          <w:color w:val="auto"/>
          <w:sz w:val="21"/>
          <w:szCs w:val="21"/>
          <w:highlight w:val="none"/>
        </w:rPr>
        <w:t>（完工）</w:t>
      </w:r>
      <w:bookmarkEnd w:id="338"/>
      <w:bookmarkEnd w:id="339"/>
    </w:p>
    <w:p>
      <w:pPr>
        <w:spacing w:line="490" w:lineRule="exact"/>
        <w:ind w:firstLine="422" w:firstLineChars="200"/>
        <w:outlineLvl w:val="3"/>
        <w:rPr>
          <w:b/>
          <w:bCs/>
          <w:kern w:val="0"/>
          <w:szCs w:val="21"/>
          <w:highlight w:val="none"/>
        </w:rPr>
      </w:pPr>
      <w:bookmarkStart w:id="340" w:name="_Toc511317360"/>
      <w:bookmarkStart w:id="341" w:name="_Toc189386175"/>
      <w:bookmarkStart w:id="342" w:name="_Toc511318109"/>
      <w:r>
        <w:rPr>
          <w:b/>
          <w:bCs/>
          <w:kern w:val="0"/>
          <w:szCs w:val="21"/>
          <w:highlight w:val="none"/>
        </w:rPr>
        <w:t>11.1 开工</w:t>
      </w:r>
      <w:bookmarkEnd w:id="340"/>
      <w:bookmarkEnd w:id="341"/>
      <w:bookmarkEnd w:id="342"/>
    </w:p>
    <w:p>
      <w:pPr>
        <w:spacing w:line="490" w:lineRule="exact"/>
        <w:ind w:firstLine="420" w:firstLineChars="200"/>
        <w:rPr>
          <w:kern w:val="0"/>
          <w:szCs w:val="21"/>
          <w:highlight w:val="none"/>
        </w:rPr>
      </w:pPr>
      <w:r>
        <w:rPr>
          <w:kern w:val="0"/>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pPr>
        <w:spacing w:line="490" w:lineRule="exact"/>
        <w:ind w:firstLine="420" w:firstLineChars="200"/>
        <w:rPr>
          <w:kern w:val="0"/>
          <w:szCs w:val="21"/>
          <w:highlight w:val="none"/>
        </w:rPr>
      </w:pPr>
      <w:r>
        <w:rPr>
          <w:kern w:val="0"/>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490" w:lineRule="exact"/>
        <w:ind w:firstLine="420" w:firstLineChars="200"/>
        <w:rPr>
          <w:kern w:val="0"/>
          <w:szCs w:val="21"/>
          <w:highlight w:val="none"/>
        </w:rPr>
      </w:pPr>
      <w:r>
        <w:rPr>
          <w:kern w:val="0"/>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pPr>
        <w:spacing w:line="490" w:lineRule="exact"/>
        <w:ind w:firstLine="420" w:firstLineChars="200"/>
        <w:rPr>
          <w:kern w:val="0"/>
          <w:szCs w:val="21"/>
          <w:highlight w:val="none"/>
        </w:rPr>
      </w:pPr>
      <w:r>
        <w:rPr>
          <w:kern w:val="0"/>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spacing w:line="490" w:lineRule="exact"/>
        <w:ind w:firstLine="422" w:firstLineChars="200"/>
        <w:outlineLvl w:val="3"/>
        <w:rPr>
          <w:b/>
          <w:bCs/>
          <w:kern w:val="0"/>
          <w:szCs w:val="21"/>
          <w:highlight w:val="none"/>
        </w:rPr>
      </w:pPr>
      <w:bookmarkStart w:id="343" w:name="_Toc189386176"/>
      <w:r>
        <w:rPr>
          <w:b/>
          <w:bCs/>
          <w:kern w:val="0"/>
          <w:szCs w:val="21"/>
          <w:highlight w:val="none"/>
        </w:rPr>
        <w:t>11.2竣工</w:t>
      </w:r>
      <w:bookmarkEnd w:id="343"/>
      <w:r>
        <w:rPr>
          <w:rFonts w:hint="eastAsia"/>
          <w:b/>
          <w:bCs/>
          <w:kern w:val="0"/>
          <w:szCs w:val="21"/>
          <w:highlight w:val="none"/>
        </w:rPr>
        <w:t>（完工）</w:t>
      </w:r>
    </w:p>
    <w:p>
      <w:pPr>
        <w:spacing w:line="490" w:lineRule="exact"/>
        <w:ind w:firstLine="420" w:firstLineChars="200"/>
        <w:rPr>
          <w:kern w:val="0"/>
          <w:szCs w:val="21"/>
          <w:highlight w:val="none"/>
        </w:rPr>
      </w:pPr>
      <w:r>
        <w:rPr>
          <w:kern w:val="0"/>
          <w:szCs w:val="21"/>
          <w:highlight w:val="none"/>
        </w:rPr>
        <w:t>承包人应在第1.1.4.3目约定的期限内完成合同工程。合同工程实际完工日期在合同工程完工证书中明确。</w:t>
      </w:r>
    </w:p>
    <w:p>
      <w:pPr>
        <w:spacing w:line="490" w:lineRule="exact"/>
        <w:ind w:firstLine="422" w:firstLineChars="200"/>
        <w:outlineLvl w:val="3"/>
        <w:rPr>
          <w:b/>
          <w:bCs/>
          <w:kern w:val="0"/>
          <w:szCs w:val="21"/>
          <w:highlight w:val="none"/>
        </w:rPr>
      </w:pPr>
      <w:bookmarkStart w:id="344" w:name="_Toc511318110"/>
      <w:bookmarkStart w:id="345" w:name="_Toc511317361"/>
      <w:bookmarkStart w:id="346" w:name="_Toc189386177"/>
      <w:r>
        <w:rPr>
          <w:b/>
          <w:bCs/>
          <w:kern w:val="0"/>
          <w:szCs w:val="21"/>
          <w:highlight w:val="none"/>
        </w:rPr>
        <w:t>11.3 发包人的工期延误</w:t>
      </w:r>
      <w:bookmarkEnd w:id="344"/>
      <w:bookmarkEnd w:id="345"/>
      <w:bookmarkEnd w:id="346"/>
    </w:p>
    <w:p>
      <w:pPr>
        <w:spacing w:line="490" w:lineRule="exact"/>
        <w:ind w:firstLine="420" w:firstLineChars="200"/>
        <w:rPr>
          <w:kern w:val="0"/>
          <w:szCs w:val="21"/>
          <w:highlight w:val="none"/>
        </w:rPr>
      </w:pPr>
      <w:r>
        <w:rPr>
          <w:kern w:val="0"/>
          <w:szCs w:val="21"/>
          <w:highlight w:val="none"/>
        </w:rPr>
        <w:t>在履行合同过程中，由于发包人的下列原因造成工期延误的，承包人有权要求发包人延长工期和（或）增加费用，并支付合理利润。需要修订合同进度计划的，按照第10.2 款的约定办理。</w:t>
      </w:r>
    </w:p>
    <w:p>
      <w:pPr>
        <w:spacing w:line="490" w:lineRule="exact"/>
        <w:ind w:firstLine="420" w:firstLineChars="200"/>
        <w:rPr>
          <w:kern w:val="0"/>
          <w:szCs w:val="21"/>
          <w:highlight w:val="none"/>
        </w:rPr>
      </w:pPr>
      <w:r>
        <w:rPr>
          <w:kern w:val="0"/>
          <w:szCs w:val="21"/>
          <w:highlight w:val="none"/>
        </w:rPr>
        <w:t>（1）增加合同工作内容；</w:t>
      </w:r>
    </w:p>
    <w:p>
      <w:pPr>
        <w:spacing w:line="490" w:lineRule="exact"/>
        <w:ind w:firstLine="420" w:firstLineChars="200"/>
        <w:rPr>
          <w:kern w:val="0"/>
          <w:szCs w:val="21"/>
          <w:highlight w:val="none"/>
        </w:rPr>
      </w:pPr>
      <w:r>
        <w:rPr>
          <w:kern w:val="0"/>
          <w:szCs w:val="21"/>
          <w:highlight w:val="none"/>
        </w:rPr>
        <w:t>（2）改变合同中任何一项工作的质量要求或其他特性；</w:t>
      </w:r>
    </w:p>
    <w:p>
      <w:pPr>
        <w:spacing w:line="490" w:lineRule="exact"/>
        <w:ind w:firstLine="420" w:firstLineChars="200"/>
        <w:rPr>
          <w:kern w:val="0"/>
          <w:szCs w:val="21"/>
          <w:highlight w:val="none"/>
        </w:rPr>
      </w:pPr>
      <w:r>
        <w:rPr>
          <w:kern w:val="0"/>
          <w:szCs w:val="21"/>
          <w:highlight w:val="none"/>
        </w:rPr>
        <w:t>（3）发包人迟延提供材料、工程设备或变更交货地点的；</w:t>
      </w:r>
    </w:p>
    <w:p>
      <w:pPr>
        <w:spacing w:line="490" w:lineRule="exact"/>
        <w:ind w:firstLine="420" w:firstLineChars="200"/>
        <w:rPr>
          <w:kern w:val="0"/>
          <w:szCs w:val="21"/>
          <w:highlight w:val="none"/>
        </w:rPr>
      </w:pPr>
      <w:r>
        <w:rPr>
          <w:kern w:val="0"/>
          <w:szCs w:val="21"/>
          <w:highlight w:val="none"/>
        </w:rPr>
        <w:t>（4）因发包人原因导致的暂停施工；</w:t>
      </w:r>
    </w:p>
    <w:p>
      <w:pPr>
        <w:spacing w:line="490" w:lineRule="exact"/>
        <w:ind w:firstLine="420" w:firstLineChars="200"/>
        <w:rPr>
          <w:kern w:val="0"/>
          <w:szCs w:val="21"/>
          <w:highlight w:val="none"/>
        </w:rPr>
      </w:pPr>
      <w:r>
        <w:rPr>
          <w:kern w:val="0"/>
          <w:szCs w:val="21"/>
          <w:highlight w:val="none"/>
        </w:rPr>
        <w:t>（5）提供图纸延误；</w:t>
      </w:r>
    </w:p>
    <w:p>
      <w:pPr>
        <w:spacing w:line="490" w:lineRule="exact"/>
        <w:ind w:firstLine="420" w:firstLineChars="200"/>
        <w:rPr>
          <w:kern w:val="0"/>
          <w:szCs w:val="21"/>
          <w:highlight w:val="none"/>
        </w:rPr>
      </w:pPr>
      <w:r>
        <w:rPr>
          <w:kern w:val="0"/>
          <w:szCs w:val="21"/>
          <w:highlight w:val="none"/>
        </w:rPr>
        <w:t>（6）未按合同约定及时支付预付款、进度款；</w:t>
      </w:r>
    </w:p>
    <w:p>
      <w:pPr>
        <w:spacing w:line="490" w:lineRule="exact"/>
        <w:ind w:firstLine="420" w:firstLineChars="200"/>
        <w:rPr>
          <w:kern w:val="0"/>
          <w:szCs w:val="21"/>
          <w:highlight w:val="none"/>
        </w:rPr>
      </w:pPr>
      <w:r>
        <w:rPr>
          <w:kern w:val="0"/>
          <w:szCs w:val="21"/>
          <w:highlight w:val="none"/>
        </w:rPr>
        <w:t>（7）发包人造成工期延误的其他原因。</w:t>
      </w:r>
    </w:p>
    <w:p>
      <w:pPr>
        <w:spacing w:line="490" w:lineRule="exact"/>
        <w:ind w:firstLine="422" w:firstLineChars="200"/>
        <w:outlineLvl w:val="3"/>
        <w:rPr>
          <w:b/>
          <w:bCs/>
          <w:kern w:val="0"/>
          <w:szCs w:val="21"/>
          <w:highlight w:val="none"/>
        </w:rPr>
      </w:pPr>
      <w:bookmarkStart w:id="347" w:name="_Toc189386178"/>
      <w:bookmarkStart w:id="348" w:name="_Toc511318111"/>
      <w:bookmarkStart w:id="349" w:name="_Toc511317362"/>
      <w:r>
        <w:rPr>
          <w:b/>
          <w:bCs/>
          <w:kern w:val="0"/>
          <w:szCs w:val="21"/>
          <w:highlight w:val="none"/>
        </w:rPr>
        <w:t>11.4 异常恶劣的气候条件</w:t>
      </w:r>
      <w:bookmarkEnd w:id="347"/>
      <w:bookmarkEnd w:id="348"/>
      <w:bookmarkEnd w:id="349"/>
    </w:p>
    <w:p>
      <w:pPr>
        <w:spacing w:line="490" w:lineRule="exact"/>
        <w:ind w:firstLine="420" w:firstLineChars="200"/>
        <w:rPr>
          <w:kern w:val="0"/>
          <w:szCs w:val="21"/>
          <w:highlight w:val="none"/>
        </w:rPr>
      </w:pPr>
      <w:r>
        <w:rPr>
          <w:kern w:val="0"/>
          <w:szCs w:val="21"/>
          <w:highlight w:val="none"/>
        </w:rPr>
        <w:t>11.4.1 当工程所在地发生危及施工安全的异常恶劣气候时，发包人和承包人应按本合同通用合同条款第12条的约定，及时采取暂停施工或部分暂停施工措施。异常恶劣气候条件解除后，承包人应及时安排复工。</w:t>
      </w:r>
    </w:p>
    <w:p>
      <w:pPr>
        <w:spacing w:line="490" w:lineRule="exact"/>
        <w:ind w:firstLine="420" w:firstLineChars="200"/>
        <w:rPr>
          <w:kern w:val="0"/>
          <w:szCs w:val="21"/>
          <w:highlight w:val="none"/>
        </w:rPr>
      </w:pPr>
      <w:r>
        <w:rPr>
          <w:kern w:val="0"/>
          <w:szCs w:val="21"/>
          <w:highlight w:val="none"/>
        </w:rPr>
        <w:t>11.4.2 异常恶劣气候条件造成的工期延误和工程损坏，应由发包人与承包人参照本合同通用合同条款第21.3款的约定协商处理。</w:t>
      </w:r>
    </w:p>
    <w:p>
      <w:pPr>
        <w:spacing w:line="490" w:lineRule="exact"/>
        <w:ind w:firstLine="420" w:firstLineChars="200"/>
        <w:rPr>
          <w:kern w:val="0"/>
          <w:szCs w:val="21"/>
          <w:highlight w:val="none"/>
        </w:rPr>
      </w:pPr>
      <w:r>
        <w:rPr>
          <w:kern w:val="0"/>
          <w:szCs w:val="21"/>
          <w:highlight w:val="none"/>
        </w:rPr>
        <w:t>11.4.3 本合同工程界定异常恶劣气候条件的范围在专用合同条款中约定。</w:t>
      </w:r>
    </w:p>
    <w:p>
      <w:pPr>
        <w:spacing w:line="490" w:lineRule="exact"/>
        <w:ind w:firstLine="422" w:firstLineChars="200"/>
        <w:outlineLvl w:val="3"/>
        <w:rPr>
          <w:b/>
          <w:bCs/>
          <w:kern w:val="0"/>
          <w:szCs w:val="21"/>
          <w:highlight w:val="none"/>
        </w:rPr>
      </w:pPr>
      <w:bookmarkStart w:id="350" w:name="_Toc511317363"/>
      <w:bookmarkStart w:id="351" w:name="_Toc511318112"/>
      <w:bookmarkStart w:id="352" w:name="_Toc189386179"/>
      <w:r>
        <w:rPr>
          <w:b/>
          <w:bCs/>
          <w:kern w:val="0"/>
          <w:szCs w:val="21"/>
          <w:highlight w:val="none"/>
        </w:rPr>
        <w:t>11.5 承包人的工期延误</w:t>
      </w:r>
      <w:bookmarkEnd w:id="350"/>
      <w:bookmarkEnd w:id="351"/>
      <w:bookmarkEnd w:id="352"/>
    </w:p>
    <w:p>
      <w:pPr>
        <w:spacing w:line="490" w:lineRule="exact"/>
        <w:ind w:firstLine="420" w:firstLineChars="200"/>
        <w:rPr>
          <w:kern w:val="0"/>
          <w:szCs w:val="21"/>
          <w:highlight w:val="none"/>
        </w:rPr>
      </w:pPr>
      <w:r>
        <w:rPr>
          <w:kern w:val="0"/>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490" w:lineRule="exact"/>
        <w:ind w:firstLine="422" w:firstLineChars="200"/>
        <w:outlineLvl w:val="3"/>
        <w:rPr>
          <w:b/>
          <w:bCs/>
          <w:kern w:val="0"/>
          <w:szCs w:val="21"/>
          <w:highlight w:val="none"/>
        </w:rPr>
      </w:pPr>
      <w:bookmarkStart w:id="353" w:name="_Toc511317364"/>
      <w:bookmarkStart w:id="354" w:name="_Toc511318113"/>
      <w:bookmarkStart w:id="355" w:name="_Toc189386180"/>
      <w:r>
        <w:rPr>
          <w:b/>
          <w:bCs/>
          <w:kern w:val="0"/>
          <w:szCs w:val="21"/>
          <w:highlight w:val="none"/>
        </w:rPr>
        <w:t>11.6 工期提前</w:t>
      </w:r>
      <w:bookmarkEnd w:id="353"/>
      <w:bookmarkEnd w:id="354"/>
      <w:bookmarkEnd w:id="355"/>
    </w:p>
    <w:p>
      <w:pPr>
        <w:spacing w:line="490" w:lineRule="exact"/>
        <w:ind w:firstLine="420" w:firstLineChars="200"/>
        <w:rPr>
          <w:kern w:val="0"/>
          <w:szCs w:val="21"/>
          <w:highlight w:val="none"/>
        </w:rPr>
      </w:pPr>
      <w:r>
        <w:rPr>
          <w:kern w:val="0"/>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pPr>
        <w:spacing w:line="490" w:lineRule="exact"/>
        <w:ind w:firstLine="420" w:firstLineChars="200"/>
        <w:rPr>
          <w:kern w:val="0"/>
          <w:szCs w:val="21"/>
          <w:highlight w:val="none"/>
        </w:rPr>
      </w:pPr>
      <w:r>
        <w:rPr>
          <w:kern w:val="0"/>
          <w:szCs w:val="21"/>
          <w:highlight w:val="none"/>
        </w:rPr>
        <w:t>发包人要求提前完工的，双方协商一致后应签订提前完工协议，协议内容包括：</w:t>
      </w:r>
    </w:p>
    <w:p>
      <w:pPr>
        <w:spacing w:line="490" w:lineRule="exact"/>
        <w:ind w:firstLine="420" w:firstLineChars="200"/>
        <w:rPr>
          <w:kern w:val="0"/>
          <w:szCs w:val="21"/>
          <w:highlight w:val="none"/>
        </w:rPr>
      </w:pPr>
      <w:r>
        <w:rPr>
          <w:kern w:val="0"/>
          <w:szCs w:val="21"/>
          <w:highlight w:val="none"/>
        </w:rPr>
        <w:t>（1）提前的时间和修订后的进度计划；</w:t>
      </w:r>
    </w:p>
    <w:p>
      <w:pPr>
        <w:spacing w:line="490" w:lineRule="exact"/>
        <w:ind w:firstLine="420" w:firstLineChars="200"/>
        <w:rPr>
          <w:kern w:val="0"/>
          <w:szCs w:val="21"/>
          <w:highlight w:val="none"/>
        </w:rPr>
      </w:pPr>
      <w:r>
        <w:rPr>
          <w:kern w:val="0"/>
          <w:szCs w:val="21"/>
          <w:highlight w:val="none"/>
        </w:rPr>
        <w:t>（2）承包人的赶工措施；</w:t>
      </w:r>
    </w:p>
    <w:p>
      <w:pPr>
        <w:spacing w:line="490" w:lineRule="exact"/>
        <w:ind w:firstLine="420" w:firstLineChars="200"/>
        <w:rPr>
          <w:kern w:val="0"/>
          <w:szCs w:val="21"/>
          <w:highlight w:val="none"/>
        </w:rPr>
      </w:pPr>
      <w:r>
        <w:rPr>
          <w:kern w:val="0"/>
          <w:szCs w:val="21"/>
          <w:highlight w:val="none"/>
        </w:rPr>
        <w:t>（3）发包人为赶工提供的条件；</w:t>
      </w:r>
    </w:p>
    <w:p>
      <w:pPr>
        <w:spacing w:line="490" w:lineRule="exact"/>
        <w:ind w:firstLine="420" w:firstLineChars="200"/>
        <w:rPr>
          <w:kern w:val="0"/>
          <w:szCs w:val="21"/>
          <w:highlight w:val="none"/>
        </w:rPr>
      </w:pPr>
      <w:r>
        <w:rPr>
          <w:kern w:val="0"/>
          <w:szCs w:val="21"/>
          <w:highlight w:val="none"/>
        </w:rPr>
        <w:t>（4）赶工费用（包括利润和奖金）。</w:t>
      </w:r>
    </w:p>
    <w:p>
      <w:pPr>
        <w:pStyle w:val="5"/>
        <w:keepNext w:val="0"/>
        <w:keepLines w:val="0"/>
        <w:spacing w:before="0" w:after="0" w:line="490" w:lineRule="exact"/>
        <w:ind w:firstLine="422" w:firstLineChars="200"/>
        <w:rPr>
          <w:bCs w:val="0"/>
          <w:color w:val="auto"/>
          <w:sz w:val="21"/>
          <w:szCs w:val="21"/>
          <w:highlight w:val="none"/>
        </w:rPr>
      </w:pPr>
      <w:bookmarkStart w:id="356" w:name="_Toc8468"/>
      <w:bookmarkStart w:id="357" w:name="_Toc24357"/>
      <w:bookmarkStart w:id="358" w:name="_Toc189386181"/>
      <w:r>
        <w:rPr>
          <w:bCs w:val="0"/>
          <w:color w:val="auto"/>
          <w:sz w:val="21"/>
          <w:szCs w:val="21"/>
          <w:highlight w:val="none"/>
        </w:rPr>
        <w:t>12</w:t>
      </w:r>
      <w:r>
        <w:rPr>
          <w:rFonts w:hint="eastAsia"/>
          <w:bCs w:val="0"/>
          <w:color w:val="auto"/>
          <w:sz w:val="21"/>
          <w:szCs w:val="21"/>
          <w:highlight w:val="none"/>
        </w:rPr>
        <w:t>.</w:t>
      </w:r>
      <w:r>
        <w:rPr>
          <w:bCs w:val="0"/>
          <w:color w:val="auto"/>
          <w:sz w:val="21"/>
          <w:szCs w:val="21"/>
          <w:highlight w:val="none"/>
        </w:rPr>
        <w:t>暂停施工</w:t>
      </w:r>
      <w:bookmarkEnd w:id="356"/>
      <w:bookmarkEnd w:id="357"/>
      <w:bookmarkEnd w:id="358"/>
    </w:p>
    <w:p>
      <w:pPr>
        <w:spacing w:line="490" w:lineRule="exact"/>
        <w:ind w:firstLine="422" w:firstLineChars="200"/>
        <w:outlineLvl w:val="3"/>
        <w:rPr>
          <w:b/>
          <w:bCs/>
          <w:kern w:val="0"/>
          <w:szCs w:val="21"/>
          <w:highlight w:val="none"/>
        </w:rPr>
      </w:pPr>
      <w:bookmarkStart w:id="359" w:name="_Toc511317366"/>
      <w:bookmarkStart w:id="360" w:name="_Toc511318115"/>
      <w:bookmarkStart w:id="361" w:name="_Toc189386182"/>
      <w:r>
        <w:rPr>
          <w:b/>
          <w:bCs/>
          <w:kern w:val="0"/>
          <w:szCs w:val="21"/>
          <w:highlight w:val="none"/>
        </w:rPr>
        <w:t>12.1 承包人暂停施工的责任</w:t>
      </w:r>
      <w:bookmarkEnd w:id="359"/>
      <w:bookmarkEnd w:id="360"/>
      <w:bookmarkEnd w:id="361"/>
    </w:p>
    <w:p>
      <w:pPr>
        <w:spacing w:line="490" w:lineRule="exact"/>
        <w:ind w:firstLine="420" w:firstLineChars="200"/>
        <w:rPr>
          <w:kern w:val="0"/>
          <w:szCs w:val="21"/>
          <w:highlight w:val="none"/>
        </w:rPr>
      </w:pPr>
      <w:r>
        <w:rPr>
          <w:kern w:val="0"/>
          <w:szCs w:val="21"/>
          <w:highlight w:val="none"/>
        </w:rPr>
        <w:t>因下列暂停施工增加的费用和（或）工期延误由承包人承担：</w:t>
      </w:r>
    </w:p>
    <w:p>
      <w:pPr>
        <w:spacing w:line="490" w:lineRule="exact"/>
        <w:ind w:firstLine="420" w:firstLineChars="200"/>
        <w:rPr>
          <w:kern w:val="0"/>
          <w:szCs w:val="21"/>
          <w:highlight w:val="none"/>
        </w:rPr>
      </w:pPr>
      <w:r>
        <w:rPr>
          <w:kern w:val="0"/>
          <w:szCs w:val="21"/>
          <w:highlight w:val="none"/>
        </w:rPr>
        <w:t>（1）承包人违约引起的暂停施工；</w:t>
      </w:r>
    </w:p>
    <w:p>
      <w:pPr>
        <w:spacing w:line="490" w:lineRule="exact"/>
        <w:ind w:firstLine="420" w:firstLineChars="200"/>
        <w:rPr>
          <w:kern w:val="0"/>
          <w:szCs w:val="21"/>
          <w:highlight w:val="none"/>
        </w:rPr>
      </w:pPr>
      <w:r>
        <w:rPr>
          <w:kern w:val="0"/>
          <w:szCs w:val="21"/>
          <w:highlight w:val="none"/>
        </w:rPr>
        <w:t>（2）由于承包人原因为工程合理施工和安全保障所必需的暂停施工；</w:t>
      </w:r>
    </w:p>
    <w:p>
      <w:pPr>
        <w:spacing w:line="490" w:lineRule="exact"/>
        <w:ind w:firstLine="420" w:firstLineChars="200"/>
        <w:rPr>
          <w:kern w:val="0"/>
          <w:szCs w:val="21"/>
          <w:highlight w:val="none"/>
        </w:rPr>
      </w:pPr>
      <w:r>
        <w:rPr>
          <w:kern w:val="0"/>
          <w:szCs w:val="21"/>
          <w:highlight w:val="none"/>
        </w:rPr>
        <w:t>（3）承包人擅自暂停施工；</w:t>
      </w:r>
    </w:p>
    <w:p>
      <w:pPr>
        <w:spacing w:line="490" w:lineRule="exact"/>
        <w:ind w:firstLine="420" w:firstLineChars="200"/>
        <w:rPr>
          <w:kern w:val="0"/>
          <w:szCs w:val="21"/>
          <w:highlight w:val="none"/>
        </w:rPr>
      </w:pPr>
      <w:r>
        <w:rPr>
          <w:kern w:val="0"/>
          <w:szCs w:val="21"/>
          <w:highlight w:val="none"/>
        </w:rPr>
        <w:t>（4）承包人其他原因引起的暂停施工；</w:t>
      </w:r>
    </w:p>
    <w:p>
      <w:pPr>
        <w:spacing w:line="490" w:lineRule="exact"/>
        <w:ind w:firstLine="420" w:firstLineChars="200"/>
        <w:rPr>
          <w:kern w:val="0"/>
          <w:szCs w:val="21"/>
          <w:highlight w:val="none"/>
        </w:rPr>
      </w:pPr>
      <w:r>
        <w:rPr>
          <w:kern w:val="0"/>
          <w:szCs w:val="21"/>
          <w:highlight w:val="none"/>
        </w:rPr>
        <w:t>（5）专用合同条款约定由承包人承担的其他暂停施工。</w:t>
      </w:r>
    </w:p>
    <w:p>
      <w:pPr>
        <w:spacing w:line="490" w:lineRule="exact"/>
        <w:ind w:firstLine="422" w:firstLineChars="200"/>
        <w:outlineLvl w:val="3"/>
        <w:rPr>
          <w:b/>
          <w:bCs/>
          <w:kern w:val="0"/>
          <w:szCs w:val="21"/>
          <w:highlight w:val="none"/>
        </w:rPr>
      </w:pPr>
      <w:bookmarkStart w:id="362" w:name="_Toc511317367"/>
      <w:bookmarkStart w:id="363" w:name="_Toc511318116"/>
      <w:bookmarkStart w:id="364" w:name="_Toc189386183"/>
      <w:r>
        <w:rPr>
          <w:b/>
          <w:bCs/>
          <w:kern w:val="0"/>
          <w:szCs w:val="21"/>
          <w:highlight w:val="none"/>
        </w:rPr>
        <w:t>12.2 发包人暂停施工的责任</w:t>
      </w:r>
      <w:bookmarkEnd w:id="362"/>
      <w:bookmarkEnd w:id="363"/>
      <w:bookmarkEnd w:id="364"/>
    </w:p>
    <w:p>
      <w:pPr>
        <w:spacing w:line="490" w:lineRule="exact"/>
        <w:ind w:firstLine="420" w:firstLineChars="200"/>
        <w:rPr>
          <w:kern w:val="0"/>
          <w:szCs w:val="21"/>
          <w:highlight w:val="none"/>
        </w:rPr>
      </w:pPr>
      <w:r>
        <w:rPr>
          <w:kern w:val="0"/>
          <w:szCs w:val="21"/>
          <w:highlight w:val="none"/>
        </w:rPr>
        <w:t>由于发包人原因引起的暂停施工造成工期延误的，承包人有权要求发包人延长工期和（或）增加费用，并支付合理利润。</w:t>
      </w:r>
    </w:p>
    <w:p>
      <w:pPr>
        <w:spacing w:line="490" w:lineRule="exact"/>
        <w:ind w:firstLine="420" w:firstLineChars="200"/>
        <w:rPr>
          <w:kern w:val="0"/>
          <w:szCs w:val="21"/>
          <w:highlight w:val="none"/>
        </w:rPr>
      </w:pPr>
      <w:r>
        <w:rPr>
          <w:kern w:val="0"/>
          <w:szCs w:val="21"/>
          <w:highlight w:val="none"/>
        </w:rPr>
        <w:t>属于下列任何一种情况引起的暂停施工，均为发包人的责任：</w:t>
      </w:r>
    </w:p>
    <w:p>
      <w:pPr>
        <w:spacing w:line="490" w:lineRule="exact"/>
        <w:ind w:firstLine="420" w:firstLineChars="200"/>
        <w:rPr>
          <w:kern w:val="0"/>
          <w:szCs w:val="21"/>
          <w:highlight w:val="none"/>
        </w:rPr>
      </w:pPr>
      <w:r>
        <w:rPr>
          <w:kern w:val="0"/>
          <w:szCs w:val="21"/>
          <w:highlight w:val="none"/>
        </w:rPr>
        <w:t>（1）由于发包人违约引起的暂停施工；</w:t>
      </w:r>
    </w:p>
    <w:p>
      <w:pPr>
        <w:spacing w:line="490" w:lineRule="exact"/>
        <w:ind w:firstLine="420" w:firstLineChars="200"/>
        <w:rPr>
          <w:kern w:val="0"/>
          <w:szCs w:val="21"/>
          <w:highlight w:val="none"/>
        </w:rPr>
      </w:pPr>
      <w:r>
        <w:rPr>
          <w:kern w:val="0"/>
          <w:szCs w:val="21"/>
          <w:highlight w:val="none"/>
        </w:rPr>
        <w:t>（2）由于不可抗力的自然或社会因素引起的暂停施工；</w:t>
      </w:r>
    </w:p>
    <w:p>
      <w:pPr>
        <w:spacing w:line="490" w:lineRule="exact"/>
        <w:ind w:firstLine="420" w:firstLineChars="200"/>
        <w:rPr>
          <w:kern w:val="0"/>
          <w:szCs w:val="21"/>
          <w:highlight w:val="none"/>
        </w:rPr>
      </w:pPr>
      <w:r>
        <w:rPr>
          <w:kern w:val="0"/>
          <w:szCs w:val="21"/>
          <w:highlight w:val="none"/>
        </w:rPr>
        <w:t>（3）专用合同条款中约定的其它由于发包人原因引起的暂停施工。</w:t>
      </w:r>
    </w:p>
    <w:p>
      <w:pPr>
        <w:spacing w:line="490" w:lineRule="exact"/>
        <w:ind w:firstLine="422" w:firstLineChars="200"/>
        <w:outlineLvl w:val="3"/>
        <w:rPr>
          <w:b/>
          <w:bCs/>
          <w:kern w:val="0"/>
          <w:szCs w:val="21"/>
          <w:highlight w:val="none"/>
        </w:rPr>
      </w:pPr>
      <w:bookmarkStart w:id="365" w:name="_Toc189386184"/>
      <w:r>
        <w:rPr>
          <w:b/>
          <w:bCs/>
          <w:kern w:val="0"/>
          <w:szCs w:val="21"/>
          <w:highlight w:val="none"/>
        </w:rPr>
        <w:t>12.3 监理人暂停施工指示</w:t>
      </w:r>
      <w:bookmarkEnd w:id="365"/>
    </w:p>
    <w:p>
      <w:pPr>
        <w:spacing w:line="490" w:lineRule="exact"/>
        <w:ind w:firstLine="420" w:firstLineChars="200"/>
        <w:rPr>
          <w:kern w:val="0"/>
          <w:szCs w:val="21"/>
          <w:highlight w:val="none"/>
        </w:rPr>
      </w:pPr>
      <w:r>
        <w:rPr>
          <w:kern w:val="0"/>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pPr>
        <w:spacing w:line="490" w:lineRule="exact"/>
        <w:ind w:firstLine="420" w:firstLineChars="200"/>
        <w:rPr>
          <w:kern w:val="0"/>
          <w:szCs w:val="21"/>
          <w:highlight w:val="none"/>
        </w:rPr>
      </w:pPr>
      <w:r>
        <w:rPr>
          <w:kern w:val="0"/>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490" w:lineRule="exact"/>
        <w:ind w:firstLine="422" w:firstLineChars="200"/>
        <w:outlineLvl w:val="3"/>
        <w:rPr>
          <w:b/>
          <w:bCs/>
          <w:kern w:val="0"/>
          <w:szCs w:val="21"/>
          <w:highlight w:val="none"/>
        </w:rPr>
      </w:pPr>
      <w:bookmarkStart w:id="366" w:name="_Toc189386185"/>
      <w:r>
        <w:rPr>
          <w:b/>
          <w:bCs/>
          <w:kern w:val="0"/>
          <w:szCs w:val="21"/>
          <w:highlight w:val="none"/>
        </w:rPr>
        <w:t>12.4 暂停施工后的复工</w:t>
      </w:r>
      <w:bookmarkEnd w:id="366"/>
    </w:p>
    <w:p>
      <w:pPr>
        <w:spacing w:line="490" w:lineRule="exact"/>
        <w:ind w:firstLine="420" w:firstLineChars="200"/>
        <w:rPr>
          <w:kern w:val="0"/>
          <w:szCs w:val="21"/>
          <w:highlight w:val="none"/>
        </w:rPr>
      </w:pPr>
      <w:r>
        <w:rPr>
          <w:kern w:val="0"/>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490" w:lineRule="exact"/>
        <w:ind w:firstLine="420" w:firstLineChars="200"/>
        <w:rPr>
          <w:kern w:val="0"/>
          <w:szCs w:val="21"/>
          <w:highlight w:val="none"/>
        </w:rPr>
      </w:pPr>
      <w:r>
        <w:rPr>
          <w:kern w:val="0"/>
          <w:szCs w:val="21"/>
          <w:highlight w:val="none"/>
        </w:rPr>
        <w:t>12.4.2 承包人无故拖延和拒绝复工的，由此增加的费用和工期延误由承包人承担；因发包人原因无法按时复工的，承包人有权要求发包人延长工期和（或）增加费用，并支付合理利润。</w:t>
      </w:r>
    </w:p>
    <w:p>
      <w:pPr>
        <w:spacing w:line="490" w:lineRule="exact"/>
        <w:ind w:firstLine="422" w:firstLineChars="200"/>
        <w:outlineLvl w:val="3"/>
        <w:rPr>
          <w:b/>
          <w:bCs/>
          <w:kern w:val="0"/>
          <w:szCs w:val="21"/>
          <w:highlight w:val="none"/>
        </w:rPr>
      </w:pPr>
      <w:bookmarkStart w:id="367" w:name="_Toc189386186"/>
      <w:r>
        <w:rPr>
          <w:b/>
          <w:bCs/>
          <w:kern w:val="0"/>
          <w:szCs w:val="21"/>
          <w:highlight w:val="none"/>
        </w:rPr>
        <w:t>12.5 暂停施工持续56天以上</w:t>
      </w:r>
      <w:bookmarkEnd w:id="367"/>
    </w:p>
    <w:p>
      <w:pPr>
        <w:spacing w:line="490" w:lineRule="exact"/>
        <w:ind w:firstLine="420" w:firstLineChars="200"/>
        <w:rPr>
          <w:kern w:val="0"/>
          <w:szCs w:val="21"/>
          <w:highlight w:val="none"/>
        </w:rPr>
      </w:pPr>
      <w:r>
        <w:rPr>
          <w:kern w:val="0"/>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490" w:lineRule="exact"/>
        <w:ind w:firstLine="420" w:firstLineChars="200"/>
        <w:rPr>
          <w:kern w:val="0"/>
          <w:szCs w:val="21"/>
          <w:highlight w:val="none"/>
        </w:rPr>
      </w:pPr>
      <w:r>
        <w:rPr>
          <w:kern w:val="0"/>
          <w:szCs w:val="21"/>
          <w:highlight w:val="none"/>
        </w:rPr>
        <w:t>12.5.2 由于承包人责任引起的暂停施工，如承包人在收到监理人暂停施工指示后56 天内不认真采取有效的复工措施，造成工期延误，可视为承包人违约，应按第22.1 款的规定办理。</w:t>
      </w:r>
    </w:p>
    <w:p>
      <w:pPr>
        <w:pStyle w:val="5"/>
        <w:keepNext w:val="0"/>
        <w:keepLines w:val="0"/>
        <w:spacing w:before="0" w:after="0" w:line="490" w:lineRule="exact"/>
        <w:ind w:firstLine="422" w:firstLineChars="200"/>
        <w:rPr>
          <w:bCs w:val="0"/>
          <w:color w:val="auto"/>
          <w:sz w:val="21"/>
          <w:szCs w:val="21"/>
          <w:highlight w:val="none"/>
        </w:rPr>
      </w:pPr>
      <w:bookmarkStart w:id="368" w:name="_Toc189386187"/>
      <w:bookmarkStart w:id="369" w:name="_Toc23733"/>
      <w:bookmarkStart w:id="370" w:name="_Toc13594"/>
      <w:r>
        <w:rPr>
          <w:bCs w:val="0"/>
          <w:color w:val="auto"/>
          <w:sz w:val="21"/>
          <w:szCs w:val="21"/>
          <w:highlight w:val="none"/>
        </w:rPr>
        <w:t>13</w:t>
      </w:r>
      <w:r>
        <w:rPr>
          <w:rFonts w:hint="eastAsia"/>
          <w:bCs w:val="0"/>
          <w:color w:val="auto"/>
          <w:sz w:val="21"/>
          <w:szCs w:val="21"/>
          <w:highlight w:val="none"/>
        </w:rPr>
        <w:t>.</w:t>
      </w:r>
      <w:r>
        <w:rPr>
          <w:bCs w:val="0"/>
          <w:color w:val="auto"/>
          <w:sz w:val="21"/>
          <w:szCs w:val="21"/>
          <w:highlight w:val="none"/>
        </w:rPr>
        <w:t>工程质量</w:t>
      </w:r>
      <w:bookmarkEnd w:id="368"/>
      <w:bookmarkEnd w:id="369"/>
      <w:bookmarkEnd w:id="370"/>
    </w:p>
    <w:p>
      <w:pPr>
        <w:spacing w:line="490" w:lineRule="exact"/>
        <w:ind w:firstLine="422" w:firstLineChars="200"/>
        <w:outlineLvl w:val="3"/>
        <w:rPr>
          <w:b/>
          <w:bCs/>
          <w:kern w:val="0"/>
          <w:szCs w:val="21"/>
          <w:highlight w:val="none"/>
        </w:rPr>
      </w:pPr>
      <w:bookmarkStart w:id="371" w:name="_Toc511318118"/>
      <w:bookmarkStart w:id="372" w:name="_Toc189386188"/>
      <w:bookmarkStart w:id="373" w:name="_Toc511317369"/>
      <w:r>
        <w:rPr>
          <w:b/>
          <w:bCs/>
          <w:kern w:val="0"/>
          <w:szCs w:val="21"/>
          <w:highlight w:val="none"/>
        </w:rPr>
        <w:t>13.1 工程质量要求</w:t>
      </w:r>
      <w:bookmarkEnd w:id="371"/>
      <w:bookmarkEnd w:id="372"/>
      <w:bookmarkEnd w:id="373"/>
    </w:p>
    <w:p>
      <w:pPr>
        <w:spacing w:line="490" w:lineRule="exact"/>
        <w:ind w:firstLine="420" w:firstLineChars="200"/>
        <w:rPr>
          <w:kern w:val="0"/>
          <w:szCs w:val="21"/>
          <w:highlight w:val="none"/>
        </w:rPr>
      </w:pPr>
      <w:r>
        <w:rPr>
          <w:kern w:val="0"/>
          <w:szCs w:val="21"/>
          <w:highlight w:val="none"/>
        </w:rPr>
        <w:t>13.1.1 工程质量验收按合同约定验收标准执行。</w:t>
      </w:r>
    </w:p>
    <w:p>
      <w:pPr>
        <w:spacing w:line="490" w:lineRule="exact"/>
        <w:ind w:firstLine="420" w:firstLineChars="200"/>
        <w:rPr>
          <w:kern w:val="0"/>
          <w:szCs w:val="21"/>
          <w:highlight w:val="none"/>
        </w:rPr>
      </w:pPr>
      <w:r>
        <w:rPr>
          <w:kern w:val="0"/>
          <w:szCs w:val="21"/>
          <w:highlight w:val="none"/>
        </w:rPr>
        <w:t>13.1.2 因承包人原因造成工程质量达不到合同约定验收标准的，监理人有权要求承包人返工直至符合合同要求为止，由此造成的费用增加和（或）工期延误由承包人承担。</w:t>
      </w:r>
    </w:p>
    <w:p>
      <w:pPr>
        <w:spacing w:line="490" w:lineRule="exact"/>
        <w:ind w:firstLine="420" w:firstLineChars="200"/>
        <w:rPr>
          <w:kern w:val="0"/>
          <w:szCs w:val="21"/>
          <w:highlight w:val="none"/>
        </w:rPr>
      </w:pPr>
      <w:r>
        <w:rPr>
          <w:kern w:val="0"/>
          <w:szCs w:val="21"/>
          <w:highlight w:val="none"/>
        </w:rPr>
        <w:t>13.1.3 因发包人原因造成工程质量达不到合同约定验收标准的，发包人应承担由于承包人返工造成的费用增加和（或）工期延误，并支付承包人合理利润。</w:t>
      </w:r>
    </w:p>
    <w:p>
      <w:pPr>
        <w:spacing w:line="490" w:lineRule="exact"/>
        <w:ind w:firstLine="422" w:firstLineChars="200"/>
        <w:outlineLvl w:val="3"/>
        <w:rPr>
          <w:b/>
          <w:bCs/>
          <w:kern w:val="0"/>
          <w:szCs w:val="21"/>
          <w:highlight w:val="none"/>
        </w:rPr>
      </w:pPr>
      <w:bookmarkStart w:id="374" w:name="_Toc511318119"/>
      <w:bookmarkStart w:id="375" w:name="_Toc511317370"/>
      <w:bookmarkStart w:id="376" w:name="_Toc189386189"/>
      <w:r>
        <w:rPr>
          <w:b/>
          <w:bCs/>
          <w:kern w:val="0"/>
          <w:szCs w:val="21"/>
          <w:highlight w:val="none"/>
        </w:rPr>
        <w:t>13.2 承包人的质量管理</w:t>
      </w:r>
      <w:bookmarkEnd w:id="374"/>
      <w:bookmarkEnd w:id="375"/>
      <w:bookmarkEnd w:id="376"/>
    </w:p>
    <w:p>
      <w:pPr>
        <w:spacing w:line="490" w:lineRule="exact"/>
        <w:ind w:firstLine="420" w:firstLineChars="200"/>
        <w:rPr>
          <w:kern w:val="0"/>
          <w:szCs w:val="21"/>
          <w:highlight w:val="none"/>
        </w:rPr>
      </w:pPr>
      <w:r>
        <w:rPr>
          <w:kern w:val="0"/>
          <w:szCs w:val="21"/>
          <w:highlight w:val="none"/>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13.2.2 承包人应加强对施工人员的质量教育和技术培训，定期考核施工人员的劳动技能，严格执行规范和操作规程。</w:t>
      </w:r>
    </w:p>
    <w:p>
      <w:pPr>
        <w:spacing w:line="490" w:lineRule="exact"/>
        <w:ind w:firstLine="422" w:firstLineChars="200"/>
        <w:outlineLvl w:val="3"/>
        <w:rPr>
          <w:b/>
          <w:bCs/>
          <w:kern w:val="0"/>
          <w:szCs w:val="21"/>
          <w:highlight w:val="none"/>
        </w:rPr>
      </w:pPr>
      <w:bookmarkStart w:id="377" w:name="_Toc511318120"/>
      <w:bookmarkStart w:id="378" w:name="_Toc511317371"/>
      <w:bookmarkStart w:id="379" w:name="_Toc189386190"/>
      <w:r>
        <w:rPr>
          <w:b/>
          <w:bCs/>
          <w:kern w:val="0"/>
          <w:szCs w:val="21"/>
          <w:highlight w:val="none"/>
        </w:rPr>
        <w:t>13.3 承包人的质量检查</w:t>
      </w:r>
      <w:bookmarkEnd w:id="377"/>
      <w:bookmarkEnd w:id="378"/>
      <w:bookmarkEnd w:id="379"/>
    </w:p>
    <w:p>
      <w:pPr>
        <w:spacing w:line="490" w:lineRule="exact"/>
        <w:ind w:firstLine="420" w:firstLineChars="200"/>
        <w:rPr>
          <w:kern w:val="0"/>
          <w:szCs w:val="21"/>
          <w:highlight w:val="none"/>
        </w:rPr>
      </w:pPr>
      <w:r>
        <w:rPr>
          <w:kern w:val="0"/>
          <w:szCs w:val="21"/>
          <w:highlight w:val="none"/>
        </w:rPr>
        <w:t>承包人应按合同约定对材料、工程设备以及工程的所有部位及其施工工艺进行全过程的质量检查和检验，并作详细记录，编制工程质量报表，报送监理人审查。</w:t>
      </w:r>
    </w:p>
    <w:p>
      <w:pPr>
        <w:spacing w:line="490" w:lineRule="exact"/>
        <w:ind w:firstLine="422" w:firstLineChars="200"/>
        <w:outlineLvl w:val="3"/>
        <w:rPr>
          <w:b/>
          <w:bCs/>
          <w:kern w:val="0"/>
          <w:szCs w:val="21"/>
          <w:highlight w:val="none"/>
        </w:rPr>
      </w:pPr>
      <w:bookmarkStart w:id="380" w:name="_Toc511318121"/>
      <w:bookmarkStart w:id="381" w:name="_Toc189386191"/>
      <w:bookmarkStart w:id="382" w:name="_Toc511317372"/>
      <w:r>
        <w:rPr>
          <w:b/>
          <w:bCs/>
          <w:kern w:val="0"/>
          <w:szCs w:val="21"/>
          <w:highlight w:val="none"/>
        </w:rPr>
        <w:t>13.4 监理人的质量检查</w:t>
      </w:r>
      <w:bookmarkEnd w:id="380"/>
      <w:bookmarkEnd w:id="381"/>
      <w:bookmarkEnd w:id="382"/>
    </w:p>
    <w:p>
      <w:pPr>
        <w:spacing w:line="490" w:lineRule="exact"/>
        <w:ind w:firstLine="420" w:firstLineChars="200"/>
        <w:rPr>
          <w:kern w:val="0"/>
          <w:szCs w:val="21"/>
          <w:highlight w:val="none"/>
        </w:rPr>
      </w:pPr>
      <w:r>
        <w:rPr>
          <w:kern w:val="0"/>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490" w:lineRule="exact"/>
        <w:ind w:firstLine="422" w:firstLineChars="200"/>
        <w:outlineLvl w:val="3"/>
        <w:rPr>
          <w:b/>
          <w:bCs/>
          <w:kern w:val="0"/>
          <w:szCs w:val="21"/>
          <w:highlight w:val="none"/>
        </w:rPr>
      </w:pPr>
      <w:bookmarkStart w:id="383" w:name="_Toc511317373"/>
      <w:bookmarkStart w:id="384" w:name="_Toc511318122"/>
      <w:bookmarkStart w:id="385" w:name="_Toc189386192"/>
      <w:r>
        <w:rPr>
          <w:b/>
          <w:bCs/>
          <w:kern w:val="0"/>
          <w:szCs w:val="21"/>
          <w:highlight w:val="none"/>
        </w:rPr>
        <w:t>13.5 工程隐蔽部位覆盖前的检查</w:t>
      </w:r>
      <w:bookmarkEnd w:id="383"/>
      <w:bookmarkEnd w:id="384"/>
      <w:bookmarkEnd w:id="385"/>
    </w:p>
    <w:p>
      <w:pPr>
        <w:spacing w:line="490" w:lineRule="exact"/>
        <w:ind w:firstLine="422" w:firstLineChars="200"/>
        <w:rPr>
          <w:b/>
          <w:kern w:val="0"/>
          <w:szCs w:val="21"/>
          <w:highlight w:val="none"/>
        </w:rPr>
      </w:pPr>
      <w:r>
        <w:rPr>
          <w:b/>
          <w:kern w:val="0"/>
          <w:szCs w:val="21"/>
          <w:highlight w:val="none"/>
        </w:rPr>
        <w:t>13.5.1 通知监理人检查</w:t>
      </w:r>
    </w:p>
    <w:p>
      <w:pPr>
        <w:spacing w:line="490" w:lineRule="exact"/>
        <w:ind w:firstLine="420" w:firstLineChars="200"/>
        <w:rPr>
          <w:kern w:val="0"/>
          <w:szCs w:val="21"/>
          <w:highlight w:val="none"/>
        </w:rPr>
      </w:pPr>
      <w:r>
        <w:rPr>
          <w:kern w:val="0"/>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490" w:lineRule="exact"/>
        <w:ind w:firstLine="422" w:firstLineChars="200"/>
        <w:rPr>
          <w:b/>
          <w:kern w:val="0"/>
          <w:szCs w:val="21"/>
          <w:highlight w:val="none"/>
        </w:rPr>
      </w:pPr>
      <w:r>
        <w:rPr>
          <w:b/>
          <w:kern w:val="0"/>
          <w:szCs w:val="21"/>
          <w:highlight w:val="none"/>
        </w:rPr>
        <w:t>13.5.2 监理人未到场检查</w:t>
      </w:r>
    </w:p>
    <w:p>
      <w:pPr>
        <w:spacing w:line="490" w:lineRule="exact"/>
        <w:ind w:firstLine="420" w:firstLineChars="200"/>
        <w:rPr>
          <w:kern w:val="0"/>
          <w:szCs w:val="21"/>
          <w:highlight w:val="none"/>
        </w:rPr>
      </w:pPr>
      <w:r>
        <w:rPr>
          <w:kern w:val="0"/>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490" w:lineRule="exact"/>
        <w:ind w:firstLine="422" w:firstLineChars="200"/>
        <w:rPr>
          <w:b/>
          <w:kern w:val="0"/>
          <w:szCs w:val="21"/>
          <w:highlight w:val="none"/>
        </w:rPr>
      </w:pPr>
      <w:r>
        <w:rPr>
          <w:b/>
          <w:kern w:val="0"/>
          <w:szCs w:val="21"/>
          <w:highlight w:val="none"/>
        </w:rPr>
        <w:t>13.5.3 监理人重新检查</w:t>
      </w:r>
    </w:p>
    <w:p>
      <w:pPr>
        <w:spacing w:line="490" w:lineRule="exact"/>
        <w:ind w:firstLine="420" w:firstLineChars="200"/>
        <w:rPr>
          <w:kern w:val="0"/>
          <w:szCs w:val="21"/>
          <w:highlight w:val="none"/>
        </w:rPr>
      </w:pPr>
      <w:r>
        <w:rPr>
          <w:kern w:val="0"/>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490" w:lineRule="exact"/>
        <w:ind w:firstLine="422" w:firstLineChars="200"/>
        <w:rPr>
          <w:b/>
          <w:kern w:val="0"/>
          <w:szCs w:val="21"/>
          <w:highlight w:val="none"/>
        </w:rPr>
      </w:pPr>
      <w:r>
        <w:rPr>
          <w:b/>
          <w:kern w:val="0"/>
          <w:szCs w:val="21"/>
          <w:highlight w:val="none"/>
        </w:rPr>
        <w:t>13.5.4 承包人私自覆盖</w:t>
      </w:r>
    </w:p>
    <w:p>
      <w:pPr>
        <w:spacing w:line="490" w:lineRule="exact"/>
        <w:ind w:firstLine="420" w:firstLineChars="200"/>
        <w:rPr>
          <w:kern w:val="0"/>
          <w:szCs w:val="21"/>
          <w:highlight w:val="none"/>
        </w:rPr>
      </w:pPr>
      <w:r>
        <w:rPr>
          <w:kern w:val="0"/>
          <w:szCs w:val="21"/>
          <w:highlight w:val="none"/>
        </w:rPr>
        <w:t>承包人未通知监理人到场检查，私自将工程隐蔽部位覆盖的，监理人有权指示承包人钻孔探测或揭开检查，由此增加的费用和（或）工期延误由承包人承担。</w:t>
      </w:r>
    </w:p>
    <w:p>
      <w:pPr>
        <w:spacing w:line="490" w:lineRule="exact"/>
        <w:ind w:firstLine="422" w:firstLineChars="200"/>
        <w:outlineLvl w:val="3"/>
        <w:rPr>
          <w:b/>
          <w:bCs/>
          <w:kern w:val="0"/>
          <w:szCs w:val="21"/>
          <w:highlight w:val="none"/>
        </w:rPr>
      </w:pPr>
      <w:bookmarkStart w:id="386" w:name="_Toc511318123"/>
      <w:bookmarkStart w:id="387" w:name="_Toc189386193"/>
      <w:bookmarkStart w:id="388" w:name="_Toc511317374"/>
      <w:r>
        <w:rPr>
          <w:b/>
          <w:bCs/>
          <w:kern w:val="0"/>
          <w:szCs w:val="21"/>
          <w:highlight w:val="none"/>
        </w:rPr>
        <w:t>13.6 清除不合格工程</w:t>
      </w:r>
      <w:bookmarkEnd w:id="386"/>
      <w:bookmarkEnd w:id="387"/>
      <w:bookmarkEnd w:id="388"/>
    </w:p>
    <w:p>
      <w:pPr>
        <w:spacing w:line="490" w:lineRule="exact"/>
        <w:ind w:firstLine="420" w:firstLineChars="200"/>
        <w:rPr>
          <w:kern w:val="0"/>
          <w:szCs w:val="21"/>
          <w:highlight w:val="none"/>
        </w:rPr>
      </w:pPr>
      <w:r>
        <w:rPr>
          <w:kern w:val="0"/>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490" w:lineRule="exact"/>
        <w:ind w:firstLine="420" w:firstLineChars="200"/>
        <w:rPr>
          <w:kern w:val="0"/>
          <w:szCs w:val="21"/>
          <w:highlight w:val="none"/>
        </w:rPr>
      </w:pPr>
      <w:r>
        <w:rPr>
          <w:kern w:val="0"/>
          <w:szCs w:val="21"/>
          <w:highlight w:val="none"/>
        </w:rPr>
        <w:t>13.6.2 由于发包人提供的材料或工程设备不合格造成的工程不合格，需要承包人采取措施补救的，发包人应承担由此增加的费用和（或）工期延误，并支付承包人合理利润。</w:t>
      </w:r>
    </w:p>
    <w:p>
      <w:pPr>
        <w:spacing w:line="490" w:lineRule="exact"/>
        <w:ind w:firstLine="422" w:firstLineChars="200"/>
        <w:outlineLvl w:val="3"/>
        <w:rPr>
          <w:b/>
          <w:bCs/>
          <w:kern w:val="0"/>
          <w:szCs w:val="21"/>
          <w:highlight w:val="none"/>
        </w:rPr>
      </w:pPr>
      <w:bookmarkStart w:id="389" w:name="_Toc511318124"/>
      <w:r>
        <w:rPr>
          <w:b/>
          <w:bCs/>
          <w:kern w:val="0"/>
          <w:szCs w:val="21"/>
          <w:highlight w:val="none"/>
        </w:rPr>
        <w:t>13.7 质量评定</w:t>
      </w:r>
      <w:bookmarkEnd w:id="389"/>
    </w:p>
    <w:p>
      <w:pPr>
        <w:spacing w:line="490" w:lineRule="exact"/>
        <w:ind w:firstLine="420" w:firstLineChars="200"/>
        <w:rPr>
          <w:kern w:val="0"/>
          <w:szCs w:val="21"/>
          <w:highlight w:val="none"/>
        </w:rPr>
      </w:pPr>
      <w:r>
        <w:rPr>
          <w:kern w:val="0"/>
          <w:szCs w:val="21"/>
          <w:highlight w:val="none"/>
        </w:rPr>
        <w:t>13.7.1 发包人应组织承包人进行工程项目划分，并确定单位工程、主要分部工程、重要隐蔽单元工程和关键部位单元工程。</w:t>
      </w:r>
    </w:p>
    <w:p>
      <w:pPr>
        <w:spacing w:line="490" w:lineRule="exact"/>
        <w:ind w:firstLine="420" w:firstLineChars="200"/>
        <w:rPr>
          <w:kern w:val="0"/>
          <w:szCs w:val="21"/>
          <w:highlight w:val="none"/>
        </w:rPr>
      </w:pPr>
      <w:r>
        <w:rPr>
          <w:kern w:val="0"/>
          <w:szCs w:val="21"/>
          <w:highlight w:val="none"/>
        </w:rPr>
        <w:t>13.7.2 工程实施过程中，单位工程、主要分部工程、重要隐蔽单元工程和关键部位单元工程的项目划分需要调整时，承包人应报发包人确认。</w:t>
      </w:r>
    </w:p>
    <w:p>
      <w:pPr>
        <w:spacing w:line="490" w:lineRule="exact"/>
        <w:ind w:firstLine="420" w:firstLineChars="200"/>
        <w:rPr>
          <w:kern w:val="0"/>
          <w:szCs w:val="21"/>
          <w:highlight w:val="none"/>
        </w:rPr>
      </w:pPr>
      <w:r>
        <w:rPr>
          <w:kern w:val="0"/>
          <w:szCs w:val="21"/>
          <w:highlight w:val="none"/>
        </w:rPr>
        <w:t>13.7.3 承包人应在单元（工序）工程质量自评合格后，报监理人核定质量等级并签证认可。</w:t>
      </w:r>
    </w:p>
    <w:p>
      <w:pPr>
        <w:spacing w:line="490" w:lineRule="exact"/>
        <w:ind w:firstLine="420" w:firstLineChars="200"/>
        <w:rPr>
          <w:kern w:val="0"/>
          <w:szCs w:val="21"/>
          <w:highlight w:val="none"/>
        </w:rPr>
      </w:pPr>
      <w:r>
        <w:rPr>
          <w:kern w:val="0"/>
          <w:szCs w:val="21"/>
          <w:highlight w:val="none"/>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spacing w:line="490" w:lineRule="exact"/>
        <w:ind w:firstLine="420" w:firstLineChars="200"/>
        <w:rPr>
          <w:kern w:val="0"/>
          <w:szCs w:val="21"/>
          <w:highlight w:val="none"/>
        </w:rPr>
      </w:pPr>
      <w:r>
        <w:rPr>
          <w:kern w:val="0"/>
          <w:szCs w:val="21"/>
          <w:highlight w:val="none"/>
        </w:rPr>
        <w:t>13.7.5 承包人应在分部工程质量自评合格后，报监理人复核和发包人认定。发包人负责按有关规定完成分部工程质量结论报工程质量监督机构核备（核定）手续。</w:t>
      </w:r>
    </w:p>
    <w:p>
      <w:pPr>
        <w:spacing w:line="490" w:lineRule="exact"/>
        <w:ind w:firstLine="420" w:firstLineChars="200"/>
        <w:rPr>
          <w:kern w:val="0"/>
          <w:szCs w:val="21"/>
          <w:highlight w:val="none"/>
        </w:rPr>
      </w:pPr>
      <w:r>
        <w:rPr>
          <w:kern w:val="0"/>
          <w:szCs w:val="21"/>
          <w:highlight w:val="none"/>
        </w:rPr>
        <w:t>13.7.6 承包人应在单位工程质量自评合格后，报监理人复核和发包人认定。发包人负责按有关规定完成单位工程质量结论报工程质量监督机构核定手续。</w:t>
      </w:r>
    </w:p>
    <w:p>
      <w:pPr>
        <w:spacing w:line="490" w:lineRule="exact"/>
        <w:ind w:firstLine="420" w:firstLineChars="200"/>
        <w:rPr>
          <w:kern w:val="0"/>
          <w:szCs w:val="21"/>
          <w:highlight w:val="none"/>
        </w:rPr>
      </w:pPr>
      <w:r>
        <w:rPr>
          <w:kern w:val="0"/>
          <w:szCs w:val="21"/>
          <w:highlight w:val="none"/>
        </w:rPr>
        <w:t>13.7.7 除专用合同条款另有约定外，工程质量等级分为合格和优良，应分别达到约定的标准。</w:t>
      </w:r>
    </w:p>
    <w:p>
      <w:pPr>
        <w:spacing w:line="490" w:lineRule="exact"/>
        <w:ind w:firstLine="422" w:firstLineChars="200"/>
        <w:outlineLvl w:val="3"/>
        <w:rPr>
          <w:b/>
          <w:bCs/>
          <w:kern w:val="0"/>
          <w:szCs w:val="21"/>
          <w:highlight w:val="none"/>
        </w:rPr>
      </w:pPr>
      <w:bookmarkStart w:id="390" w:name="_Toc511318125"/>
      <w:r>
        <w:rPr>
          <w:b/>
          <w:bCs/>
          <w:kern w:val="0"/>
          <w:szCs w:val="21"/>
          <w:highlight w:val="none"/>
        </w:rPr>
        <w:t>13.8 质量事故处理</w:t>
      </w:r>
      <w:bookmarkEnd w:id="390"/>
    </w:p>
    <w:p>
      <w:pPr>
        <w:spacing w:line="490" w:lineRule="exact"/>
        <w:ind w:firstLine="420" w:firstLineChars="200"/>
        <w:rPr>
          <w:kern w:val="0"/>
          <w:szCs w:val="21"/>
          <w:highlight w:val="none"/>
        </w:rPr>
      </w:pPr>
      <w:r>
        <w:rPr>
          <w:kern w:val="0"/>
          <w:szCs w:val="21"/>
          <w:highlight w:val="none"/>
        </w:rPr>
        <w:t>13.8.1 发生质量事故时，承包人应及时向发包人和监理人报告。</w:t>
      </w:r>
    </w:p>
    <w:p>
      <w:pPr>
        <w:spacing w:line="490" w:lineRule="exact"/>
        <w:ind w:firstLine="420" w:firstLineChars="200"/>
        <w:rPr>
          <w:kern w:val="0"/>
          <w:szCs w:val="21"/>
          <w:highlight w:val="none"/>
        </w:rPr>
      </w:pPr>
      <w:r>
        <w:rPr>
          <w:kern w:val="0"/>
          <w:szCs w:val="21"/>
          <w:highlight w:val="none"/>
        </w:rPr>
        <w:t>13.8.2 质量事故调查处理由发包人按相关规定履行手续，承包人应配合。</w:t>
      </w:r>
    </w:p>
    <w:p>
      <w:pPr>
        <w:spacing w:line="490" w:lineRule="exact"/>
        <w:ind w:firstLine="420" w:firstLineChars="200"/>
        <w:rPr>
          <w:kern w:val="0"/>
          <w:szCs w:val="21"/>
          <w:highlight w:val="none"/>
        </w:rPr>
      </w:pPr>
      <w:r>
        <w:rPr>
          <w:kern w:val="0"/>
          <w:szCs w:val="21"/>
          <w:highlight w:val="none"/>
        </w:rPr>
        <w:t>13.8.3 承包人应对质量缺陷进行备案。发包人委托监理人对质量缺陷备案情况进行监督检查并履行相关手续。</w:t>
      </w:r>
    </w:p>
    <w:p>
      <w:pPr>
        <w:spacing w:line="490" w:lineRule="exact"/>
        <w:ind w:firstLine="420" w:firstLineChars="200"/>
        <w:rPr>
          <w:kern w:val="0"/>
          <w:szCs w:val="21"/>
          <w:highlight w:val="none"/>
        </w:rPr>
      </w:pPr>
      <w:r>
        <w:rPr>
          <w:kern w:val="0"/>
          <w:szCs w:val="21"/>
          <w:highlight w:val="none"/>
        </w:rPr>
        <w:t>13.8.4 除专用合同条款另有约定外，工程竣工验收时，发包人负责向竣工验收委员会汇报并提交历次质量缺陷处理的备案资料。</w:t>
      </w:r>
    </w:p>
    <w:p>
      <w:pPr>
        <w:pStyle w:val="5"/>
        <w:keepNext w:val="0"/>
        <w:keepLines w:val="0"/>
        <w:spacing w:before="0" w:after="0" w:line="490" w:lineRule="exact"/>
        <w:ind w:firstLine="422" w:firstLineChars="200"/>
        <w:rPr>
          <w:bCs w:val="0"/>
          <w:color w:val="auto"/>
          <w:sz w:val="21"/>
          <w:szCs w:val="21"/>
          <w:highlight w:val="none"/>
        </w:rPr>
      </w:pPr>
      <w:bookmarkStart w:id="391" w:name="_Toc25666"/>
      <w:bookmarkStart w:id="392" w:name="_Toc189386194"/>
      <w:bookmarkStart w:id="393" w:name="_Toc6860"/>
      <w:r>
        <w:rPr>
          <w:bCs w:val="0"/>
          <w:color w:val="auto"/>
          <w:sz w:val="21"/>
          <w:szCs w:val="21"/>
          <w:highlight w:val="none"/>
        </w:rPr>
        <w:t>14</w:t>
      </w:r>
      <w:r>
        <w:rPr>
          <w:rFonts w:hint="eastAsia"/>
          <w:bCs w:val="0"/>
          <w:color w:val="auto"/>
          <w:sz w:val="21"/>
          <w:szCs w:val="21"/>
          <w:highlight w:val="none"/>
        </w:rPr>
        <w:t>.</w:t>
      </w:r>
      <w:r>
        <w:rPr>
          <w:bCs w:val="0"/>
          <w:color w:val="auto"/>
          <w:sz w:val="21"/>
          <w:szCs w:val="21"/>
          <w:highlight w:val="none"/>
        </w:rPr>
        <w:t>试验和检验</w:t>
      </w:r>
      <w:bookmarkEnd w:id="391"/>
      <w:bookmarkEnd w:id="392"/>
      <w:bookmarkEnd w:id="393"/>
    </w:p>
    <w:p>
      <w:pPr>
        <w:spacing w:line="490" w:lineRule="exact"/>
        <w:ind w:firstLine="422" w:firstLineChars="200"/>
        <w:outlineLvl w:val="3"/>
        <w:rPr>
          <w:b/>
          <w:bCs/>
          <w:kern w:val="0"/>
          <w:szCs w:val="21"/>
          <w:highlight w:val="none"/>
        </w:rPr>
      </w:pPr>
      <w:bookmarkStart w:id="394" w:name="_Toc189386195"/>
      <w:r>
        <w:rPr>
          <w:b/>
          <w:bCs/>
          <w:kern w:val="0"/>
          <w:szCs w:val="21"/>
          <w:highlight w:val="none"/>
        </w:rPr>
        <w:t>14.1材料、工程设备和工程的试验和检验</w:t>
      </w:r>
      <w:bookmarkEnd w:id="394"/>
    </w:p>
    <w:p>
      <w:pPr>
        <w:spacing w:line="490" w:lineRule="exact"/>
        <w:ind w:firstLine="420" w:firstLineChars="200"/>
        <w:rPr>
          <w:kern w:val="0"/>
          <w:szCs w:val="21"/>
          <w:highlight w:val="none"/>
        </w:rPr>
      </w:pPr>
      <w:r>
        <w:rPr>
          <w:kern w:val="0"/>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490" w:lineRule="exact"/>
        <w:ind w:firstLine="420" w:firstLineChars="200"/>
        <w:rPr>
          <w:kern w:val="0"/>
          <w:szCs w:val="21"/>
          <w:highlight w:val="none"/>
        </w:rPr>
      </w:pPr>
      <w:r>
        <w:rPr>
          <w:kern w:val="0"/>
          <w:szCs w:val="21"/>
          <w:highlight w:val="none"/>
        </w:rPr>
        <w:t>14.1.2 监理人未按合同约定派员参加试验和检验的，除监理人另有指示外，承包人可自行试验和检验，并应立即将试验和检验结果报送监理人，监理人应签字确认。</w:t>
      </w:r>
    </w:p>
    <w:p>
      <w:pPr>
        <w:spacing w:line="490" w:lineRule="exact"/>
        <w:ind w:firstLine="420" w:firstLineChars="200"/>
        <w:rPr>
          <w:kern w:val="0"/>
          <w:szCs w:val="21"/>
          <w:highlight w:val="none"/>
        </w:rPr>
      </w:pPr>
      <w:r>
        <w:rPr>
          <w:kern w:val="0"/>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490" w:lineRule="exact"/>
        <w:ind w:firstLine="420" w:firstLineChars="200"/>
        <w:rPr>
          <w:kern w:val="0"/>
          <w:szCs w:val="21"/>
          <w:highlight w:val="none"/>
        </w:rPr>
      </w:pPr>
      <w:r>
        <w:rPr>
          <w:kern w:val="0"/>
          <w:szCs w:val="21"/>
          <w:highlight w:val="none"/>
        </w:rPr>
        <w:t>14.1.4 承包人应按相关规定和标准对水泥、钢材等原材料与中间产品质量进行检验，并报监理人复核。</w:t>
      </w:r>
    </w:p>
    <w:p>
      <w:pPr>
        <w:spacing w:line="490" w:lineRule="exact"/>
        <w:ind w:firstLine="420" w:firstLineChars="200"/>
        <w:rPr>
          <w:kern w:val="0"/>
          <w:szCs w:val="21"/>
          <w:highlight w:val="none"/>
        </w:rPr>
      </w:pPr>
      <w:r>
        <w:rPr>
          <w:kern w:val="0"/>
          <w:szCs w:val="21"/>
          <w:highlight w:val="none"/>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spacing w:line="490" w:lineRule="exact"/>
        <w:ind w:firstLine="420" w:firstLineChars="200"/>
        <w:rPr>
          <w:kern w:val="0"/>
          <w:szCs w:val="21"/>
          <w:highlight w:val="none"/>
        </w:rPr>
      </w:pPr>
      <w:r>
        <w:rPr>
          <w:kern w:val="0"/>
          <w:szCs w:val="21"/>
          <w:highlight w:val="none"/>
        </w:rPr>
        <w:t>14.1.6 对专用合同条款约定的试块、试件及有关材料，监理人实行见证取样。见证取样资料由承包人制备，记录应真实齐全，监理人、承包人等参与见证取样人员均应在相关文件上签字。</w:t>
      </w:r>
    </w:p>
    <w:p>
      <w:pPr>
        <w:spacing w:line="490" w:lineRule="exact"/>
        <w:ind w:firstLine="422" w:firstLineChars="200"/>
        <w:outlineLvl w:val="3"/>
        <w:rPr>
          <w:b/>
          <w:bCs/>
          <w:kern w:val="0"/>
          <w:szCs w:val="21"/>
          <w:highlight w:val="none"/>
        </w:rPr>
      </w:pPr>
      <w:bookmarkStart w:id="395" w:name="_Toc189386196"/>
      <w:r>
        <w:rPr>
          <w:b/>
          <w:bCs/>
          <w:kern w:val="0"/>
          <w:szCs w:val="21"/>
          <w:highlight w:val="none"/>
        </w:rPr>
        <w:t>14.2 现场材料试验</w:t>
      </w:r>
      <w:bookmarkEnd w:id="395"/>
    </w:p>
    <w:p>
      <w:pPr>
        <w:spacing w:line="490" w:lineRule="exact"/>
        <w:ind w:firstLine="420" w:firstLineChars="200"/>
        <w:rPr>
          <w:kern w:val="0"/>
          <w:szCs w:val="21"/>
          <w:highlight w:val="none"/>
        </w:rPr>
      </w:pPr>
      <w:r>
        <w:rPr>
          <w:kern w:val="0"/>
          <w:szCs w:val="21"/>
          <w:highlight w:val="none"/>
        </w:rPr>
        <w:t>14.2.1 承包人根据合同约定或监理人指示进行的现场材料试验，应由承包人提供试验场所、试验人员、试验设备器材以及其他必要的试验条件。</w:t>
      </w:r>
    </w:p>
    <w:p>
      <w:pPr>
        <w:spacing w:line="490" w:lineRule="exact"/>
        <w:ind w:firstLine="420" w:firstLineChars="200"/>
        <w:rPr>
          <w:kern w:val="0"/>
          <w:szCs w:val="21"/>
          <w:highlight w:val="none"/>
        </w:rPr>
      </w:pPr>
      <w:r>
        <w:rPr>
          <w:kern w:val="0"/>
          <w:szCs w:val="21"/>
          <w:highlight w:val="none"/>
        </w:rPr>
        <w:t>14.2.2 监理人在必要时可以使用承包人的试验场所、试验设备器材以及其他试验条件，进行以工程质量检查为目的的复核性材料试验，承包人应予以协助。</w:t>
      </w:r>
    </w:p>
    <w:p>
      <w:pPr>
        <w:spacing w:line="490" w:lineRule="exact"/>
        <w:ind w:firstLine="422" w:firstLineChars="200"/>
        <w:outlineLvl w:val="3"/>
        <w:rPr>
          <w:b/>
          <w:bCs/>
          <w:kern w:val="0"/>
          <w:szCs w:val="21"/>
          <w:highlight w:val="none"/>
        </w:rPr>
      </w:pPr>
      <w:bookmarkStart w:id="396" w:name="_Toc189386197"/>
      <w:r>
        <w:rPr>
          <w:b/>
          <w:bCs/>
          <w:kern w:val="0"/>
          <w:szCs w:val="21"/>
          <w:highlight w:val="none"/>
        </w:rPr>
        <w:t>14.3 现场工艺试验</w:t>
      </w:r>
      <w:bookmarkEnd w:id="396"/>
    </w:p>
    <w:p>
      <w:pPr>
        <w:spacing w:line="490" w:lineRule="exact"/>
        <w:ind w:firstLine="420" w:firstLineChars="200"/>
        <w:rPr>
          <w:kern w:val="0"/>
          <w:szCs w:val="21"/>
          <w:highlight w:val="none"/>
        </w:rPr>
      </w:pPr>
      <w:r>
        <w:rPr>
          <w:kern w:val="0"/>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5"/>
        <w:keepNext w:val="0"/>
        <w:keepLines w:val="0"/>
        <w:spacing w:before="0" w:after="0" w:line="490" w:lineRule="exact"/>
        <w:ind w:firstLine="422" w:firstLineChars="200"/>
        <w:rPr>
          <w:bCs w:val="0"/>
          <w:color w:val="auto"/>
          <w:sz w:val="21"/>
          <w:szCs w:val="21"/>
          <w:highlight w:val="none"/>
        </w:rPr>
      </w:pPr>
      <w:bookmarkStart w:id="397" w:name="_Toc4723"/>
      <w:bookmarkStart w:id="398" w:name="_Toc23482"/>
      <w:bookmarkStart w:id="399" w:name="_Toc189386198"/>
      <w:r>
        <w:rPr>
          <w:bCs w:val="0"/>
          <w:color w:val="auto"/>
          <w:sz w:val="21"/>
          <w:szCs w:val="21"/>
          <w:highlight w:val="none"/>
        </w:rPr>
        <w:t>15</w:t>
      </w:r>
      <w:r>
        <w:rPr>
          <w:rFonts w:hint="eastAsia"/>
          <w:bCs w:val="0"/>
          <w:color w:val="auto"/>
          <w:sz w:val="21"/>
          <w:szCs w:val="21"/>
          <w:highlight w:val="none"/>
        </w:rPr>
        <w:t>.</w:t>
      </w:r>
      <w:r>
        <w:rPr>
          <w:bCs w:val="0"/>
          <w:color w:val="auto"/>
          <w:sz w:val="21"/>
          <w:szCs w:val="21"/>
          <w:highlight w:val="none"/>
        </w:rPr>
        <w:t>变更</w:t>
      </w:r>
      <w:bookmarkEnd w:id="397"/>
      <w:bookmarkEnd w:id="398"/>
      <w:bookmarkEnd w:id="399"/>
    </w:p>
    <w:p>
      <w:pPr>
        <w:spacing w:line="490" w:lineRule="exact"/>
        <w:ind w:firstLine="422" w:firstLineChars="200"/>
        <w:outlineLvl w:val="3"/>
        <w:rPr>
          <w:b/>
          <w:bCs/>
          <w:kern w:val="0"/>
          <w:szCs w:val="21"/>
          <w:highlight w:val="none"/>
        </w:rPr>
      </w:pPr>
      <w:bookmarkStart w:id="400" w:name="_Toc189386199"/>
      <w:bookmarkStart w:id="401" w:name="_Toc511318128"/>
      <w:r>
        <w:rPr>
          <w:b/>
          <w:bCs/>
          <w:kern w:val="0"/>
          <w:szCs w:val="21"/>
          <w:highlight w:val="none"/>
        </w:rPr>
        <w:t>15.1 变更的范围和内容</w:t>
      </w:r>
      <w:bookmarkEnd w:id="400"/>
      <w:bookmarkEnd w:id="401"/>
    </w:p>
    <w:p>
      <w:pPr>
        <w:spacing w:line="490" w:lineRule="exact"/>
        <w:ind w:firstLine="420" w:firstLineChars="200"/>
        <w:rPr>
          <w:kern w:val="0"/>
          <w:szCs w:val="21"/>
          <w:highlight w:val="none"/>
        </w:rPr>
      </w:pPr>
      <w:r>
        <w:rPr>
          <w:kern w:val="0"/>
          <w:szCs w:val="21"/>
          <w:highlight w:val="none"/>
        </w:rPr>
        <w:t>在履行合同中发生以下情形之一，应按照本款规定进行变更。</w:t>
      </w:r>
    </w:p>
    <w:p>
      <w:pPr>
        <w:spacing w:line="490" w:lineRule="exact"/>
        <w:ind w:firstLine="420" w:firstLineChars="200"/>
        <w:rPr>
          <w:kern w:val="0"/>
          <w:szCs w:val="21"/>
          <w:highlight w:val="none"/>
        </w:rPr>
      </w:pPr>
      <w:r>
        <w:rPr>
          <w:kern w:val="0"/>
          <w:szCs w:val="21"/>
          <w:highlight w:val="none"/>
        </w:rPr>
        <w:t>（1）取消合同中任何一项工作，但被取消的工作不能转由发包人或其它人实施；</w:t>
      </w:r>
    </w:p>
    <w:p>
      <w:pPr>
        <w:spacing w:line="490" w:lineRule="exact"/>
        <w:ind w:firstLine="420" w:firstLineChars="200"/>
        <w:rPr>
          <w:kern w:val="0"/>
          <w:szCs w:val="21"/>
          <w:highlight w:val="none"/>
        </w:rPr>
      </w:pPr>
      <w:r>
        <w:rPr>
          <w:kern w:val="0"/>
          <w:szCs w:val="21"/>
          <w:highlight w:val="none"/>
        </w:rPr>
        <w:t>（2）改变合同中任何一项工作的质量或其它特性；</w:t>
      </w:r>
    </w:p>
    <w:p>
      <w:pPr>
        <w:spacing w:line="490" w:lineRule="exact"/>
        <w:ind w:firstLine="420" w:firstLineChars="200"/>
        <w:rPr>
          <w:kern w:val="0"/>
          <w:szCs w:val="21"/>
          <w:highlight w:val="none"/>
        </w:rPr>
      </w:pPr>
      <w:r>
        <w:rPr>
          <w:kern w:val="0"/>
          <w:szCs w:val="21"/>
          <w:highlight w:val="none"/>
        </w:rPr>
        <w:t>（3）改变合同工程的基线、标高、位置或尺寸；</w:t>
      </w:r>
    </w:p>
    <w:p>
      <w:pPr>
        <w:spacing w:line="490" w:lineRule="exact"/>
        <w:ind w:firstLine="420" w:firstLineChars="200"/>
        <w:rPr>
          <w:kern w:val="0"/>
          <w:szCs w:val="21"/>
          <w:highlight w:val="none"/>
        </w:rPr>
      </w:pPr>
      <w:r>
        <w:rPr>
          <w:kern w:val="0"/>
          <w:szCs w:val="21"/>
          <w:highlight w:val="none"/>
        </w:rPr>
        <w:t>（4）改变合同中任何一项工作的施工时间或改变已批准的施工工艺或顺序；</w:t>
      </w:r>
    </w:p>
    <w:p>
      <w:pPr>
        <w:spacing w:line="490" w:lineRule="exact"/>
        <w:ind w:firstLine="420" w:firstLineChars="200"/>
        <w:rPr>
          <w:kern w:val="0"/>
          <w:szCs w:val="21"/>
          <w:highlight w:val="none"/>
        </w:rPr>
      </w:pPr>
      <w:r>
        <w:rPr>
          <w:kern w:val="0"/>
          <w:szCs w:val="21"/>
          <w:highlight w:val="none"/>
        </w:rPr>
        <w:t>（5）为完成工程需要追加的额外工作；</w:t>
      </w:r>
    </w:p>
    <w:p>
      <w:pPr>
        <w:spacing w:line="490" w:lineRule="exact"/>
        <w:ind w:firstLine="420" w:firstLineChars="200"/>
        <w:rPr>
          <w:kern w:val="0"/>
          <w:szCs w:val="21"/>
          <w:highlight w:val="none"/>
        </w:rPr>
      </w:pPr>
      <w:r>
        <w:rPr>
          <w:kern w:val="0"/>
          <w:szCs w:val="21"/>
          <w:highlight w:val="none"/>
        </w:rPr>
        <w:t>（6）增加或减少专用合同条款中约定的关键项目工程量超过其工程总量的一定数量百分比。</w:t>
      </w:r>
    </w:p>
    <w:p>
      <w:pPr>
        <w:spacing w:line="490" w:lineRule="exact"/>
        <w:ind w:firstLine="420" w:firstLineChars="200"/>
        <w:rPr>
          <w:kern w:val="0"/>
          <w:szCs w:val="21"/>
          <w:highlight w:val="none"/>
        </w:rPr>
      </w:pPr>
      <w:r>
        <w:rPr>
          <w:kern w:val="0"/>
          <w:szCs w:val="21"/>
          <w:highlight w:val="none"/>
        </w:rPr>
        <w:t>上述第（1）～（6）目的变更内容引起工程施工组织和进度计划发生实质性变动和影响其原定的价格时，才予调整该项目的单价。第（6）目情形下单价调整方式在专用合同条款中约定。</w:t>
      </w:r>
    </w:p>
    <w:p>
      <w:pPr>
        <w:spacing w:line="490" w:lineRule="exact"/>
        <w:ind w:firstLine="422" w:firstLineChars="200"/>
        <w:outlineLvl w:val="3"/>
        <w:rPr>
          <w:b/>
          <w:bCs/>
          <w:kern w:val="0"/>
          <w:szCs w:val="21"/>
          <w:highlight w:val="none"/>
        </w:rPr>
      </w:pPr>
      <w:bookmarkStart w:id="402" w:name="_Toc511318129"/>
      <w:bookmarkStart w:id="403" w:name="_Toc189386200"/>
      <w:r>
        <w:rPr>
          <w:b/>
          <w:bCs/>
          <w:kern w:val="0"/>
          <w:szCs w:val="21"/>
          <w:highlight w:val="none"/>
        </w:rPr>
        <w:t>15.2 变更权</w:t>
      </w:r>
      <w:bookmarkEnd w:id="402"/>
      <w:bookmarkEnd w:id="403"/>
    </w:p>
    <w:p>
      <w:pPr>
        <w:spacing w:line="490" w:lineRule="exact"/>
        <w:ind w:firstLine="420" w:firstLineChars="200"/>
        <w:rPr>
          <w:kern w:val="0"/>
          <w:szCs w:val="21"/>
          <w:highlight w:val="none"/>
        </w:rPr>
      </w:pPr>
      <w:r>
        <w:rPr>
          <w:kern w:val="0"/>
          <w:szCs w:val="21"/>
          <w:highlight w:val="none"/>
        </w:rPr>
        <w:t>在履行合同过程中，经发包人同意，监理人可按第15.3款约定的变更程序向承包人作出变更指示，承包人应遵照执行。没有监理人的变更指示，承包人不得擅自变更。</w:t>
      </w:r>
    </w:p>
    <w:p>
      <w:pPr>
        <w:spacing w:line="490" w:lineRule="exact"/>
        <w:ind w:firstLine="422" w:firstLineChars="200"/>
        <w:outlineLvl w:val="3"/>
        <w:rPr>
          <w:b/>
          <w:bCs/>
          <w:kern w:val="0"/>
          <w:szCs w:val="21"/>
          <w:highlight w:val="none"/>
        </w:rPr>
      </w:pPr>
      <w:bookmarkStart w:id="404" w:name="_Toc511318130"/>
      <w:bookmarkStart w:id="405" w:name="_Toc189386201"/>
      <w:r>
        <w:rPr>
          <w:b/>
          <w:bCs/>
          <w:kern w:val="0"/>
          <w:szCs w:val="21"/>
          <w:highlight w:val="none"/>
        </w:rPr>
        <w:t>15.3 变更程序</w:t>
      </w:r>
      <w:bookmarkEnd w:id="404"/>
      <w:bookmarkEnd w:id="405"/>
    </w:p>
    <w:p>
      <w:pPr>
        <w:spacing w:line="490" w:lineRule="exact"/>
        <w:ind w:firstLine="422" w:firstLineChars="200"/>
        <w:rPr>
          <w:b/>
          <w:kern w:val="0"/>
          <w:szCs w:val="21"/>
          <w:highlight w:val="none"/>
        </w:rPr>
      </w:pPr>
      <w:r>
        <w:rPr>
          <w:b/>
          <w:kern w:val="0"/>
          <w:szCs w:val="21"/>
          <w:highlight w:val="none"/>
        </w:rPr>
        <w:t>15.3.1 变更的提出</w:t>
      </w:r>
    </w:p>
    <w:p>
      <w:pPr>
        <w:spacing w:line="490" w:lineRule="exact"/>
        <w:ind w:firstLine="420" w:firstLineChars="200"/>
        <w:rPr>
          <w:kern w:val="0"/>
          <w:szCs w:val="21"/>
          <w:highlight w:val="none"/>
        </w:rPr>
      </w:pPr>
      <w:r>
        <w:rPr>
          <w:kern w:val="0"/>
          <w:szCs w:val="21"/>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spacing w:line="490" w:lineRule="exact"/>
        <w:ind w:firstLine="420" w:firstLineChars="200"/>
        <w:rPr>
          <w:kern w:val="0"/>
          <w:szCs w:val="21"/>
          <w:highlight w:val="none"/>
        </w:rPr>
      </w:pPr>
      <w:r>
        <w:rPr>
          <w:kern w:val="0"/>
          <w:szCs w:val="21"/>
          <w:highlight w:val="none"/>
        </w:rPr>
        <w:t>（2）在合同履行过程中，发生第15.1款约定情形的，监理人应按照第15.3.3项约定向承包人发出变更指示。</w:t>
      </w:r>
    </w:p>
    <w:p>
      <w:pPr>
        <w:spacing w:line="490" w:lineRule="exact"/>
        <w:ind w:firstLine="420" w:firstLineChars="200"/>
        <w:rPr>
          <w:kern w:val="0"/>
          <w:szCs w:val="21"/>
          <w:highlight w:val="none"/>
        </w:rPr>
      </w:pPr>
      <w:r>
        <w:rPr>
          <w:kern w:val="0"/>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490" w:lineRule="exact"/>
        <w:ind w:firstLine="420" w:firstLineChars="200"/>
        <w:rPr>
          <w:kern w:val="0"/>
          <w:szCs w:val="21"/>
          <w:highlight w:val="none"/>
        </w:rPr>
      </w:pPr>
      <w:r>
        <w:rPr>
          <w:kern w:val="0"/>
          <w:szCs w:val="21"/>
          <w:highlight w:val="none"/>
        </w:rPr>
        <w:t>（4）若承包人收到监理人的变更意向书后认为难以实施此项变更，应立即通知监理人，说明原因并附详细依据。监理人与承包人和发包人协商后确定撤销、改变或不改变原变更意向书。</w:t>
      </w:r>
    </w:p>
    <w:p>
      <w:pPr>
        <w:spacing w:line="490" w:lineRule="exact"/>
        <w:ind w:firstLine="422" w:firstLineChars="200"/>
        <w:rPr>
          <w:b/>
          <w:kern w:val="0"/>
          <w:szCs w:val="21"/>
          <w:highlight w:val="none"/>
        </w:rPr>
      </w:pPr>
      <w:r>
        <w:rPr>
          <w:b/>
          <w:kern w:val="0"/>
          <w:szCs w:val="21"/>
          <w:highlight w:val="none"/>
        </w:rPr>
        <w:t>15.3.2 变更估价</w:t>
      </w:r>
    </w:p>
    <w:p>
      <w:pPr>
        <w:spacing w:line="490" w:lineRule="exact"/>
        <w:ind w:firstLine="420" w:firstLineChars="200"/>
        <w:rPr>
          <w:kern w:val="0"/>
          <w:szCs w:val="21"/>
          <w:highlight w:val="none"/>
        </w:rPr>
      </w:pPr>
      <w:r>
        <w:rPr>
          <w:kern w:val="0"/>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490" w:lineRule="exact"/>
        <w:ind w:firstLine="420" w:firstLineChars="200"/>
        <w:rPr>
          <w:kern w:val="0"/>
          <w:szCs w:val="21"/>
          <w:highlight w:val="none"/>
        </w:rPr>
      </w:pPr>
      <w:r>
        <w:rPr>
          <w:kern w:val="0"/>
          <w:szCs w:val="21"/>
          <w:highlight w:val="none"/>
        </w:rPr>
        <w:t>（2）变更工作影响工期的，承包人应提出调整工期的具体细节。监理人认为有必要时，可要求承包人提交要求提前或延长工期的施工进度计划及相应施工措施等详细资料。</w:t>
      </w:r>
    </w:p>
    <w:p>
      <w:pPr>
        <w:spacing w:line="490" w:lineRule="exact"/>
        <w:ind w:firstLine="420" w:firstLineChars="200"/>
        <w:rPr>
          <w:kern w:val="0"/>
          <w:szCs w:val="21"/>
          <w:highlight w:val="none"/>
        </w:rPr>
      </w:pPr>
      <w:r>
        <w:rPr>
          <w:kern w:val="0"/>
          <w:szCs w:val="21"/>
          <w:highlight w:val="none"/>
        </w:rPr>
        <w:t>（3）除专用合同条款对期限另有约定外，监理人收到承包人变更报价书后的14 天内，根据第15.4款约定的估价原则，按照第3.5款商定或确定变更价格。</w:t>
      </w:r>
    </w:p>
    <w:p>
      <w:pPr>
        <w:spacing w:line="490" w:lineRule="exact"/>
        <w:ind w:firstLine="422" w:firstLineChars="200"/>
        <w:rPr>
          <w:b/>
          <w:kern w:val="0"/>
          <w:szCs w:val="21"/>
          <w:highlight w:val="none"/>
        </w:rPr>
      </w:pPr>
      <w:r>
        <w:rPr>
          <w:b/>
          <w:kern w:val="0"/>
          <w:szCs w:val="21"/>
          <w:highlight w:val="none"/>
        </w:rPr>
        <w:t>15.3.3 变更指示</w:t>
      </w:r>
    </w:p>
    <w:p>
      <w:pPr>
        <w:spacing w:line="490" w:lineRule="exact"/>
        <w:ind w:firstLine="420" w:firstLineChars="200"/>
        <w:rPr>
          <w:kern w:val="0"/>
          <w:szCs w:val="21"/>
          <w:highlight w:val="none"/>
        </w:rPr>
      </w:pPr>
      <w:r>
        <w:rPr>
          <w:kern w:val="0"/>
          <w:szCs w:val="21"/>
          <w:highlight w:val="none"/>
        </w:rPr>
        <w:t>（1）变更指示只能由监理人发出。</w:t>
      </w:r>
    </w:p>
    <w:p>
      <w:pPr>
        <w:spacing w:line="490" w:lineRule="exact"/>
        <w:ind w:firstLine="420" w:firstLineChars="200"/>
        <w:rPr>
          <w:kern w:val="0"/>
          <w:szCs w:val="21"/>
          <w:highlight w:val="none"/>
        </w:rPr>
      </w:pPr>
      <w:r>
        <w:rPr>
          <w:kern w:val="0"/>
          <w:szCs w:val="21"/>
          <w:highlight w:val="none"/>
        </w:rPr>
        <w:t>（2）变更指示应说明变更的目的、范围、变更内容以及变更的工程量及其进度和技术要求，并附有关图纸和文件。承包人收到变更指示后，应按变更指示进行变更工作。</w:t>
      </w:r>
    </w:p>
    <w:p>
      <w:pPr>
        <w:spacing w:line="490" w:lineRule="exact"/>
        <w:ind w:firstLine="422" w:firstLineChars="200"/>
        <w:outlineLvl w:val="3"/>
        <w:rPr>
          <w:b/>
          <w:bCs/>
          <w:kern w:val="0"/>
          <w:szCs w:val="21"/>
          <w:highlight w:val="none"/>
        </w:rPr>
      </w:pPr>
      <w:bookmarkStart w:id="406" w:name="_Toc511318131"/>
      <w:bookmarkStart w:id="407" w:name="_Toc189386202"/>
      <w:r>
        <w:rPr>
          <w:b/>
          <w:bCs/>
          <w:kern w:val="0"/>
          <w:szCs w:val="21"/>
          <w:highlight w:val="none"/>
        </w:rPr>
        <w:t>15.4 变更的估价原则</w:t>
      </w:r>
      <w:bookmarkEnd w:id="406"/>
      <w:bookmarkEnd w:id="407"/>
    </w:p>
    <w:p>
      <w:pPr>
        <w:spacing w:line="490" w:lineRule="exact"/>
        <w:ind w:firstLine="420" w:firstLineChars="200"/>
        <w:rPr>
          <w:kern w:val="0"/>
          <w:szCs w:val="21"/>
          <w:highlight w:val="none"/>
        </w:rPr>
      </w:pPr>
      <w:r>
        <w:rPr>
          <w:kern w:val="0"/>
          <w:szCs w:val="21"/>
          <w:highlight w:val="none"/>
        </w:rPr>
        <w:t>除专用合同条款另有约定外，因变更引起的价格调整按照本款约定处理。</w:t>
      </w:r>
    </w:p>
    <w:p>
      <w:pPr>
        <w:spacing w:line="490" w:lineRule="exact"/>
        <w:ind w:firstLine="420" w:firstLineChars="200"/>
        <w:rPr>
          <w:kern w:val="0"/>
          <w:szCs w:val="21"/>
          <w:highlight w:val="none"/>
        </w:rPr>
      </w:pPr>
      <w:r>
        <w:rPr>
          <w:kern w:val="0"/>
          <w:szCs w:val="21"/>
          <w:highlight w:val="none"/>
        </w:rPr>
        <w:t>15.4.1 已标价工程量清单中有适用于变更工作的子目的，采用该子目的单价。</w:t>
      </w:r>
    </w:p>
    <w:p>
      <w:pPr>
        <w:spacing w:line="490" w:lineRule="exact"/>
        <w:ind w:firstLine="420" w:firstLineChars="200"/>
        <w:rPr>
          <w:kern w:val="0"/>
          <w:szCs w:val="21"/>
          <w:highlight w:val="none"/>
        </w:rPr>
      </w:pPr>
      <w:r>
        <w:rPr>
          <w:kern w:val="0"/>
          <w:szCs w:val="21"/>
          <w:highlight w:val="none"/>
        </w:rPr>
        <w:t>15.4.2 已标价工程量清单中无适用于变更工作的子目，但有类似子目的，可在合理范围内参照类似子目的单价，由监理人按第3.5款商定或确定变更工作的单价。</w:t>
      </w:r>
    </w:p>
    <w:p>
      <w:pPr>
        <w:spacing w:line="490" w:lineRule="exact"/>
        <w:ind w:firstLine="420" w:firstLineChars="200"/>
        <w:rPr>
          <w:kern w:val="0"/>
          <w:szCs w:val="21"/>
          <w:highlight w:val="none"/>
        </w:rPr>
      </w:pPr>
      <w:r>
        <w:rPr>
          <w:kern w:val="0"/>
          <w:szCs w:val="21"/>
          <w:highlight w:val="none"/>
        </w:rPr>
        <w:t>15.4.3 已标价工程量清单中无适用或类似子目的单价，可按照成本加利润的原则，由监理人按第3.5款商定或确定变更工作的单价。</w:t>
      </w:r>
    </w:p>
    <w:p>
      <w:pPr>
        <w:spacing w:line="490" w:lineRule="exact"/>
        <w:ind w:firstLine="422" w:firstLineChars="200"/>
        <w:outlineLvl w:val="3"/>
        <w:rPr>
          <w:b/>
          <w:bCs/>
          <w:kern w:val="0"/>
          <w:szCs w:val="21"/>
          <w:highlight w:val="none"/>
        </w:rPr>
      </w:pPr>
      <w:bookmarkStart w:id="408" w:name="_Toc189386203"/>
      <w:bookmarkStart w:id="409" w:name="_Toc511318132"/>
      <w:r>
        <w:rPr>
          <w:b/>
          <w:bCs/>
          <w:kern w:val="0"/>
          <w:szCs w:val="21"/>
          <w:highlight w:val="none"/>
        </w:rPr>
        <w:t>15.5 承包人的合理化建议</w:t>
      </w:r>
      <w:bookmarkEnd w:id="408"/>
      <w:bookmarkEnd w:id="409"/>
    </w:p>
    <w:p>
      <w:pPr>
        <w:spacing w:line="490" w:lineRule="exact"/>
        <w:ind w:firstLine="420" w:firstLineChars="200"/>
        <w:rPr>
          <w:kern w:val="0"/>
          <w:szCs w:val="21"/>
          <w:highlight w:val="none"/>
        </w:rPr>
      </w:pPr>
      <w:r>
        <w:rPr>
          <w:kern w:val="0"/>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490" w:lineRule="exact"/>
        <w:ind w:firstLine="420" w:firstLineChars="200"/>
        <w:rPr>
          <w:kern w:val="0"/>
          <w:szCs w:val="21"/>
          <w:highlight w:val="none"/>
        </w:rPr>
      </w:pPr>
      <w:r>
        <w:rPr>
          <w:kern w:val="0"/>
          <w:szCs w:val="21"/>
          <w:highlight w:val="none"/>
        </w:rPr>
        <w:t>15.5.2 承包人提出的合理化建议降低了合同价格、缩短了工期或者提高了工程经济效益的，发包人可按国家有关规定在专用合同条款中约定给予奖励。</w:t>
      </w:r>
    </w:p>
    <w:p>
      <w:pPr>
        <w:spacing w:line="490" w:lineRule="exact"/>
        <w:ind w:firstLine="422" w:firstLineChars="200"/>
        <w:outlineLvl w:val="3"/>
        <w:rPr>
          <w:b/>
          <w:bCs/>
          <w:kern w:val="0"/>
          <w:szCs w:val="21"/>
          <w:highlight w:val="none"/>
        </w:rPr>
      </w:pPr>
      <w:bookmarkStart w:id="410" w:name="_Toc511318133"/>
      <w:bookmarkStart w:id="411" w:name="_Toc189386204"/>
      <w:r>
        <w:rPr>
          <w:b/>
          <w:bCs/>
          <w:kern w:val="0"/>
          <w:szCs w:val="21"/>
          <w:highlight w:val="none"/>
        </w:rPr>
        <w:t>15.6 暂列金额</w:t>
      </w:r>
      <w:bookmarkEnd w:id="410"/>
      <w:bookmarkEnd w:id="411"/>
    </w:p>
    <w:p>
      <w:pPr>
        <w:spacing w:line="490" w:lineRule="exact"/>
        <w:ind w:firstLine="420" w:firstLineChars="200"/>
        <w:rPr>
          <w:kern w:val="0"/>
          <w:szCs w:val="21"/>
          <w:highlight w:val="none"/>
        </w:rPr>
      </w:pPr>
      <w:r>
        <w:rPr>
          <w:kern w:val="0"/>
          <w:szCs w:val="21"/>
          <w:highlight w:val="none"/>
        </w:rPr>
        <w:t>暂列金额只能按照监理人的指示使用，并对合同价格进行相应调整。</w:t>
      </w:r>
    </w:p>
    <w:p>
      <w:pPr>
        <w:spacing w:line="490" w:lineRule="exact"/>
        <w:ind w:firstLine="422" w:firstLineChars="200"/>
        <w:outlineLvl w:val="3"/>
        <w:rPr>
          <w:b/>
          <w:bCs/>
          <w:kern w:val="0"/>
          <w:szCs w:val="21"/>
          <w:highlight w:val="none"/>
        </w:rPr>
      </w:pPr>
      <w:bookmarkStart w:id="412" w:name="_Toc189386205"/>
      <w:bookmarkStart w:id="413" w:name="_Toc511318134"/>
      <w:r>
        <w:rPr>
          <w:b/>
          <w:bCs/>
          <w:kern w:val="0"/>
          <w:szCs w:val="21"/>
          <w:highlight w:val="none"/>
        </w:rPr>
        <w:t>15.7 计日工</w:t>
      </w:r>
      <w:bookmarkEnd w:id="412"/>
      <w:bookmarkEnd w:id="413"/>
    </w:p>
    <w:p>
      <w:pPr>
        <w:spacing w:line="490" w:lineRule="exact"/>
        <w:ind w:firstLine="420" w:firstLineChars="200"/>
        <w:rPr>
          <w:kern w:val="0"/>
          <w:szCs w:val="21"/>
          <w:highlight w:val="none"/>
        </w:rPr>
      </w:pPr>
      <w:r>
        <w:rPr>
          <w:kern w:val="0"/>
          <w:szCs w:val="21"/>
          <w:highlight w:val="none"/>
        </w:rPr>
        <w:t>15.7.1 发包人认为有必要时，由监理人通知承包人以计日工方式实施变更的零星工作。其价款按列入已标价工程量清单中的计日工计价子目及其单价进行计算。</w:t>
      </w:r>
    </w:p>
    <w:p>
      <w:pPr>
        <w:spacing w:line="490" w:lineRule="exact"/>
        <w:ind w:firstLine="420" w:firstLineChars="200"/>
        <w:rPr>
          <w:kern w:val="0"/>
          <w:szCs w:val="21"/>
          <w:highlight w:val="none"/>
        </w:rPr>
      </w:pPr>
      <w:r>
        <w:rPr>
          <w:kern w:val="0"/>
          <w:szCs w:val="21"/>
          <w:highlight w:val="none"/>
        </w:rPr>
        <w:t>15.7.2 采用计日工计价的任何一项变更工作，应从暂列金额中支付，承包人应在该项变更的实施过程中，每天提交以下报表和有关凭证报送监理人审批：</w:t>
      </w:r>
    </w:p>
    <w:p>
      <w:pPr>
        <w:spacing w:line="490" w:lineRule="exact"/>
        <w:ind w:firstLine="420" w:firstLineChars="200"/>
        <w:rPr>
          <w:kern w:val="0"/>
          <w:szCs w:val="21"/>
          <w:highlight w:val="none"/>
        </w:rPr>
      </w:pPr>
      <w:r>
        <w:rPr>
          <w:kern w:val="0"/>
          <w:szCs w:val="21"/>
          <w:highlight w:val="none"/>
        </w:rPr>
        <w:t>（1）工作名称、内容和数量；</w:t>
      </w:r>
    </w:p>
    <w:p>
      <w:pPr>
        <w:spacing w:line="490" w:lineRule="exact"/>
        <w:ind w:firstLine="420" w:firstLineChars="200"/>
        <w:rPr>
          <w:kern w:val="0"/>
          <w:szCs w:val="21"/>
          <w:highlight w:val="none"/>
        </w:rPr>
      </w:pPr>
      <w:r>
        <w:rPr>
          <w:kern w:val="0"/>
          <w:szCs w:val="21"/>
          <w:highlight w:val="none"/>
        </w:rPr>
        <w:t>（2）投入该工作所有人员的姓名、工种、级别和耗用工时；</w:t>
      </w:r>
    </w:p>
    <w:p>
      <w:pPr>
        <w:spacing w:line="490" w:lineRule="exact"/>
        <w:ind w:firstLine="420" w:firstLineChars="200"/>
        <w:rPr>
          <w:kern w:val="0"/>
          <w:szCs w:val="21"/>
          <w:highlight w:val="none"/>
        </w:rPr>
      </w:pPr>
      <w:r>
        <w:rPr>
          <w:kern w:val="0"/>
          <w:szCs w:val="21"/>
          <w:highlight w:val="none"/>
        </w:rPr>
        <w:t>（3）投入该工作的材料类别和数量；</w:t>
      </w:r>
    </w:p>
    <w:p>
      <w:pPr>
        <w:spacing w:line="490" w:lineRule="exact"/>
        <w:ind w:firstLine="420" w:firstLineChars="200"/>
        <w:rPr>
          <w:kern w:val="0"/>
          <w:szCs w:val="21"/>
          <w:highlight w:val="none"/>
        </w:rPr>
      </w:pPr>
      <w:r>
        <w:rPr>
          <w:kern w:val="0"/>
          <w:szCs w:val="21"/>
          <w:highlight w:val="none"/>
        </w:rPr>
        <w:t>（4）投入该工作的施工设备型号、台数和耗用台时；</w:t>
      </w:r>
    </w:p>
    <w:p>
      <w:pPr>
        <w:spacing w:line="490" w:lineRule="exact"/>
        <w:ind w:firstLine="420" w:firstLineChars="200"/>
        <w:rPr>
          <w:kern w:val="0"/>
          <w:szCs w:val="21"/>
          <w:highlight w:val="none"/>
        </w:rPr>
      </w:pPr>
      <w:r>
        <w:rPr>
          <w:kern w:val="0"/>
          <w:szCs w:val="21"/>
          <w:highlight w:val="none"/>
        </w:rPr>
        <w:t>（5）监理人要求提交的其他资料和凭证。</w:t>
      </w:r>
    </w:p>
    <w:p>
      <w:pPr>
        <w:spacing w:line="490" w:lineRule="exact"/>
        <w:ind w:firstLine="420" w:firstLineChars="200"/>
        <w:rPr>
          <w:kern w:val="0"/>
          <w:szCs w:val="21"/>
          <w:highlight w:val="none"/>
        </w:rPr>
      </w:pPr>
      <w:r>
        <w:rPr>
          <w:kern w:val="0"/>
          <w:szCs w:val="21"/>
          <w:highlight w:val="none"/>
        </w:rPr>
        <w:t>15.7.3  计日工由承包人汇总后，按第17.3.2项的约定列入进度付款申请单，由监理人复核并经发包人同意后列入进度付款。</w:t>
      </w:r>
    </w:p>
    <w:p>
      <w:pPr>
        <w:spacing w:line="490" w:lineRule="exact"/>
        <w:ind w:firstLine="422" w:firstLineChars="200"/>
        <w:outlineLvl w:val="3"/>
        <w:rPr>
          <w:b/>
          <w:bCs/>
          <w:kern w:val="0"/>
          <w:szCs w:val="21"/>
          <w:highlight w:val="none"/>
        </w:rPr>
      </w:pPr>
      <w:bookmarkStart w:id="414" w:name="_Toc511318135"/>
      <w:bookmarkStart w:id="415" w:name="_Toc189386206"/>
      <w:r>
        <w:rPr>
          <w:b/>
          <w:bCs/>
          <w:kern w:val="0"/>
          <w:szCs w:val="21"/>
          <w:highlight w:val="none"/>
        </w:rPr>
        <w:t>15.8 暂估价</w:t>
      </w:r>
      <w:bookmarkEnd w:id="414"/>
      <w:bookmarkEnd w:id="415"/>
    </w:p>
    <w:p>
      <w:pPr>
        <w:spacing w:line="490" w:lineRule="exact"/>
        <w:ind w:firstLine="420" w:firstLineChars="200"/>
        <w:rPr>
          <w:kern w:val="0"/>
          <w:szCs w:val="21"/>
          <w:highlight w:val="none"/>
        </w:rPr>
      </w:pPr>
      <w:r>
        <w:rPr>
          <w:kern w:val="0"/>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spacing w:line="490" w:lineRule="exact"/>
        <w:ind w:firstLine="420" w:firstLineChars="200"/>
        <w:rPr>
          <w:kern w:val="0"/>
          <w:szCs w:val="21"/>
          <w:highlight w:val="none"/>
        </w:rPr>
      </w:pPr>
      <w:r>
        <w:rPr>
          <w:kern w:val="0"/>
          <w:szCs w:val="21"/>
          <w:highlight w:val="none"/>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spacing w:line="490" w:lineRule="exact"/>
        <w:ind w:firstLine="420" w:firstLineChars="200"/>
        <w:rPr>
          <w:kern w:val="0"/>
          <w:szCs w:val="21"/>
          <w:highlight w:val="none"/>
        </w:rPr>
      </w:pPr>
      <w:r>
        <w:rPr>
          <w:kern w:val="0"/>
          <w:szCs w:val="21"/>
          <w:highlight w:val="none"/>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5"/>
        <w:keepNext w:val="0"/>
        <w:keepLines w:val="0"/>
        <w:spacing w:before="0" w:after="0" w:line="490" w:lineRule="exact"/>
        <w:ind w:firstLine="422" w:firstLineChars="200"/>
        <w:rPr>
          <w:bCs w:val="0"/>
          <w:color w:val="auto"/>
          <w:sz w:val="21"/>
          <w:szCs w:val="21"/>
          <w:highlight w:val="none"/>
        </w:rPr>
      </w:pPr>
      <w:bookmarkStart w:id="416" w:name="_Toc21160"/>
      <w:bookmarkStart w:id="417" w:name="_Toc189386207"/>
      <w:bookmarkStart w:id="418" w:name="_Toc21240"/>
      <w:r>
        <w:rPr>
          <w:bCs w:val="0"/>
          <w:color w:val="auto"/>
          <w:sz w:val="21"/>
          <w:szCs w:val="21"/>
          <w:highlight w:val="none"/>
        </w:rPr>
        <w:t>16</w:t>
      </w:r>
      <w:r>
        <w:rPr>
          <w:rFonts w:hint="eastAsia"/>
          <w:bCs w:val="0"/>
          <w:color w:val="auto"/>
          <w:sz w:val="21"/>
          <w:szCs w:val="21"/>
          <w:highlight w:val="none"/>
        </w:rPr>
        <w:t>.</w:t>
      </w:r>
      <w:r>
        <w:rPr>
          <w:bCs w:val="0"/>
          <w:color w:val="auto"/>
          <w:sz w:val="21"/>
          <w:szCs w:val="21"/>
          <w:highlight w:val="none"/>
        </w:rPr>
        <w:t>价格调整</w:t>
      </w:r>
      <w:bookmarkEnd w:id="416"/>
      <w:bookmarkEnd w:id="417"/>
      <w:bookmarkEnd w:id="418"/>
    </w:p>
    <w:p>
      <w:pPr>
        <w:spacing w:line="490" w:lineRule="exact"/>
        <w:ind w:firstLine="422" w:firstLineChars="200"/>
        <w:outlineLvl w:val="3"/>
        <w:rPr>
          <w:b/>
          <w:bCs/>
          <w:kern w:val="0"/>
          <w:szCs w:val="21"/>
          <w:highlight w:val="none"/>
        </w:rPr>
      </w:pPr>
      <w:bookmarkStart w:id="419" w:name="_Toc511318137"/>
      <w:bookmarkStart w:id="420" w:name="_Toc189386208"/>
      <w:r>
        <w:rPr>
          <w:b/>
          <w:bCs/>
          <w:kern w:val="0"/>
          <w:szCs w:val="21"/>
          <w:highlight w:val="none"/>
        </w:rPr>
        <w:t>16.1 物价波动引起的价格调整</w:t>
      </w:r>
      <w:bookmarkEnd w:id="419"/>
      <w:bookmarkEnd w:id="420"/>
    </w:p>
    <w:p>
      <w:pPr>
        <w:spacing w:line="490" w:lineRule="exact"/>
        <w:ind w:firstLine="420" w:firstLineChars="200"/>
        <w:rPr>
          <w:kern w:val="0"/>
          <w:szCs w:val="21"/>
          <w:highlight w:val="none"/>
        </w:rPr>
      </w:pPr>
      <w:r>
        <w:rPr>
          <w:kern w:val="0"/>
          <w:szCs w:val="21"/>
          <w:highlight w:val="none"/>
        </w:rPr>
        <w:t>由于物价波动原因引起合同价格需要调整的，其价格调整方式在专用合同条款中约定。</w:t>
      </w:r>
    </w:p>
    <w:p>
      <w:pPr>
        <w:spacing w:line="490" w:lineRule="exact"/>
        <w:ind w:firstLine="422" w:firstLineChars="200"/>
        <w:rPr>
          <w:b/>
          <w:kern w:val="0"/>
          <w:szCs w:val="21"/>
          <w:highlight w:val="none"/>
        </w:rPr>
      </w:pPr>
      <w:r>
        <w:rPr>
          <w:b/>
          <w:kern w:val="0"/>
          <w:szCs w:val="21"/>
          <w:highlight w:val="none"/>
        </w:rPr>
        <w:t>16.1.1 采用价格指数调整价格差额</w:t>
      </w:r>
    </w:p>
    <w:p>
      <w:pPr>
        <w:spacing w:line="490" w:lineRule="exact"/>
        <w:ind w:firstLine="420" w:firstLineChars="200"/>
        <w:rPr>
          <w:kern w:val="0"/>
          <w:szCs w:val="21"/>
          <w:highlight w:val="none"/>
        </w:rPr>
      </w:pPr>
      <w:r>
        <w:rPr>
          <w:kern w:val="0"/>
          <w:szCs w:val="21"/>
          <w:highlight w:val="none"/>
        </w:rPr>
        <w:t>16.1.1.1 价格调整公式</w:t>
      </w:r>
    </w:p>
    <w:p>
      <w:pPr>
        <w:spacing w:line="490" w:lineRule="exact"/>
        <w:ind w:firstLine="420" w:firstLineChars="200"/>
        <w:rPr>
          <w:kern w:val="0"/>
          <w:szCs w:val="21"/>
          <w:highlight w:val="none"/>
        </w:rPr>
      </w:pPr>
      <w:r>
        <w:rPr>
          <w:kern w:val="0"/>
          <w:szCs w:val="21"/>
          <w:highlight w:val="none"/>
        </w:rPr>
        <w:t>因人工、材料和设备等价格波动影响合同价格时，根据投标函附录中的价格指数和权重表约定的数据，按以下公式计算差额并调整合同价格。</w:t>
      </w:r>
    </w:p>
    <w:p>
      <w:pPr>
        <w:spacing w:line="490" w:lineRule="exact"/>
        <w:ind w:firstLine="378" w:firstLineChars="200"/>
        <w:jc w:val="left"/>
        <w:rPr>
          <w:w w:val="90"/>
          <w:kern w:val="0"/>
          <w:szCs w:val="21"/>
          <w:highlight w:val="none"/>
        </w:rPr>
      </w:pPr>
      <w:r>
        <w:rPr>
          <w:w w:val="90"/>
          <w:kern w:val="0"/>
          <w:szCs w:val="21"/>
          <w:highlight w:val="none"/>
        </w:rPr>
        <w:t>ΔP＝P0[A＋（B1×Ft1/F01＋B2×Ft2/F02＋B3×Ft3/F03＋…＋Bn×Ftn/F0n）－1]</w:t>
      </w:r>
    </w:p>
    <w:p>
      <w:pPr>
        <w:spacing w:line="490" w:lineRule="exact"/>
        <w:ind w:firstLine="420" w:firstLineChars="200"/>
        <w:rPr>
          <w:kern w:val="0"/>
          <w:szCs w:val="21"/>
          <w:highlight w:val="none"/>
        </w:rPr>
      </w:pPr>
      <w:r>
        <w:rPr>
          <w:kern w:val="0"/>
          <w:szCs w:val="21"/>
          <w:highlight w:val="none"/>
        </w:rPr>
        <w:t>式中：</w:t>
      </w:r>
      <w:r>
        <w:rPr>
          <w:rFonts w:cs="Cambria Math"/>
          <w:kern w:val="0"/>
          <w:szCs w:val="21"/>
          <w:highlight w:val="none"/>
        </w:rPr>
        <w:t>△</w:t>
      </w:r>
      <w:r>
        <w:rPr>
          <w:kern w:val="0"/>
          <w:szCs w:val="21"/>
          <w:highlight w:val="none"/>
        </w:rPr>
        <w:t>P—需调整的价格差额；</w:t>
      </w:r>
    </w:p>
    <w:p>
      <w:pPr>
        <w:spacing w:line="490" w:lineRule="exact"/>
        <w:ind w:firstLine="1050" w:firstLineChars="500"/>
        <w:rPr>
          <w:kern w:val="0"/>
          <w:szCs w:val="21"/>
          <w:highlight w:val="none"/>
        </w:rPr>
      </w:pPr>
      <w:r>
        <w:rPr>
          <w:kern w:val="0"/>
          <w:szCs w:val="21"/>
          <w:highlight w:val="none"/>
        </w:rPr>
        <w:t>P0—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490" w:lineRule="exact"/>
        <w:ind w:firstLine="1029" w:firstLineChars="490"/>
        <w:rPr>
          <w:kern w:val="0"/>
          <w:szCs w:val="21"/>
          <w:highlight w:val="none"/>
        </w:rPr>
      </w:pPr>
      <w:r>
        <w:rPr>
          <w:kern w:val="0"/>
          <w:szCs w:val="21"/>
          <w:highlight w:val="none"/>
        </w:rPr>
        <w:t xml:space="preserve">A—定值权重（即不调部分的权重）； </w:t>
      </w:r>
    </w:p>
    <w:p>
      <w:pPr>
        <w:spacing w:line="490" w:lineRule="exact"/>
        <w:ind w:firstLine="1029" w:firstLineChars="490"/>
        <w:rPr>
          <w:kern w:val="0"/>
          <w:szCs w:val="21"/>
          <w:highlight w:val="none"/>
        </w:rPr>
      </w:pPr>
      <w:r>
        <w:rPr>
          <w:kern w:val="0"/>
          <w:szCs w:val="21"/>
          <w:highlight w:val="none"/>
        </w:rPr>
        <w:t xml:space="preserve">B1；B2；B3…Bn—各可调因子的变值权重（即可调部分的权重）为各调因子在投标函投标总报价中所占的比例； </w:t>
      </w:r>
    </w:p>
    <w:p>
      <w:pPr>
        <w:spacing w:line="490" w:lineRule="exact"/>
        <w:ind w:firstLine="1008" w:firstLineChars="480"/>
        <w:rPr>
          <w:kern w:val="0"/>
          <w:szCs w:val="21"/>
          <w:highlight w:val="none"/>
        </w:rPr>
      </w:pPr>
      <w:r>
        <w:rPr>
          <w:kern w:val="0"/>
          <w:szCs w:val="21"/>
          <w:highlight w:val="none"/>
        </w:rPr>
        <w:t xml:space="preserve">Ft1；Ft2；Ft3…Ftn—各可调因子的现行价格指数，指第17.3.3项、17.5.2项和第17.6.2项约定的付款证书相关周期最后一天的前42天的各可调因子的价格指数； </w:t>
      </w:r>
    </w:p>
    <w:p>
      <w:pPr>
        <w:spacing w:line="490" w:lineRule="exact"/>
        <w:ind w:firstLine="1008" w:firstLineChars="480"/>
        <w:rPr>
          <w:kern w:val="0"/>
          <w:szCs w:val="21"/>
          <w:highlight w:val="none"/>
        </w:rPr>
      </w:pPr>
      <w:r>
        <w:rPr>
          <w:kern w:val="0"/>
          <w:szCs w:val="21"/>
          <w:highlight w:val="none"/>
        </w:rPr>
        <w:t>F01；F02；F03…F0n—各可调因子的基本价格指数，指基准日期的各可调因子的价格指数。</w:t>
      </w:r>
    </w:p>
    <w:p>
      <w:pPr>
        <w:spacing w:line="490" w:lineRule="exact"/>
        <w:ind w:firstLine="420" w:firstLineChars="200"/>
        <w:rPr>
          <w:kern w:val="0"/>
          <w:szCs w:val="21"/>
          <w:highlight w:val="none"/>
        </w:rPr>
      </w:pPr>
      <w:r>
        <w:rPr>
          <w:kern w:val="0"/>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490" w:lineRule="exact"/>
        <w:ind w:firstLine="420" w:firstLineChars="200"/>
        <w:rPr>
          <w:kern w:val="0"/>
          <w:szCs w:val="21"/>
          <w:highlight w:val="none"/>
        </w:rPr>
      </w:pPr>
      <w:r>
        <w:rPr>
          <w:kern w:val="0"/>
          <w:szCs w:val="21"/>
          <w:highlight w:val="none"/>
        </w:rPr>
        <w:t>16.1.1.2 暂时确定调整差额</w:t>
      </w:r>
    </w:p>
    <w:p>
      <w:pPr>
        <w:spacing w:line="490" w:lineRule="exact"/>
        <w:ind w:firstLine="420" w:firstLineChars="200"/>
        <w:rPr>
          <w:kern w:val="0"/>
          <w:szCs w:val="21"/>
          <w:highlight w:val="none"/>
        </w:rPr>
      </w:pPr>
      <w:r>
        <w:rPr>
          <w:kern w:val="0"/>
          <w:szCs w:val="21"/>
          <w:highlight w:val="none"/>
        </w:rPr>
        <w:t>在计算调整差额时得不到现行价格指数的，可暂用上一次价格指数计算，并在以后的付款中再按实际价格指数进行调整。</w:t>
      </w:r>
    </w:p>
    <w:p>
      <w:pPr>
        <w:spacing w:line="490" w:lineRule="exact"/>
        <w:ind w:firstLine="420" w:firstLineChars="200"/>
        <w:rPr>
          <w:kern w:val="0"/>
          <w:szCs w:val="21"/>
          <w:highlight w:val="none"/>
        </w:rPr>
      </w:pPr>
      <w:r>
        <w:rPr>
          <w:kern w:val="0"/>
          <w:szCs w:val="21"/>
          <w:highlight w:val="none"/>
        </w:rPr>
        <w:t>16.1.1.3 权重的调整</w:t>
      </w:r>
    </w:p>
    <w:p>
      <w:pPr>
        <w:spacing w:line="490" w:lineRule="exact"/>
        <w:ind w:firstLine="420" w:firstLineChars="200"/>
        <w:rPr>
          <w:kern w:val="0"/>
          <w:szCs w:val="21"/>
          <w:highlight w:val="none"/>
        </w:rPr>
      </w:pPr>
      <w:r>
        <w:rPr>
          <w:kern w:val="0"/>
          <w:szCs w:val="21"/>
          <w:highlight w:val="none"/>
        </w:rPr>
        <w:t>按第15.1款约定的变更导致原定合同中的权重不合理时，由监理人与承包人和发包人协商后进行调整。</w:t>
      </w:r>
    </w:p>
    <w:p>
      <w:pPr>
        <w:spacing w:line="490" w:lineRule="exact"/>
        <w:ind w:firstLine="420" w:firstLineChars="200"/>
        <w:rPr>
          <w:kern w:val="0"/>
          <w:szCs w:val="21"/>
          <w:highlight w:val="none"/>
        </w:rPr>
      </w:pPr>
      <w:r>
        <w:rPr>
          <w:kern w:val="0"/>
          <w:szCs w:val="21"/>
          <w:highlight w:val="none"/>
        </w:rPr>
        <w:t>16.1.1.4 承包人工期延误后的价格调整</w:t>
      </w:r>
    </w:p>
    <w:p>
      <w:pPr>
        <w:spacing w:line="490" w:lineRule="exact"/>
        <w:ind w:firstLine="420" w:firstLineChars="200"/>
        <w:rPr>
          <w:kern w:val="0"/>
          <w:szCs w:val="21"/>
          <w:highlight w:val="none"/>
        </w:rPr>
      </w:pPr>
      <w:r>
        <w:rPr>
          <w:kern w:val="0"/>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490" w:lineRule="exact"/>
        <w:ind w:firstLine="422" w:firstLineChars="200"/>
        <w:rPr>
          <w:b/>
          <w:kern w:val="0"/>
          <w:szCs w:val="21"/>
          <w:highlight w:val="none"/>
        </w:rPr>
      </w:pPr>
      <w:r>
        <w:rPr>
          <w:b/>
          <w:kern w:val="0"/>
          <w:szCs w:val="21"/>
          <w:highlight w:val="none"/>
        </w:rPr>
        <w:t xml:space="preserve">16.1.2 采用造价信息调整价格差额 </w:t>
      </w:r>
    </w:p>
    <w:p>
      <w:pPr>
        <w:spacing w:line="490" w:lineRule="exact"/>
        <w:ind w:firstLine="420" w:firstLineChars="200"/>
        <w:rPr>
          <w:kern w:val="0"/>
          <w:szCs w:val="21"/>
          <w:highlight w:val="none"/>
        </w:rPr>
      </w:pPr>
      <w:r>
        <w:rPr>
          <w:kern w:val="0"/>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490" w:lineRule="exact"/>
        <w:ind w:firstLine="420" w:firstLineChars="200"/>
        <w:rPr>
          <w:kern w:val="0"/>
          <w:szCs w:val="21"/>
          <w:highlight w:val="none"/>
        </w:rPr>
      </w:pPr>
      <w:r>
        <w:rPr>
          <w:kern w:val="0"/>
          <w:szCs w:val="21"/>
          <w:highlight w:val="none"/>
        </w:rPr>
        <w:t>工程造价信息的来源以及价格调整的项目和系数在专用合同条款中约定。</w:t>
      </w:r>
    </w:p>
    <w:p>
      <w:pPr>
        <w:spacing w:line="490" w:lineRule="exact"/>
        <w:ind w:firstLine="422" w:firstLineChars="200"/>
        <w:outlineLvl w:val="3"/>
        <w:rPr>
          <w:b/>
          <w:bCs/>
          <w:kern w:val="0"/>
          <w:szCs w:val="21"/>
          <w:highlight w:val="none"/>
        </w:rPr>
      </w:pPr>
      <w:bookmarkStart w:id="421" w:name="_Toc511318138"/>
      <w:bookmarkStart w:id="422" w:name="_Toc189386209"/>
      <w:r>
        <w:rPr>
          <w:b/>
          <w:bCs/>
          <w:kern w:val="0"/>
          <w:szCs w:val="21"/>
          <w:highlight w:val="none"/>
        </w:rPr>
        <w:t>16.2 法律变化引起的价格调整</w:t>
      </w:r>
      <w:bookmarkEnd w:id="421"/>
      <w:bookmarkEnd w:id="422"/>
    </w:p>
    <w:p>
      <w:pPr>
        <w:spacing w:line="490" w:lineRule="exact"/>
        <w:ind w:firstLine="420" w:firstLineChars="200"/>
        <w:rPr>
          <w:kern w:val="0"/>
          <w:szCs w:val="21"/>
          <w:highlight w:val="none"/>
        </w:rPr>
      </w:pPr>
      <w:r>
        <w:rPr>
          <w:kern w:val="0"/>
          <w:szCs w:val="21"/>
          <w:highlight w:val="none"/>
        </w:rPr>
        <w:t>在基准日后，因法律变化导致承包人在合同履行中所需要的工程费用发生除第16.1 款约定以外的增减时，监理人应根据法律、国家或省、自治区、直辖市有关部门的规定，按第3.5款商定或确定需调整的合同价款。</w:t>
      </w:r>
    </w:p>
    <w:p>
      <w:pPr>
        <w:pStyle w:val="5"/>
        <w:keepNext w:val="0"/>
        <w:keepLines w:val="0"/>
        <w:spacing w:before="0" w:after="0" w:line="490" w:lineRule="exact"/>
        <w:ind w:firstLine="422" w:firstLineChars="200"/>
        <w:rPr>
          <w:bCs w:val="0"/>
          <w:color w:val="auto"/>
          <w:sz w:val="21"/>
          <w:szCs w:val="21"/>
          <w:highlight w:val="none"/>
        </w:rPr>
      </w:pPr>
      <w:bookmarkStart w:id="423" w:name="_Toc189386210"/>
      <w:bookmarkStart w:id="424" w:name="_Toc32463"/>
      <w:bookmarkStart w:id="425" w:name="_Toc30189"/>
      <w:r>
        <w:rPr>
          <w:bCs w:val="0"/>
          <w:color w:val="auto"/>
          <w:sz w:val="21"/>
          <w:szCs w:val="21"/>
          <w:highlight w:val="none"/>
        </w:rPr>
        <w:t>17</w:t>
      </w:r>
      <w:r>
        <w:rPr>
          <w:rFonts w:hint="eastAsia"/>
          <w:bCs w:val="0"/>
          <w:color w:val="auto"/>
          <w:sz w:val="21"/>
          <w:szCs w:val="21"/>
          <w:highlight w:val="none"/>
        </w:rPr>
        <w:t>.</w:t>
      </w:r>
      <w:r>
        <w:rPr>
          <w:bCs w:val="0"/>
          <w:color w:val="auto"/>
          <w:sz w:val="21"/>
          <w:szCs w:val="21"/>
          <w:highlight w:val="none"/>
        </w:rPr>
        <w:t>计量与支付</w:t>
      </w:r>
      <w:bookmarkEnd w:id="423"/>
      <w:bookmarkEnd w:id="424"/>
      <w:bookmarkEnd w:id="425"/>
    </w:p>
    <w:p>
      <w:pPr>
        <w:spacing w:line="490" w:lineRule="exact"/>
        <w:ind w:firstLine="422" w:firstLineChars="200"/>
        <w:outlineLvl w:val="3"/>
        <w:rPr>
          <w:b/>
          <w:bCs/>
          <w:kern w:val="0"/>
          <w:szCs w:val="21"/>
          <w:highlight w:val="none"/>
        </w:rPr>
      </w:pPr>
      <w:bookmarkStart w:id="426" w:name="_Toc189386211"/>
      <w:bookmarkStart w:id="427" w:name="_Toc511318140"/>
      <w:r>
        <w:rPr>
          <w:b/>
          <w:bCs/>
          <w:kern w:val="0"/>
          <w:szCs w:val="21"/>
          <w:highlight w:val="none"/>
        </w:rPr>
        <w:t>17.1 计量</w:t>
      </w:r>
      <w:bookmarkEnd w:id="426"/>
      <w:bookmarkEnd w:id="427"/>
    </w:p>
    <w:p>
      <w:pPr>
        <w:spacing w:line="490" w:lineRule="exact"/>
        <w:ind w:firstLine="422" w:firstLineChars="200"/>
        <w:rPr>
          <w:b/>
          <w:kern w:val="0"/>
          <w:szCs w:val="21"/>
          <w:highlight w:val="none"/>
        </w:rPr>
      </w:pPr>
      <w:r>
        <w:rPr>
          <w:b/>
          <w:kern w:val="0"/>
          <w:szCs w:val="21"/>
          <w:highlight w:val="none"/>
        </w:rPr>
        <w:t>17.1.1 计量单位</w:t>
      </w:r>
    </w:p>
    <w:p>
      <w:pPr>
        <w:spacing w:line="490" w:lineRule="exact"/>
        <w:ind w:firstLine="420" w:firstLineChars="200"/>
        <w:rPr>
          <w:kern w:val="0"/>
          <w:szCs w:val="21"/>
          <w:highlight w:val="none"/>
        </w:rPr>
      </w:pPr>
      <w:r>
        <w:rPr>
          <w:kern w:val="0"/>
          <w:szCs w:val="21"/>
          <w:highlight w:val="none"/>
        </w:rPr>
        <w:t>计量采用国家法定的计量单位。</w:t>
      </w:r>
    </w:p>
    <w:p>
      <w:pPr>
        <w:spacing w:line="490" w:lineRule="exact"/>
        <w:ind w:firstLine="422" w:firstLineChars="200"/>
        <w:rPr>
          <w:b/>
          <w:kern w:val="0"/>
          <w:szCs w:val="21"/>
          <w:highlight w:val="none"/>
        </w:rPr>
      </w:pPr>
      <w:r>
        <w:rPr>
          <w:b/>
          <w:kern w:val="0"/>
          <w:szCs w:val="21"/>
          <w:highlight w:val="none"/>
        </w:rPr>
        <w:t>17.1.2 计量方法</w:t>
      </w:r>
    </w:p>
    <w:p>
      <w:pPr>
        <w:spacing w:line="490" w:lineRule="exact"/>
        <w:ind w:firstLine="420" w:firstLineChars="200"/>
        <w:rPr>
          <w:kern w:val="0"/>
          <w:szCs w:val="21"/>
          <w:highlight w:val="none"/>
        </w:rPr>
      </w:pPr>
      <w:r>
        <w:rPr>
          <w:kern w:val="0"/>
          <w:szCs w:val="21"/>
          <w:highlight w:val="none"/>
        </w:rPr>
        <w:t>结算工程量应按工程量清单中约定的方法计量。</w:t>
      </w:r>
    </w:p>
    <w:p>
      <w:pPr>
        <w:spacing w:line="490" w:lineRule="exact"/>
        <w:ind w:firstLine="422" w:firstLineChars="200"/>
        <w:rPr>
          <w:b/>
          <w:kern w:val="0"/>
          <w:szCs w:val="21"/>
          <w:highlight w:val="none"/>
        </w:rPr>
      </w:pPr>
      <w:r>
        <w:rPr>
          <w:b/>
          <w:kern w:val="0"/>
          <w:szCs w:val="21"/>
          <w:highlight w:val="none"/>
        </w:rPr>
        <w:t>17.1.3 计量周期</w:t>
      </w:r>
    </w:p>
    <w:p>
      <w:pPr>
        <w:spacing w:line="490" w:lineRule="exact"/>
        <w:ind w:firstLine="420" w:firstLineChars="200"/>
        <w:rPr>
          <w:kern w:val="0"/>
          <w:szCs w:val="21"/>
          <w:highlight w:val="none"/>
        </w:rPr>
      </w:pPr>
      <w:r>
        <w:rPr>
          <w:kern w:val="0"/>
          <w:szCs w:val="21"/>
          <w:highlight w:val="none"/>
        </w:rPr>
        <w:t>除专用合同条款另有约定外，单价子目已完成工程量按月计量，总价子目的计量周期按批准的支付分解报告确定。</w:t>
      </w:r>
    </w:p>
    <w:p>
      <w:pPr>
        <w:spacing w:line="490" w:lineRule="exact"/>
        <w:ind w:firstLine="422" w:firstLineChars="200"/>
        <w:rPr>
          <w:b/>
          <w:kern w:val="0"/>
          <w:szCs w:val="21"/>
          <w:highlight w:val="none"/>
        </w:rPr>
      </w:pPr>
      <w:r>
        <w:rPr>
          <w:b/>
          <w:kern w:val="0"/>
          <w:szCs w:val="21"/>
          <w:highlight w:val="none"/>
        </w:rPr>
        <w:t>17.1.4 单价子目的计量</w:t>
      </w:r>
    </w:p>
    <w:p>
      <w:pPr>
        <w:spacing w:line="490" w:lineRule="exact"/>
        <w:ind w:firstLine="420" w:firstLineChars="200"/>
        <w:rPr>
          <w:kern w:val="0"/>
          <w:szCs w:val="21"/>
          <w:highlight w:val="none"/>
        </w:rPr>
      </w:pPr>
      <w:r>
        <w:rPr>
          <w:kern w:val="0"/>
          <w:szCs w:val="21"/>
          <w:highlight w:val="none"/>
        </w:rPr>
        <w:t>（1）已标价工程量清单中的单价子目工程量为估算工程量。结算工程量是承包人实际完成的，并按合同约定的计量方法进行计量的工程量。</w:t>
      </w:r>
    </w:p>
    <w:p>
      <w:pPr>
        <w:spacing w:line="490" w:lineRule="exact"/>
        <w:ind w:firstLine="420" w:firstLineChars="200"/>
        <w:rPr>
          <w:kern w:val="0"/>
          <w:szCs w:val="21"/>
          <w:highlight w:val="none"/>
        </w:rPr>
      </w:pPr>
      <w:r>
        <w:rPr>
          <w:kern w:val="0"/>
          <w:szCs w:val="21"/>
          <w:highlight w:val="none"/>
        </w:rPr>
        <w:t>（2）承包人对已完成的工程进行计量，向监理人提交进度付款申请单、已完成工程量报表和有关计量资料。</w:t>
      </w:r>
    </w:p>
    <w:p>
      <w:pPr>
        <w:spacing w:line="490" w:lineRule="exact"/>
        <w:ind w:firstLine="420" w:firstLineChars="200"/>
        <w:rPr>
          <w:kern w:val="0"/>
          <w:szCs w:val="21"/>
          <w:highlight w:val="none"/>
        </w:rPr>
      </w:pPr>
      <w:r>
        <w:rPr>
          <w:kern w:val="0"/>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490" w:lineRule="exact"/>
        <w:ind w:firstLine="420" w:firstLineChars="200"/>
        <w:rPr>
          <w:kern w:val="0"/>
          <w:szCs w:val="21"/>
          <w:highlight w:val="none"/>
        </w:rPr>
      </w:pPr>
      <w:r>
        <w:rPr>
          <w:kern w:val="0"/>
          <w:szCs w:val="21"/>
          <w:highlight w:val="none"/>
        </w:rPr>
        <w:t>（4）监理人认为有必要时，可通知承包人共同进行联合测量、计量，承包人应遵照执行。</w:t>
      </w:r>
    </w:p>
    <w:p>
      <w:pPr>
        <w:spacing w:line="490" w:lineRule="exact"/>
        <w:ind w:firstLine="420" w:firstLineChars="200"/>
        <w:rPr>
          <w:kern w:val="0"/>
          <w:szCs w:val="21"/>
          <w:highlight w:val="none"/>
        </w:rPr>
      </w:pPr>
      <w:r>
        <w:rPr>
          <w:kern w:val="0"/>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490" w:lineRule="exact"/>
        <w:ind w:firstLine="420" w:firstLineChars="200"/>
        <w:rPr>
          <w:kern w:val="0"/>
          <w:szCs w:val="21"/>
          <w:highlight w:val="none"/>
        </w:rPr>
      </w:pPr>
      <w:r>
        <w:rPr>
          <w:kern w:val="0"/>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pPr>
        <w:spacing w:line="490" w:lineRule="exact"/>
        <w:ind w:firstLine="422" w:firstLineChars="200"/>
        <w:rPr>
          <w:b/>
          <w:kern w:val="0"/>
          <w:szCs w:val="21"/>
          <w:highlight w:val="none"/>
        </w:rPr>
      </w:pPr>
      <w:r>
        <w:rPr>
          <w:b/>
          <w:kern w:val="0"/>
          <w:szCs w:val="21"/>
          <w:highlight w:val="none"/>
        </w:rPr>
        <w:t>17.1.5 总价子目的计量</w:t>
      </w:r>
    </w:p>
    <w:p>
      <w:pPr>
        <w:spacing w:line="490" w:lineRule="exact"/>
        <w:ind w:firstLine="420" w:firstLineChars="200"/>
        <w:rPr>
          <w:kern w:val="0"/>
          <w:szCs w:val="21"/>
          <w:highlight w:val="none"/>
        </w:rPr>
      </w:pPr>
      <w:r>
        <w:rPr>
          <w:kern w:val="0"/>
          <w:szCs w:val="21"/>
          <w:highlight w:val="none"/>
        </w:rPr>
        <w:t>总价子目的分解和计量按照下述约定进行。</w:t>
      </w:r>
    </w:p>
    <w:p>
      <w:pPr>
        <w:spacing w:line="490" w:lineRule="exact"/>
        <w:ind w:firstLine="420" w:firstLineChars="200"/>
        <w:rPr>
          <w:kern w:val="0"/>
          <w:szCs w:val="21"/>
          <w:highlight w:val="none"/>
        </w:rPr>
      </w:pPr>
      <w:r>
        <w:rPr>
          <w:kern w:val="0"/>
          <w:szCs w:val="21"/>
          <w:highlight w:val="none"/>
        </w:rPr>
        <w:t>（1）总价子目的计量和支付应以总价为基础，不因第16.1款中的因素而进行调整。承包人实际完成的工程量，是进行工程目标管理和控制进度支付的依据。</w:t>
      </w:r>
    </w:p>
    <w:p>
      <w:pPr>
        <w:spacing w:line="490" w:lineRule="exact"/>
        <w:ind w:firstLine="420" w:firstLineChars="200"/>
        <w:rPr>
          <w:kern w:val="0"/>
          <w:szCs w:val="21"/>
          <w:highlight w:val="none"/>
        </w:rPr>
      </w:pPr>
      <w:r>
        <w:rPr>
          <w:kern w:val="0"/>
          <w:szCs w:val="21"/>
          <w:highlight w:val="none"/>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spacing w:line="490" w:lineRule="exact"/>
        <w:ind w:firstLine="420" w:firstLineChars="200"/>
        <w:rPr>
          <w:kern w:val="0"/>
          <w:szCs w:val="21"/>
          <w:highlight w:val="none"/>
        </w:rPr>
      </w:pPr>
      <w:r>
        <w:rPr>
          <w:kern w:val="0"/>
          <w:szCs w:val="21"/>
          <w:highlight w:val="none"/>
        </w:rPr>
        <w:t>（3）监理人对承包人提交的上述资料进行复核，以确定分阶段实际完成的工程量和工程形象目标。对其有异议的，可要求承包人按第8.2款约定进行共同复核和抽样复测。</w:t>
      </w:r>
    </w:p>
    <w:p>
      <w:pPr>
        <w:spacing w:line="490" w:lineRule="exact"/>
        <w:ind w:firstLine="420" w:firstLineChars="200"/>
        <w:rPr>
          <w:kern w:val="0"/>
          <w:szCs w:val="21"/>
          <w:highlight w:val="none"/>
        </w:rPr>
      </w:pPr>
      <w:r>
        <w:rPr>
          <w:kern w:val="0"/>
          <w:szCs w:val="21"/>
          <w:highlight w:val="none"/>
        </w:rPr>
        <w:t>（4）除按照第15条约定的变更外，总价子目的工程量是承包人用于结算的最终工程量。</w:t>
      </w:r>
    </w:p>
    <w:p>
      <w:pPr>
        <w:spacing w:line="490" w:lineRule="exact"/>
        <w:ind w:firstLine="422" w:firstLineChars="200"/>
        <w:outlineLvl w:val="3"/>
        <w:rPr>
          <w:b/>
          <w:bCs/>
          <w:kern w:val="0"/>
          <w:szCs w:val="21"/>
          <w:highlight w:val="none"/>
        </w:rPr>
      </w:pPr>
      <w:bookmarkStart w:id="428" w:name="_Toc189386212"/>
      <w:r>
        <w:rPr>
          <w:b/>
          <w:bCs/>
          <w:kern w:val="0"/>
          <w:szCs w:val="21"/>
          <w:highlight w:val="none"/>
        </w:rPr>
        <w:t>17.2 预付款</w:t>
      </w:r>
      <w:bookmarkEnd w:id="428"/>
    </w:p>
    <w:p>
      <w:pPr>
        <w:spacing w:line="490" w:lineRule="exact"/>
        <w:ind w:firstLine="422" w:firstLineChars="200"/>
        <w:rPr>
          <w:b/>
          <w:kern w:val="0"/>
          <w:szCs w:val="21"/>
          <w:highlight w:val="none"/>
        </w:rPr>
      </w:pPr>
      <w:r>
        <w:rPr>
          <w:b/>
          <w:kern w:val="0"/>
          <w:szCs w:val="21"/>
          <w:highlight w:val="none"/>
        </w:rPr>
        <w:t>17.2.1 预付款</w:t>
      </w:r>
    </w:p>
    <w:p>
      <w:pPr>
        <w:spacing w:line="490" w:lineRule="exact"/>
        <w:ind w:firstLine="420" w:firstLineChars="200"/>
        <w:rPr>
          <w:kern w:val="0"/>
          <w:szCs w:val="21"/>
          <w:highlight w:val="none"/>
        </w:rPr>
      </w:pPr>
      <w:r>
        <w:rPr>
          <w:kern w:val="0"/>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spacing w:line="490" w:lineRule="exact"/>
        <w:ind w:firstLine="422" w:firstLineChars="200"/>
        <w:rPr>
          <w:b/>
          <w:kern w:val="0"/>
          <w:szCs w:val="21"/>
          <w:highlight w:val="none"/>
        </w:rPr>
      </w:pPr>
      <w:r>
        <w:rPr>
          <w:b/>
          <w:kern w:val="0"/>
          <w:szCs w:val="21"/>
          <w:highlight w:val="none"/>
        </w:rPr>
        <w:t>17.2.2 预付款保函（担保）</w:t>
      </w:r>
    </w:p>
    <w:p>
      <w:pPr>
        <w:spacing w:line="490" w:lineRule="exact"/>
        <w:ind w:firstLine="420" w:firstLineChars="200"/>
        <w:rPr>
          <w:kern w:val="0"/>
          <w:szCs w:val="21"/>
          <w:highlight w:val="none"/>
        </w:rPr>
      </w:pPr>
      <w:r>
        <w:rPr>
          <w:kern w:val="0"/>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pPr>
        <w:spacing w:line="490" w:lineRule="exact"/>
        <w:ind w:firstLine="420" w:firstLineChars="200"/>
        <w:rPr>
          <w:kern w:val="0"/>
          <w:szCs w:val="21"/>
          <w:highlight w:val="none"/>
        </w:rPr>
      </w:pPr>
      <w:r>
        <w:rPr>
          <w:kern w:val="0"/>
          <w:szCs w:val="21"/>
          <w:highlight w:val="none"/>
        </w:rPr>
        <w:t>（2）工程材料预付款的担保在专用合同条款中约定。</w:t>
      </w:r>
    </w:p>
    <w:p>
      <w:pPr>
        <w:spacing w:line="490" w:lineRule="exact"/>
        <w:ind w:firstLine="420" w:firstLineChars="200"/>
        <w:rPr>
          <w:kern w:val="0"/>
          <w:szCs w:val="21"/>
          <w:highlight w:val="none"/>
        </w:rPr>
      </w:pPr>
      <w:r>
        <w:rPr>
          <w:kern w:val="0"/>
          <w:szCs w:val="21"/>
          <w:highlight w:val="none"/>
        </w:rPr>
        <w:t>（3）预付款担保的担保金额可根据预付款扣回的金额相应递减。</w:t>
      </w:r>
    </w:p>
    <w:p>
      <w:pPr>
        <w:spacing w:line="490" w:lineRule="exact"/>
        <w:ind w:firstLine="422" w:firstLineChars="200"/>
        <w:rPr>
          <w:b/>
          <w:kern w:val="0"/>
          <w:szCs w:val="21"/>
          <w:highlight w:val="none"/>
        </w:rPr>
      </w:pPr>
      <w:r>
        <w:rPr>
          <w:b/>
          <w:kern w:val="0"/>
          <w:szCs w:val="21"/>
          <w:highlight w:val="none"/>
        </w:rPr>
        <w:t>17.2.3 预付款的扣回与还清</w:t>
      </w:r>
    </w:p>
    <w:p>
      <w:pPr>
        <w:spacing w:line="490" w:lineRule="exact"/>
        <w:ind w:firstLine="420" w:firstLineChars="200"/>
        <w:rPr>
          <w:kern w:val="0"/>
          <w:szCs w:val="21"/>
          <w:highlight w:val="none"/>
        </w:rPr>
      </w:pPr>
      <w:r>
        <w:rPr>
          <w:kern w:val="0"/>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spacing w:line="490" w:lineRule="exact"/>
        <w:ind w:firstLine="422" w:firstLineChars="200"/>
        <w:outlineLvl w:val="3"/>
        <w:rPr>
          <w:b/>
          <w:bCs/>
          <w:kern w:val="0"/>
          <w:szCs w:val="21"/>
          <w:highlight w:val="none"/>
        </w:rPr>
      </w:pPr>
      <w:bookmarkStart w:id="429" w:name="_Toc511318141"/>
      <w:bookmarkStart w:id="430" w:name="_Toc189386213"/>
      <w:r>
        <w:rPr>
          <w:b/>
          <w:bCs/>
          <w:kern w:val="0"/>
          <w:szCs w:val="21"/>
          <w:highlight w:val="none"/>
        </w:rPr>
        <w:t>17.3 工程进度付款</w:t>
      </w:r>
      <w:bookmarkEnd w:id="429"/>
      <w:bookmarkEnd w:id="430"/>
    </w:p>
    <w:p>
      <w:pPr>
        <w:spacing w:line="490" w:lineRule="exact"/>
        <w:ind w:firstLine="422" w:firstLineChars="200"/>
        <w:rPr>
          <w:b/>
          <w:kern w:val="0"/>
          <w:szCs w:val="21"/>
          <w:highlight w:val="none"/>
        </w:rPr>
      </w:pPr>
      <w:r>
        <w:rPr>
          <w:b/>
          <w:kern w:val="0"/>
          <w:szCs w:val="21"/>
          <w:highlight w:val="none"/>
        </w:rPr>
        <w:t>17.3.1 付款周期</w:t>
      </w:r>
    </w:p>
    <w:p>
      <w:pPr>
        <w:spacing w:line="490" w:lineRule="exact"/>
        <w:ind w:firstLine="420" w:firstLineChars="200"/>
        <w:rPr>
          <w:kern w:val="0"/>
          <w:szCs w:val="21"/>
          <w:highlight w:val="none"/>
        </w:rPr>
      </w:pPr>
      <w:r>
        <w:rPr>
          <w:kern w:val="0"/>
          <w:szCs w:val="21"/>
          <w:highlight w:val="none"/>
        </w:rPr>
        <w:t>付款周期同计量周期。</w:t>
      </w:r>
    </w:p>
    <w:p>
      <w:pPr>
        <w:spacing w:line="490" w:lineRule="exact"/>
        <w:ind w:firstLine="422" w:firstLineChars="200"/>
        <w:rPr>
          <w:b/>
          <w:kern w:val="0"/>
          <w:szCs w:val="21"/>
          <w:highlight w:val="none"/>
        </w:rPr>
      </w:pPr>
      <w:r>
        <w:rPr>
          <w:b/>
          <w:kern w:val="0"/>
          <w:szCs w:val="21"/>
          <w:highlight w:val="none"/>
        </w:rPr>
        <w:t>17.3.2 进度付款申请单</w:t>
      </w:r>
    </w:p>
    <w:p>
      <w:pPr>
        <w:spacing w:line="490" w:lineRule="exact"/>
        <w:ind w:firstLine="420" w:firstLineChars="200"/>
        <w:rPr>
          <w:kern w:val="0"/>
          <w:szCs w:val="21"/>
          <w:highlight w:val="none"/>
        </w:rPr>
      </w:pPr>
      <w:r>
        <w:rPr>
          <w:kern w:val="0"/>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490" w:lineRule="exact"/>
        <w:ind w:firstLine="420" w:firstLineChars="200"/>
        <w:rPr>
          <w:kern w:val="0"/>
          <w:szCs w:val="21"/>
          <w:highlight w:val="none"/>
        </w:rPr>
      </w:pPr>
      <w:r>
        <w:rPr>
          <w:kern w:val="0"/>
          <w:szCs w:val="21"/>
          <w:highlight w:val="none"/>
        </w:rPr>
        <w:t>（1）截至本次付款周期末已实施工程的价款；</w:t>
      </w:r>
    </w:p>
    <w:p>
      <w:pPr>
        <w:spacing w:line="490" w:lineRule="exact"/>
        <w:ind w:firstLine="420" w:firstLineChars="200"/>
        <w:rPr>
          <w:kern w:val="0"/>
          <w:szCs w:val="21"/>
          <w:highlight w:val="none"/>
        </w:rPr>
      </w:pPr>
      <w:r>
        <w:rPr>
          <w:kern w:val="0"/>
          <w:szCs w:val="21"/>
          <w:highlight w:val="none"/>
        </w:rPr>
        <w:t>（2）根据第15条应增加和扣减的变更金额；</w:t>
      </w:r>
    </w:p>
    <w:p>
      <w:pPr>
        <w:spacing w:line="490" w:lineRule="exact"/>
        <w:ind w:firstLine="420" w:firstLineChars="200"/>
        <w:rPr>
          <w:kern w:val="0"/>
          <w:szCs w:val="21"/>
          <w:highlight w:val="none"/>
        </w:rPr>
      </w:pPr>
      <w:r>
        <w:rPr>
          <w:kern w:val="0"/>
          <w:szCs w:val="21"/>
          <w:highlight w:val="none"/>
        </w:rPr>
        <w:t>（3）根据第23条应增加和扣减的索赔金额；</w:t>
      </w:r>
    </w:p>
    <w:p>
      <w:pPr>
        <w:spacing w:line="490" w:lineRule="exact"/>
        <w:ind w:firstLine="420" w:firstLineChars="200"/>
        <w:rPr>
          <w:kern w:val="0"/>
          <w:szCs w:val="21"/>
          <w:highlight w:val="none"/>
        </w:rPr>
      </w:pPr>
      <w:r>
        <w:rPr>
          <w:kern w:val="0"/>
          <w:szCs w:val="21"/>
          <w:highlight w:val="none"/>
        </w:rPr>
        <w:t>（4）根据第17.2款约定应支付的预付款和扣减的返还预付款；</w:t>
      </w:r>
    </w:p>
    <w:p>
      <w:pPr>
        <w:spacing w:line="490" w:lineRule="exact"/>
        <w:ind w:firstLine="420" w:firstLineChars="200"/>
        <w:rPr>
          <w:kern w:val="0"/>
          <w:szCs w:val="21"/>
          <w:highlight w:val="none"/>
        </w:rPr>
      </w:pPr>
      <w:r>
        <w:rPr>
          <w:kern w:val="0"/>
          <w:szCs w:val="21"/>
          <w:highlight w:val="none"/>
        </w:rPr>
        <w:t>（5）根据第17.4.1项约定应扣减的质量保证金；</w:t>
      </w:r>
    </w:p>
    <w:p>
      <w:pPr>
        <w:spacing w:line="490" w:lineRule="exact"/>
        <w:ind w:firstLine="420" w:firstLineChars="200"/>
        <w:rPr>
          <w:kern w:val="0"/>
          <w:szCs w:val="21"/>
          <w:highlight w:val="none"/>
        </w:rPr>
      </w:pPr>
      <w:r>
        <w:rPr>
          <w:kern w:val="0"/>
          <w:szCs w:val="21"/>
          <w:highlight w:val="none"/>
        </w:rPr>
        <w:t>（6）根据合同应增加和扣减的其他金额。</w:t>
      </w:r>
    </w:p>
    <w:p>
      <w:pPr>
        <w:spacing w:line="490" w:lineRule="exact"/>
        <w:ind w:firstLine="422" w:firstLineChars="200"/>
        <w:rPr>
          <w:b/>
          <w:kern w:val="0"/>
          <w:szCs w:val="21"/>
          <w:highlight w:val="none"/>
        </w:rPr>
      </w:pPr>
      <w:r>
        <w:rPr>
          <w:b/>
          <w:kern w:val="0"/>
          <w:szCs w:val="21"/>
          <w:highlight w:val="none"/>
        </w:rPr>
        <w:t>17.3.3 进度付款证书和支付时间</w:t>
      </w:r>
    </w:p>
    <w:p>
      <w:pPr>
        <w:spacing w:line="490" w:lineRule="exact"/>
        <w:ind w:firstLine="420" w:firstLineChars="200"/>
        <w:rPr>
          <w:kern w:val="0"/>
          <w:szCs w:val="21"/>
          <w:highlight w:val="none"/>
        </w:rPr>
      </w:pPr>
      <w:r>
        <w:rPr>
          <w:kern w:val="0"/>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490" w:lineRule="exact"/>
        <w:ind w:firstLine="420" w:firstLineChars="200"/>
        <w:rPr>
          <w:kern w:val="0"/>
          <w:szCs w:val="21"/>
          <w:highlight w:val="none"/>
        </w:rPr>
      </w:pPr>
      <w:r>
        <w:rPr>
          <w:kern w:val="0"/>
          <w:szCs w:val="21"/>
          <w:highlight w:val="none"/>
        </w:rPr>
        <w:t>（2）发包人应在监理人收到进度付款申请单后的28天内，将进度应付款支付给承包人。发包人不按期支付的，按专用合同条款的约定支付逾期付款违约金。</w:t>
      </w:r>
    </w:p>
    <w:p>
      <w:pPr>
        <w:spacing w:line="490" w:lineRule="exact"/>
        <w:ind w:firstLine="420" w:firstLineChars="200"/>
        <w:rPr>
          <w:kern w:val="0"/>
          <w:szCs w:val="21"/>
          <w:highlight w:val="none"/>
        </w:rPr>
      </w:pPr>
      <w:r>
        <w:rPr>
          <w:kern w:val="0"/>
          <w:szCs w:val="21"/>
          <w:highlight w:val="none"/>
        </w:rPr>
        <w:t>（3）监理人出具进度付款证书，不应视为监理人已同意、批准或接受了承包人完成的该部分工作。</w:t>
      </w:r>
    </w:p>
    <w:p>
      <w:pPr>
        <w:spacing w:line="490" w:lineRule="exact"/>
        <w:ind w:firstLine="420" w:firstLineChars="200"/>
        <w:rPr>
          <w:kern w:val="0"/>
          <w:szCs w:val="21"/>
          <w:highlight w:val="none"/>
        </w:rPr>
      </w:pPr>
      <w:r>
        <w:rPr>
          <w:kern w:val="0"/>
          <w:szCs w:val="21"/>
          <w:highlight w:val="none"/>
        </w:rPr>
        <w:t>（4）进度付款涉及政府投资资金的，按照国库集中支付等国家相关规定和专用合同条款的约定办理。</w:t>
      </w:r>
    </w:p>
    <w:p>
      <w:pPr>
        <w:spacing w:line="490" w:lineRule="exact"/>
        <w:ind w:firstLine="422" w:firstLineChars="200"/>
        <w:rPr>
          <w:b/>
          <w:kern w:val="0"/>
          <w:szCs w:val="21"/>
          <w:highlight w:val="none"/>
        </w:rPr>
      </w:pPr>
      <w:r>
        <w:rPr>
          <w:b/>
          <w:kern w:val="0"/>
          <w:szCs w:val="21"/>
          <w:highlight w:val="none"/>
        </w:rPr>
        <w:t>17.3.4 工程进度付款的修正</w:t>
      </w:r>
    </w:p>
    <w:p>
      <w:pPr>
        <w:spacing w:line="490" w:lineRule="exact"/>
        <w:ind w:firstLine="420" w:firstLineChars="200"/>
        <w:rPr>
          <w:kern w:val="0"/>
          <w:szCs w:val="21"/>
          <w:highlight w:val="none"/>
        </w:rPr>
      </w:pPr>
      <w:r>
        <w:rPr>
          <w:kern w:val="0"/>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pPr>
        <w:spacing w:line="490" w:lineRule="exact"/>
        <w:ind w:firstLine="422" w:firstLineChars="200"/>
        <w:outlineLvl w:val="3"/>
        <w:rPr>
          <w:b/>
          <w:bCs/>
          <w:kern w:val="0"/>
          <w:szCs w:val="21"/>
          <w:highlight w:val="none"/>
        </w:rPr>
      </w:pPr>
      <w:bookmarkStart w:id="431" w:name="_Toc189386214"/>
      <w:bookmarkStart w:id="432" w:name="_Toc511318142"/>
      <w:r>
        <w:rPr>
          <w:b/>
          <w:bCs/>
          <w:kern w:val="0"/>
          <w:szCs w:val="21"/>
          <w:highlight w:val="none"/>
        </w:rPr>
        <w:t>17.4 质量保证金</w:t>
      </w:r>
      <w:bookmarkEnd w:id="431"/>
      <w:bookmarkEnd w:id="432"/>
    </w:p>
    <w:p>
      <w:pPr>
        <w:spacing w:line="490" w:lineRule="exact"/>
        <w:ind w:firstLine="420" w:firstLineChars="200"/>
        <w:rPr>
          <w:kern w:val="0"/>
          <w:szCs w:val="21"/>
          <w:highlight w:val="none"/>
        </w:rPr>
      </w:pPr>
      <w:r>
        <w:rPr>
          <w:kern w:val="0"/>
          <w:szCs w:val="21"/>
          <w:highlight w:val="none"/>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spacing w:line="490" w:lineRule="exact"/>
        <w:ind w:firstLine="420" w:firstLineChars="200"/>
        <w:rPr>
          <w:kern w:val="0"/>
          <w:szCs w:val="21"/>
          <w:highlight w:val="none"/>
        </w:rPr>
      </w:pPr>
      <w:r>
        <w:rPr>
          <w:kern w:val="0"/>
          <w:szCs w:val="21"/>
          <w:highlight w:val="none"/>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spacing w:line="490" w:lineRule="exact"/>
        <w:ind w:firstLine="420" w:firstLineChars="200"/>
        <w:rPr>
          <w:kern w:val="0"/>
          <w:szCs w:val="21"/>
          <w:highlight w:val="none"/>
        </w:rPr>
      </w:pPr>
      <w:r>
        <w:rPr>
          <w:kern w:val="0"/>
          <w:szCs w:val="21"/>
          <w:highlight w:val="none"/>
        </w:rPr>
        <w:t>17.4.3 在第1.1.4.5目约定的缺陷责任期满时，承包人没有完成缺陷责任的，发包人有权扣留与未履行责任剩余工作所需金额相应的质量保证金余额，并有权根据第19.3款约定要求延长缺陷责任期，直至完成剩余工作为止。</w:t>
      </w:r>
    </w:p>
    <w:p>
      <w:pPr>
        <w:spacing w:line="490" w:lineRule="exact"/>
        <w:ind w:firstLine="422" w:firstLineChars="200"/>
        <w:outlineLvl w:val="3"/>
        <w:rPr>
          <w:b/>
          <w:bCs/>
          <w:kern w:val="0"/>
          <w:szCs w:val="21"/>
          <w:highlight w:val="none"/>
        </w:rPr>
      </w:pPr>
      <w:bookmarkStart w:id="433" w:name="_Toc189386215"/>
      <w:bookmarkStart w:id="434" w:name="_Toc511318143"/>
      <w:r>
        <w:rPr>
          <w:b/>
          <w:bCs/>
          <w:kern w:val="0"/>
          <w:szCs w:val="21"/>
          <w:highlight w:val="none"/>
        </w:rPr>
        <w:t>17.5 竣工结算</w:t>
      </w:r>
      <w:bookmarkEnd w:id="433"/>
      <w:r>
        <w:rPr>
          <w:b/>
          <w:bCs/>
          <w:kern w:val="0"/>
          <w:szCs w:val="21"/>
          <w:highlight w:val="none"/>
        </w:rPr>
        <w:t>（完工结算）</w:t>
      </w:r>
      <w:bookmarkEnd w:id="434"/>
    </w:p>
    <w:p>
      <w:pPr>
        <w:spacing w:line="490" w:lineRule="exact"/>
        <w:ind w:firstLine="422" w:firstLineChars="200"/>
        <w:rPr>
          <w:b/>
          <w:kern w:val="0"/>
          <w:szCs w:val="21"/>
          <w:highlight w:val="none"/>
        </w:rPr>
      </w:pPr>
      <w:r>
        <w:rPr>
          <w:b/>
          <w:kern w:val="0"/>
          <w:szCs w:val="21"/>
          <w:highlight w:val="none"/>
        </w:rPr>
        <w:t>17.5.1 竣工（完工）付款申请单</w:t>
      </w:r>
    </w:p>
    <w:p>
      <w:pPr>
        <w:spacing w:line="490" w:lineRule="exact"/>
        <w:ind w:firstLine="420" w:firstLineChars="200"/>
        <w:rPr>
          <w:kern w:val="0"/>
          <w:szCs w:val="21"/>
          <w:highlight w:val="none"/>
        </w:rPr>
      </w:pPr>
      <w:r>
        <w:rPr>
          <w:kern w:val="0"/>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spacing w:line="490" w:lineRule="exact"/>
        <w:ind w:firstLine="420" w:firstLineChars="200"/>
        <w:rPr>
          <w:kern w:val="0"/>
          <w:szCs w:val="21"/>
          <w:highlight w:val="none"/>
        </w:rPr>
      </w:pPr>
      <w:r>
        <w:rPr>
          <w:kern w:val="0"/>
          <w:szCs w:val="21"/>
          <w:highlight w:val="none"/>
        </w:rPr>
        <w:t>（2）监理人对完工付款申请单有异议的，有权要求承包人进行修正和提供补充资料。经监理人和承包人协商后，由承包人向监理人提交修正后的完工付款申请单。</w:t>
      </w:r>
    </w:p>
    <w:p>
      <w:pPr>
        <w:spacing w:line="490" w:lineRule="exact"/>
        <w:ind w:firstLine="422" w:firstLineChars="200"/>
        <w:rPr>
          <w:b/>
          <w:kern w:val="0"/>
          <w:szCs w:val="21"/>
          <w:highlight w:val="none"/>
        </w:rPr>
      </w:pPr>
      <w:r>
        <w:rPr>
          <w:b/>
          <w:kern w:val="0"/>
          <w:szCs w:val="21"/>
          <w:highlight w:val="none"/>
        </w:rPr>
        <w:t>17.5.2 竣工（完工）付款证书及支付时间</w:t>
      </w:r>
    </w:p>
    <w:p>
      <w:pPr>
        <w:spacing w:line="490" w:lineRule="exact"/>
        <w:ind w:firstLine="420" w:firstLineChars="200"/>
        <w:rPr>
          <w:kern w:val="0"/>
          <w:szCs w:val="21"/>
          <w:highlight w:val="none"/>
        </w:rPr>
      </w:pPr>
      <w:r>
        <w:rPr>
          <w:kern w:val="0"/>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（2）发包人应在监理人出具完工付款证书后的14天内，将应支付款支付给承包人。发包人不按期支付的，按第17.3.3（2）目的约定，将逾期付款违约金支付给承包人。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（3）承包人对发包人签认的完工付款证书有异议的，发包人可出具完工付款申请单中承包人已同意部分的临时付款证书。存在争议的部分，按第24条的约定办理。</w:t>
      </w:r>
    </w:p>
    <w:p>
      <w:pPr>
        <w:spacing w:line="490" w:lineRule="exact"/>
        <w:ind w:firstLine="420" w:firstLineChars="200"/>
        <w:rPr>
          <w:kern w:val="0"/>
          <w:szCs w:val="21"/>
          <w:highlight w:val="none"/>
        </w:rPr>
      </w:pPr>
      <w:r>
        <w:rPr>
          <w:kern w:val="0"/>
          <w:szCs w:val="21"/>
          <w:highlight w:val="none"/>
        </w:rPr>
        <w:t>（4）完工付款涉及政府投资资金的，按第17.3.3（4）目的约定办理。</w:t>
      </w:r>
    </w:p>
    <w:p>
      <w:pPr>
        <w:spacing w:line="490" w:lineRule="exact"/>
        <w:ind w:firstLine="422" w:firstLineChars="200"/>
        <w:outlineLvl w:val="3"/>
        <w:rPr>
          <w:b/>
          <w:bCs/>
          <w:kern w:val="0"/>
          <w:szCs w:val="21"/>
          <w:highlight w:val="none"/>
        </w:rPr>
      </w:pPr>
      <w:bookmarkStart w:id="435" w:name="_Toc189386216"/>
      <w:r>
        <w:rPr>
          <w:b/>
          <w:bCs/>
          <w:kern w:val="0"/>
          <w:szCs w:val="21"/>
          <w:highlight w:val="none"/>
        </w:rPr>
        <w:t>17.6 最终结清</w:t>
      </w:r>
      <w:bookmarkEnd w:id="435"/>
    </w:p>
    <w:p>
      <w:pPr>
        <w:spacing w:line="490" w:lineRule="exact"/>
        <w:ind w:firstLine="422" w:firstLineChars="200"/>
        <w:rPr>
          <w:b/>
          <w:kern w:val="0"/>
          <w:szCs w:val="21"/>
          <w:highlight w:val="none"/>
        </w:rPr>
      </w:pPr>
      <w:r>
        <w:rPr>
          <w:b/>
          <w:kern w:val="0"/>
          <w:szCs w:val="21"/>
          <w:highlight w:val="none"/>
        </w:rPr>
        <w:t>17.6.1 最终结清申请单</w:t>
      </w:r>
    </w:p>
    <w:p>
      <w:pPr>
        <w:spacing w:line="490" w:lineRule="exact"/>
        <w:ind w:firstLine="420" w:firstLineChars="200"/>
        <w:rPr>
          <w:kern w:val="0"/>
          <w:szCs w:val="21"/>
          <w:highlight w:val="none"/>
        </w:rPr>
      </w:pPr>
      <w:r>
        <w:rPr>
          <w:kern w:val="0"/>
          <w:szCs w:val="21"/>
          <w:highlight w:val="none"/>
        </w:rPr>
        <w:t>（1）工程质量保修责任终止证书签发后，承包人应按监理人批准的格式提交最终结清申请单。提交最终结清申请单的份数在专用合同条款中约定。</w:t>
      </w:r>
    </w:p>
    <w:p>
      <w:pPr>
        <w:spacing w:line="490" w:lineRule="exact"/>
        <w:ind w:firstLine="420" w:firstLineChars="200"/>
        <w:rPr>
          <w:kern w:val="0"/>
          <w:szCs w:val="21"/>
          <w:highlight w:val="none"/>
        </w:rPr>
      </w:pPr>
      <w:r>
        <w:rPr>
          <w:kern w:val="0"/>
          <w:szCs w:val="21"/>
          <w:highlight w:val="none"/>
        </w:rPr>
        <w:t>（2）发包人对最终结清申请单内容有异议的，有权要求承包人进行修正和提供补充资料，由承包人向监理人提交修正后的最终结清申请单。</w:t>
      </w:r>
    </w:p>
    <w:p>
      <w:pPr>
        <w:spacing w:line="490" w:lineRule="exact"/>
        <w:ind w:firstLine="422" w:firstLineChars="200"/>
        <w:rPr>
          <w:b/>
          <w:kern w:val="0"/>
          <w:szCs w:val="21"/>
          <w:highlight w:val="none"/>
        </w:rPr>
      </w:pPr>
      <w:r>
        <w:rPr>
          <w:b/>
          <w:kern w:val="0"/>
          <w:szCs w:val="21"/>
          <w:highlight w:val="none"/>
        </w:rPr>
        <w:t>17.6.2 最终结清证书和支付时间</w:t>
      </w:r>
    </w:p>
    <w:p>
      <w:pPr>
        <w:spacing w:line="490" w:lineRule="exact"/>
        <w:ind w:firstLine="420" w:firstLineChars="200"/>
        <w:rPr>
          <w:kern w:val="0"/>
          <w:szCs w:val="21"/>
          <w:highlight w:val="none"/>
        </w:rPr>
      </w:pPr>
      <w:r>
        <w:rPr>
          <w:kern w:val="0"/>
          <w:szCs w:val="21"/>
          <w:highlight w:val="none"/>
        </w:rPr>
        <w:t>（1）监理人收到承包人提交的最终结清申请单后的14天内，提出发包人应支付给承包人的价款送发包人审核并抄送承包人。发包人应在收到后14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（2）发包人应在监理人出具最终结清证书后的14天内，将应支付款支付给承包人。发包人不按期支付的，按第17.3.3（2）目的约定，将逾期付款违约金支付给承包人。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（3）承包人对发包人签认的最终结清证书有异议的，按第24条的约定办理。</w:t>
      </w:r>
    </w:p>
    <w:p>
      <w:pPr>
        <w:spacing w:line="490" w:lineRule="exact"/>
        <w:ind w:firstLine="420" w:firstLineChars="200"/>
        <w:rPr>
          <w:kern w:val="0"/>
          <w:szCs w:val="21"/>
          <w:highlight w:val="none"/>
        </w:rPr>
      </w:pPr>
      <w:r>
        <w:rPr>
          <w:kern w:val="0"/>
          <w:szCs w:val="21"/>
          <w:highlight w:val="none"/>
        </w:rPr>
        <w:t>（4）最终结清付款涉及政府投资资金的，按第17.3.3（４）目的约定办理。</w:t>
      </w:r>
    </w:p>
    <w:p>
      <w:pPr>
        <w:spacing w:line="490" w:lineRule="exact"/>
        <w:ind w:firstLine="422" w:firstLineChars="200"/>
        <w:outlineLvl w:val="3"/>
        <w:rPr>
          <w:b/>
          <w:bCs/>
          <w:kern w:val="0"/>
          <w:szCs w:val="21"/>
          <w:highlight w:val="none"/>
        </w:rPr>
      </w:pPr>
      <w:bookmarkStart w:id="436" w:name="_Toc511318144"/>
      <w:r>
        <w:rPr>
          <w:b/>
          <w:bCs/>
          <w:kern w:val="0"/>
          <w:szCs w:val="21"/>
          <w:highlight w:val="none"/>
        </w:rPr>
        <w:t>17.7 竣工财务决算</w:t>
      </w:r>
      <w:bookmarkEnd w:id="436"/>
    </w:p>
    <w:p>
      <w:pPr>
        <w:spacing w:line="490" w:lineRule="exact"/>
        <w:ind w:firstLine="420" w:firstLineChars="200"/>
        <w:rPr>
          <w:kern w:val="0"/>
          <w:szCs w:val="21"/>
          <w:highlight w:val="none"/>
        </w:rPr>
      </w:pPr>
      <w:r>
        <w:rPr>
          <w:kern w:val="0"/>
          <w:szCs w:val="21"/>
          <w:highlight w:val="none"/>
        </w:rPr>
        <w:t>发包人负责编制本工程项目竣工财务决算，承包人应按专用合同条款的约定提供竣工财务决算编制所需的相关材料。</w:t>
      </w:r>
    </w:p>
    <w:p>
      <w:pPr>
        <w:spacing w:line="490" w:lineRule="exact"/>
        <w:ind w:firstLine="422" w:firstLineChars="200"/>
        <w:outlineLvl w:val="3"/>
        <w:rPr>
          <w:b/>
          <w:bCs/>
          <w:kern w:val="0"/>
          <w:szCs w:val="21"/>
          <w:highlight w:val="none"/>
        </w:rPr>
      </w:pPr>
      <w:bookmarkStart w:id="437" w:name="_Toc511318145"/>
      <w:r>
        <w:rPr>
          <w:b/>
          <w:bCs/>
          <w:kern w:val="0"/>
          <w:szCs w:val="21"/>
          <w:highlight w:val="none"/>
        </w:rPr>
        <w:t>17.8 竣工审计</w:t>
      </w:r>
      <w:bookmarkEnd w:id="437"/>
    </w:p>
    <w:p>
      <w:pPr>
        <w:spacing w:line="490" w:lineRule="exact"/>
        <w:ind w:firstLine="420" w:firstLineChars="200"/>
        <w:rPr>
          <w:kern w:val="0"/>
          <w:szCs w:val="21"/>
          <w:highlight w:val="none"/>
        </w:rPr>
      </w:pPr>
      <w:r>
        <w:rPr>
          <w:kern w:val="0"/>
          <w:szCs w:val="21"/>
          <w:highlight w:val="none"/>
        </w:rPr>
        <w:t>发包人负责完成本工程竣工审计手续，承包人应完成相关配合工作。</w:t>
      </w:r>
    </w:p>
    <w:p>
      <w:pPr>
        <w:pStyle w:val="5"/>
        <w:keepNext w:val="0"/>
        <w:keepLines w:val="0"/>
        <w:spacing w:before="0" w:after="0" w:line="490" w:lineRule="exact"/>
        <w:ind w:firstLine="422" w:firstLineChars="200"/>
        <w:rPr>
          <w:bCs w:val="0"/>
          <w:color w:val="auto"/>
          <w:sz w:val="21"/>
          <w:szCs w:val="21"/>
          <w:highlight w:val="none"/>
        </w:rPr>
      </w:pPr>
      <w:bookmarkStart w:id="438" w:name="_Toc189386217"/>
      <w:bookmarkStart w:id="439" w:name="_Toc3259"/>
      <w:bookmarkStart w:id="440" w:name="_Toc3767"/>
      <w:r>
        <w:rPr>
          <w:bCs w:val="0"/>
          <w:color w:val="auto"/>
          <w:sz w:val="21"/>
          <w:szCs w:val="21"/>
          <w:highlight w:val="none"/>
        </w:rPr>
        <w:t>18</w:t>
      </w:r>
      <w:r>
        <w:rPr>
          <w:rFonts w:hint="eastAsia"/>
          <w:bCs w:val="0"/>
          <w:color w:val="auto"/>
          <w:sz w:val="21"/>
          <w:szCs w:val="21"/>
          <w:highlight w:val="none"/>
        </w:rPr>
        <w:t>.</w:t>
      </w:r>
      <w:r>
        <w:rPr>
          <w:bCs w:val="0"/>
          <w:color w:val="auto"/>
          <w:sz w:val="21"/>
          <w:szCs w:val="21"/>
          <w:highlight w:val="none"/>
        </w:rPr>
        <w:t>竣工验收</w:t>
      </w:r>
      <w:bookmarkEnd w:id="438"/>
      <w:r>
        <w:rPr>
          <w:bCs w:val="0"/>
          <w:color w:val="auto"/>
          <w:sz w:val="21"/>
          <w:szCs w:val="21"/>
          <w:highlight w:val="none"/>
        </w:rPr>
        <w:t>（验收）</w:t>
      </w:r>
      <w:bookmarkEnd w:id="439"/>
      <w:bookmarkEnd w:id="440"/>
    </w:p>
    <w:p>
      <w:pPr>
        <w:spacing w:line="490" w:lineRule="exact"/>
        <w:ind w:firstLine="422" w:firstLineChars="200"/>
        <w:outlineLvl w:val="3"/>
        <w:rPr>
          <w:b/>
          <w:bCs/>
          <w:kern w:val="0"/>
          <w:szCs w:val="21"/>
          <w:highlight w:val="none"/>
        </w:rPr>
      </w:pPr>
      <w:bookmarkStart w:id="441" w:name="_Toc511318147"/>
      <w:r>
        <w:rPr>
          <w:b/>
          <w:bCs/>
          <w:kern w:val="0"/>
          <w:szCs w:val="21"/>
          <w:highlight w:val="none"/>
        </w:rPr>
        <w:t>18.1 验收工作分类</w:t>
      </w:r>
      <w:bookmarkEnd w:id="441"/>
    </w:p>
    <w:p>
      <w:pPr>
        <w:spacing w:line="490" w:lineRule="exact"/>
        <w:ind w:firstLine="420" w:firstLineChars="200"/>
        <w:rPr>
          <w:kern w:val="0"/>
          <w:szCs w:val="21"/>
          <w:highlight w:val="none"/>
        </w:rPr>
      </w:pPr>
      <w:r>
        <w:rPr>
          <w:kern w:val="0"/>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spacing w:line="490" w:lineRule="exact"/>
        <w:ind w:firstLine="422" w:firstLineChars="200"/>
        <w:outlineLvl w:val="3"/>
        <w:rPr>
          <w:b/>
          <w:bCs/>
          <w:kern w:val="0"/>
          <w:szCs w:val="21"/>
          <w:highlight w:val="none"/>
        </w:rPr>
      </w:pPr>
      <w:bookmarkStart w:id="442" w:name="_Toc511318148"/>
      <w:r>
        <w:rPr>
          <w:b/>
          <w:bCs/>
          <w:kern w:val="0"/>
          <w:szCs w:val="21"/>
          <w:highlight w:val="none"/>
        </w:rPr>
        <w:t>18.2 分部工程验收</w:t>
      </w:r>
      <w:bookmarkEnd w:id="442"/>
    </w:p>
    <w:p>
      <w:pPr>
        <w:spacing w:line="490" w:lineRule="exact"/>
        <w:ind w:firstLine="420" w:firstLineChars="200"/>
        <w:rPr>
          <w:kern w:val="0"/>
          <w:szCs w:val="21"/>
          <w:highlight w:val="none"/>
        </w:rPr>
      </w:pPr>
      <w:r>
        <w:rPr>
          <w:kern w:val="0"/>
          <w:szCs w:val="21"/>
          <w:highlight w:val="none"/>
        </w:rPr>
        <w:t>18.2.1 分部工程具备验收条件时，承包人应向发包人提交验收申请报告，发包人应在收到验收申请报告之日起10个工作日内决定是否同意进行验收。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18.2.2 除专用合同条款另有约定外，监理人主持分部工程验收，承包人应派符合条件的代表参加验收工作组。</w:t>
      </w:r>
    </w:p>
    <w:p>
      <w:pPr>
        <w:spacing w:line="490" w:lineRule="exact"/>
        <w:ind w:firstLine="420" w:firstLineChars="200"/>
        <w:rPr>
          <w:kern w:val="0"/>
          <w:szCs w:val="21"/>
          <w:highlight w:val="none"/>
        </w:rPr>
      </w:pPr>
      <w:r>
        <w:rPr>
          <w:kern w:val="0"/>
          <w:szCs w:val="21"/>
          <w:highlight w:val="none"/>
        </w:rPr>
        <w:t>18.2.3 分部工程验收通过后，发包人向承包人发送分部工程验收鉴定书。承包人应及时完成分部工程验收鉴定书载明应由承包人处理的遗留问题。</w:t>
      </w:r>
    </w:p>
    <w:p>
      <w:pPr>
        <w:spacing w:line="490" w:lineRule="exact"/>
        <w:ind w:firstLine="422" w:firstLineChars="200"/>
        <w:outlineLvl w:val="3"/>
        <w:rPr>
          <w:b/>
          <w:bCs/>
          <w:kern w:val="0"/>
          <w:szCs w:val="21"/>
          <w:highlight w:val="none"/>
        </w:rPr>
      </w:pPr>
      <w:bookmarkStart w:id="443" w:name="_Toc511318149"/>
      <w:r>
        <w:rPr>
          <w:b/>
          <w:bCs/>
          <w:kern w:val="0"/>
          <w:szCs w:val="21"/>
          <w:highlight w:val="none"/>
        </w:rPr>
        <w:t>18.3 单位工程验收</w:t>
      </w:r>
      <w:bookmarkEnd w:id="443"/>
    </w:p>
    <w:p>
      <w:pPr>
        <w:spacing w:line="490" w:lineRule="exact"/>
        <w:ind w:firstLine="420" w:firstLineChars="200"/>
        <w:rPr>
          <w:kern w:val="0"/>
          <w:szCs w:val="21"/>
          <w:highlight w:val="none"/>
        </w:rPr>
      </w:pPr>
      <w:r>
        <w:rPr>
          <w:kern w:val="0"/>
          <w:szCs w:val="21"/>
          <w:highlight w:val="none"/>
        </w:rPr>
        <w:t>18.3.1 单位工程具备验收条件时，承包人应向发包人提交验收申请报告，发包人应在收到验收申请报告之日起10个工作日内决定是否同意进行验收。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18.3.2 发包人主持单位工程验收，承包人应派符合条件的代表参加验收工作组。</w:t>
      </w:r>
    </w:p>
    <w:p>
      <w:pPr>
        <w:spacing w:line="490" w:lineRule="exact"/>
        <w:ind w:firstLine="420" w:firstLineChars="200"/>
        <w:rPr>
          <w:kern w:val="0"/>
          <w:szCs w:val="21"/>
          <w:highlight w:val="none"/>
        </w:rPr>
      </w:pPr>
      <w:r>
        <w:rPr>
          <w:kern w:val="0"/>
          <w:szCs w:val="21"/>
          <w:highlight w:val="none"/>
        </w:rPr>
        <w:t>18.3.3 单位工程验收通过后，发包人向承包人发送单位工程验收鉴定书。承包人应及时完成单位工程验收鉴定书载明应由承包人处理的遗留问题。</w:t>
      </w:r>
    </w:p>
    <w:p>
      <w:pPr>
        <w:spacing w:line="490" w:lineRule="exact"/>
        <w:ind w:firstLine="420" w:firstLineChars="200"/>
        <w:rPr>
          <w:kern w:val="0"/>
          <w:szCs w:val="21"/>
          <w:highlight w:val="none"/>
        </w:rPr>
      </w:pPr>
      <w:r>
        <w:rPr>
          <w:kern w:val="0"/>
          <w:szCs w:val="21"/>
          <w:highlight w:val="none"/>
        </w:rPr>
        <w:t>18.3.4 需提前投入使用的单位工程在专用合同条款中明确。</w:t>
      </w:r>
    </w:p>
    <w:p>
      <w:pPr>
        <w:spacing w:line="490" w:lineRule="exact"/>
        <w:ind w:firstLine="422" w:firstLineChars="200"/>
        <w:outlineLvl w:val="3"/>
        <w:rPr>
          <w:b/>
          <w:bCs/>
          <w:kern w:val="0"/>
          <w:szCs w:val="21"/>
          <w:highlight w:val="none"/>
        </w:rPr>
      </w:pPr>
      <w:bookmarkStart w:id="444" w:name="_Toc511318150"/>
      <w:r>
        <w:rPr>
          <w:b/>
          <w:bCs/>
          <w:kern w:val="0"/>
          <w:szCs w:val="21"/>
          <w:highlight w:val="none"/>
        </w:rPr>
        <w:t>18.4 合同工程完工验收</w:t>
      </w:r>
      <w:bookmarkEnd w:id="444"/>
    </w:p>
    <w:p>
      <w:pPr>
        <w:spacing w:line="490" w:lineRule="exact"/>
        <w:ind w:firstLine="420" w:firstLineChars="200"/>
        <w:rPr>
          <w:kern w:val="0"/>
          <w:szCs w:val="21"/>
          <w:highlight w:val="none"/>
        </w:rPr>
      </w:pPr>
      <w:r>
        <w:rPr>
          <w:kern w:val="0"/>
          <w:szCs w:val="21"/>
          <w:highlight w:val="none"/>
        </w:rPr>
        <w:t>18.4.1 合同工程具备验收条件时，承包人应向发包人提交验收申请报告，发包人应在收到验收申请报告之日起20个工作日内决定是否同意进行验收。</w:t>
      </w:r>
    </w:p>
    <w:p>
      <w:pPr>
        <w:spacing w:line="490" w:lineRule="exact"/>
        <w:ind w:firstLine="420" w:firstLineChars="200"/>
        <w:rPr>
          <w:kern w:val="0"/>
          <w:szCs w:val="21"/>
          <w:highlight w:val="none"/>
        </w:rPr>
      </w:pPr>
      <w:r>
        <w:rPr>
          <w:kern w:val="0"/>
          <w:szCs w:val="21"/>
          <w:highlight w:val="none"/>
        </w:rPr>
        <w:t>18.4.2 发包人主持合同工程完工验收，承包人应派代表参加验收工作组。</w:t>
      </w:r>
    </w:p>
    <w:p>
      <w:pPr>
        <w:spacing w:line="490" w:lineRule="exact"/>
        <w:ind w:firstLine="420" w:firstLineChars="200"/>
        <w:rPr>
          <w:kern w:val="0"/>
          <w:szCs w:val="21"/>
          <w:highlight w:val="none"/>
        </w:rPr>
      </w:pPr>
      <w:r>
        <w:rPr>
          <w:kern w:val="0"/>
          <w:szCs w:val="21"/>
          <w:highlight w:val="none"/>
        </w:rPr>
        <w:t>18.4.3 合同工程完工验收通过后，发包人向承包人发送合同工程完工验收鉴定书。承包人应及时完成合同工程完工验收鉴定书载明应由承包人处理的遗留问题。</w:t>
      </w:r>
    </w:p>
    <w:p>
      <w:pPr>
        <w:spacing w:line="490" w:lineRule="exact"/>
        <w:ind w:firstLine="420" w:firstLineChars="200"/>
        <w:rPr>
          <w:kern w:val="0"/>
          <w:szCs w:val="21"/>
          <w:highlight w:val="none"/>
        </w:rPr>
      </w:pPr>
      <w:r>
        <w:rPr>
          <w:kern w:val="0"/>
          <w:szCs w:val="21"/>
          <w:highlight w:val="none"/>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spacing w:line="490" w:lineRule="exact"/>
        <w:ind w:firstLine="422" w:firstLineChars="200"/>
        <w:outlineLvl w:val="3"/>
        <w:rPr>
          <w:b/>
          <w:bCs/>
          <w:kern w:val="0"/>
          <w:szCs w:val="21"/>
          <w:highlight w:val="none"/>
        </w:rPr>
      </w:pPr>
      <w:bookmarkStart w:id="445" w:name="_Toc511318151"/>
      <w:r>
        <w:rPr>
          <w:b/>
          <w:bCs/>
          <w:kern w:val="0"/>
          <w:szCs w:val="21"/>
          <w:highlight w:val="none"/>
        </w:rPr>
        <w:t>18.5 阶段验收</w:t>
      </w:r>
      <w:bookmarkEnd w:id="445"/>
    </w:p>
    <w:p>
      <w:pPr>
        <w:spacing w:line="490" w:lineRule="exact"/>
        <w:ind w:firstLine="420" w:firstLineChars="200"/>
        <w:rPr>
          <w:kern w:val="0"/>
          <w:szCs w:val="21"/>
          <w:highlight w:val="none"/>
        </w:rPr>
      </w:pPr>
      <w:r>
        <w:rPr>
          <w:kern w:val="0"/>
          <w:szCs w:val="21"/>
          <w:highlight w:val="none"/>
        </w:rPr>
        <w:t>18.5.1 工程建设具备阶段验收条件时，发包人负责提出阶段验收申请报告。承包人应派代表参加阶段验收，并作为被验收单位在验收鉴定书上签字。阶段验收的具体类别在专用合同条款中约定。</w:t>
      </w:r>
    </w:p>
    <w:p>
      <w:pPr>
        <w:spacing w:line="490" w:lineRule="exact"/>
        <w:ind w:firstLine="420" w:firstLineChars="200"/>
        <w:rPr>
          <w:kern w:val="0"/>
          <w:szCs w:val="21"/>
          <w:highlight w:val="none"/>
        </w:rPr>
      </w:pPr>
      <w:r>
        <w:rPr>
          <w:kern w:val="0"/>
          <w:szCs w:val="21"/>
          <w:highlight w:val="none"/>
        </w:rPr>
        <w:t>18.5.2 承包人应及时完成阶段验收鉴定书载明应由承包人处理的遗留问题。</w:t>
      </w:r>
    </w:p>
    <w:p>
      <w:pPr>
        <w:spacing w:line="490" w:lineRule="exact"/>
        <w:ind w:firstLine="422" w:firstLineChars="200"/>
        <w:outlineLvl w:val="3"/>
        <w:rPr>
          <w:b/>
          <w:bCs/>
          <w:kern w:val="0"/>
          <w:szCs w:val="21"/>
          <w:highlight w:val="none"/>
        </w:rPr>
      </w:pPr>
      <w:bookmarkStart w:id="446" w:name="_Toc511318152"/>
      <w:r>
        <w:rPr>
          <w:b/>
          <w:bCs/>
          <w:kern w:val="0"/>
          <w:szCs w:val="21"/>
          <w:highlight w:val="none"/>
        </w:rPr>
        <w:t>18.6 专项验收</w:t>
      </w:r>
      <w:bookmarkEnd w:id="446"/>
    </w:p>
    <w:p>
      <w:pPr>
        <w:spacing w:line="490" w:lineRule="exact"/>
        <w:ind w:firstLine="420" w:firstLineChars="200"/>
        <w:rPr>
          <w:kern w:val="0"/>
          <w:szCs w:val="21"/>
          <w:highlight w:val="none"/>
        </w:rPr>
      </w:pPr>
      <w:r>
        <w:rPr>
          <w:kern w:val="0"/>
          <w:szCs w:val="21"/>
          <w:highlight w:val="none"/>
        </w:rPr>
        <w:t>18.6.1 发包人负责提出专项验收申请报告。承包人应按专项验收的相关规定参加专项验收。专项验收的具体类别在专用合同条款中约定。</w:t>
      </w:r>
    </w:p>
    <w:p>
      <w:pPr>
        <w:spacing w:line="490" w:lineRule="exact"/>
        <w:ind w:firstLine="420" w:firstLineChars="200"/>
        <w:rPr>
          <w:kern w:val="0"/>
          <w:szCs w:val="21"/>
          <w:highlight w:val="none"/>
        </w:rPr>
      </w:pPr>
      <w:r>
        <w:rPr>
          <w:kern w:val="0"/>
          <w:szCs w:val="21"/>
          <w:highlight w:val="none"/>
        </w:rPr>
        <w:t>18.6.2 承包人应及时完成专项验收成果性文件载明应由承包人处理的遗留问题。</w:t>
      </w:r>
    </w:p>
    <w:p>
      <w:pPr>
        <w:spacing w:line="490" w:lineRule="exact"/>
        <w:ind w:firstLine="422" w:firstLineChars="200"/>
        <w:outlineLvl w:val="3"/>
        <w:rPr>
          <w:b/>
          <w:bCs/>
          <w:kern w:val="0"/>
          <w:szCs w:val="21"/>
          <w:highlight w:val="none"/>
        </w:rPr>
      </w:pPr>
      <w:bookmarkStart w:id="447" w:name="_Toc511318153"/>
      <w:r>
        <w:rPr>
          <w:b/>
          <w:bCs/>
          <w:kern w:val="0"/>
          <w:szCs w:val="21"/>
          <w:highlight w:val="none"/>
        </w:rPr>
        <w:t>18.7 竣工验收</w:t>
      </w:r>
      <w:bookmarkEnd w:id="447"/>
    </w:p>
    <w:p>
      <w:pPr>
        <w:spacing w:line="490" w:lineRule="exact"/>
        <w:ind w:firstLine="420" w:firstLineChars="200"/>
        <w:rPr>
          <w:kern w:val="0"/>
          <w:szCs w:val="21"/>
          <w:highlight w:val="none"/>
        </w:rPr>
      </w:pPr>
      <w:r>
        <w:rPr>
          <w:kern w:val="0"/>
          <w:szCs w:val="21"/>
          <w:highlight w:val="none"/>
        </w:rPr>
        <w:t>18.7.1 申请竣工验收前，发包人组织竣工验收自查，承包人应派代表参加。</w:t>
      </w:r>
    </w:p>
    <w:p>
      <w:pPr>
        <w:spacing w:line="490" w:lineRule="exact"/>
        <w:ind w:firstLine="420" w:firstLineChars="200"/>
        <w:rPr>
          <w:kern w:val="0"/>
          <w:szCs w:val="21"/>
          <w:highlight w:val="none"/>
        </w:rPr>
      </w:pPr>
      <w:r>
        <w:rPr>
          <w:kern w:val="0"/>
          <w:szCs w:val="21"/>
          <w:highlight w:val="none"/>
        </w:rPr>
        <w:t>18.7.2 竣工验收分为竣工技术预验收和竣工验收两个阶段。发包人应通知承包人派代表参加技术预验收和竣工验收。</w:t>
      </w:r>
    </w:p>
    <w:p>
      <w:pPr>
        <w:spacing w:line="490" w:lineRule="exact"/>
        <w:ind w:firstLine="420" w:firstLineChars="200"/>
        <w:rPr>
          <w:kern w:val="0"/>
          <w:szCs w:val="21"/>
          <w:highlight w:val="none"/>
        </w:rPr>
      </w:pPr>
      <w:r>
        <w:rPr>
          <w:kern w:val="0"/>
          <w:szCs w:val="21"/>
          <w:highlight w:val="none"/>
        </w:rPr>
        <w:t>18.7.3 专用合同条款约定工程需要进行技术鉴定的，承包人应提交有关资料并完成配合工作。</w:t>
      </w:r>
    </w:p>
    <w:p>
      <w:pPr>
        <w:spacing w:line="490" w:lineRule="exact"/>
        <w:ind w:firstLine="420" w:firstLineChars="200"/>
        <w:rPr>
          <w:kern w:val="0"/>
          <w:szCs w:val="21"/>
          <w:highlight w:val="none"/>
        </w:rPr>
      </w:pPr>
      <w:r>
        <w:rPr>
          <w:kern w:val="0"/>
          <w:szCs w:val="21"/>
          <w:highlight w:val="none"/>
        </w:rPr>
        <w:t>18.7.4 竣工验收需要进行质量检测的，所需费用由发包人承担，但因承包人原因造成质量不合格的除外。</w:t>
      </w:r>
    </w:p>
    <w:p>
      <w:pPr>
        <w:spacing w:line="490" w:lineRule="exact"/>
        <w:ind w:firstLine="420" w:firstLineChars="200"/>
        <w:rPr>
          <w:kern w:val="0"/>
          <w:szCs w:val="21"/>
          <w:highlight w:val="none"/>
        </w:rPr>
      </w:pPr>
      <w:r>
        <w:rPr>
          <w:kern w:val="0"/>
          <w:szCs w:val="21"/>
          <w:highlight w:val="none"/>
        </w:rPr>
        <w:t>18.7.5 工程质量保修期满以及竣工验收遗留问题和尾工处理完成并通过验收后，发包人负责将处理情况和验收成果报送竣工验收主持单位，申请领取工程竣工证书，并发送承包人。</w:t>
      </w:r>
    </w:p>
    <w:p>
      <w:pPr>
        <w:spacing w:line="490" w:lineRule="exact"/>
        <w:ind w:firstLine="422" w:firstLineChars="200"/>
        <w:outlineLvl w:val="3"/>
        <w:rPr>
          <w:b/>
          <w:bCs/>
          <w:kern w:val="0"/>
          <w:szCs w:val="21"/>
          <w:highlight w:val="none"/>
        </w:rPr>
      </w:pPr>
      <w:bookmarkStart w:id="448" w:name="_Toc511318154"/>
      <w:r>
        <w:rPr>
          <w:b/>
          <w:bCs/>
          <w:kern w:val="0"/>
          <w:szCs w:val="21"/>
          <w:highlight w:val="none"/>
        </w:rPr>
        <w:t>18.8 施工期运行</w:t>
      </w:r>
      <w:bookmarkEnd w:id="448"/>
    </w:p>
    <w:p>
      <w:pPr>
        <w:spacing w:line="490" w:lineRule="exact"/>
        <w:ind w:firstLine="420" w:firstLineChars="200"/>
        <w:rPr>
          <w:kern w:val="0"/>
          <w:szCs w:val="21"/>
          <w:highlight w:val="none"/>
        </w:rPr>
      </w:pPr>
      <w:r>
        <w:rPr>
          <w:kern w:val="0"/>
          <w:szCs w:val="21"/>
          <w:highlight w:val="none"/>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spacing w:line="490" w:lineRule="exact"/>
        <w:ind w:firstLine="420" w:firstLineChars="200"/>
        <w:rPr>
          <w:kern w:val="0"/>
          <w:szCs w:val="21"/>
          <w:highlight w:val="none"/>
        </w:rPr>
      </w:pPr>
      <w:r>
        <w:rPr>
          <w:kern w:val="0"/>
          <w:szCs w:val="21"/>
          <w:highlight w:val="none"/>
        </w:rPr>
        <w:t>18.8.2 在施工期运行中发现工程或工程设备损坏或存在缺陷的，由承包人按第19.2款约定进行修复。</w:t>
      </w:r>
    </w:p>
    <w:p>
      <w:pPr>
        <w:spacing w:line="490" w:lineRule="exact"/>
        <w:ind w:firstLine="422" w:firstLineChars="200"/>
        <w:outlineLvl w:val="3"/>
        <w:rPr>
          <w:b/>
          <w:bCs/>
          <w:kern w:val="0"/>
          <w:szCs w:val="21"/>
          <w:highlight w:val="none"/>
        </w:rPr>
      </w:pPr>
      <w:bookmarkStart w:id="449" w:name="_Toc511318155"/>
      <w:r>
        <w:rPr>
          <w:b/>
          <w:bCs/>
          <w:kern w:val="0"/>
          <w:szCs w:val="21"/>
          <w:highlight w:val="none"/>
        </w:rPr>
        <w:t>18.9 试运行</w:t>
      </w:r>
      <w:bookmarkEnd w:id="449"/>
    </w:p>
    <w:p>
      <w:pPr>
        <w:spacing w:line="490" w:lineRule="exact"/>
        <w:ind w:firstLine="420" w:firstLineChars="200"/>
        <w:rPr>
          <w:kern w:val="0"/>
          <w:szCs w:val="21"/>
          <w:highlight w:val="none"/>
        </w:rPr>
      </w:pPr>
      <w:r>
        <w:rPr>
          <w:kern w:val="0"/>
          <w:szCs w:val="21"/>
          <w:highlight w:val="none"/>
        </w:rPr>
        <w:t>18.9.1 除专用合同条款另有约定外，承包人应按规定进行工程及工程设备试运行，负责提供试运行所需的人员、器材和必要的条件，并承担全部试运行费用。</w:t>
      </w:r>
    </w:p>
    <w:p>
      <w:pPr>
        <w:spacing w:line="490" w:lineRule="exact"/>
        <w:ind w:firstLine="420" w:firstLineChars="200"/>
        <w:rPr>
          <w:kern w:val="0"/>
          <w:szCs w:val="21"/>
          <w:highlight w:val="none"/>
        </w:rPr>
      </w:pPr>
      <w:r>
        <w:rPr>
          <w:kern w:val="0"/>
          <w:szCs w:val="21"/>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490" w:lineRule="exact"/>
        <w:ind w:firstLine="422" w:firstLineChars="200"/>
        <w:outlineLvl w:val="3"/>
        <w:rPr>
          <w:b/>
          <w:bCs/>
          <w:kern w:val="0"/>
          <w:szCs w:val="21"/>
          <w:highlight w:val="none"/>
        </w:rPr>
      </w:pPr>
      <w:bookmarkStart w:id="450" w:name="_Toc511318156"/>
      <w:r>
        <w:rPr>
          <w:b/>
          <w:bCs/>
          <w:kern w:val="0"/>
          <w:szCs w:val="21"/>
          <w:highlight w:val="none"/>
        </w:rPr>
        <w:t>18.10 竣工（完工）清场</w:t>
      </w:r>
      <w:bookmarkEnd w:id="450"/>
    </w:p>
    <w:p>
      <w:pPr>
        <w:spacing w:line="490" w:lineRule="exact"/>
        <w:ind w:firstLine="420" w:firstLineChars="200"/>
        <w:rPr>
          <w:kern w:val="0"/>
          <w:szCs w:val="21"/>
          <w:highlight w:val="none"/>
        </w:rPr>
      </w:pPr>
      <w:r>
        <w:rPr>
          <w:kern w:val="0"/>
          <w:szCs w:val="21"/>
          <w:highlight w:val="none"/>
        </w:rPr>
        <w:t>18.10.1 工程项目竣工（完工）清场的工作范围和内容在技术标准和要求（合同技术条款）中约定。</w:t>
      </w:r>
    </w:p>
    <w:p>
      <w:pPr>
        <w:spacing w:line="490" w:lineRule="exact"/>
        <w:ind w:firstLine="420" w:firstLineChars="200"/>
        <w:rPr>
          <w:kern w:val="0"/>
          <w:szCs w:val="21"/>
          <w:highlight w:val="none"/>
        </w:rPr>
      </w:pPr>
      <w:r>
        <w:rPr>
          <w:kern w:val="0"/>
          <w:szCs w:val="21"/>
          <w:highlight w:val="none"/>
        </w:rPr>
        <w:t>18.10.2 承包人未按监理人的要求恢复临时占地，或者场地清理未达到合同约定的，发包人有权委托其它人恢复或清理，所发生的金额从拟支付给承包人的款项中扣除。</w:t>
      </w:r>
    </w:p>
    <w:p>
      <w:pPr>
        <w:spacing w:line="490" w:lineRule="exact"/>
        <w:ind w:firstLine="422" w:firstLineChars="200"/>
        <w:outlineLvl w:val="3"/>
        <w:rPr>
          <w:b/>
          <w:bCs/>
          <w:kern w:val="0"/>
          <w:szCs w:val="21"/>
          <w:highlight w:val="none"/>
        </w:rPr>
      </w:pPr>
      <w:bookmarkStart w:id="451" w:name="_Toc511318157"/>
      <w:r>
        <w:rPr>
          <w:b/>
          <w:bCs/>
          <w:kern w:val="0"/>
          <w:szCs w:val="21"/>
          <w:highlight w:val="none"/>
        </w:rPr>
        <w:t>18.11 施工队伍的撤离</w:t>
      </w:r>
      <w:bookmarkEnd w:id="451"/>
    </w:p>
    <w:p>
      <w:pPr>
        <w:spacing w:line="490" w:lineRule="exact"/>
        <w:ind w:firstLine="420" w:firstLineChars="200"/>
        <w:rPr>
          <w:kern w:val="0"/>
          <w:szCs w:val="21"/>
          <w:highlight w:val="none"/>
        </w:rPr>
      </w:pPr>
      <w:r>
        <w:rPr>
          <w:kern w:val="0"/>
          <w:szCs w:val="21"/>
          <w:highlight w:val="none"/>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5"/>
        <w:keepNext w:val="0"/>
        <w:keepLines w:val="0"/>
        <w:spacing w:before="0" w:after="0" w:line="490" w:lineRule="exact"/>
        <w:ind w:firstLine="422" w:firstLineChars="200"/>
        <w:rPr>
          <w:bCs w:val="0"/>
          <w:color w:val="auto"/>
          <w:sz w:val="21"/>
          <w:szCs w:val="21"/>
          <w:highlight w:val="none"/>
        </w:rPr>
      </w:pPr>
      <w:bookmarkStart w:id="452" w:name="_Toc189386226"/>
      <w:bookmarkStart w:id="453" w:name="_Toc29131"/>
      <w:bookmarkStart w:id="454" w:name="_Toc7234"/>
      <w:r>
        <w:rPr>
          <w:bCs w:val="0"/>
          <w:color w:val="auto"/>
          <w:sz w:val="21"/>
          <w:szCs w:val="21"/>
          <w:highlight w:val="none"/>
        </w:rPr>
        <w:t>19</w:t>
      </w:r>
      <w:r>
        <w:rPr>
          <w:rFonts w:hint="eastAsia"/>
          <w:bCs w:val="0"/>
          <w:color w:val="auto"/>
          <w:sz w:val="21"/>
          <w:szCs w:val="21"/>
          <w:highlight w:val="none"/>
        </w:rPr>
        <w:t>.</w:t>
      </w:r>
      <w:r>
        <w:rPr>
          <w:bCs w:val="0"/>
          <w:color w:val="auto"/>
          <w:sz w:val="21"/>
          <w:szCs w:val="21"/>
          <w:highlight w:val="none"/>
        </w:rPr>
        <w:t>缺陷责任与保修责任</w:t>
      </w:r>
      <w:bookmarkEnd w:id="452"/>
      <w:bookmarkEnd w:id="453"/>
      <w:bookmarkEnd w:id="454"/>
    </w:p>
    <w:p>
      <w:pPr>
        <w:spacing w:line="490" w:lineRule="exact"/>
        <w:ind w:firstLine="422" w:firstLineChars="200"/>
        <w:outlineLvl w:val="3"/>
        <w:rPr>
          <w:b/>
          <w:bCs/>
          <w:kern w:val="0"/>
          <w:szCs w:val="21"/>
          <w:highlight w:val="none"/>
        </w:rPr>
      </w:pPr>
      <w:bookmarkStart w:id="455" w:name="_Toc189386227"/>
      <w:r>
        <w:rPr>
          <w:b/>
          <w:bCs/>
          <w:kern w:val="0"/>
          <w:szCs w:val="21"/>
          <w:highlight w:val="none"/>
        </w:rPr>
        <w:t>19.1缺陷责任期（工程质量保修期）的起算时间</w:t>
      </w:r>
      <w:bookmarkEnd w:id="455"/>
    </w:p>
    <w:p>
      <w:pPr>
        <w:spacing w:line="490" w:lineRule="exact"/>
        <w:ind w:firstLine="420" w:firstLineChars="200"/>
        <w:rPr>
          <w:kern w:val="0"/>
          <w:szCs w:val="21"/>
          <w:highlight w:val="none"/>
        </w:rPr>
      </w:pPr>
      <w:r>
        <w:rPr>
          <w:kern w:val="0"/>
          <w:szCs w:val="21"/>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spacing w:line="490" w:lineRule="exact"/>
        <w:ind w:firstLine="422" w:firstLineChars="200"/>
        <w:outlineLvl w:val="3"/>
        <w:rPr>
          <w:b/>
          <w:bCs/>
          <w:kern w:val="0"/>
          <w:szCs w:val="21"/>
          <w:highlight w:val="none"/>
        </w:rPr>
      </w:pPr>
      <w:bookmarkStart w:id="456" w:name="_Toc189386228"/>
      <w:bookmarkStart w:id="457" w:name="_Toc511318159"/>
      <w:r>
        <w:rPr>
          <w:b/>
          <w:bCs/>
          <w:kern w:val="0"/>
          <w:szCs w:val="21"/>
          <w:highlight w:val="none"/>
        </w:rPr>
        <w:t>19.2 缺陷责任</w:t>
      </w:r>
      <w:bookmarkEnd w:id="456"/>
      <w:bookmarkEnd w:id="457"/>
    </w:p>
    <w:p>
      <w:pPr>
        <w:spacing w:line="490" w:lineRule="exact"/>
        <w:ind w:firstLine="420" w:firstLineChars="200"/>
        <w:rPr>
          <w:kern w:val="0"/>
          <w:szCs w:val="21"/>
          <w:highlight w:val="none"/>
        </w:rPr>
      </w:pPr>
      <w:r>
        <w:rPr>
          <w:kern w:val="0"/>
          <w:szCs w:val="21"/>
          <w:highlight w:val="none"/>
        </w:rPr>
        <w:t>19.2.1 承包人应在缺陷责任期内对已交付使用的工程承担缺陷责任。</w:t>
      </w:r>
    </w:p>
    <w:p>
      <w:pPr>
        <w:spacing w:line="490" w:lineRule="exact"/>
        <w:ind w:firstLine="420" w:firstLineChars="200"/>
        <w:rPr>
          <w:kern w:val="0"/>
          <w:szCs w:val="21"/>
          <w:highlight w:val="none"/>
        </w:rPr>
      </w:pPr>
      <w:r>
        <w:rPr>
          <w:kern w:val="0"/>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490" w:lineRule="exact"/>
        <w:ind w:firstLine="420" w:firstLineChars="200"/>
        <w:rPr>
          <w:kern w:val="0"/>
          <w:szCs w:val="21"/>
          <w:highlight w:val="none"/>
        </w:rPr>
      </w:pPr>
      <w:r>
        <w:rPr>
          <w:kern w:val="0"/>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490" w:lineRule="exact"/>
        <w:ind w:firstLine="420" w:firstLineChars="200"/>
        <w:rPr>
          <w:kern w:val="0"/>
          <w:szCs w:val="21"/>
          <w:highlight w:val="none"/>
        </w:rPr>
      </w:pPr>
      <w:r>
        <w:rPr>
          <w:kern w:val="0"/>
          <w:szCs w:val="21"/>
          <w:highlight w:val="none"/>
        </w:rPr>
        <w:t>19.2.4 承包人不能在合理时间内修复缺陷的，发包人可自行修复或委托其他人修复，所需费用和利润的承担，按第19.2.3项约定办理。</w:t>
      </w:r>
    </w:p>
    <w:p>
      <w:pPr>
        <w:spacing w:line="490" w:lineRule="exact"/>
        <w:ind w:firstLine="422" w:firstLineChars="200"/>
        <w:outlineLvl w:val="3"/>
        <w:rPr>
          <w:b/>
          <w:bCs/>
          <w:kern w:val="0"/>
          <w:szCs w:val="21"/>
          <w:highlight w:val="none"/>
        </w:rPr>
      </w:pPr>
      <w:bookmarkStart w:id="458" w:name="_Toc189386229"/>
      <w:bookmarkStart w:id="459" w:name="_Toc511318160"/>
      <w:r>
        <w:rPr>
          <w:b/>
          <w:bCs/>
          <w:kern w:val="0"/>
          <w:szCs w:val="21"/>
          <w:highlight w:val="none"/>
        </w:rPr>
        <w:t>19.3 缺陷责任期的延长</w:t>
      </w:r>
      <w:bookmarkEnd w:id="458"/>
      <w:bookmarkEnd w:id="459"/>
    </w:p>
    <w:p>
      <w:pPr>
        <w:spacing w:line="490" w:lineRule="exact"/>
        <w:ind w:firstLine="420" w:firstLineChars="200"/>
        <w:rPr>
          <w:kern w:val="0"/>
          <w:szCs w:val="21"/>
          <w:highlight w:val="none"/>
        </w:rPr>
      </w:pPr>
      <w:r>
        <w:rPr>
          <w:kern w:val="0"/>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spacing w:line="490" w:lineRule="exact"/>
        <w:ind w:firstLine="422" w:firstLineChars="200"/>
        <w:outlineLvl w:val="3"/>
        <w:rPr>
          <w:b/>
          <w:bCs/>
          <w:kern w:val="0"/>
          <w:szCs w:val="21"/>
          <w:highlight w:val="none"/>
        </w:rPr>
      </w:pPr>
      <w:bookmarkStart w:id="460" w:name="_Toc189386230"/>
      <w:bookmarkStart w:id="461" w:name="_Toc511318161"/>
      <w:r>
        <w:rPr>
          <w:b/>
          <w:bCs/>
          <w:kern w:val="0"/>
          <w:szCs w:val="21"/>
          <w:highlight w:val="none"/>
        </w:rPr>
        <w:t>19.4 进一步试验和试运行</w:t>
      </w:r>
      <w:bookmarkEnd w:id="460"/>
      <w:bookmarkEnd w:id="461"/>
    </w:p>
    <w:p>
      <w:pPr>
        <w:spacing w:line="490" w:lineRule="exact"/>
        <w:ind w:firstLine="420" w:firstLineChars="200"/>
        <w:rPr>
          <w:kern w:val="0"/>
          <w:szCs w:val="21"/>
          <w:highlight w:val="none"/>
        </w:rPr>
      </w:pPr>
      <w:r>
        <w:rPr>
          <w:kern w:val="0"/>
          <w:szCs w:val="21"/>
          <w:highlight w:val="none"/>
        </w:rPr>
        <w:t>任何一项缺陷或损坏修复后，经检查证明其影响了工程或工程设备的使用性能，承包人应重新进行合同约定的试验和试运行，试验和试运行的全部费用应由责任方承担。</w:t>
      </w:r>
    </w:p>
    <w:p>
      <w:pPr>
        <w:spacing w:line="490" w:lineRule="exact"/>
        <w:ind w:firstLine="422" w:firstLineChars="200"/>
        <w:outlineLvl w:val="3"/>
        <w:rPr>
          <w:b/>
          <w:bCs/>
          <w:kern w:val="0"/>
          <w:szCs w:val="21"/>
          <w:highlight w:val="none"/>
        </w:rPr>
      </w:pPr>
      <w:bookmarkStart w:id="462" w:name="_Toc189386231"/>
      <w:bookmarkStart w:id="463" w:name="_Toc511318162"/>
      <w:r>
        <w:rPr>
          <w:b/>
          <w:bCs/>
          <w:kern w:val="0"/>
          <w:szCs w:val="21"/>
          <w:highlight w:val="none"/>
        </w:rPr>
        <w:t>19.5 承包人的进入权</w:t>
      </w:r>
      <w:bookmarkEnd w:id="462"/>
      <w:bookmarkEnd w:id="463"/>
    </w:p>
    <w:p>
      <w:pPr>
        <w:spacing w:line="490" w:lineRule="exact"/>
        <w:ind w:firstLine="420" w:firstLineChars="200"/>
        <w:rPr>
          <w:kern w:val="0"/>
          <w:szCs w:val="21"/>
          <w:highlight w:val="none"/>
        </w:rPr>
      </w:pPr>
      <w:r>
        <w:rPr>
          <w:kern w:val="0"/>
          <w:szCs w:val="21"/>
          <w:highlight w:val="none"/>
        </w:rPr>
        <w:t>缺陷责任期内承包人为缺陷修复工作需要，有权进入工程现场，但应遵守发包人的保安和保密规定。</w:t>
      </w:r>
    </w:p>
    <w:p>
      <w:pPr>
        <w:spacing w:line="490" w:lineRule="exact"/>
        <w:ind w:firstLine="422" w:firstLineChars="200"/>
        <w:outlineLvl w:val="3"/>
        <w:rPr>
          <w:b/>
          <w:bCs/>
          <w:kern w:val="0"/>
          <w:szCs w:val="21"/>
          <w:highlight w:val="none"/>
        </w:rPr>
      </w:pPr>
      <w:bookmarkStart w:id="464" w:name="_Toc511318163"/>
      <w:r>
        <w:rPr>
          <w:b/>
          <w:bCs/>
          <w:kern w:val="0"/>
          <w:szCs w:val="21"/>
          <w:highlight w:val="none"/>
        </w:rPr>
        <w:t>19.6  缺陷责任期终止证书（工程质量保修责任终止证书）</w:t>
      </w:r>
      <w:bookmarkEnd w:id="464"/>
    </w:p>
    <w:p>
      <w:pPr>
        <w:spacing w:line="490" w:lineRule="exact"/>
        <w:ind w:firstLine="420" w:firstLineChars="200"/>
        <w:rPr>
          <w:kern w:val="0"/>
          <w:szCs w:val="21"/>
          <w:highlight w:val="none"/>
        </w:rPr>
      </w:pPr>
      <w:r>
        <w:rPr>
          <w:kern w:val="0"/>
          <w:szCs w:val="21"/>
          <w:highlight w:val="none"/>
        </w:rPr>
        <w:t>合同工程完工验收或投入使用验收后，发包人与承包人应办理工程交接手续，承包人应向发包人递交工程质量保修书。</w:t>
      </w:r>
    </w:p>
    <w:p>
      <w:pPr>
        <w:spacing w:line="490" w:lineRule="exact"/>
        <w:ind w:firstLine="420" w:firstLineChars="200"/>
        <w:rPr>
          <w:kern w:val="0"/>
          <w:szCs w:val="21"/>
          <w:highlight w:val="none"/>
        </w:rPr>
      </w:pPr>
      <w:r>
        <w:rPr>
          <w:kern w:val="0"/>
          <w:szCs w:val="21"/>
          <w:highlight w:val="none"/>
        </w:rPr>
        <w:t>缺陷责任期（工程质量保修期）满后30个工作日内，发包人应向承包人颁发工程质量保修责任终止证书，并退还剩余的质量保证金，但保修责任范围内的质量缺陷未处理完成的应除外。</w:t>
      </w:r>
    </w:p>
    <w:p>
      <w:pPr>
        <w:spacing w:line="490" w:lineRule="exact"/>
        <w:ind w:firstLine="422" w:firstLineChars="200"/>
        <w:outlineLvl w:val="3"/>
        <w:rPr>
          <w:b/>
          <w:bCs/>
          <w:kern w:val="0"/>
          <w:szCs w:val="21"/>
          <w:highlight w:val="none"/>
        </w:rPr>
      </w:pPr>
      <w:bookmarkStart w:id="465" w:name="_Toc511318164"/>
      <w:bookmarkStart w:id="466" w:name="_Toc189386233"/>
      <w:r>
        <w:rPr>
          <w:b/>
          <w:bCs/>
          <w:kern w:val="0"/>
          <w:szCs w:val="21"/>
          <w:highlight w:val="none"/>
        </w:rPr>
        <w:t>19.7 保修责任</w:t>
      </w:r>
      <w:bookmarkEnd w:id="465"/>
      <w:bookmarkEnd w:id="466"/>
    </w:p>
    <w:p>
      <w:pPr>
        <w:spacing w:line="490" w:lineRule="exact"/>
        <w:ind w:firstLine="420" w:firstLineChars="200"/>
        <w:rPr>
          <w:kern w:val="0"/>
          <w:szCs w:val="21"/>
          <w:highlight w:val="none"/>
        </w:rPr>
      </w:pPr>
      <w:r>
        <w:rPr>
          <w:kern w:val="0"/>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5"/>
        <w:keepNext w:val="0"/>
        <w:keepLines w:val="0"/>
        <w:spacing w:before="0" w:after="0" w:line="490" w:lineRule="exact"/>
        <w:ind w:firstLine="422" w:firstLineChars="200"/>
        <w:rPr>
          <w:bCs w:val="0"/>
          <w:color w:val="auto"/>
          <w:sz w:val="21"/>
          <w:szCs w:val="21"/>
          <w:highlight w:val="none"/>
        </w:rPr>
      </w:pPr>
      <w:bookmarkStart w:id="467" w:name="_Toc12408"/>
      <w:bookmarkStart w:id="468" w:name="_Toc26855"/>
      <w:bookmarkStart w:id="469" w:name="_Toc189386234"/>
      <w:r>
        <w:rPr>
          <w:bCs w:val="0"/>
          <w:color w:val="auto"/>
          <w:sz w:val="21"/>
          <w:szCs w:val="21"/>
          <w:highlight w:val="none"/>
        </w:rPr>
        <w:t>20</w:t>
      </w:r>
      <w:r>
        <w:rPr>
          <w:rFonts w:hint="eastAsia"/>
          <w:bCs w:val="0"/>
          <w:color w:val="auto"/>
          <w:sz w:val="21"/>
          <w:szCs w:val="21"/>
          <w:highlight w:val="none"/>
        </w:rPr>
        <w:t>.</w:t>
      </w:r>
      <w:r>
        <w:rPr>
          <w:bCs w:val="0"/>
          <w:color w:val="auto"/>
          <w:sz w:val="21"/>
          <w:szCs w:val="21"/>
          <w:highlight w:val="none"/>
        </w:rPr>
        <w:t>保险</w:t>
      </w:r>
      <w:bookmarkEnd w:id="467"/>
      <w:bookmarkEnd w:id="468"/>
      <w:bookmarkEnd w:id="469"/>
    </w:p>
    <w:p>
      <w:pPr>
        <w:spacing w:line="490" w:lineRule="exact"/>
        <w:ind w:firstLine="422" w:firstLineChars="200"/>
        <w:outlineLvl w:val="3"/>
        <w:rPr>
          <w:b/>
          <w:bCs/>
          <w:kern w:val="0"/>
          <w:szCs w:val="21"/>
          <w:highlight w:val="none"/>
        </w:rPr>
      </w:pPr>
      <w:bookmarkStart w:id="470" w:name="_Toc189386235"/>
      <w:r>
        <w:rPr>
          <w:b/>
          <w:bCs/>
          <w:kern w:val="0"/>
          <w:szCs w:val="21"/>
          <w:highlight w:val="none"/>
        </w:rPr>
        <w:t>20.1工程保险</w:t>
      </w:r>
      <w:bookmarkEnd w:id="470"/>
    </w:p>
    <w:p>
      <w:pPr>
        <w:spacing w:line="490" w:lineRule="exact"/>
        <w:ind w:firstLine="420" w:firstLineChars="200"/>
        <w:rPr>
          <w:kern w:val="0"/>
          <w:szCs w:val="21"/>
          <w:highlight w:val="none"/>
        </w:rPr>
      </w:pPr>
      <w:r>
        <w:rPr>
          <w:kern w:val="0"/>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490" w:lineRule="exact"/>
        <w:ind w:firstLine="422" w:firstLineChars="200"/>
        <w:outlineLvl w:val="3"/>
        <w:rPr>
          <w:b/>
          <w:bCs/>
          <w:kern w:val="0"/>
          <w:szCs w:val="21"/>
          <w:highlight w:val="none"/>
        </w:rPr>
      </w:pPr>
      <w:bookmarkStart w:id="471" w:name="_Toc189386236"/>
      <w:r>
        <w:rPr>
          <w:b/>
          <w:bCs/>
          <w:kern w:val="0"/>
          <w:szCs w:val="21"/>
          <w:highlight w:val="none"/>
        </w:rPr>
        <w:t>20.2 人员工伤事故的保险</w:t>
      </w:r>
      <w:bookmarkEnd w:id="471"/>
    </w:p>
    <w:p>
      <w:pPr>
        <w:spacing w:line="490" w:lineRule="exact"/>
        <w:ind w:firstLine="422" w:firstLineChars="200"/>
        <w:rPr>
          <w:b/>
          <w:kern w:val="0"/>
          <w:szCs w:val="21"/>
          <w:highlight w:val="none"/>
        </w:rPr>
      </w:pPr>
      <w:r>
        <w:rPr>
          <w:b/>
          <w:kern w:val="0"/>
          <w:szCs w:val="21"/>
          <w:highlight w:val="none"/>
        </w:rPr>
        <w:t xml:space="preserve">20.2.1 承包人员工伤事故的保险 </w:t>
      </w:r>
    </w:p>
    <w:p>
      <w:pPr>
        <w:spacing w:line="490" w:lineRule="exact"/>
        <w:ind w:firstLine="420" w:firstLineChars="200"/>
        <w:rPr>
          <w:kern w:val="0"/>
          <w:szCs w:val="21"/>
          <w:highlight w:val="none"/>
        </w:rPr>
      </w:pPr>
      <w:r>
        <w:rPr>
          <w:kern w:val="0"/>
          <w:szCs w:val="21"/>
          <w:highlight w:val="none"/>
        </w:rPr>
        <w:t>承包人应依照有关法律规定参加工伤保险，为其履行合同所雇佣的全部人员，缴纳工伤保险费，并要求其分包人也进行此项保险。</w:t>
      </w:r>
    </w:p>
    <w:p>
      <w:pPr>
        <w:spacing w:line="490" w:lineRule="exact"/>
        <w:ind w:firstLine="422" w:firstLineChars="200"/>
        <w:rPr>
          <w:b/>
          <w:kern w:val="0"/>
          <w:szCs w:val="21"/>
          <w:highlight w:val="none"/>
        </w:rPr>
      </w:pPr>
      <w:r>
        <w:rPr>
          <w:b/>
          <w:kern w:val="0"/>
          <w:szCs w:val="21"/>
          <w:highlight w:val="none"/>
        </w:rPr>
        <w:t xml:space="preserve">20.2.2 发包人员工伤事故的保险 </w:t>
      </w:r>
    </w:p>
    <w:p>
      <w:pPr>
        <w:spacing w:line="490" w:lineRule="exact"/>
        <w:ind w:firstLine="420" w:firstLineChars="200"/>
        <w:rPr>
          <w:kern w:val="0"/>
          <w:szCs w:val="21"/>
          <w:highlight w:val="none"/>
        </w:rPr>
      </w:pPr>
      <w:r>
        <w:rPr>
          <w:kern w:val="0"/>
          <w:szCs w:val="21"/>
          <w:highlight w:val="none"/>
        </w:rPr>
        <w:t>发包人应依照有关法律规定参加工伤保险，为其现场机构雇佣的全部人员，缴纳工伤保险费，并要求其监理人也进行此项保险。</w:t>
      </w:r>
    </w:p>
    <w:p>
      <w:pPr>
        <w:spacing w:line="490" w:lineRule="exact"/>
        <w:ind w:firstLine="422" w:firstLineChars="200"/>
        <w:outlineLvl w:val="3"/>
        <w:rPr>
          <w:b/>
          <w:bCs/>
          <w:kern w:val="0"/>
          <w:szCs w:val="21"/>
          <w:highlight w:val="none"/>
        </w:rPr>
      </w:pPr>
      <w:bookmarkStart w:id="472" w:name="_Toc511318166"/>
      <w:bookmarkStart w:id="473" w:name="_Toc189386237"/>
      <w:r>
        <w:rPr>
          <w:b/>
          <w:bCs/>
          <w:kern w:val="0"/>
          <w:szCs w:val="21"/>
          <w:highlight w:val="none"/>
        </w:rPr>
        <w:t>20.3 人身意外伤害险</w:t>
      </w:r>
      <w:bookmarkEnd w:id="472"/>
      <w:bookmarkEnd w:id="473"/>
    </w:p>
    <w:p>
      <w:pPr>
        <w:spacing w:line="490" w:lineRule="exact"/>
        <w:ind w:firstLine="420" w:firstLineChars="200"/>
        <w:rPr>
          <w:kern w:val="0"/>
          <w:szCs w:val="21"/>
          <w:highlight w:val="none"/>
        </w:rPr>
      </w:pPr>
      <w:r>
        <w:rPr>
          <w:kern w:val="0"/>
          <w:szCs w:val="21"/>
          <w:highlight w:val="none"/>
        </w:rPr>
        <w:t>20.3.1 发包人应在整个施工期间为其现场机构雇用的全部人员，投保人身意外伤害险，缴纳保险费，并要求其监理人也进行此项保险。</w:t>
      </w:r>
    </w:p>
    <w:p>
      <w:pPr>
        <w:spacing w:line="490" w:lineRule="exact"/>
        <w:ind w:firstLine="420" w:firstLineChars="200"/>
        <w:rPr>
          <w:kern w:val="0"/>
          <w:szCs w:val="21"/>
          <w:highlight w:val="none"/>
        </w:rPr>
      </w:pPr>
      <w:r>
        <w:rPr>
          <w:kern w:val="0"/>
          <w:szCs w:val="21"/>
          <w:highlight w:val="none"/>
        </w:rPr>
        <w:t>20.3.2 承包人应在整个施工期间为其现场机构雇用的全部人员，投保人身意外伤害险，缴纳保险费，并要求其分包人也进行此项保险。</w:t>
      </w:r>
    </w:p>
    <w:p>
      <w:pPr>
        <w:spacing w:line="490" w:lineRule="exact"/>
        <w:ind w:firstLine="422" w:firstLineChars="200"/>
        <w:outlineLvl w:val="3"/>
        <w:rPr>
          <w:b/>
          <w:bCs/>
          <w:kern w:val="0"/>
          <w:szCs w:val="21"/>
          <w:highlight w:val="none"/>
        </w:rPr>
      </w:pPr>
      <w:bookmarkStart w:id="474" w:name="_Toc189386238"/>
      <w:bookmarkStart w:id="475" w:name="_Toc511318167"/>
      <w:r>
        <w:rPr>
          <w:b/>
          <w:bCs/>
          <w:kern w:val="0"/>
          <w:szCs w:val="21"/>
          <w:highlight w:val="none"/>
        </w:rPr>
        <w:t>20.4 第三者责任险</w:t>
      </w:r>
      <w:bookmarkEnd w:id="474"/>
      <w:bookmarkEnd w:id="475"/>
    </w:p>
    <w:p>
      <w:pPr>
        <w:spacing w:line="490" w:lineRule="exact"/>
        <w:ind w:firstLine="420" w:firstLineChars="200"/>
        <w:rPr>
          <w:kern w:val="0"/>
          <w:szCs w:val="21"/>
          <w:highlight w:val="none"/>
        </w:rPr>
      </w:pPr>
      <w:r>
        <w:rPr>
          <w:kern w:val="0"/>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490" w:lineRule="exact"/>
        <w:ind w:firstLine="420" w:firstLineChars="200"/>
        <w:rPr>
          <w:kern w:val="0"/>
          <w:szCs w:val="21"/>
          <w:highlight w:val="none"/>
        </w:rPr>
      </w:pPr>
      <w:r>
        <w:rPr>
          <w:kern w:val="0"/>
          <w:szCs w:val="21"/>
          <w:highlight w:val="none"/>
        </w:rPr>
        <w:t>20.4.2 在缺陷责任期终止证书颁发前，承包人应以承包人和发包人的共同名义，投保第项约定的第三者责任险，其保险费率、保险金额等有关内容在专用合同条款中约定。</w:t>
      </w:r>
    </w:p>
    <w:p>
      <w:pPr>
        <w:spacing w:line="490" w:lineRule="exact"/>
        <w:ind w:firstLine="422" w:firstLineChars="200"/>
        <w:outlineLvl w:val="3"/>
        <w:rPr>
          <w:b/>
          <w:bCs/>
          <w:kern w:val="0"/>
          <w:szCs w:val="21"/>
          <w:highlight w:val="none"/>
        </w:rPr>
      </w:pPr>
      <w:bookmarkStart w:id="476" w:name="_Toc189386239"/>
      <w:bookmarkStart w:id="477" w:name="_Toc511318168"/>
      <w:r>
        <w:rPr>
          <w:b/>
          <w:bCs/>
          <w:kern w:val="0"/>
          <w:szCs w:val="21"/>
          <w:highlight w:val="none"/>
        </w:rPr>
        <w:t>20.5 其他保险</w:t>
      </w:r>
      <w:bookmarkEnd w:id="476"/>
      <w:bookmarkEnd w:id="477"/>
    </w:p>
    <w:p>
      <w:pPr>
        <w:spacing w:line="490" w:lineRule="exact"/>
        <w:ind w:firstLine="420" w:firstLineChars="200"/>
        <w:rPr>
          <w:kern w:val="0"/>
          <w:szCs w:val="21"/>
          <w:highlight w:val="none"/>
        </w:rPr>
      </w:pPr>
      <w:r>
        <w:rPr>
          <w:kern w:val="0"/>
          <w:szCs w:val="21"/>
          <w:highlight w:val="none"/>
        </w:rPr>
        <w:t>除专用合同条款另有约定外，承包人应为其施工设备、进场的材料和工程设备等办理保险。</w:t>
      </w:r>
    </w:p>
    <w:p>
      <w:pPr>
        <w:spacing w:line="490" w:lineRule="exact"/>
        <w:ind w:firstLine="422" w:firstLineChars="200"/>
        <w:outlineLvl w:val="3"/>
        <w:rPr>
          <w:b/>
          <w:bCs/>
          <w:kern w:val="0"/>
          <w:szCs w:val="21"/>
          <w:highlight w:val="none"/>
        </w:rPr>
      </w:pPr>
      <w:bookmarkStart w:id="478" w:name="_Toc189386240"/>
      <w:bookmarkStart w:id="479" w:name="_Toc511318169"/>
      <w:r>
        <w:rPr>
          <w:b/>
          <w:bCs/>
          <w:kern w:val="0"/>
          <w:szCs w:val="21"/>
          <w:highlight w:val="none"/>
        </w:rPr>
        <w:t>20.6 对各项保险的一般要求</w:t>
      </w:r>
      <w:bookmarkEnd w:id="478"/>
      <w:bookmarkEnd w:id="479"/>
    </w:p>
    <w:p>
      <w:pPr>
        <w:spacing w:line="490" w:lineRule="exact"/>
        <w:ind w:firstLine="422" w:firstLineChars="200"/>
        <w:rPr>
          <w:b/>
          <w:kern w:val="0"/>
          <w:szCs w:val="21"/>
          <w:highlight w:val="none"/>
        </w:rPr>
      </w:pPr>
      <w:r>
        <w:rPr>
          <w:b/>
          <w:kern w:val="0"/>
          <w:szCs w:val="21"/>
          <w:highlight w:val="none"/>
        </w:rPr>
        <w:t>20.6.1 保险凭证</w:t>
      </w:r>
    </w:p>
    <w:p>
      <w:pPr>
        <w:spacing w:line="490" w:lineRule="exact"/>
        <w:ind w:firstLine="420" w:firstLineChars="200"/>
        <w:rPr>
          <w:kern w:val="0"/>
          <w:szCs w:val="21"/>
          <w:highlight w:val="none"/>
        </w:rPr>
      </w:pPr>
      <w:r>
        <w:rPr>
          <w:kern w:val="0"/>
          <w:szCs w:val="21"/>
          <w:highlight w:val="none"/>
        </w:rPr>
        <w:t>承包人应在专用合同条款约定的期限内向发包人提交各项保险生效的证据和保险单副本，保险单必须与专用合同条款约定的条件保持一致。</w:t>
      </w:r>
    </w:p>
    <w:p>
      <w:pPr>
        <w:spacing w:line="490" w:lineRule="exact"/>
        <w:ind w:firstLine="422" w:firstLineChars="200"/>
        <w:rPr>
          <w:b/>
          <w:kern w:val="0"/>
          <w:szCs w:val="21"/>
          <w:highlight w:val="none"/>
        </w:rPr>
      </w:pPr>
      <w:r>
        <w:rPr>
          <w:b/>
          <w:kern w:val="0"/>
          <w:szCs w:val="21"/>
          <w:highlight w:val="none"/>
        </w:rPr>
        <w:t>20.6.2 保险合同条款的变动</w:t>
      </w:r>
    </w:p>
    <w:p>
      <w:pPr>
        <w:spacing w:line="480" w:lineRule="exact"/>
        <w:ind w:firstLine="420" w:firstLineChars="200"/>
        <w:rPr>
          <w:kern w:val="0"/>
          <w:szCs w:val="21"/>
          <w:highlight w:val="none"/>
        </w:rPr>
      </w:pPr>
      <w:r>
        <w:rPr>
          <w:kern w:val="0"/>
          <w:szCs w:val="21"/>
          <w:highlight w:val="none"/>
        </w:rPr>
        <w:t>承包人需要变动保险合同条款时，应事先征得发包人同意，并通知监理人。保险人作出变动的，承包人应在收到保险人通知后立即通知发包人和监理人。</w:t>
      </w:r>
    </w:p>
    <w:p>
      <w:pPr>
        <w:spacing w:line="480" w:lineRule="exact"/>
        <w:ind w:firstLine="422" w:firstLineChars="200"/>
        <w:rPr>
          <w:b/>
          <w:kern w:val="0"/>
          <w:szCs w:val="21"/>
          <w:highlight w:val="none"/>
        </w:rPr>
      </w:pPr>
      <w:r>
        <w:rPr>
          <w:b/>
          <w:kern w:val="0"/>
          <w:szCs w:val="21"/>
          <w:highlight w:val="none"/>
        </w:rPr>
        <w:t>20.6.3 持续保险</w:t>
      </w:r>
    </w:p>
    <w:p>
      <w:pPr>
        <w:spacing w:line="480" w:lineRule="exact"/>
        <w:ind w:firstLine="420" w:firstLineChars="200"/>
        <w:rPr>
          <w:kern w:val="0"/>
          <w:szCs w:val="21"/>
          <w:highlight w:val="none"/>
        </w:rPr>
      </w:pPr>
      <w:r>
        <w:rPr>
          <w:kern w:val="0"/>
          <w:szCs w:val="21"/>
          <w:highlight w:val="none"/>
        </w:rPr>
        <w:t>承包人应与保险人保持联系，使保险人能够随时了解工程实施中的变动，并确保按保险合同条款要求持续保险。</w:t>
      </w:r>
    </w:p>
    <w:p>
      <w:pPr>
        <w:spacing w:line="480" w:lineRule="exact"/>
        <w:ind w:firstLine="422" w:firstLineChars="200"/>
        <w:rPr>
          <w:b/>
          <w:kern w:val="0"/>
          <w:szCs w:val="21"/>
          <w:highlight w:val="none"/>
        </w:rPr>
      </w:pPr>
      <w:r>
        <w:rPr>
          <w:b/>
          <w:kern w:val="0"/>
          <w:szCs w:val="21"/>
          <w:highlight w:val="none"/>
        </w:rPr>
        <w:t xml:space="preserve">20.6.4 保险金不足的补偿 </w:t>
      </w:r>
    </w:p>
    <w:p>
      <w:pPr>
        <w:spacing w:line="480" w:lineRule="exact"/>
        <w:ind w:firstLine="420" w:firstLineChars="200"/>
        <w:rPr>
          <w:kern w:val="0"/>
          <w:szCs w:val="21"/>
          <w:highlight w:val="none"/>
        </w:rPr>
      </w:pPr>
      <w:r>
        <w:rPr>
          <w:kern w:val="0"/>
          <w:szCs w:val="21"/>
          <w:highlight w:val="none"/>
        </w:rPr>
        <w:t>保险金不足以补偿损失时，应由承包人和发包人各自负责补偿的范围和金额在专用合同条款中约定。</w:t>
      </w:r>
    </w:p>
    <w:p>
      <w:pPr>
        <w:spacing w:line="480" w:lineRule="exact"/>
        <w:ind w:firstLine="422" w:firstLineChars="200"/>
        <w:rPr>
          <w:b/>
          <w:kern w:val="0"/>
          <w:szCs w:val="21"/>
          <w:highlight w:val="none"/>
        </w:rPr>
      </w:pPr>
      <w:r>
        <w:rPr>
          <w:b/>
          <w:kern w:val="0"/>
          <w:szCs w:val="21"/>
          <w:highlight w:val="none"/>
        </w:rPr>
        <w:t xml:space="preserve">20.6.5 未按约定投保的补救 </w:t>
      </w:r>
    </w:p>
    <w:p>
      <w:pPr>
        <w:spacing w:line="480" w:lineRule="exact"/>
        <w:ind w:firstLine="420" w:firstLineChars="200"/>
        <w:rPr>
          <w:kern w:val="0"/>
          <w:szCs w:val="21"/>
          <w:highlight w:val="none"/>
        </w:rPr>
      </w:pPr>
      <w:r>
        <w:rPr>
          <w:kern w:val="0"/>
          <w:szCs w:val="21"/>
          <w:highlight w:val="none"/>
        </w:rPr>
        <w:t>（1）由于负有投保义务的一方当事人未按合同约定办理保险，或未能使保险持续有效的，另一方当事人可代为办理，所需费用由对方当事人承担。</w:t>
      </w:r>
    </w:p>
    <w:p>
      <w:pPr>
        <w:spacing w:line="480" w:lineRule="exact"/>
        <w:ind w:firstLine="420" w:firstLineChars="200"/>
        <w:rPr>
          <w:kern w:val="0"/>
          <w:szCs w:val="21"/>
          <w:highlight w:val="none"/>
        </w:rPr>
      </w:pPr>
      <w:r>
        <w:rPr>
          <w:kern w:val="0"/>
          <w:szCs w:val="21"/>
          <w:highlight w:val="none"/>
        </w:rPr>
        <w:t>（2）由于负有投保义务的一方当事人未按合同约定办理某项保险，导致受益人未能得到保险人的赔偿，原应从该项保险得到的保险金应由负有投保义务的一方当事人支付。</w:t>
      </w:r>
    </w:p>
    <w:p>
      <w:pPr>
        <w:spacing w:line="480" w:lineRule="exact"/>
        <w:ind w:firstLine="422" w:firstLineChars="200"/>
        <w:rPr>
          <w:b/>
          <w:kern w:val="0"/>
          <w:szCs w:val="21"/>
          <w:highlight w:val="none"/>
        </w:rPr>
      </w:pPr>
      <w:r>
        <w:rPr>
          <w:b/>
          <w:kern w:val="0"/>
          <w:szCs w:val="21"/>
          <w:highlight w:val="none"/>
        </w:rPr>
        <w:t xml:space="preserve">20.6.6 报告义务 </w:t>
      </w:r>
    </w:p>
    <w:p>
      <w:pPr>
        <w:spacing w:line="480" w:lineRule="exact"/>
        <w:ind w:firstLine="420" w:firstLineChars="200"/>
        <w:rPr>
          <w:kern w:val="0"/>
          <w:szCs w:val="21"/>
          <w:highlight w:val="none"/>
        </w:rPr>
      </w:pPr>
      <w:r>
        <w:rPr>
          <w:kern w:val="0"/>
          <w:szCs w:val="21"/>
          <w:highlight w:val="none"/>
        </w:rPr>
        <w:t>当保险事故发生时，投保人应按照保险单规定的条件和期限及时向保险人报告。</w:t>
      </w:r>
    </w:p>
    <w:p>
      <w:pPr>
        <w:pStyle w:val="5"/>
        <w:keepNext w:val="0"/>
        <w:keepLines w:val="0"/>
        <w:spacing w:before="0" w:after="0" w:line="490" w:lineRule="exact"/>
        <w:ind w:firstLine="422" w:firstLineChars="200"/>
        <w:rPr>
          <w:bCs w:val="0"/>
          <w:color w:val="auto"/>
          <w:sz w:val="21"/>
          <w:szCs w:val="21"/>
          <w:highlight w:val="none"/>
        </w:rPr>
      </w:pPr>
      <w:bookmarkStart w:id="480" w:name="_Toc189386241"/>
      <w:bookmarkStart w:id="481" w:name="_Toc8034"/>
      <w:bookmarkStart w:id="482" w:name="_Toc26746"/>
      <w:r>
        <w:rPr>
          <w:bCs w:val="0"/>
          <w:color w:val="auto"/>
          <w:sz w:val="21"/>
          <w:szCs w:val="21"/>
          <w:highlight w:val="none"/>
        </w:rPr>
        <w:t>21</w:t>
      </w:r>
      <w:r>
        <w:rPr>
          <w:rFonts w:hint="eastAsia"/>
          <w:bCs w:val="0"/>
          <w:color w:val="auto"/>
          <w:sz w:val="21"/>
          <w:szCs w:val="21"/>
          <w:highlight w:val="none"/>
        </w:rPr>
        <w:t>.</w:t>
      </w:r>
      <w:r>
        <w:rPr>
          <w:bCs w:val="0"/>
          <w:color w:val="auto"/>
          <w:sz w:val="21"/>
          <w:szCs w:val="21"/>
          <w:highlight w:val="none"/>
        </w:rPr>
        <w:t>不可抗力</w:t>
      </w:r>
      <w:bookmarkEnd w:id="480"/>
      <w:bookmarkEnd w:id="481"/>
      <w:bookmarkEnd w:id="482"/>
    </w:p>
    <w:p>
      <w:pPr>
        <w:spacing w:line="490" w:lineRule="exact"/>
        <w:ind w:firstLine="422" w:firstLineChars="200"/>
        <w:outlineLvl w:val="3"/>
        <w:rPr>
          <w:b/>
          <w:bCs/>
          <w:kern w:val="0"/>
          <w:szCs w:val="21"/>
          <w:highlight w:val="none"/>
        </w:rPr>
      </w:pPr>
      <w:bookmarkStart w:id="483" w:name="_Toc189386242"/>
      <w:bookmarkStart w:id="484" w:name="_Toc511318171"/>
      <w:r>
        <w:rPr>
          <w:b/>
          <w:bCs/>
          <w:kern w:val="0"/>
          <w:szCs w:val="21"/>
          <w:highlight w:val="none"/>
        </w:rPr>
        <w:t>21.1 不可抗力的确认</w:t>
      </w:r>
      <w:bookmarkEnd w:id="483"/>
      <w:bookmarkEnd w:id="484"/>
    </w:p>
    <w:p>
      <w:pPr>
        <w:spacing w:line="480" w:lineRule="exact"/>
        <w:ind w:firstLine="420" w:firstLineChars="200"/>
        <w:rPr>
          <w:kern w:val="0"/>
          <w:szCs w:val="21"/>
          <w:highlight w:val="none"/>
        </w:rPr>
      </w:pPr>
      <w:r>
        <w:rPr>
          <w:kern w:val="0"/>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480" w:lineRule="exact"/>
        <w:ind w:firstLine="420" w:firstLineChars="200"/>
        <w:rPr>
          <w:kern w:val="0"/>
          <w:szCs w:val="21"/>
          <w:highlight w:val="none"/>
        </w:rPr>
      </w:pPr>
      <w:r>
        <w:rPr>
          <w:kern w:val="0"/>
          <w:szCs w:val="21"/>
          <w:highlight w:val="none"/>
        </w:rPr>
        <w:t>21.1.2 不可抗力发生后，发包人和承包人应及时认真统计所造成的损失，收集不可抗力造成损失的证据。合同双方对是否属于不可抗力或其损失的意见不一致的，由监理人按第款商定或确定。发生争议时，按第24条的约定办理。</w:t>
      </w:r>
    </w:p>
    <w:p>
      <w:pPr>
        <w:spacing w:line="490" w:lineRule="exact"/>
        <w:ind w:firstLine="422" w:firstLineChars="200"/>
        <w:outlineLvl w:val="3"/>
        <w:rPr>
          <w:b/>
          <w:bCs/>
          <w:kern w:val="0"/>
          <w:szCs w:val="21"/>
          <w:highlight w:val="none"/>
        </w:rPr>
      </w:pPr>
      <w:bookmarkStart w:id="485" w:name="_Toc511318172"/>
      <w:bookmarkStart w:id="486" w:name="_Toc189386243"/>
      <w:r>
        <w:rPr>
          <w:b/>
          <w:bCs/>
          <w:kern w:val="0"/>
          <w:szCs w:val="21"/>
          <w:highlight w:val="none"/>
        </w:rPr>
        <w:t>21.2 不可抗力的通知</w:t>
      </w:r>
      <w:bookmarkEnd w:id="485"/>
      <w:bookmarkEnd w:id="486"/>
    </w:p>
    <w:p>
      <w:pPr>
        <w:spacing w:line="480" w:lineRule="exact"/>
        <w:ind w:firstLine="420" w:firstLineChars="200"/>
        <w:rPr>
          <w:kern w:val="0"/>
          <w:szCs w:val="21"/>
          <w:highlight w:val="none"/>
        </w:rPr>
      </w:pPr>
      <w:r>
        <w:rPr>
          <w:kern w:val="0"/>
          <w:szCs w:val="21"/>
          <w:highlight w:val="none"/>
        </w:rPr>
        <w:t>21.2.1 合同一方当事人遇到不可抗力事件，使其履行合同义务受到阻碍时，应立即通知合同另一方当事人和监理人，书面说明不可抗力和受阻碍的详细情况，并提供必要的证明。</w:t>
      </w:r>
    </w:p>
    <w:p>
      <w:pPr>
        <w:spacing w:line="480" w:lineRule="exact"/>
        <w:ind w:firstLine="420" w:firstLineChars="200"/>
        <w:rPr>
          <w:kern w:val="0"/>
          <w:szCs w:val="21"/>
          <w:highlight w:val="none"/>
        </w:rPr>
      </w:pPr>
      <w:r>
        <w:rPr>
          <w:kern w:val="0"/>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490" w:lineRule="exact"/>
        <w:ind w:firstLine="422" w:firstLineChars="200"/>
        <w:outlineLvl w:val="3"/>
        <w:rPr>
          <w:b/>
          <w:bCs/>
          <w:kern w:val="0"/>
          <w:szCs w:val="21"/>
          <w:highlight w:val="none"/>
        </w:rPr>
      </w:pPr>
      <w:bookmarkStart w:id="487" w:name="_Toc511318173"/>
      <w:bookmarkStart w:id="488" w:name="_Toc189386244"/>
      <w:r>
        <w:rPr>
          <w:b/>
          <w:bCs/>
          <w:kern w:val="0"/>
          <w:szCs w:val="21"/>
          <w:highlight w:val="none"/>
        </w:rPr>
        <w:t>21.3 不可抗力后果及其处理</w:t>
      </w:r>
      <w:bookmarkEnd w:id="487"/>
      <w:bookmarkEnd w:id="488"/>
    </w:p>
    <w:p>
      <w:pPr>
        <w:spacing w:line="480" w:lineRule="exact"/>
        <w:ind w:firstLine="422" w:firstLineChars="200"/>
        <w:rPr>
          <w:b/>
          <w:kern w:val="0"/>
          <w:szCs w:val="21"/>
          <w:highlight w:val="none"/>
        </w:rPr>
      </w:pPr>
      <w:r>
        <w:rPr>
          <w:b/>
          <w:kern w:val="0"/>
          <w:szCs w:val="21"/>
          <w:highlight w:val="none"/>
        </w:rPr>
        <w:t>21.3.1 不可抗力造成损害的责任</w:t>
      </w:r>
    </w:p>
    <w:p>
      <w:pPr>
        <w:spacing w:line="480" w:lineRule="exact"/>
        <w:ind w:firstLine="420" w:firstLineChars="200"/>
        <w:rPr>
          <w:kern w:val="0"/>
          <w:szCs w:val="21"/>
          <w:highlight w:val="none"/>
        </w:rPr>
      </w:pPr>
      <w:r>
        <w:rPr>
          <w:kern w:val="0"/>
          <w:szCs w:val="21"/>
          <w:highlight w:val="none"/>
        </w:rPr>
        <w:t>除专用合同条款另有约定外，不可抗力导致的人员伤亡、财产损失、费用增加和（或）工期延误等后果，由合同双方按以下原则承担：</w:t>
      </w:r>
    </w:p>
    <w:p>
      <w:pPr>
        <w:spacing w:line="480" w:lineRule="exact"/>
        <w:ind w:firstLine="420" w:firstLineChars="200"/>
        <w:rPr>
          <w:kern w:val="0"/>
          <w:szCs w:val="21"/>
          <w:highlight w:val="none"/>
        </w:rPr>
      </w:pPr>
      <w:r>
        <w:rPr>
          <w:kern w:val="0"/>
          <w:szCs w:val="21"/>
          <w:highlight w:val="none"/>
        </w:rPr>
        <w:t>（1）永久工程，包括已运至施工场地的材料和工程设备的损害，以及因工程损害造成的第三者人员伤亡和财产损失由发包人承担；</w:t>
      </w:r>
    </w:p>
    <w:p>
      <w:pPr>
        <w:spacing w:line="480" w:lineRule="exact"/>
        <w:ind w:firstLine="420" w:firstLineChars="200"/>
        <w:rPr>
          <w:kern w:val="0"/>
          <w:szCs w:val="21"/>
          <w:highlight w:val="none"/>
        </w:rPr>
      </w:pPr>
      <w:r>
        <w:rPr>
          <w:kern w:val="0"/>
          <w:szCs w:val="21"/>
          <w:highlight w:val="none"/>
        </w:rPr>
        <w:t>（2）承包人设备的损坏由承包人承担；</w:t>
      </w:r>
    </w:p>
    <w:p>
      <w:pPr>
        <w:spacing w:line="480" w:lineRule="exact"/>
        <w:ind w:firstLine="420" w:firstLineChars="200"/>
        <w:rPr>
          <w:kern w:val="0"/>
          <w:szCs w:val="21"/>
          <w:highlight w:val="none"/>
        </w:rPr>
      </w:pPr>
      <w:r>
        <w:rPr>
          <w:kern w:val="0"/>
          <w:szCs w:val="21"/>
          <w:highlight w:val="none"/>
        </w:rPr>
        <w:t>（3）发包人和承包人各自承担其人员伤亡和其他财产损失及其相关费用；</w:t>
      </w:r>
    </w:p>
    <w:p>
      <w:pPr>
        <w:spacing w:line="480" w:lineRule="exact"/>
        <w:ind w:firstLine="420" w:firstLineChars="200"/>
        <w:rPr>
          <w:kern w:val="0"/>
          <w:szCs w:val="21"/>
          <w:highlight w:val="none"/>
        </w:rPr>
      </w:pPr>
      <w:r>
        <w:rPr>
          <w:kern w:val="0"/>
          <w:szCs w:val="21"/>
          <w:highlight w:val="none"/>
        </w:rPr>
        <w:t>（4）承包人的停工损失由承包人承担，但停工期间应监理人要求照管工程和清理、修复工程的金额由发包人承担；</w:t>
      </w:r>
    </w:p>
    <w:p>
      <w:pPr>
        <w:spacing w:line="480" w:lineRule="exact"/>
        <w:ind w:firstLine="420" w:firstLineChars="200"/>
        <w:rPr>
          <w:kern w:val="0"/>
          <w:szCs w:val="21"/>
          <w:highlight w:val="none"/>
        </w:rPr>
      </w:pPr>
      <w:r>
        <w:rPr>
          <w:kern w:val="0"/>
          <w:szCs w:val="21"/>
          <w:highlight w:val="none"/>
        </w:rPr>
        <w:t>（5）不能按期竣工的，应合理延长工期，承包人不需支付逾期竣工违约金。发包人要求赶工的，承包人应采取赶工措施，赶工费用由发包人承担。</w:t>
      </w:r>
    </w:p>
    <w:p>
      <w:pPr>
        <w:spacing w:line="480" w:lineRule="exact"/>
        <w:ind w:firstLine="422" w:firstLineChars="200"/>
        <w:rPr>
          <w:b/>
          <w:kern w:val="0"/>
          <w:szCs w:val="21"/>
          <w:highlight w:val="none"/>
        </w:rPr>
      </w:pPr>
      <w:r>
        <w:rPr>
          <w:b/>
          <w:kern w:val="0"/>
          <w:szCs w:val="21"/>
          <w:highlight w:val="none"/>
        </w:rPr>
        <w:t>21.3.2 延迟履行期间发生的不可抗力</w:t>
      </w:r>
    </w:p>
    <w:p>
      <w:pPr>
        <w:spacing w:line="480" w:lineRule="exact"/>
        <w:ind w:firstLine="420" w:firstLineChars="200"/>
        <w:rPr>
          <w:kern w:val="0"/>
          <w:szCs w:val="21"/>
          <w:highlight w:val="none"/>
        </w:rPr>
      </w:pPr>
      <w:r>
        <w:rPr>
          <w:kern w:val="0"/>
          <w:szCs w:val="21"/>
          <w:highlight w:val="none"/>
        </w:rPr>
        <w:t>合同一方当事人延迟履行，在延迟履行期间发生不可抗力的，不免除其责任。</w:t>
      </w:r>
    </w:p>
    <w:p>
      <w:pPr>
        <w:spacing w:line="480" w:lineRule="exact"/>
        <w:ind w:firstLine="422" w:firstLineChars="200"/>
        <w:rPr>
          <w:b/>
          <w:kern w:val="0"/>
          <w:szCs w:val="21"/>
          <w:highlight w:val="none"/>
        </w:rPr>
      </w:pPr>
      <w:r>
        <w:rPr>
          <w:b/>
          <w:kern w:val="0"/>
          <w:szCs w:val="21"/>
          <w:highlight w:val="none"/>
        </w:rPr>
        <w:t>21.3.3 避免和减少不可抗力损失</w:t>
      </w:r>
    </w:p>
    <w:p>
      <w:pPr>
        <w:spacing w:line="480" w:lineRule="exact"/>
        <w:ind w:firstLine="420" w:firstLineChars="200"/>
        <w:rPr>
          <w:kern w:val="0"/>
          <w:szCs w:val="21"/>
          <w:highlight w:val="none"/>
        </w:rPr>
      </w:pPr>
      <w:r>
        <w:rPr>
          <w:kern w:val="0"/>
          <w:szCs w:val="21"/>
          <w:highlight w:val="none"/>
        </w:rPr>
        <w:t>不可抗力发生后，发包人和承包人均应采取措施尽量避免和减少损失的扩大，任何一方没有采取有效措施导致损失扩大的，应对扩大的损失承担责任。</w:t>
      </w:r>
    </w:p>
    <w:p>
      <w:pPr>
        <w:spacing w:line="480" w:lineRule="exact"/>
        <w:ind w:firstLine="422" w:firstLineChars="200"/>
        <w:rPr>
          <w:b/>
          <w:kern w:val="0"/>
          <w:szCs w:val="21"/>
          <w:highlight w:val="none"/>
        </w:rPr>
      </w:pPr>
      <w:r>
        <w:rPr>
          <w:b/>
          <w:kern w:val="0"/>
          <w:szCs w:val="21"/>
          <w:highlight w:val="none"/>
        </w:rPr>
        <w:t>21.3.4 因不可抗力解除合同</w:t>
      </w:r>
    </w:p>
    <w:p>
      <w:pPr>
        <w:spacing w:line="480" w:lineRule="exact"/>
        <w:ind w:firstLine="420" w:firstLineChars="200"/>
        <w:rPr>
          <w:kern w:val="0"/>
          <w:szCs w:val="21"/>
          <w:highlight w:val="none"/>
        </w:rPr>
      </w:pPr>
      <w:r>
        <w:rPr>
          <w:kern w:val="0"/>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5"/>
        <w:keepNext w:val="0"/>
        <w:keepLines w:val="0"/>
        <w:spacing w:before="0" w:after="0" w:line="490" w:lineRule="exact"/>
        <w:ind w:firstLine="422" w:firstLineChars="200"/>
        <w:rPr>
          <w:bCs w:val="0"/>
          <w:color w:val="auto"/>
          <w:sz w:val="21"/>
          <w:szCs w:val="21"/>
          <w:highlight w:val="none"/>
        </w:rPr>
      </w:pPr>
      <w:bookmarkStart w:id="489" w:name="_Toc25732"/>
      <w:bookmarkStart w:id="490" w:name="_Toc10559"/>
      <w:bookmarkStart w:id="491" w:name="_Toc189386245"/>
      <w:r>
        <w:rPr>
          <w:bCs w:val="0"/>
          <w:color w:val="auto"/>
          <w:sz w:val="21"/>
          <w:szCs w:val="21"/>
          <w:highlight w:val="none"/>
        </w:rPr>
        <w:t>22</w:t>
      </w:r>
      <w:r>
        <w:rPr>
          <w:rFonts w:hint="eastAsia"/>
          <w:bCs w:val="0"/>
          <w:color w:val="auto"/>
          <w:sz w:val="21"/>
          <w:szCs w:val="21"/>
          <w:highlight w:val="none"/>
        </w:rPr>
        <w:t>.</w:t>
      </w:r>
      <w:r>
        <w:rPr>
          <w:bCs w:val="0"/>
          <w:color w:val="auto"/>
          <w:sz w:val="21"/>
          <w:szCs w:val="21"/>
          <w:highlight w:val="none"/>
        </w:rPr>
        <w:t>违约</w:t>
      </w:r>
      <w:bookmarkEnd w:id="489"/>
      <w:bookmarkEnd w:id="490"/>
      <w:bookmarkEnd w:id="491"/>
    </w:p>
    <w:p>
      <w:pPr>
        <w:spacing w:line="490" w:lineRule="exact"/>
        <w:ind w:firstLine="422" w:firstLineChars="200"/>
        <w:outlineLvl w:val="3"/>
        <w:rPr>
          <w:b/>
          <w:bCs/>
          <w:kern w:val="0"/>
          <w:szCs w:val="21"/>
          <w:highlight w:val="none"/>
        </w:rPr>
      </w:pPr>
      <w:bookmarkStart w:id="492" w:name="_Toc189386246"/>
      <w:r>
        <w:rPr>
          <w:b/>
          <w:bCs/>
          <w:kern w:val="0"/>
          <w:szCs w:val="21"/>
          <w:highlight w:val="none"/>
        </w:rPr>
        <w:t>22.1承包人违约</w:t>
      </w:r>
      <w:bookmarkEnd w:id="492"/>
    </w:p>
    <w:p>
      <w:pPr>
        <w:spacing w:line="480" w:lineRule="exact"/>
        <w:ind w:firstLine="422" w:firstLineChars="200"/>
        <w:rPr>
          <w:b/>
          <w:kern w:val="0"/>
          <w:szCs w:val="21"/>
          <w:highlight w:val="none"/>
        </w:rPr>
      </w:pPr>
      <w:r>
        <w:rPr>
          <w:b/>
          <w:kern w:val="0"/>
          <w:szCs w:val="21"/>
          <w:highlight w:val="none"/>
        </w:rPr>
        <w:t>22.1.1 承包人违约的情形</w:t>
      </w:r>
    </w:p>
    <w:p>
      <w:pPr>
        <w:spacing w:line="480" w:lineRule="exact"/>
        <w:ind w:firstLine="420" w:firstLineChars="200"/>
        <w:rPr>
          <w:kern w:val="0"/>
          <w:szCs w:val="21"/>
          <w:highlight w:val="none"/>
        </w:rPr>
      </w:pPr>
      <w:r>
        <w:rPr>
          <w:kern w:val="0"/>
          <w:szCs w:val="21"/>
          <w:highlight w:val="none"/>
        </w:rPr>
        <w:t>在履行合同过程中发生的下列情况属承包人违约：</w:t>
      </w:r>
    </w:p>
    <w:p>
      <w:pPr>
        <w:spacing w:line="480" w:lineRule="exact"/>
        <w:ind w:firstLine="420" w:firstLineChars="200"/>
        <w:rPr>
          <w:kern w:val="0"/>
          <w:szCs w:val="21"/>
          <w:highlight w:val="none"/>
        </w:rPr>
      </w:pPr>
      <w:r>
        <w:rPr>
          <w:kern w:val="0"/>
          <w:szCs w:val="21"/>
          <w:highlight w:val="none"/>
        </w:rPr>
        <w:t>（1）承包人违反第1.8款或第4.3款的约定，私自将合同的全部或部分权利转让给其他人，或私自将合同的全部或部分义务转移给其他人；</w:t>
      </w:r>
    </w:p>
    <w:p>
      <w:pPr>
        <w:spacing w:line="480" w:lineRule="exact"/>
        <w:ind w:firstLine="420" w:firstLineChars="200"/>
        <w:rPr>
          <w:kern w:val="0"/>
          <w:szCs w:val="21"/>
          <w:highlight w:val="none"/>
        </w:rPr>
      </w:pPr>
      <w:r>
        <w:rPr>
          <w:kern w:val="0"/>
          <w:szCs w:val="21"/>
          <w:highlight w:val="none"/>
        </w:rPr>
        <w:t>（2）承包人违反第5.3款或第6.4款的约定，未经监理人批准，私自将已按合同约定进入施工场地的施工设备、临时设施或材料撤离施工场地；</w:t>
      </w:r>
    </w:p>
    <w:p>
      <w:pPr>
        <w:spacing w:line="480" w:lineRule="exact"/>
        <w:ind w:firstLine="420" w:firstLineChars="200"/>
        <w:rPr>
          <w:kern w:val="0"/>
          <w:szCs w:val="21"/>
          <w:highlight w:val="none"/>
        </w:rPr>
      </w:pPr>
      <w:r>
        <w:rPr>
          <w:kern w:val="0"/>
          <w:szCs w:val="21"/>
          <w:highlight w:val="none"/>
        </w:rPr>
        <w:t>（3）承包人违反第5.4款的约定使用了不合格材料或工程设备，工程质量达不到标准要求，又拒绝清除不合格工程；</w:t>
      </w:r>
    </w:p>
    <w:p>
      <w:pPr>
        <w:spacing w:line="480" w:lineRule="exact"/>
        <w:ind w:firstLine="420" w:firstLineChars="200"/>
        <w:rPr>
          <w:szCs w:val="21"/>
          <w:highlight w:val="none"/>
        </w:rPr>
      </w:pPr>
      <w:r>
        <w:rPr>
          <w:szCs w:val="21"/>
          <w:highlight w:val="none"/>
        </w:rPr>
        <w:t>（4）承包人未能按合同进度计划及时完成合同约定的工作，已造成或预期造成工期延误；</w:t>
      </w:r>
    </w:p>
    <w:p>
      <w:pPr>
        <w:spacing w:line="480" w:lineRule="exact"/>
        <w:ind w:firstLine="420" w:firstLineChars="200"/>
        <w:rPr>
          <w:kern w:val="0"/>
          <w:szCs w:val="21"/>
          <w:highlight w:val="none"/>
        </w:rPr>
      </w:pPr>
      <w:r>
        <w:rPr>
          <w:kern w:val="0"/>
          <w:szCs w:val="21"/>
          <w:highlight w:val="none"/>
        </w:rPr>
        <w:t>（5）承包人在缺陷责任期（工程质量保修期）内，未能对合同工程完工验收鉴定书所列的缺陷清单的内容或缺陷责任期（工程质量保修期）内发生的缺陷进行修复，而又拒绝按监理人指示再进行修补；</w:t>
      </w:r>
    </w:p>
    <w:p>
      <w:pPr>
        <w:spacing w:line="480" w:lineRule="exact"/>
        <w:ind w:firstLine="420" w:firstLineChars="200"/>
        <w:rPr>
          <w:kern w:val="0"/>
          <w:szCs w:val="21"/>
          <w:highlight w:val="none"/>
        </w:rPr>
      </w:pPr>
      <w:r>
        <w:rPr>
          <w:kern w:val="0"/>
          <w:szCs w:val="21"/>
          <w:highlight w:val="none"/>
        </w:rPr>
        <w:t>（6）承包人无法继续履行或明确表示不履行或实质上已停止履行合同；</w:t>
      </w:r>
    </w:p>
    <w:p>
      <w:pPr>
        <w:spacing w:line="480" w:lineRule="exact"/>
        <w:ind w:firstLine="420" w:firstLineChars="200"/>
        <w:rPr>
          <w:kern w:val="0"/>
          <w:szCs w:val="21"/>
          <w:highlight w:val="none"/>
        </w:rPr>
      </w:pPr>
      <w:r>
        <w:rPr>
          <w:kern w:val="0"/>
          <w:szCs w:val="21"/>
          <w:highlight w:val="none"/>
        </w:rPr>
        <w:t>（7）承包人不按合同约定履行义务的其它情况。</w:t>
      </w:r>
    </w:p>
    <w:p>
      <w:pPr>
        <w:spacing w:line="480" w:lineRule="exact"/>
        <w:ind w:firstLine="422" w:firstLineChars="200"/>
        <w:rPr>
          <w:b/>
          <w:kern w:val="0"/>
          <w:szCs w:val="21"/>
          <w:highlight w:val="none"/>
        </w:rPr>
      </w:pPr>
      <w:r>
        <w:rPr>
          <w:b/>
          <w:kern w:val="0"/>
          <w:szCs w:val="21"/>
          <w:highlight w:val="none"/>
        </w:rPr>
        <w:t xml:space="preserve">22.1.2 对承包人违约的处理 </w:t>
      </w:r>
    </w:p>
    <w:p>
      <w:pPr>
        <w:spacing w:line="480" w:lineRule="exact"/>
        <w:ind w:firstLine="420" w:firstLineChars="200"/>
        <w:rPr>
          <w:kern w:val="0"/>
          <w:szCs w:val="21"/>
          <w:highlight w:val="none"/>
        </w:rPr>
      </w:pPr>
      <w:r>
        <w:rPr>
          <w:kern w:val="0"/>
          <w:szCs w:val="21"/>
          <w:highlight w:val="none"/>
        </w:rPr>
        <w:t>（1）承包人发生第22.1.1（6）目约定的违约情况时，发包人可通知承包人立即解除合同，并按有关法律处理。</w:t>
      </w:r>
    </w:p>
    <w:p>
      <w:pPr>
        <w:spacing w:line="480" w:lineRule="exact"/>
        <w:ind w:firstLine="420" w:firstLineChars="200"/>
        <w:rPr>
          <w:kern w:val="0"/>
          <w:szCs w:val="21"/>
          <w:highlight w:val="none"/>
        </w:rPr>
      </w:pPr>
      <w:r>
        <w:rPr>
          <w:kern w:val="0"/>
          <w:szCs w:val="21"/>
          <w:highlight w:val="none"/>
        </w:rPr>
        <w:t>（2）承包人发生除第22.1.1（6）目约定以外的其他违约情况时，监理人可向承包人发出整改通知，要求其在指定的期限内改正。承包人应承担其违约所引起的费用增加和（或）工期延误。</w:t>
      </w:r>
    </w:p>
    <w:p>
      <w:pPr>
        <w:spacing w:line="480" w:lineRule="exact"/>
        <w:ind w:firstLine="420" w:firstLineChars="200"/>
        <w:rPr>
          <w:kern w:val="0"/>
          <w:szCs w:val="21"/>
          <w:highlight w:val="none"/>
        </w:rPr>
      </w:pPr>
      <w:r>
        <w:rPr>
          <w:kern w:val="0"/>
          <w:szCs w:val="21"/>
          <w:highlight w:val="none"/>
        </w:rPr>
        <w:t>（3）经检查证明承包人已采取了有效措施纠正违约行为，具备复工条件的，可由监理人签发复工通知复工。</w:t>
      </w:r>
    </w:p>
    <w:p>
      <w:pPr>
        <w:spacing w:line="480" w:lineRule="exact"/>
        <w:ind w:firstLine="422" w:firstLineChars="200"/>
        <w:rPr>
          <w:b/>
          <w:kern w:val="0"/>
          <w:szCs w:val="21"/>
          <w:highlight w:val="none"/>
        </w:rPr>
      </w:pPr>
      <w:r>
        <w:rPr>
          <w:b/>
          <w:kern w:val="0"/>
          <w:szCs w:val="21"/>
          <w:highlight w:val="none"/>
        </w:rPr>
        <w:t xml:space="preserve">22.1.3 承包人违约解除合同 </w:t>
      </w:r>
    </w:p>
    <w:p>
      <w:pPr>
        <w:spacing w:line="480" w:lineRule="exact"/>
        <w:ind w:firstLine="420" w:firstLineChars="200"/>
        <w:rPr>
          <w:kern w:val="0"/>
          <w:szCs w:val="21"/>
          <w:highlight w:val="none"/>
        </w:rPr>
      </w:pPr>
      <w:r>
        <w:rPr>
          <w:kern w:val="0"/>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480" w:lineRule="exact"/>
        <w:ind w:firstLine="422" w:firstLineChars="200"/>
        <w:rPr>
          <w:b/>
          <w:kern w:val="0"/>
          <w:szCs w:val="21"/>
          <w:highlight w:val="none"/>
        </w:rPr>
      </w:pPr>
      <w:r>
        <w:rPr>
          <w:b/>
          <w:kern w:val="0"/>
          <w:szCs w:val="21"/>
          <w:highlight w:val="none"/>
        </w:rPr>
        <w:t xml:space="preserve">22.1.4 合同解除后的估价、付款和结清 </w:t>
      </w:r>
    </w:p>
    <w:p>
      <w:pPr>
        <w:spacing w:line="480" w:lineRule="exact"/>
        <w:ind w:firstLine="420" w:firstLineChars="200"/>
        <w:rPr>
          <w:kern w:val="0"/>
          <w:szCs w:val="21"/>
          <w:highlight w:val="none"/>
        </w:rPr>
      </w:pPr>
      <w:r>
        <w:rPr>
          <w:kern w:val="0"/>
          <w:szCs w:val="21"/>
          <w:highlight w:val="none"/>
        </w:rPr>
        <w:t>（1）合同解除后，监理人按第3.5款商定或确定承包人实际完成工作的价值，以及承包人已提供的材料、施工设备、工程设备和临时工程等的价值。</w:t>
      </w:r>
    </w:p>
    <w:p>
      <w:pPr>
        <w:spacing w:line="480" w:lineRule="exact"/>
        <w:ind w:firstLine="420" w:firstLineChars="200"/>
        <w:rPr>
          <w:kern w:val="0"/>
          <w:szCs w:val="21"/>
          <w:highlight w:val="none"/>
        </w:rPr>
      </w:pPr>
      <w:r>
        <w:rPr>
          <w:kern w:val="0"/>
          <w:szCs w:val="21"/>
          <w:highlight w:val="none"/>
        </w:rPr>
        <w:t>（2）合同解除后，发包人应暂停对承包人的一切付款，查清各项付款和已扣款金额，包括承包人应支付的违约金。</w:t>
      </w:r>
    </w:p>
    <w:p>
      <w:pPr>
        <w:spacing w:line="480" w:lineRule="exact"/>
        <w:ind w:firstLine="420" w:firstLineChars="200"/>
        <w:rPr>
          <w:kern w:val="0"/>
          <w:szCs w:val="21"/>
          <w:highlight w:val="none"/>
        </w:rPr>
      </w:pPr>
      <w:r>
        <w:rPr>
          <w:kern w:val="0"/>
          <w:szCs w:val="21"/>
          <w:highlight w:val="none"/>
        </w:rPr>
        <w:t>（3）合同解除后，发包人应按第23.4款的约定向承包人索赔由于解除合同给发包人造成的损失。</w:t>
      </w:r>
    </w:p>
    <w:p>
      <w:pPr>
        <w:spacing w:line="480" w:lineRule="exact"/>
        <w:ind w:firstLine="420" w:firstLineChars="200"/>
        <w:rPr>
          <w:kern w:val="0"/>
          <w:szCs w:val="21"/>
          <w:highlight w:val="none"/>
        </w:rPr>
      </w:pPr>
      <w:r>
        <w:rPr>
          <w:kern w:val="0"/>
          <w:szCs w:val="21"/>
          <w:highlight w:val="none"/>
        </w:rPr>
        <w:t>（4）合同双方确认上述往来款项后，出具最终结清付款证书，结清全部合同款项。</w:t>
      </w:r>
    </w:p>
    <w:p>
      <w:pPr>
        <w:spacing w:line="480" w:lineRule="exact"/>
        <w:ind w:firstLine="420" w:firstLineChars="200"/>
        <w:rPr>
          <w:kern w:val="0"/>
          <w:szCs w:val="21"/>
          <w:highlight w:val="none"/>
        </w:rPr>
      </w:pPr>
      <w:r>
        <w:rPr>
          <w:kern w:val="0"/>
          <w:szCs w:val="21"/>
          <w:highlight w:val="none"/>
        </w:rPr>
        <w:t>（5）发包人和承包人未能就解除合同后的结清达成一致而形成争议的，按第24条的约定办理。</w:t>
      </w:r>
    </w:p>
    <w:p>
      <w:pPr>
        <w:spacing w:line="480" w:lineRule="exact"/>
        <w:ind w:firstLine="422" w:firstLineChars="200"/>
        <w:rPr>
          <w:b/>
          <w:kern w:val="0"/>
          <w:szCs w:val="21"/>
          <w:highlight w:val="none"/>
        </w:rPr>
      </w:pPr>
      <w:r>
        <w:rPr>
          <w:b/>
          <w:kern w:val="0"/>
          <w:szCs w:val="21"/>
          <w:highlight w:val="none"/>
        </w:rPr>
        <w:t xml:space="preserve">22.1.5 协议利益的转让 </w:t>
      </w:r>
    </w:p>
    <w:p>
      <w:pPr>
        <w:spacing w:line="480" w:lineRule="exact"/>
        <w:ind w:firstLine="420" w:firstLineChars="200"/>
        <w:rPr>
          <w:kern w:val="0"/>
          <w:szCs w:val="21"/>
          <w:highlight w:val="none"/>
        </w:rPr>
      </w:pPr>
      <w:r>
        <w:rPr>
          <w:kern w:val="0"/>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pPr>
        <w:spacing w:line="480" w:lineRule="exact"/>
        <w:ind w:firstLine="422" w:firstLineChars="200"/>
        <w:rPr>
          <w:b/>
          <w:kern w:val="0"/>
          <w:szCs w:val="21"/>
          <w:highlight w:val="none"/>
        </w:rPr>
      </w:pPr>
      <w:r>
        <w:rPr>
          <w:b/>
          <w:kern w:val="0"/>
          <w:szCs w:val="21"/>
          <w:highlight w:val="none"/>
        </w:rPr>
        <w:t xml:space="preserve">22.1.6 紧急情况下无能力或不愿进行抢救 </w:t>
      </w:r>
    </w:p>
    <w:p>
      <w:pPr>
        <w:spacing w:line="480" w:lineRule="exact"/>
        <w:ind w:firstLine="420" w:firstLineChars="200"/>
        <w:rPr>
          <w:kern w:val="0"/>
          <w:szCs w:val="21"/>
          <w:highlight w:val="none"/>
        </w:rPr>
      </w:pPr>
      <w:r>
        <w:rPr>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490" w:lineRule="exact"/>
        <w:ind w:firstLine="422" w:firstLineChars="200"/>
        <w:outlineLvl w:val="3"/>
        <w:rPr>
          <w:b/>
          <w:bCs/>
          <w:kern w:val="0"/>
          <w:szCs w:val="21"/>
          <w:highlight w:val="none"/>
        </w:rPr>
      </w:pPr>
      <w:bookmarkStart w:id="493" w:name="_Toc189386247"/>
      <w:r>
        <w:rPr>
          <w:b/>
          <w:bCs/>
          <w:kern w:val="0"/>
          <w:szCs w:val="21"/>
          <w:highlight w:val="none"/>
        </w:rPr>
        <w:t>22.2 发包人违约</w:t>
      </w:r>
      <w:bookmarkEnd w:id="493"/>
    </w:p>
    <w:p>
      <w:pPr>
        <w:spacing w:line="480" w:lineRule="exact"/>
        <w:ind w:firstLine="422" w:firstLineChars="200"/>
        <w:rPr>
          <w:b/>
          <w:kern w:val="0"/>
          <w:szCs w:val="21"/>
          <w:highlight w:val="none"/>
        </w:rPr>
      </w:pPr>
      <w:r>
        <w:rPr>
          <w:b/>
          <w:kern w:val="0"/>
          <w:szCs w:val="21"/>
          <w:highlight w:val="none"/>
        </w:rPr>
        <w:t xml:space="preserve">22.2.1 发包人违约的情形 </w:t>
      </w:r>
    </w:p>
    <w:p>
      <w:pPr>
        <w:spacing w:line="480" w:lineRule="exact"/>
        <w:ind w:firstLine="420" w:firstLineChars="200"/>
        <w:rPr>
          <w:kern w:val="0"/>
          <w:szCs w:val="21"/>
          <w:highlight w:val="none"/>
        </w:rPr>
      </w:pPr>
      <w:r>
        <w:rPr>
          <w:kern w:val="0"/>
          <w:szCs w:val="21"/>
          <w:highlight w:val="none"/>
        </w:rPr>
        <w:t>在履行合同过程中发生的下列情形，属发包人违约：</w:t>
      </w:r>
    </w:p>
    <w:p>
      <w:pPr>
        <w:spacing w:line="480" w:lineRule="exact"/>
        <w:ind w:firstLine="420" w:firstLineChars="200"/>
        <w:rPr>
          <w:kern w:val="0"/>
          <w:szCs w:val="21"/>
          <w:highlight w:val="none"/>
        </w:rPr>
      </w:pPr>
      <w:r>
        <w:rPr>
          <w:kern w:val="0"/>
          <w:szCs w:val="21"/>
          <w:highlight w:val="none"/>
        </w:rPr>
        <w:t>（1）发包人未能按合同约定支付预付款或合同价款，或拖延、拒绝批准付款申请和支付凭证，导致付款延误的；</w:t>
      </w:r>
    </w:p>
    <w:p>
      <w:pPr>
        <w:spacing w:line="480" w:lineRule="exact"/>
        <w:ind w:firstLine="420" w:firstLineChars="200"/>
        <w:rPr>
          <w:kern w:val="0"/>
          <w:szCs w:val="21"/>
          <w:highlight w:val="none"/>
        </w:rPr>
      </w:pPr>
      <w:r>
        <w:rPr>
          <w:kern w:val="0"/>
          <w:szCs w:val="21"/>
          <w:highlight w:val="none"/>
        </w:rPr>
        <w:t>（2）发包人原因造成停工的；</w:t>
      </w:r>
    </w:p>
    <w:p>
      <w:pPr>
        <w:spacing w:line="480" w:lineRule="exact"/>
        <w:ind w:firstLine="420" w:firstLineChars="200"/>
        <w:rPr>
          <w:kern w:val="0"/>
          <w:szCs w:val="21"/>
          <w:highlight w:val="none"/>
        </w:rPr>
      </w:pPr>
      <w:r>
        <w:rPr>
          <w:kern w:val="0"/>
          <w:szCs w:val="21"/>
          <w:highlight w:val="none"/>
        </w:rPr>
        <w:t>（3）监理人无正当理由没有在约定期限内发出复工指示，导致承包人无法复工的；</w:t>
      </w:r>
    </w:p>
    <w:p>
      <w:pPr>
        <w:spacing w:line="480" w:lineRule="exact"/>
        <w:ind w:firstLine="420" w:firstLineChars="200"/>
        <w:rPr>
          <w:kern w:val="0"/>
          <w:szCs w:val="21"/>
          <w:highlight w:val="none"/>
        </w:rPr>
      </w:pPr>
      <w:r>
        <w:rPr>
          <w:kern w:val="0"/>
          <w:szCs w:val="21"/>
          <w:highlight w:val="none"/>
        </w:rPr>
        <w:t>（4）发包人无法继续履行或明确表示不履行或实质上已停止履行合同的；</w:t>
      </w:r>
    </w:p>
    <w:p>
      <w:pPr>
        <w:spacing w:line="480" w:lineRule="exact"/>
        <w:ind w:firstLine="420" w:firstLineChars="200"/>
        <w:rPr>
          <w:kern w:val="0"/>
          <w:szCs w:val="21"/>
          <w:highlight w:val="none"/>
        </w:rPr>
      </w:pPr>
      <w:r>
        <w:rPr>
          <w:kern w:val="0"/>
          <w:szCs w:val="21"/>
          <w:highlight w:val="none"/>
        </w:rPr>
        <w:t>（5）发包人不履行合同约定其他义务的。</w:t>
      </w:r>
    </w:p>
    <w:p>
      <w:pPr>
        <w:spacing w:line="480" w:lineRule="exact"/>
        <w:ind w:firstLine="422" w:firstLineChars="200"/>
        <w:rPr>
          <w:b/>
          <w:kern w:val="0"/>
          <w:szCs w:val="21"/>
          <w:highlight w:val="none"/>
        </w:rPr>
      </w:pPr>
      <w:r>
        <w:rPr>
          <w:b/>
          <w:kern w:val="0"/>
          <w:szCs w:val="21"/>
          <w:highlight w:val="none"/>
        </w:rPr>
        <w:t>22.2.2 承包人有权暂停施工</w:t>
      </w:r>
    </w:p>
    <w:p>
      <w:pPr>
        <w:spacing w:line="480" w:lineRule="exact"/>
        <w:ind w:firstLine="420" w:firstLineChars="200"/>
        <w:rPr>
          <w:kern w:val="0"/>
          <w:szCs w:val="21"/>
          <w:highlight w:val="none"/>
        </w:rPr>
      </w:pPr>
      <w:r>
        <w:rPr>
          <w:kern w:val="0"/>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480" w:lineRule="exact"/>
        <w:ind w:firstLine="422" w:firstLineChars="200"/>
        <w:rPr>
          <w:b/>
          <w:kern w:val="0"/>
          <w:szCs w:val="21"/>
          <w:highlight w:val="none"/>
        </w:rPr>
      </w:pPr>
      <w:r>
        <w:rPr>
          <w:b/>
          <w:kern w:val="0"/>
          <w:szCs w:val="21"/>
          <w:highlight w:val="none"/>
        </w:rPr>
        <w:t>22.2.3 发包人违约解除合同</w:t>
      </w:r>
    </w:p>
    <w:p>
      <w:pPr>
        <w:spacing w:line="480" w:lineRule="exact"/>
        <w:ind w:firstLine="420" w:firstLineChars="200"/>
        <w:rPr>
          <w:kern w:val="0"/>
          <w:szCs w:val="21"/>
          <w:highlight w:val="none"/>
        </w:rPr>
      </w:pPr>
      <w:r>
        <w:rPr>
          <w:kern w:val="0"/>
          <w:szCs w:val="21"/>
          <w:highlight w:val="none"/>
        </w:rPr>
        <w:t>（1）发生第22.2.1（4）目的违约情况时，承包人可书面通知发包人解除合同。</w:t>
      </w:r>
    </w:p>
    <w:p>
      <w:pPr>
        <w:spacing w:line="480" w:lineRule="exact"/>
        <w:ind w:firstLine="420" w:firstLineChars="200"/>
        <w:rPr>
          <w:kern w:val="0"/>
          <w:szCs w:val="21"/>
          <w:highlight w:val="none"/>
        </w:rPr>
      </w:pPr>
      <w:r>
        <w:rPr>
          <w:kern w:val="0"/>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480" w:lineRule="exact"/>
        <w:ind w:firstLine="422" w:firstLineChars="200"/>
        <w:rPr>
          <w:b/>
          <w:kern w:val="0"/>
          <w:szCs w:val="21"/>
          <w:highlight w:val="none"/>
        </w:rPr>
      </w:pPr>
      <w:r>
        <w:rPr>
          <w:b/>
          <w:kern w:val="0"/>
          <w:szCs w:val="21"/>
          <w:highlight w:val="none"/>
        </w:rPr>
        <w:t xml:space="preserve">22.2.4 解除合同后的付款 </w:t>
      </w:r>
    </w:p>
    <w:p>
      <w:pPr>
        <w:spacing w:line="480" w:lineRule="exact"/>
        <w:ind w:firstLine="420" w:firstLineChars="200"/>
        <w:rPr>
          <w:kern w:val="0"/>
          <w:szCs w:val="21"/>
          <w:highlight w:val="none"/>
        </w:rPr>
      </w:pPr>
      <w:r>
        <w:rPr>
          <w:kern w:val="0"/>
          <w:szCs w:val="21"/>
          <w:highlight w:val="none"/>
        </w:rPr>
        <w:t>因发包人违约解除合同的，发包人应在解除合同后28天内向承包人支付下列金额，承包人应在此期限内及时向发包人提交要求支付下列金额的有关资料和凭证：</w:t>
      </w:r>
    </w:p>
    <w:p>
      <w:pPr>
        <w:spacing w:line="480" w:lineRule="exact"/>
        <w:ind w:firstLine="420" w:firstLineChars="200"/>
        <w:rPr>
          <w:kern w:val="0"/>
          <w:szCs w:val="21"/>
          <w:highlight w:val="none"/>
        </w:rPr>
      </w:pPr>
      <w:r>
        <w:rPr>
          <w:kern w:val="0"/>
          <w:szCs w:val="21"/>
          <w:highlight w:val="none"/>
        </w:rPr>
        <w:t>（1）合同解除日以前所完成工作的价款；</w:t>
      </w:r>
    </w:p>
    <w:p>
      <w:pPr>
        <w:spacing w:line="480" w:lineRule="exact"/>
        <w:ind w:firstLine="420" w:firstLineChars="200"/>
        <w:rPr>
          <w:kern w:val="0"/>
          <w:szCs w:val="21"/>
          <w:highlight w:val="none"/>
        </w:rPr>
      </w:pPr>
      <w:r>
        <w:rPr>
          <w:kern w:val="0"/>
          <w:szCs w:val="21"/>
          <w:highlight w:val="none"/>
        </w:rPr>
        <w:t>（2）承包人为该工程施工订购并已付款的材料、工程设备和其他物品的金额。发包人付还后，该材料、工程设备和其他物品归发包人所有；</w:t>
      </w:r>
    </w:p>
    <w:p>
      <w:pPr>
        <w:spacing w:line="480" w:lineRule="exact"/>
        <w:ind w:firstLine="420" w:firstLineChars="200"/>
        <w:rPr>
          <w:kern w:val="0"/>
          <w:szCs w:val="21"/>
          <w:highlight w:val="none"/>
        </w:rPr>
      </w:pPr>
      <w:r>
        <w:rPr>
          <w:kern w:val="0"/>
          <w:szCs w:val="21"/>
          <w:highlight w:val="none"/>
        </w:rPr>
        <w:t>（3）承包人为完成工程所发生的，而发包人未支付的金额；</w:t>
      </w:r>
    </w:p>
    <w:p>
      <w:pPr>
        <w:spacing w:line="480" w:lineRule="exact"/>
        <w:ind w:firstLine="420" w:firstLineChars="200"/>
        <w:rPr>
          <w:kern w:val="0"/>
          <w:szCs w:val="21"/>
          <w:highlight w:val="none"/>
        </w:rPr>
      </w:pPr>
      <w:r>
        <w:rPr>
          <w:kern w:val="0"/>
          <w:szCs w:val="21"/>
          <w:highlight w:val="none"/>
        </w:rPr>
        <w:t>（4）承包人撤离施工场地以及遣散承包人人员的金额；</w:t>
      </w:r>
    </w:p>
    <w:p>
      <w:pPr>
        <w:spacing w:line="480" w:lineRule="exact"/>
        <w:ind w:firstLine="420" w:firstLineChars="200"/>
        <w:rPr>
          <w:kern w:val="0"/>
          <w:szCs w:val="21"/>
          <w:highlight w:val="none"/>
        </w:rPr>
      </w:pPr>
      <w:r>
        <w:rPr>
          <w:kern w:val="0"/>
          <w:szCs w:val="21"/>
          <w:highlight w:val="none"/>
        </w:rPr>
        <w:t>（5）由于解除合同应赔偿的承包人损失；</w:t>
      </w:r>
    </w:p>
    <w:p>
      <w:pPr>
        <w:spacing w:line="480" w:lineRule="exact"/>
        <w:ind w:firstLine="420" w:firstLineChars="200"/>
        <w:rPr>
          <w:kern w:val="0"/>
          <w:szCs w:val="21"/>
          <w:highlight w:val="none"/>
        </w:rPr>
      </w:pPr>
      <w:r>
        <w:rPr>
          <w:kern w:val="0"/>
          <w:szCs w:val="21"/>
          <w:highlight w:val="none"/>
        </w:rPr>
        <w:t>（6）按合同约定在合同解除日前应支付给承包人的其他金额。</w:t>
      </w:r>
    </w:p>
    <w:p>
      <w:pPr>
        <w:spacing w:line="480" w:lineRule="exact"/>
        <w:ind w:firstLine="420" w:firstLineChars="200"/>
        <w:rPr>
          <w:kern w:val="0"/>
          <w:szCs w:val="21"/>
          <w:highlight w:val="none"/>
        </w:rPr>
      </w:pPr>
      <w:r>
        <w:rPr>
          <w:kern w:val="0"/>
          <w:szCs w:val="21"/>
          <w:highlight w:val="none"/>
        </w:rPr>
        <w:t>发包人应按本项约定支付上述金额并退还质量保证金和履约担保，但有权要求承包人支付应偿还给发包人的各项金额。</w:t>
      </w:r>
    </w:p>
    <w:p>
      <w:pPr>
        <w:spacing w:line="480" w:lineRule="exact"/>
        <w:ind w:firstLine="422" w:firstLineChars="200"/>
        <w:rPr>
          <w:b/>
          <w:kern w:val="0"/>
          <w:szCs w:val="21"/>
          <w:highlight w:val="none"/>
        </w:rPr>
      </w:pPr>
      <w:r>
        <w:rPr>
          <w:b/>
          <w:kern w:val="0"/>
          <w:szCs w:val="21"/>
          <w:highlight w:val="none"/>
        </w:rPr>
        <w:t xml:space="preserve">22.2.5 解除合同后的承包人撤离 </w:t>
      </w:r>
    </w:p>
    <w:p>
      <w:pPr>
        <w:spacing w:line="480" w:lineRule="exact"/>
        <w:ind w:firstLine="420" w:firstLineChars="200"/>
        <w:rPr>
          <w:kern w:val="0"/>
          <w:szCs w:val="21"/>
          <w:highlight w:val="none"/>
        </w:rPr>
      </w:pPr>
      <w:r>
        <w:rPr>
          <w:kern w:val="0"/>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490" w:lineRule="exact"/>
        <w:ind w:firstLine="422" w:firstLineChars="200"/>
        <w:outlineLvl w:val="3"/>
        <w:rPr>
          <w:b/>
          <w:bCs/>
          <w:kern w:val="0"/>
          <w:szCs w:val="21"/>
          <w:highlight w:val="none"/>
        </w:rPr>
      </w:pPr>
      <w:bookmarkStart w:id="494" w:name="_Toc189386248"/>
      <w:r>
        <w:rPr>
          <w:b/>
          <w:bCs/>
          <w:kern w:val="0"/>
          <w:szCs w:val="21"/>
          <w:highlight w:val="none"/>
        </w:rPr>
        <w:t>22.3第三人造成的违约</w:t>
      </w:r>
      <w:bookmarkEnd w:id="494"/>
    </w:p>
    <w:p>
      <w:pPr>
        <w:spacing w:line="480" w:lineRule="exact"/>
        <w:ind w:firstLine="420" w:firstLineChars="200"/>
        <w:rPr>
          <w:kern w:val="0"/>
          <w:szCs w:val="21"/>
          <w:highlight w:val="none"/>
        </w:rPr>
      </w:pPr>
      <w:r>
        <w:rPr>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keepNext w:val="0"/>
        <w:keepLines w:val="0"/>
        <w:spacing w:before="0" w:after="0" w:line="490" w:lineRule="exact"/>
        <w:ind w:firstLine="422" w:firstLineChars="200"/>
        <w:rPr>
          <w:bCs w:val="0"/>
          <w:color w:val="auto"/>
          <w:sz w:val="21"/>
          <w:szCs w:val="21"/>
          <w:highlight w:val="none"/>
        </w:rPr>
      </w:pPr>
      <w:bookmarkStart w:id="495" w:name="_Toc3313"/>
      <w:bookmarkStart w:id="496" w:name="_Toc7652"/>
      <w:bookmarkStart w:id="497" w:name="_Toc189386249"/>
      <w:r>
        <w:rPr>
          <w:bCs w:val="0"/>
          <w:color w:val="auto"/>
          <w:sz w:val="21"/>
          <w:szCs w:val="21"/>
          <w:highlight w:val="none"/>
        </w:rPr>
        <w:t>23</w:t>
      </w:r>
      <w:r>
        <w:rPr>
          <w:rFonts w:hint="eastAsia"/>
          <w:bCs w:val="0"/>
          <w:color w:val="auto"/>
          <w:sz w:val="21"/>
          <w:szCs w:val="21"/>
          <w:highlight w:val="none"/>
        </w:rPr>
        <w:t>.</w:t>
      </w:r>
      <w:r>
        <w:rPr>
          <w:bCs w:val="0"/>
          <w:color w:val="auto"/>
          <w:sz w:val="21"/>
          <w:szCs w:val="21"/>
          <w:highlight w:val="none"/>
        </w:rPr>
        <w:t>索赔</w:t>
      </w:r>
      <w:bookmarkEnd w:id="495"/>
      <w:bookmarkEnd w:id="496"/>
      <w:bookmarkEnd w:id="497"/>
    </w:p>
    <w:p>
      <w:pPr>
        <w:spacing w:line="490" w:lineRule="exact"/>
        <w:ind w:firstLine="422" w:firstLineChars="200"/>
        <w:outlineLvl w:val="3"/>
        <w:rPr>
          <w:b/>
          <w:bCs/>
          <w:kern w:val="0"/>
          <w:szCs w:val="21"/>
          <w:highlight w:val="none"/>
        </w:rPr>
      </w:pPr>
      <w:bookmarkStart w:id="498" w:name="_Toc511318176"/>
      <w:bookmarkStart w:id="499" w:name="_Toc189386250"/>
      <w:r>
        <w:rPr>
          <w:b/>
          <w:bCs/>
          <w:kern w:val="0"/>
          <w:szCs w:val="21"/>
          <w:highlight w:val="none"/>
        </w:rPr>
        <w:t>23.1 承包人索赔的提出</w:t>
      </w:r>
      <w:bookmarkEnd w:id="498"/>
      <w:bookmarkEnd w:id="499"/>
    </w:p>
    <w:p>
      <w:pPr>
        <w:spacing w:line="480" w:lineRule="exact"/>
        <w:ind w:firstLine="420" w:firstLineChars="200"/>
        <w:rPr>
          <w:kern w:val="0"/>
          <w:szCs w:val="21"/>
          <w:highlight w:val="none"/>
        </w:rPr>
      </w:pPr>
      <w:r>
        <w:rPr>
          <w:kern w:val="0"/>
          <w:szCs w:val="21"/>
          <w:highlight w:val="none"/>
        </w:rPr>
        <w:t>根据合同约定，承包人认为有权得到追加付款和（或）延长工期的，应按以下程序向发包人提出索赔：</w:t>
      </w:r>
    </w:p>
    <w:p>
      <w:pPr>
        <w:spacing w:line="480" w:lineRule="exact"/>
        <w:ind w:firstLine="420" w:firstLineChars="200"/>
        <w:rPr>
          <w:kern w:val="0"/>
          <w:szCs w:val="21"/>
          <w:highlight w:val="none"/>
        </w:rPr>
      </w:pPr>
      <w:r>
        <w:rPr>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480" w:lineRule="exact"/>
        <w:ind w:firstLine="420" w:firstLineChars="200"/>
        <w:rPr>
          <w:kern w:val="0"/>
          <w:szCs w:val="21"/>
          <w:highlight w:val="none"/>
        </w:rPr>
      </w:pPr>
      <w:r>
        <w:rPr>
          <w:kern w:val="0"/>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spacing w:line="480" w:lineRule="exact"/>
        <w:ind w:firstLine="420" w:firstLineChars="200"/>
        <w:rPr>
          <w:kern w:val="0"/>
          <w:szCs w:val="21"/>
          <w:highlight w:val="none"/>
        </w:rPr>
      </w:pPr>
      <w:r>
        <w:rPr>
          <w:kern w:val="0"/>
          <w:szCs w:val="21"/>
          <w:highlight w:val="none"/>
        </w:rPr>
        <w:t>（3）索赔事件具有连续影响的，承包人应按合理时间间隔继续递交延续索赔通知，说明连续影响的实际情况和记录，列出累计的追加付款金额和（或）工期延长天数；</w:t>
      </w:r>
    </w:p>
    <w:p>
      <w:pPr>
        <w:spacing w:line="480" w:lineRule="exact"/>
        <w:ind w:firstLine="420" w:firstLineChars="200"/>
        <w:rPr>
          <w:kern w:val="0"/>
          <w:szCs w:val="21"/>
          <w:highlight w:val="none"/>
        </w:rPr>
      </w:pPr>
      <w:r>
        <w:rPr>
          <w:kern w:val="0"/>
          <w:szCs w:val="21"/>
          <w:highlight w:val="none"/>
        </w:rPr>
        <w:t>（4）在索赔事件影响结束后的28天内，承包人应向监理人递交最终索赔通知书，说明最终要求索赔的追加付款金额和延长的工期，并附必要的记录和证明材料。</w:t>
      </w:r>
    </w:p>
    <w:p>
      <w:pPr>
        <w:spacing w:line="490" w:lineRule="exact"/>
        <w:ind w:firstLine="422" w:firstLineChars="200"/>
        <w:outlineLvl w:val="3"/>
        <w:rPr>
          <w:b/>
          <w:bCs/>
          <w:kern w:val="0"/>
          <w:szCs w:val="21"/>
          <w:highlight w:val="none"/>
        </w:rPr>
      </w:pPr>
      <w:bookmarkStart w:id="500" w:name="_Toc511318177"/>
      <w:bookmarkStart w:id="501" w:name="_Toc189386251"/>
      <w:r>
        <w:rPr>
          <w:b/>
          <w:bCs/>
          <w:kern w:val="0"/>
          <w:szCs w:val="21"/>
          <w:highlight w:val="none"/>
        </w:rPr>
        <w:t>23.2 承包人索赔处理程序</w:t>
      </w:r>
      <w:bookmarkEnd w:id="500"/>
      <w:bookmarkEnd w:id="501"/>
    </w:p>
    <w:p>
      <w:pPr>
        <w:spacing w:line="480" w:lineRule="exact"/>
        <w:ind w:firstLine="420" w:firstLineChars="200"/>
        <w:rPr>
          <w:kern w:val="0"/>
          <w:szCs w:val="21"/>
          <w:highlight w:val="none"/>
        </w:rPr>
      </w:pPr>
      <w:r>
        <w:rPr>
          <w:kern w:val="0"/>
          <w:szCs w:val="21"/>
          <w:highlight w:val="none"/>
        </w:rPr>
        <w:t>（1）监理人收到承包人提交的索赔通知书后，应及时审查索赔通知书的内容、查验承包人的记录和证明材料，必要时监理人可要求承包人提交全部原始记录副本。</w:t>
      </w:r>
    </w:p>
    <w:p>
      <w:pPr>
        <w:spacing w:line="480" w:lineRule="exact"/>
        <w:ind w:firstLine="420" w:firstLineChars="200"/>
        <w:rPr>
          <w:kern w:val="0"/>
          <w:szCs w:val="21"/>
          <w:highlight w:val="none"/>
        </w:rPr>
      </w:pPr>
      <w:r>
        <w:rPr>
          <w:kern w:val="0"/>
          <w:szCs w:val="21"/>
          <w:highlight w:val="none"/>
        </w:rPr>
        <w:t>（2）监理人应按第3.5款商定或确定追加的付款和（或）延长的工期，并在收到上述索赔通知书或有关索赔的进一步证明材料后的42天内，将索赔处理结果答复承包人。</w:t>
      </w:r>
    </w:p>
    <w:p>
      <w:pPr>
        <w:spacing w:line="480" w:lineRule="exact"/>
        <w:ind w:firstLine="420" w:firstLineChars="200"/>
        <w:rPr>
          <w:kern w:val="0"/>
          <w:szCs w:val="21"/>
          <w:highlight w:val="none"/>
        </w:rPr>
      </w:pPr>
      <w:r>
        <w:rPr>
          <w:kern w:val="0"/>
          <w:szCs w:val="21"/>
          <w:highlight w:val="none"/>
        </w:rPr>
        <w:t>（3）承包人接受索赔处理结果的，发包人应在作出索赔处理结果答复后28 天内完成赔付。承包人不接受索赔处理结果的，按第24条的约定办理。</w:t>
      </w:r>
    </w:p>
    <w:p>
      <w:pPr>
        <w:spacing w:line="490" w:lineRule="exact"/>
        <w:ind w:firstLine="422" w:firstLineChars="200"/>
        <w:outlineLvl w:val="3"/>
        <w:rPr>
          <w:b/>
          <w:bCs/>
          <w:kern w:val="0"/>
          <w:szCs w:val="21"/>
          <w:highlight w:val="none"/>
        </w:rPr>
      </w:pPr>
      <w:bookmarkStart w:id="502" w:name="_Toc189386252"/>
      <w:bookmarkStart w:id="503" w:name="_Toc511318178"/>
      <w:r>
        <w:rPr>
          <w:b/>
          <w:bCs/>
          <w:kern w:val="0"/>
          <w:szCs w:val="21"/>
          <w:highlight w:val="none"/>
        </w:rPr>
        <w:t>23.3 承包人提出索赔的期限</w:t>
      </w:r>
      <w:bookmarkEnd w:id="502"/>
      <w:bookmarkEnd w:id="503"/>
    </w:p>
    <w:p>
      <w:pPr>
        <w:spacing w:line="480" w:lineRule="exact"/>
        <w:ind w:firstLine="420" w:firstLineChars="200"/>
        <w:rPr>
          <w:kern w:val="0"/>
          <w:szCs w:val="21"/>
          <w:highlight w:val="none"/>
        </w:rPr>
      </w:pPr>
      <w:r>
        <w:rPr>
          <w:kern w:val="0"/>
          <w:szCs w:val="21"/>
          <w:highlight w:val="none"/>
        </w:rPr>
        <w:t>23.3.1 承包人按第17.5款的约定接受了完工付款证书后，应被认为已无权再提出在合同工程完工证书颁发前所发生的任何索赔。</w:t>
      </w:r>
    </w:p>
    <w:p>
      <w:pPr>
        <w:spacing w:line="480" w:lineRule="exact"/>
        <w:ind w:firstLine="420" w:firstLineChars="200"/>
        <w:rPr>
          <w:kern w:val="0"/>
          <w:szCs w:val="21"/>
          <w:highlight w:val="none"/>
        </w:rPr>
      </w:pPr>
      <w:r>
        <w:rPr>
          <w:kern w:val="0"/>
          <w:szCs w:val="21"/>
          <w:highlight w:val="none"/>
        </w:rPr>
        <w:t>23.3.2 承包人按第17.6款的约定提交的最终结清申请单中，只限于提出合同工程完工证书颁发后发生的索赔。提出索赔的期限自接受最终结清证书时终止。</w:t>
      </w:r>
    </w:p>
    <w:p>
      <w:pPr>
        <w:spacing w:line="490" w:lineRule="exact"/>
        <w:ind w:firstLine="422" w:firstLineChars="200"/>
        <w:outlineLvl w:val="3"/>
        <w:rPr>
          <w:b/>
          <w:bCs/>
          <w:kern w:val="0"/>
          <w:szCs w:val="21"/>
          <w:highlight w:val="none"/>
        </w:rPr>
      </w:pPr>
      <w:bookmarkStart w:id="504" w:name="_Toc511318179"/>
      <w:bookmarkStart w:id="505" w:name="_Toc189386253"/>
      <w:r>
        <w:rPr>
          <w:b/>
          <w:bCs/>
          <w:kern w:val="0"/>
          <w:szCs w:val="21"/>
          <w:highlight w:val="none"/>
        </w:rPr>
        <w:t>23.4 发包人的索赔</w:t>
      </w:r>
      <w:bookmarkEnd w:id="504"/>
      <w:bookmarkEnd w:id="505"/>
    </w:p>
    <w:p>
      <w:pPr>
        <w:spacing w:line="480" w:lineRule="exact"/>
        <w:ind w:firstLine="420" w:firstLineChars="200"/>
        <w:rPr>
          <w:kern w:val="0"/>
          <w:szCs w:val="21"/>
          <w:highlight w:val="none"/>
        </w:rPr>
      </w:pPr>
      <w:r>
        <w:rPr>
          <w:kern w:val="0"/>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480" w:lineRule="exact"/>
        <w:ind w:firstLine="420" w:firstLineChars="200"/>
        <w:rPr>
          <w:kern w:val="0"/>
          <w:szCs w:val="21"/>
          <w:highlight w:val="none"/>
        </w:rPr>
      </w:pPr>
      <w:r>
        <w:rPr>
          <w:kern w:val="0"/>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480" w:lineRule="exact"/>
        <w:ind w:firstLine="420" w:firstLineChars="200"/>
        <w:rPr>
          <w:kern w:val="0"/>
          <w:szCs w:val="21"/>
          <w:highlight w:val="none"/>
        </w:rPr>
      </w:pPr>
      <w:r>
        <w:rPr>
          <w:kern w:val="0"/>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5"/>
        <w:keepNext w:val="0"/>
        <w:keepLines w:val="0"/>
        <w:spacing w:before="0" w:after="0" w:line="490" w:lineRule="exact"/>
        <w:ind w:firstLine="422" w:firstLineChars="200"/>
        <w:rPr>
          <w:bCs w:val="0"/>
          <w:color w:val="auto"/>
          <w:sz w:val="21"/>
          <w:szCs w:val="21"/>
          <w:highlight w:val="none"/>
        </w:rPr>
      </w:pPr>
      <w:bookmarkStart w:id="506" w:name="_Toc189386254"/>
      <w:bookmarkStart w:id="507" w:name="_Toc5756"/>
      <w:bookmarkStart w:id="508" w:name="_Toc31432"/>
      <w:r>
        <w:rPr>
          <w:bCs w:val="0"/>
          <w:color w:val="auto"/>
          <w:sz w:val="21"/>
          <w:szCs w:val="21"/>
          <w:highlight w:val="none"/>
        </w:rPr>
        <w:t>24</w:t>
      </w:r>
      <w:r>
        <w:rPr>
          <w:rFonts w:hint="eastAsia"/>
          <w:bCs w:val="0"/>
          <w:color w:val="auto"/>
          <w:sz w:val="21"/>
          <w:szCs w:val="21"/>
          <w:highlight w:val="none"/>
        </w:rPr>
        <w:t>.</w:t>
      </w:r>
      <w:r>
        <w:rPr>
          <w:bCs w:val="0"/>
          <w:color w:val="auto"/>
          <w:sz w:val="21"/>
          <w:szCs w:val="21"/>
          <w:highlight w:val="none"/>
        </w:rPr>
        <w:t>争议的解决</w:t>
      </w:r>
      <w:bookmarkEnd w:id="506"/>
      <w:bookmarkEnd w:id="507"/>
      <w:bookmarkEnd w:id="508"/>
    </w:p>
    <w:p>
      <w:pPr>
        <w:spacing w:line="490" w:lineRule="exact"/>
        <w:ind w:firstLine="422" w:firstLineChars="200"/>
        <w:outlineLvl w:val="3"/>
        <w:rPr>
          <w:b/>
          <w:bCs/>
          <w:kern w:val="0"/>
          <w:szCs w:val="21"/>
          <w:highlight w:val="none"/>
        </w:rPr>
      </w:pPr>
      <w:bookmarkStart w:id="509" w:name="_Toc189386255"/>
      <w:r>
        <w:rPr>
          <w:b/>
          <w:bCs/>
          <w:kern w:val="0"/>
          <w:szCs w:val="21"/>
          <w:highlight w:val="none"/>
        </w:rPr>
        <w:t>24.1争议的解决方式</w:t>
      </w:r>
      <w:bookmarkEnd w:id="509"/>
    </w:p>
    <w:p>
      <w:pPr>
        <w:spacing w:line="480" w:lineRule="exact"/>
        <w:ind w:firstLine="420" w:firstLineChars="200"/>
        <w:rPr>
          <w:kern w:val="0"/>
          <w:szCs w:val="21"/>
          <w:highlight w:val="none"/>
        </w:rPr>
      </w:pPr>
      <w:r>
        <w:rPr>
          <w:kern w:val="0"/>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480" w:lineRule="exact"/>
        <w:ind w:firstLine="420" w:firstLineChars="200"/>
        <w:rPr>
          <w:kern w:val="0"/>
          <w:szCs w:val="21"/>
          <w:highlight w:val="none"/>
        </w:rPr>
      </w:pPr>
      <w:r>
        <w:rPr>
          <w:kern w:val="0"/>
          <w:szCs w:val="21"/>
          <w:highlight w:val="none"/>
        </w:rPr>
        <w:t>（1）向约定的仲裁委员会申请仲裁；</w:t>
      </w:r>
    </w:p>
    <w:p>
      <w:pPr>
        <w:spacing w:line="480" w:lineRule="exact"/>
        <w:ind w:firstLine="420" w:firstLineChars="200"/>
        <w:rPr>
          <w:kern w:val="0"/>
          <w:szCs w:val="21"/>
          <w:highlight w:val="none"/>
        </w:rPr>
      </w:pPr>
      <w:r>
        <w:rPr>
          <w:kern w:val="0"/>
          <w:szCs w:val="21"/>
          <w:highlight w:val="none"/>
        </w:rPr>
        <w:t>（2）向有管辖权的人民法院提起诉讼。</w:t>
      </w:r>
    </w:p>
    <w:p>
      <w:pPr>
        <w:spacing w:line="490" w:lineRule="exact"/>
        <w:ind w:firstLine="422" w:firstLineChars="200"/>
        <w:outlineLvl w:val="3"/>
        <w:rPr>
          <w:b/>
          <w:bCs/>
          <w:kern w:val="0"/>
          <w:szCs w:val="21"/>
          <w:highlight w:val="none"/>
        </w:rPr>
      </w:pPr>
      <w:bookmarkStart w:id="510" w:name="_Toc189386256"/>
      <w:bookmarkStart w:id="511" w:name="_Toc511318181"/>
      <w:r>
        <w:rPr>
          <w:b/>
          <w:bCs/>
          <w:kern w:val="0"/>
          <w:szCs w:val="21"/>
          <w:highlight w:val="none"/>
        </w:rPr>
        <w:t>24.2 友好解决</w:t>
      </w:r>
      <w:bookmarkEnd w:id="510"/>
      <w:bookmarkEnd w:id="511"/>
    </w:p>
    <w:p>
      <w:pPr>
        <w:spacing w:line="460" w:lineRule="exact"/>
        <w:ind w:firstLine="420" w:firstLineChars="200"/>
        <w:rPr>
          <w:kern w:val="0"/>
          <w:szCs w:val="21"/>
          <w:highlight w:val="none"/>
        </w:rPr>
      </w:pPr>
      <w:r>
        <w:rPr>
          <w:kern w:val="0"/>
          <w:szCs w:val="21"/>
          <w:highlight w:val="none"/>
        </w:rPr>
        <w:t>在提请争议评审、仲裁或者诉讼前，以及在争议评审、仲裁或诉讼过程中，发包人和承包人均可共同努力友好协商解决争议。</w:t>
      </w:r>
    </w:p>
    <w:p>
      <w:pPr>
        <w:spacing w:line="490" w:lineRule="exact"/>
        <w:ind w:firstLine="422" w:firstLineChars="200"/>
        <w:outlineLvl w:val="3"/>
        <w:rPr>
          <w:b/>
          <w:bCs/>
          <w:kern w:val="0"/>
          <w:szCs w:val="21"/>
          <w:highlight w:val="none"/>
        </w:rPr>
      </w:pPr>
      <w:bookmarkStart w:id="512" w:name="_Toc511318182"/>
      <w:bookmarkStart w:id="513" w:name="_Toc189386257"/>
      <w:r>
        <w:rPr>
          <w:b/>
          <w:bCs/>
          <w:kern w:val="0"/>
          <w:szCs w:val="21"/>
          <w:highlight w:val="none"/>
        </w:rPr>
        <w:t>24.3 争议评审</w:t>
      </w:r>
      <w:bookmarkEnd w:id="512"/>
      <w:bookmarkEnd w:id="513"/>
    </w:p>
    <w:p>
      <w:pPr>
        <w:spacing w:line="460" w:lineRule="exact"/>
        <w:ind w:firstLine="420" w:firstLineChars="200"/>
        <w:rPr>
          <w:kern w:val="0"/>
          <w:szCs w:val="21"/>
          <w:highlight w:val="none"/>
        </w:rPr>
      </w:pPr>
      <w:r>
        <w:rPr>
          <w:kern w:val="0"/>
          <w:szCs w:val="21"/>
          <w:highlight w:val="none"/>
        </w:rPr>
        <w:t>24.3.1 采用争议评审的，发包人和承包人应在开工日后的28天内或在争议发生后，协商成立争议评审组。争议评审组由有合同管理和工程实践经验的专家组成。</w:t>
      </w:r>
    </w:p>
    <w:p>
      <w:pPr>
        <w:spacing w:line="460" w:lineRule="exact"/>
        <w:ind w:firstLine="420" w:firstLineChars="200"/>
        <w:rPr>
          <w:kern w:val="0"/>
          <w:szCs w:val="21"/>
          <w:highlight w:val="none"/>
        </w:rPr>
      </w:pPr>
      <w:r>
        <w:rPr>
          <w:kern w:val="0"/>
          <w:szCs w:val="21"/>
          <w:highlight w:val="none"/>
        </w:rPr>
        <w:t>24.3.2 合同双方的争议，应首先由申请人向争议评审组提交一份详细的评审申请报告，并附必要的文件、图纸和证明材料，申请人还应将上述报告的副本同时提交给被申请人和监理人。</w:t>
      </w:r>
    </w:p>
    <w:p>
      <w:pPr>
        <w:spacing w:line="460" w:lineRule="exact"/>
        <w:ind w:firstLine="420" w:firstLineChars="200"/>
        <w:rPr>
          <w:kern w:val="0"/>
          <w:szCs w:val="21"/>
          <w:highlight w:val="none"/>
        </w:rPr>
      </w:pPr>
      <w:r>
        <w:rPr>
          <w:kern w:val="0"/>
          <w:szCs w:val="21"/>
          <w:highlight w:val="none"/>
        </w:rPr>
        <w:t>24.3.3 被申请人在收到申请人评审申请报告副本后的28天内，向争议评审组提交一份答辩报告，并附证明材料。被申请人应将答辩报告的副本同时提交给申请人和监理人。</w:t>
      </w:r>
    </w:p>
    <w:p>
      <w:pPr>
        <w:spacing w:line="460" w:lineRule="exact"/>
        <w:ind w:firstLine="420" w:firstLineChars="200"/>
        <w:rPr>
          <w:kern w:val="0"/>
          <w:szCs w:val="21"/>
          <w:highlight w:val="none"/>
        </w:rPr>
      </w:pPr>
      <w:r>
        <w:rPr>
          <w:kern w:val="0"/>
          <w:szCs w:val="21"/>
          <w:highlight w:val="none"/>
        </w:rPr>
        <w:t>24.3.4 除专用合同条款另有约定外，争议评审组在收到合同双方报告后的14 天内，邀请双方代表和有关人员举行调查会，向双方调查争议细节；必要时争议评审组可要求双方进一步提供补充材料。</w:t>
      </w:r>
    </w:p>
    <w:p>
      <w:pPr>
        <w:spacing w:line="460" w:lineRule="exact"/>
        <w:ind w:firstLine="420" w:firstLineChars="200"/>
        <w:rPr>
          <w:kern w:val="0"/>
          <w:szCs w:val="21"/>
          <w:highlight w:val="none"/>
        </w:rPr>
      </w:pPr>
      <w:r>
        <w:rPr>
          <w:kern w:val="0"/>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460" w:lineRule="exact"/>
        <w:ind w:firstLine="420" w:firstLineChars="200"/>
        <w:rPr>
          <w:kern w:val="0"/>
          <w:szCs w:val="21"/>
          <w:highlight w:val="none"/>
        </w:rPr>
      </w:pPr>
      <w:r>
        <w:rPr>
          <w:kern w:val="0"/>
          <w:szCs w:val="21"/>
          <w:highlight w:val="none"/>
        </w:rPr>
        <w:t>24.3.6 发包人和承包人接受评审意见的，由监理人根据评审意见拟定执行协议，经争议双方签字后作为合同的补充文件，并遵照执行。</w:t>
      </w:r>
    </w:p>
    <w:p>
      <w:pPr>
        <w:spacing w:line="460" w:lineRule="exact"/>
        <w:ind w:firstLine="420" w:firstLineChars="200"/>
        <w:rPr>
          <w:kern w:val="0"/>
          <w:szCs w:val="21"/>
          <w:highlight w:val="none"/>
        </w:rPr>
      </w:pPr>
      <w:r>
        <w:rPr>
          <w:kern w:val="0"/>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spacing w:line="490" w:lineRule="exact"/>
        <w:ind w:firstLine="422" w:firstLineChars="200"/>
        <w:outlineLvl w:val="3"/>
        <w:rPr>
          <w:b/>
          <w:bCs/>
          <w:kern w:val="0"/>
          <w:szCs w:val="21"/>
          <w:highlight w:val="none"/>
        </w:rPr>
      </w:pPr>
      <w:bookmarkStart w:id="514" w:name="_Toc511318183"/>
      <w:r>
        <w:rPr>
          <w:b/>
          <w:bCs/>
          <w:kern w:val="0"/>
          <w:szCs w:val="21"/>
          <w:highlight w:val="none"/>
        </w:rPr>
        <w:t>24.4 仲裁</w:t>
      </w:r>
      <w:bookmarkEnd w:id="514"/>
    </w:p>
    <w:p>
      <w:pPr>
        <w:spacing w:line="460" w:lineRule="exact"/>
        <w:ind w:firstLine="420" w:firstLineChars="200"/>
        <w:rPr>
          <w:kern w:val="0"/>
          <w:szCs w:val="21"/>
          <w:highlight w:val="none"/>
        </w:rPr>
      </w:pPr>
      <w:r>
        <w:rPr>
          <w:kern w:val="0"/>
          <w:szCs w:val="21"/>
          <w:highlight w:val="none"/>
        </w:rPr>
        <w:t>24.4.1 若合同双方商定直接向仲裁机构申请仲裁，应签订仲裁协议并约定仲裁机构。</w:t>
      </w:r>
    </w:p>
    <w:p>
      <w:pPr>
        <w:spacing w:line="460" w:lineRule="exact"/>
        <w:ind w:firstLine="420" w:firstLineChars="200"/>
        <w:rPr>
          <w:kern w:val="0"/>
          <w:szCs w:val="21"/>
          <w:highlight w:val="none"/>
        </w:rPr>
      </w:pPr>
      <w:r>
        <w:rPr>
          <w:kern w:val="0"/>
          <w:szCs w:val="21"/>
          <w:highlight w:val="none"/>
        </w:rPr>
        <w:t>24.4.2 若合同双方未能达成仲裁协议，则本合同的仲裁条款无效，任一方均有权向人民法院提起诉讼。</w:t>
      </w:r>
    </w:p>
    <w:p>
      <w:pPr>
        <w:spacing w:line="490" w:lineRule="exact"/>
        <w:ind w:firstLine="420" w:firstLineChars="200"/>
        <w:rPr>
          <w:szCs w:val="21"/>
          <w:highlight w:val="none"/>
        </w:rPr>
      </w:pPr>
      <w:r>
        <w:rPr>
          <w:kern w:val="0"/>
          <w:szCs w:val="21"/>
          <w:highlight w:val="none"/>
        </w:rPr>
        <w:br w:type="page"/>
      </w:r>
    </w:p>
    <w:p>
      <w:pPr>
        <w:spacing w:line="490" w:lineRule="exact"/>
        <w:jc w:val="center"/>
        <w:outlineLvl w:val="2"/>
        <w:rPr>
          <w:rFonts w:ascii="Times New Roman" w:hAnsi="Times New Roman"/>
          <w:b/>
          <w:szCs w:val="21"/>
          <w:highlight w:val="none"/>
        </w:rPr>
      </w:pPr>
      <w:bookmarkStart w:id="515" w:name="_Toc9364"/>
      <w:bookmarkStart w:id="516" w:name="_Toc21650"/>
      <w:r>
        <w:rPr>
          <w:rFonts w:ascii="Times New Roman" w:hAnsi="Times New Roman"/>
          <w:b/>
          <w:szCs w:val="21"/>
          <w:highlight w:val="none"/>
        </w:rPr>
        <w:t>第2节  专用合同条款</w:t>
      </w:r>
      <w:bookmarkEnd w:id="515"/>
      <w:bookmarkEnd w:id="516"/>
    </w:p>
    <w:p>
      <w:pPr>
        <w:spacing w:line="490" w:lineRule="exact"/>
        <w:ind w:firstLine="422" w:firstLineChars="200"/>
        <w:rPr>
          <w:rFonts w:ascii="Times New Roman" w:hAnsi="Times New Roman"/>
          <w:b/>
          <w:szCs w:val="21"/>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7" w:name="_Toc21250"/>
      <w:bookmarkStart w:id="518" w:name="_Toc8342"/>
      <w:r>
        <w:rPr>
          <w:rFonts w:ascii="Times New Roman" w:hAnsi="Times New Roman"/>
          <w:bCs w:val="0"/>
          <w:color w:val="auto"/>
          <w:sz w:val="21"/>
          <w:szCs w:val="21"/>
          <w:highlight w:val="none"/>
        </w:rPr>
        <w:t>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一般约定</w:t>
      </w:r>
      <w:bookmarkEnd w:id="517"/>
      <w:bookmarkEnd w:id="518"/>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1.1词语定义</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 合同当事人和人员</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1.2.2.2 发包人：</w:t>
      </w:r>
      <w:r>
        <w:rPr>
          <w:rFonts w:ascii="Times New Roman" w:hAnsi="Times New Roman"/>
          <w:szCs w:val="21"/>
          <w:highlight w:val="none"/>
          <w:u w:val="single"/>
        </w:rPr>
        <w:t xml:space="preserve">   </w:t>
      </w:r>
      <w:r>
        <w:rPr>
          <w:rFonts w:hint="eastAsia" w:ascii="Times New Roman" w:hAnsi="Times New Roman"/>
          <w:szCs w:val="21"/>
          <w:highlight w:val="none"/>
          <w:u w:val="single"/>
        </w:rPr>
        <w:t>盖州市水利事务中心</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1.1.2.3 承包人：</w:t>
      </w:r>
      <w:r>
        <w:rPr>
          <w:rFonts w:ascii="Times New Roman" w:hAnsi="Times New Roman"/>
          <w:szCs w:val="21"/>
          <w:highlight w:val="none"/>
          <w:u w:val="single"/>
        </w:rPr>
        <w:t xml:space="preserve">   （签约后填入承包人的名称）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1.1.2.5 分包人：</w:t>
      </w:r>
      <w:r>
        <w:rPr>
          <w:rFonts w:ascii="Times New Roman" w:hAnsi="Times New Roman"/>
          <w:szCs w:val="21"/>
          <w:highlight w:val="none"/>
          <w:u w:val="single"/>
        </w:rPr>
        <w:t xml:space="preserve">    （签约后填入分包人的名称）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1.1.2.6 监理人：</w:t>
      </w:r>
      <w:r>
        <w:rPr>
          <w:rFonts w:ascii="Times New Roman" w:hAnsi="Times New Roman"/>
          <w:szCs w:val="21"/>
          <w:highlight w:val="none"/>
          <w:u w:val="single"/>
        </w:rPr>
        <w:t xml:space="preserve">  （填入监理人的名称）</w:t>
      </w:r>
      <w:r>
        <w:rPr>
          <w:rFonts w:hint="eastAsia"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 日期</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1.1.4.5 缺陷责任期（工程质量保修期）</w:t>
      </w:r>
      <w:r>
        <w:rPr>
          <w:rFonts w:hint="eastAsia" w:ascii="Times New Roman" w:hAnsi="Times New Roman"/>
          <w:szCs w:val="21"/>
          <w:highlight w:val="none"/>
        </w:rPr>
        <w:t>：</w:t>
      </w:r>
      <w:r>
        <w:rPr>
          <w:rFonts w:hint="eastAsia" w:ascii="宋体" w:hAnsi="宋体"/>
          <w:szCs w:val="21"/>
          <w:highlight w:val="none"/>
          <w:u w:val="single"/>
        </w:rPr>
        <w:t xml:space="preserve"> 12个月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1.4合同文件的优先顺序</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进入合同文件的各项文件及其优先顺序是：</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按通用条款执行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1.7联络</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1.7.2来往函件均应按技术标准和要求（合同技术条款）约定的期限送达</w:t>
      </w:r>
      <w:r>
        <w:rPr>
          <w:rFonts w:ascii="Times New Roman" w:hAnsi="Times New Roman"/>
          <w:szCs w:val="21"/>
          <w:highlight w:val="none"/>
          <w:u w:val="single"/>
        </w:rPr>
        <w:t xml:space="preserve">  </w:t>
      </w:r>
      <w:r>
        <w:rPr>
          <w:rFonts w:hint="eastAsia" w:ascii="Times New Roman" w:hAnsi="Times New Roman"/>
          <w:szCs w:val="21"/>
          <w:highlight w:val="none"/>
          <w:u w:val="single"/>
        </w:rPr>
        <w:t>在签订合同后，由发包人另行通知承包人。</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9" w:name="_Toc1629"/>
      <w:bookmarkStart w:id="520" w:name="_Toc30534"/>
      <w:r>
        <w:rPr>
          <w:rFonts w:ascii="Times New Roman" w:hAnsi="Times New Roman"/>
          <w:bCs w:val="0"/>
          <w:color w:val="auto"/>
          <w:sz w:val="21"/>
          <w:szCs w:val="21"/>
          <w:highlight w:val="none"/>
        </w:rPr>
        <w:t>2</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发包人义务</w:t>
      </w:r>
      <w:bookmarkEnd w:id="519"/>
      <w:bookmarkEnd w:id="520"/>
    </w:p>
    <w:p>
      <w:pPr>
        <w:ind w:firstLine="420" w:firstLineChars="200"/>
        <w:rPr>
          <w:rFonts w:ascii="Times New Roman" w:hAnsi="Times New Roman"/>
          <w:szCs w:val="21"/>
          <w:highlight w:val="none"/>
        </w:rPr>
      </w:pPr>
      <w:bookmarkStart w:id="521" w:name="_Toc8591"/>
      <w:r>
        <w:rPr>
          <w:rFonts w:hint="eastAsia" w:ascii="Times New Roman" w:hAnsi="Times New Roman"/>
          <w:szCs w:val="21"/>
          <w:highlight w:val="none"/>
        </w:rPr>
        <w:t>2.3提供施工场地</w:t>
      </w:r>
    </w:p>
    <w:p>
      <w:pPr>
        <w:ind w:firstLine="420" w:firstLineChars="200"/>
        <w:rPr>
          <w:rFonts w:ascii="Times New Roman" w:hAnsi="Times New Roman"/>
          <w:szCs w:val="21"/>
          <w:highlight w:val="none"/>
          <w:u w:val="single"/>
        </w:rPr>
      </w:pPr>
      <w:r>
        <w:rPr>
          <w:rFonts w:hint="eastAsia" w:ascii="Times New Roman" w:hAnsi="Times New Roman"/>
          <w:szCs w:val="21"/>
          <w:highlight w:val="none"/>
        </w:rPr>
        <w:t>2.3.2发包人提供的施工场地范围</w:t>
      </w:r>
      <w:r>
        <w:rPr>
          <w:rFonts w:hint="eastAsia" w:ascii="Times New Roman" w:hAnsi="Times New Roman"/>
          <w:szCs w:val="21"/>
          <w:highlight w:val="none"/>
          <w:u w:val="single"/>
        </w:rPr>
        <w:t>在签订协议书时商定。</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2" w:name="_Toc27780"/>
      <w:r>
        <w:rPr>
          <w:rFonts w:ascii="Times New Roman" w:hAnsi="Times New Roman"/>
          <w:bCs w:val="0"/>
          <w:color w:val="auto"/>
          <w:sz w:val="21"/>
          <w:szCs w:val="21"/>
          <w:highlight w:val="none"/>
        </w:rPr>
        <w:t>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监理人</w:t>
      </w:r>
      <w:bookmarkEnd w:id="521"/>
      <w:bookmarkEnd w:id="522"/>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3.1监理人的职责和权力</w:t>
      </w:r>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3" w:name="_Toc14886"/>
      <w:bookmarkStart w:id="524" w:name="_Toc7317"/>
      <w:r>
        <w:rPr>
          <w:rFonts w:hint="eastAsia" w:ascii="Times New Roman" w:hAnsi="Times New Roman"/>
          <w:b w:val="0"/>
          <w:bCs w:val="0"/>
          <w:color w:val="auto"/>
          <w:sz w:val="21"/>
          <w:szCs w:val="21"/>
          <w:highlight w:val="none"/>
          <w:u w:val="single"/>
        </w:rPr>
        <w:t>3.1.1　监理人须根据发包人事先批准的权力范围行使权力，发包人批准的权力范围：</w:t>
      </w:r>
      <w:bookmarkEnd w:id="523"/>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5" w:name="_Toc5276"/>
      <w:r>
        <w:rPr>
          <w:rFonts w:hint="eastAsia" w:ascii="Times New Roman" w:hAnsi="Times New Roman"/>
          <w:b w:val="0"/>
          <w:bCs w:val="0"/>
          <w:color w:val="auto"/>
          <w:sz w:val="21"/>
          <w:szCs w:val="21"/>
          <w:highlight w:val="none"/>
          <w:u w:val="single"/>
        </w:rPr>
        <w:t>(1) 按第11.3款约定，确定延长完工期限；</w:t>
      </w:r>
      <w:bookmarkEnd w:id="525"/>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6" w:name="_Toc6359"/>
      <w:r>
        <w:rPr>
          <w:rFonts w:hint="eastAsia" w:ascii="Times New Roman" w:hAnsi="Times New Roman"/>
          <w:b w:val="0"/>
          <w:bCs w:val="0"/>
          <w:color w:val="auto"/>
          <w:sz w:val="21"/>
          <w:szCs w:val="21"/>
          <w:highlight w:val="none"/>
          <w:u w:val="single"/>
        </w:rPr>
        <w:t>(2) 按第15.6款约定，批准暂列金额的使用；</w:t>
      </w:r>
      <w:bookmarkEnd w:id="526"/>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7" w:name="_Toc30783"/>
      <w:r>
        <w:rPr>
          <w:rFonts w:hint="eastAsia" w:ascii="Times New Roman" w:hAnsi="Times New Roman"/>
          <w:b w:val="0"/>
          <w:bCs w:val="0"/>
          <w:color w:val="auto"/>
          <w:sz w:val="21"/>
          <w:szCs w:val="21"/>
          <w:highlight w:val="none"/>
          <w:u w:val="single"/>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监理人应按第15条的规定增加相应的费用，并通知发包人。</w:t>
      </w:r>
      <w:bookmarkEnd w:id="527"/>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8" w:name="_Toc24813"/>
      <w:r>
        <w:rPr>
          <w:rFonts w:hint="eastAsia" w:ascii="Times New Roman" w:hAnsi="Times New Roman"/>
          <w:b w:val="0"/>
          <w:bCs w:val="0"/>
          <w:color w:val="auto"/>
          <w:sz w:val="21"/>
          <w:szCs w:val="21"/>
          <w:highlight w:val="none"/>
          <w:u w:val="single"/>
        </w:rPr>
        <w:t>3.3</w:t>
      </w:r>
      <w:r>
        <w:rPr>
          <w:rFonts w:hint="eastAsia" w:ascii="Times New Roman" w:hAnsi="Times New Roman"/>
          <w:color w:val="auto"/>
          <w:sz w:val="21"/>
          <w:szCs w:val="21"/>
          <w:highlight w:val="none"/>
          <w:u w:val="single"/>
        </w:rPr>
        <w:t>监理人员：实行考勤制度</w:t>
      </w:r>
      <w:r>
        <w:rPr>
          <w:rFonts w:hint="eastAsia" w:ascii="Times New Roman" w:hAnsi="Times New Roman"/>
          <w:b w:val="0"/>
          <w:bCs w:val="0"/>
          <w:color w:val="auto"/>
          <w:sz w:val="21"/>
          <w:szCs w:val="21"/>
          <w:highlight w:val="none"/>
          <w:u w:val="single"/>
        </w:rPr>
        <w:t>。</w:t>
      </w:r>
      <w:bookmarkEnd w:id="528"/>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9" w:name="_Toc28835"/>
      <w:r>
        <w:rPr>
          <w:rFonts w:ascii="Times New Roman" w:hAnsi="Times New Roman"/>
          <w:bCs w:val="0"/>
          <w:color w:val="auto"/>
          <w:sz w:val="21"/>
          <w:szCs w:val="21"/>
          <w:highlight w:val="none"/>
        </w:rPr>
        <w:t>4</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承包人</w:t>
      </w:r>
      <w:bookmarkEnd w:id="524"/>
      <w:bookmarkEnd w:id="52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4.1承包人的一般义务</w:t>
      </w:r>
    </w:p>
    <w:p>
      <w:pPr>
        <w:spacing w:line="490" w:lineRule="exact"/>
        <w:ind w:firstLine="422" w:firstLineChars="200"/>
        <w:rPr>
          <w:rFonts w:ascii="Times New Roman" w:hAnsi="Times New Roman"/>
          <w:b/>
          <w:szCs w:val="21"/>
          <w:highlight w:val="none"/>
        </w:rPr>
      </w:pPr>
      <w:r>
        <w:rPr>
          <w:rFonts w:ascii="Times New Roman" w:hAnsi="Times New Roman"/>
          <w:b/>
          <w:szCs w:val="21"/>
          <w:highlight w:val="none"/>
        </w:rPr>
        <w:t>4.1.10 其它义务</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（1）采取工程和技术措施，配备相应设备防止因施工原因引起的振动、噪声、粉尘、排水等 影响当地环境及周边企事业单位和居民的正常生产、生活或造成财产损失。承包人应充分考虑上述潜在的风险因素，并承担为解决上述问题而发生的一切费用。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（2）负责处理与地方各级组织（乡镇、村委会及村民小组）及个人引起的各种纠纷，所发生的一切费用由承包人承担。</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（3）承包人应自行勘察施工场地，包括施工场地的地下障碍物的探测和调查。承包人应保证施工场地的地下障碍物的探测和调查资料真实、准确、完整，并在工程验收时按档案管理规定一并移交给发包人存档。</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4）承包人应根据合同工程的施工需要，自行办理施工场地内除发包人负责办理的有关项目以外的道路、河流、渠道、堤防、管线（包括但不限于地上和地下的供水、排水、供电、供气、供热、通讯、广播电视等管路和线路）等交叉施工许可，并承担相关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（6）承包人应保证投标文件中承诺的主要施工设备按期进场。</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（7）承包人应对发包人布设的管理设施负有管理和保护的义务，并提供施工方便。</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（8）承包人应当为发包人及其他有关人员检查工作提供便利条件，并不得以此为由索取额外费用和工期。</w:t>
      </w:r>
    </w:p>
    <w:p>
      <w:pPr>
        <w:pStyle w:val="26"/>
        <w:ind w:firstLine="211" w:firstLineChars="100"/>
        <w:rPr>
          <w:rFonts w:ascii="Times New Roman" w:hAnsi="Times New Roman" w:cs="Times New Roman"/>
          <w:kern w:val="0"/>
          <w:sz w:val="21"/>
          <w:szCs w:val="21"/>
          <w:highlight w:val="none"/>
          <w:u w:val="single"/>
        </w:rPr>
      </w:pPr>
      <w:r>
        <w:rPr>
          <w:rFonts w:hint="eastAsia" w:ascii="Times New Roman" w:hAnsi="Times New Roman" w:cs="Times New Roman"/>
          <w:kern w:val="0"/>
          <w:sz w:val="21"/>
          <w:szCs w:val="21"/>
          <w:highlight w:val="none"/>
          <w:u w:val="single"/>
        </w:rPr>
        <w:t>（9）主要材料及设备的供货厂家需经发包人审核同意后方可采购。</w:t>
      </w:r>
    </w:p>
    <w:p>
      <w:pPr>
        <w:pStyle w:val="26"/>
        <w:ind w:firstLine="201" w:firstLineChars="100"/>
        <w:rPr>
          <w:rFonts w:ascii="宋体" w:hAnsi="宋体"/>
          <w:highlight w:val="none"/>
        </w:rPr>
      </w:pPr>
      <w:r>
        <w:rPr>
          <w:rFonts w:hint="eastAsia" w:ascii="宋体" w:hAnsi="宋体"/>
          <w:highlight w:val="none"/>
        </w:rPr>
        <w:t>承包人无正当理不允许擅自更换主要施工管理人员。</w:t>
      </w:r>
    </w:p>
    <w:p>
      <w:pPr>
        <w:pStyle w:val="145"/>
        <w:widowControl w:val="0"/>
        <w:spacing w:line="490" w:lineRule="exact"/>
        <w:ind w:firstLine="420" w:firstLineChars="200"/>
        <w:rPr>
          <w:rFonts w:ascii="Times New Roman" w:hAnsi="Times New Roman"/>
          <w:kern w:val="0"/>
          <w:highlight w:val="none"/>
          <w:u w:val="single"/>
        </w:rPr>
      </w:pP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4.3分包</w:t>
      </w:r>
    </w:p>
    <w:p>
      <w:pPr>
        <w:spacing w:line="490" w:lineRule="exact"/>
        <w:ind w:firstLine="420" w:firstLineChars="200"/>
        <w:rPr>
          <w:rFonts w:ascii="Times New Roman" w:hAnsi="Times New Roman"/>
          <w:szCs w:val="21"/>
          <w:highlight w:val="none"/>
          <w:u w:val="single"/>
        </w:rPr>
      </w:pPr>
      <w:bookmarkStart w:id="530" w:name="_Toc28448"/>
      <w:r>
        <w:rPr>
          <w:rFonts w:hint="eastAsia" w:ascii="Times New Roman" w:hAnsi="Times New Roman"/>
          <w:szCs w:val="21"/>
          <w:highlight w:val="none"/>
        </w:rPr>
        <w:t>删除本款全文，并代之以：</w:t>
      </w:r>
      <w:r>
        <w:rPr>
          <w:rFonts w:hint="eastAsia" w:ascii="Times New Roman" w:hAnsi="Times New Roman"/>
          <w:szCs w:val="21"/>
          <w:highlight w:val="none"/>
          <w:u w:val="single"/>
        </w:rPr>
        <w:t>本工程不允许分包，如承包人有分包现象，发包人可以单方解除合同，由承包人承担违约金、以及合同解除后的一切损失。</w:t>
      </w:r>
    </w:p>
    <w:p>
      <w:pPr>
        <w:ind w:firstLine="211" w:firstLineChars="100"/>
        <w:rPr>
          <w:rFonts w:ascii="宋体" w:hAnsi="宋体"/>
          <w:highlight w:val="none"/>
        </w:rPr>
      </w:pPr>
      <w:r>
        <w:rPr>
          <w:rFonts w:hint="eastAsia" w:ascii="宋体" w:hAnsi="宋体"/>
          <w:b/>
          <w:bCs/>
          <w:highlight w:val="none"/>
        </w:rPr>
        <w:t>4.6</w:t>
      </w:r>
      <w:r>
        <w:rPr>
          <w:rFonts w:hint="eastAsia" w:ascii="宋体" w:hAnsi="宋体"/>
          <w:highlight w:val="none"/>
        </w:rPr>
        <w:t xml:space="preserve"> 承包人人员的管理</w:t>
      </w:r>
    </w:p>
    <w:p>
      <w:pPr>
        <w:ind w:firstLine="422" w:firstLineChars="200"/>
        <w:rPr>
          <w:rFonts w:ascii="宋体" w:hAnsi="宋体"/>
          <w:b/>
          <w:bCs/>
          <w:highlight w:val="none"/>
          <w:u w:val="single"/>
        </w:rPr>
      </w:pPr>
      <w:r>
        <w:rPr>
          <w:rFonts w:hint="eastAsia" w:ascii="宋体" w:hAnsi="宋体"/>
          <w:b/>
          <w:bCs/>
          <w:highlight w:val="none"/>
        </w:rPr>
        <w:t>保证工程施工和人员的安全：</w:t>
      </w:r>
      <w:r>
        <w:rPr>
          <w:rFonts w:hint="eastAsia" w:ascii="宋体" w:hAnsi="宋体"/>
          <w:b/>
          <w:bCs/>
          <w:highlight w:val="none"/>
          <w:u w:val="single"/>
        </w:rPr>
        <w:t xml:space="preserve"> 施工现场必须设置安全警示标识,人员佩带安全帽等安全设备            </w:t>
      </w:r>
    </w:p>
    <w:p>
      <w:pPr>
        <w:pStyle w:val="2"/>
        <w:rPr>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1" w:name="_Toc2287"/>
      <w:r>
        <w:rPr>
          <w:rFonts w:ascii="Times New Roman" w:hAnsi="Times New Roman"/>
          <w:bCs w:val="0"/>
          <w:color w:val="auto"/>
          <w:sz w:val="21"/>
          <w:szCs w:val="21"/>
          <w:highlight w:val="none"/>
        </w:rPr>
        <w:t>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材料和工程设备</w:t>
      </w:r>
      <w:bookmarkEnd w:id="530"/>
      <w:bookmarkEnd w:id="53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5.2发包人提供的材料和工程设备</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5.2.1发包人提供的材料和工程设备：</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删除本款全文，并代之以：</w:t>
      </w:r>
      <w:r>
        <w:rPr>
          <w:rFonts w:hint="eastAsia" w:ascii="Times New Roman" w:hAnsi="Times New Roman"/>
          <w:szCs w:val="21"/>
          <w:highlight w:val="none"/>
          <w:u w:val="single"/>
        </w:rPr>
        <w:t>发包人不向承包人提供任何材料和工程设备。</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2" w:name="_Toc15286"/>
      <w:bookmarkStart w:id="533" w:name="_Toc28760"/>
      <w:r>
        <w:rPr>
          <w:rFonts w:ascii="Times New Roman" w:hAnsi="Times New Roman"/>
          <w:bCs w:val="0"/>
          <w:color w:val="auto"/>
          <w:sz w:val="21"/>
          <w:szCs w:val="21"/>
          <w:highlight w:val="none"/>
        </w:rPr>
        <w:t>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施工设备和临时设施</w:t>
      </w:r>
      <w:bookmarkEnd w:id="532"/>
      <w:bookmarkEnd w:id="53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6.2发包人提供的施工设备和临时设施</w:t>
      </w:r>
    </w:p>
    <w:p>
      <w:pPr>
        <w:spacing w:line="490" w:lineRule="exact"/>
        <w:ind w:firstLine="396" w:firstLineChars="200"/>
        <w:rPr>
          <w:rFonts w:ascii="Times New Roman" w:hAnsi="Times New Roman"/>
          <w:szCs w:val="21"/>
          <w:highlight w:val="none"/>
          <w:u w:val="single"/>
        </w:rPr>
      </w:pPr>
      <w:r>
        <w:rPr>
          <w:rFonts w:ascii="Times New Roman" w:hAnsi="Times New Roman"/>
          <w:spacing w:val="-6"/>
          <w:szCs w:val="21"/>
          <w:highlight w:val="none"/>
        </w:rPr>
        <w:t>发包人提供的临时设施：</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发包人不向承包人提供任何施工设备和临时设施。</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4" w:name="_Toc31370"/>
      <w:bookmarkStart w:id="535" w:name="_Toc9428"/>
      <w:r>
        <w:rPr>
          <w:rFonts w:ascii="Times New Roman" w:hAnsi="Times New Roman"/>
          <w:bCs w:val="0"/>
          <w:color w:val="auto"/>
          <w:sz w:val="21"/>
          <w:szCs w:val="21"/>
          <w:highlight w:val="none"/>
        </w:rPr>
        <w:t>8</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测量放线</w:t>
      </w:r>
      <w:bookmarkEnd w:id="534"/>
      <w:bookmarkEnd w:id="53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8.1施工控制网</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8.1.1施工控制网的约定：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本项中“承包人提交施工控制网资料的期限”为“承包人收到资料后的5天内”。</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6" w:name="_Toc6657"/>
      <w:bookmarkStart w:id="537" w:name="_Toc29211"/>
      <w:r>
        <w:rPr>
          <w:rFonts w:ascii="Times New Roman" w:hAnsi="Times New Roman"/>
          <w:bCs w:val="0"/>
          <w:color w:val="auto"/>
          <w:sz w:val="21"/>
          <w:szCs w:val="21"/>
          <w:highlight w:val="none"/>
        </w:rPr>
        <w:t>9</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施工安全、治安保卫和环境保护</w:t>
      </w:r>
      <w:bookmarkEnd w:id="536"/>
      <w:bookmarkEnd w:id="53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9.7文明工地</w:t>
      </w:r>
    </w:p>
    <w:p>
      <w:pPr>
        <w:tabs>
          <w:tab w:val="left" w:pos="720"/>
        </w:tabs>
        <w:spacing w:line="490" w:lineRule="exact"/>
        <w:ind w:firstLine="420" w:firstLineChars="200"/>
        <w:rPr>
          <w:rFonts w:ascii="Times New Roman" w:hAnsi="Times New Roman"/>
          <w:szCs w:val="21"/>
          <w:highlight w:val="none"/>
        </w:rPr>
      </w:pPr>
      <w:r>
        <w:rPr>
          <w:rFonts w:ascii="Times New Roman" w:hAnsi="Times New Roman"/>
          <w:szCs w:val="21"/>
          <w:highlight w:val="none"/>
        </w:rPr>
        <w:t>9.7.1 本合同文明工地的约定：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按建筑法第三十九条规定认真做到安全生产文明施工</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38" w:name="_Toc29059"/>
      <w:bookmarkStart w:id="539" w:name="_Toc17268"/>
      <w:r>
        <w:rPr>
          <w:rFonts w:ascii="Times New Roman" w:hAnsi="Times New Roman"/>
          <w:bCs w:val="0"/>
          <w:color w:val="auto"/>
          <w:sz w:val="21"/>
          <w:szCs w:val="21"/>
          <w:highlight w:val="none"/>
        </w:rPr>
        <w:t>11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开工和竣工（完工）</w:t>
      </w:r>
      <w:bookmarkEnd w:id="538"/>
      <w:bookmarkEnd w:id="53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11.4异常恶劣的气候条件</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11.4.3  本合同工程界定异常恶劣气候条件的范围为：</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（1）日降雨量大于</w:t>
      </w:r>
      <w:r>
        <w:rPr>
          <w:rFonts w:ascii="Times New Roman" w:hAnsi="Times New Roman"/>
          <w:szCs w:val="21"/>
          <w:highlight w:val="none"/>
          <w:u w:val="single"/>
        </w:rPr>
        <w:t xml:space="preserve">  </w:t>
      </w:r>
      <w:r>
        <w:rPr>
          <w:rFonts w:hint="eastAsia" w:ascii="Times New Roman" w:hAnsi="Times New Roman"/>
          <w:szCs w:val="21"/>
          <w:highlight w:val="none"/>
          <w:u w:val="single"/>
        </w:rPr>
        <w:t>50</w:t>
      </w:r>
      <w:r>
        <w:rPr>
          <w:rFonts w:ascii="Times New Roman" w:hAnsi="Times New Roman"/>
          <w:szCs w:val="21"/>
          <w:highlight w:val="none"/>
          <w:u w:val="single"/>
        </w:rPr>
        <w:t xml:space="preserve"> </w:t>
      </w:r>
      <w:r>
        <w:rPr>
          <w:rFonts w:ascii="Times New Roman" w:hAnsi="Times New Roman"/>
          <w:szCs w:val="21"/>
          <w:highlight w:val="none"/>
        </w:rPr>
        <w:t>ｍｍ的雨日超过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 xml:space="preserve">天； </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（2）风速大于</w:t>
      </w:r>
      <w:r>
        <w:rPr>
          <w:rFonts w:ascii="Times New Roman" w:hAnsi="Times New Roman"/>
          <w:szCs w:val="21"/>
          <w:highlight w:val="none"/>
          <w:u w:val="single"/>
        </w:rPr>
        <w:t xml:space="preserve"> </w:t>
      </w:r>
      <w:r>
        <w:rPr>
          <w:rFonts w:hint="eastAsia" w:ascii="Times New Roman" w:hAnsi="Times New Roman"/>
          <w:szCs w:val="21"/>
          <w:highlight w:val="none"/>
          <w:u w:val="single"/>
        </w:rPr>
        <w:t>18.6</w:t>
      </w:r>
      <w:r>
        <w:rPr>
          <w:rFonts w:ascii="Times New Roman" w:hAnsi="Times New Roman"/>
          <w:szCs w:val="21"/>
          <w:highlight w:val="none"/>
          <w:u w:val="single"/>
        </w:rPr>
        <w:t xml:space="preserve">   </w:t>
      </w:r>
      <w:r>
        <w:rPr>
          <w:rFonts w:ascii="Times New Roman" w:hAnsi="Times New Roman"/>
          <w:szCs w:val="21"/>
          <w:highlight w:val="none"/>
        </w:rPr>
        <w:t>ｍ／s的</w:t>
      </w:r>
      <w:r>
        <w:rPr>
          <w:rFonts w:ascii="Times New Roman" w:hAnsi="Times New Roman"/>
          <w:szCs w:val="21"/>
          <w:highlight w:val="none"/>
          <w:u w:val="single"/>
        </w:rPr>
        <w:t xml:space="preserve">  </w:t>
      </w:r>
      <w:r>
        <w:rPr>
          <w:rFonts w:hint="eastAsia" w:ascii="Times New Roman" w:hAnsi="Times New Roman"/>
          <w:szCs w:val="21"/>
          <w:highlight w:val="none"/>
          <w:u w:val="single"/>
        </w:rPr>
        <w:t>8</w:t>
      </w:r>
      <w:r>
        <w:rPr>
          <w:rFonts w:ascii="Times New Roman" w:hAnsi="Times New Roman"/>
          <w:szCs w:val="21"/>
          <w:highlight w:val="none"/>
          <w:u w:val="single"/>
        </w:rPr>
        <w:t xml:space="preserve"> </w:t>
      </w:r>
      <w:r>
        <w:rPr>
          <w:rFonts w:ascii="Times New Roman" w:hAnsi="Times New Roman"/>
          <w:szCs w:val="21"/>
          <w:highlight w:val="none"/>
        </w:rPr>
        <w:t>级以上台风灾害；</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（3）日气温超过</w:t>
      </w:r>
      <w:r>
        <w:rPr>
          <w:rFonts w:ascii="Times New Roman" w:hAnsi="Times New Roman"/>
          <w:szCs w:val="21"/>
          <w:highlight w:val="none"/>
          <w:u w:val="single"/>
        </w:rPr>
        <w:t xml:space="preserve">  </w:t>
      </w:r>
      <w:r>
        <w:rPr>
          <w:rFonts w:hint="eastAsia" w:ascii="Times New Roman" w:hAnsi="Times New Roman"/>
          <w:szCs w:val="21"/>
          <w:highlight w:val="none"/>
          <w:u w:val="single"/>
        </w:rPr>
        <w:t>36.6</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的高温连续超过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（4）日气温低于</w:t>
      </w:r>
      <w:r>
        <w:rPr>
          <w:rFonts w:ascii="Times New Roman" w:hAnsi="Times New Roman"/>
          <w:szCs w:val="21"/>
          <w:highlight w:val="none"/>
          <w:u w:val="single"/>
        </w:rPr>
        <w:t xml:space="preserve"> </w:t>
      </w:r>
      <w:r>
        <w:rPr>
          <w:rFonts w:hint="eastAsia" w:ascii="Times New Roman" w:hAnsi="Times New Roman"/>
          <w:szCs w:val="21"/>
          <w:highlight w:val="none"/>
          <w:u w:val="single"/>
        </w:rPr>
        <w:t>-28.1</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的严寒连续超过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（5）造成工程损坏的冰雹和大雪灾害：</w:t>
      </w:r>
      <w:r>
        <w:rPr>
          <w:rFonts w:ascii="Times New Roman" w:hAnsi="Times New Roman"/>
          <w:szCs w:val="21"/>
          <w:highlight w:val="none"/>
          <w:u w:val="single"/>
        </w:rPr>
        <w:t xml:space="preserve">  </w:t>
      </w:r>
      <w:r>
        <w:rPr>
          <w:rFonts w:hint="eastAsia" w:ascii="Times New Roman" w:hAnsi="Times New Roman"/>
          <w:szCs w:val="21"/>
          <w:highlight w:val="none"/>
          <w:u w:val="single"/>
        </w:rPr>
        <w:t>中度冰雹等级，暴雪等级</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（6）其它异常恶劣气候灾害：</w:t>
      </w:r>
      <w:r>
        <w:rPr>
          <w:rFonts w:ascii="Times New Roman" w:hAnsi="Times New Roman"/>
          <w:szCs w:val="21"/>
          <w:highlight w:val="none"/>
          <w:u w:val="single"/>
        </w:rPr>
        <w:t xml:space="preserve"> </w:t>
      </w:r>
      <w:r>
        <w:rPr>
          <w:rFonts w:hint="eastAsia" w:ascii="Times New Roman" w:hAnsi="Times New Roman"/>
          <w:szCs w:val="21"/>
          <w:highlight w:val="none"/>
          <w:u w:val="single"/>
        </w:rPr>
        <w:t>最大积雪深度22cm，最大冻土深度1.1m。</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11.5承包人工期延误</w:t>
      </w:r>
    </w:p>
    <w:p>
      <w:pPr>
        <w:spacing w:before="216" w:line="221" w:lineRule="auto"/>
        <w:rPr>
          <w:rFonts w:ascii="宋体" w:hAnsi="宋体" w:cs="宋体"/>
          <w:szCs w:val="21"/>
          <w:highlight w:val="none"/>
        </w:rPr>
      </w:pPr>
      <w:r>
        <w:rPr>
          <w:rFonts w:ascii="宋体" w:hAnsi="宋体" w:cs="宋体"/>
          <w:spacing w:val="-1"/>
          <w:szCs w:val="21"/>
          <w:highlight w:val="none"/>
        </w:rPr>
        <w:t>（1）逾期完工违约金表(参考格式)</w:t>
      </w:r>
    </w:p>
    <w:p>
      <w:pPr>
        <w:spacing w:line="89" w:lineRule="exact"/>
        <w:rPr>
          <w:szCs w:val="21"/>
          <w:highlight w:val="none"/>
        </w:rPr>
      </w:pPr>
    </w:p>
    <w:tbl>
      <w:tblPr>
        <w:tblStyle w:val="140"/>
        <w:tblW w:w="7908" w:type="dxa"/>
        <w:tblInd w:w="7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118"/>
        <w:gridCol w:w="2156"/>
        <w:gridCol w:w="17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54" w:type="dxa"/>
            <w:tcBorders>
              <w:top w:val="single" w:color="000000" w:sz="10" w:space="0"/>
              <w:left w:val="single" w:color="000000" w:sz="10" w:space="0"/>
            </w:tcBorders>
          </w:tcPr>
          <w:p>
            <w:pPr>
              <w:pStyle w:val="139"/>
              <w:spacing w:before="131" w:line="222" w:lineRule="auto"/>
              <w:ind w:left="205"/>
              <w:rPr>
                <w:highlight w:val="none"/>
              </w:rPr>
            </w:pPr>
            <w:r>
              <w:rPr>
                <w:spacing w:val="-2"/>
                <w:highlight w:val="none"/>
              </w:rPr>
              <w:t>序号</w:t>
            </w:r>
          </w:p>
        </w:tc>
        <w:tc>
          <w:tcPr>
            <w:tcW w:w="3118" w:type="dxa"/>
            <w:tcBorders>
              <w:top w:val="single" w:color="000000" w:sz="10" w:space="0"/>
            </w:tcBorders>
          </w:tcPr>
          <w:p>
            <w:pPr>
              <w:pStyle w:val="139"/>
              <w:spacing w:before="131" w:line="221" w:lineRule="auto"/>
              <w:ind w:left="933"/>
              <w:rPr>
                <w:highlight w:val="none"/>
              </w:rPr>
            </w:pPr>
            <w:r>
              <w:rPr>
                <w:spacing w:val="-2"/>
                <w:highlight w:val="none"/>
              </w:rPr>
              <w:t>项目及其说明</w:t>
            </w:r>
          </w:p>
        </w:tc>
        <w:tc>
          <w:tcPr>
            <w:tcW w:w="2156" w:type="dxa"/>
            <w:tcBorders>
              <w:top w:val="single" w:color="000000" w:sz="10" w:space="0"/>
            </w:tcBorders>
          </w:tcPr>
          <w:p>
            <w:pPr>
              <w:pStyle w:val="139"/>
              <w:spacing w:before="131" w:line="221" w:lineRule="auto"/>
              <w:ind w:left="458"/>
              <w:rPr>
                <w:highlight w:val="none"/>
              </w:rPr>
            </w:pPr>
            <w:r>
              <w:rPr>
                <w:spacing w:val="-1"/>
                <w:highlight w:val="none"/>
              </w:rPr>
              <w:t>要求完工日期</w:t>
            </w:r>
          </w:p>
        </w:tc>
        <w:tc>
          <w:tcPr>
            <w:tcW w:w="1780" w:type="dxa"/>
            <w:tcBorders>
              <w:top w:val="single" w:color="000000" w:sz="10" w:space="0"/>
              <w:right w:val="single" w:color="000000" w:sz="10" w:space="0"/>
            </w:tcBorders>
          </w:tcPr>
          <w:p>
            <w:pPr>
              <w:pStyle w:val="139"/>
              <w:spacing w:before="132" w:line="221" w:lineRule="auto"/>
              <w:ind w:left="214"/>
              <w:rPr>
                <w:highlight w:val="none"/>
              </w:rPr>
            </w:pPr>
            <w:r>
              <w:rPr>
                <w:spacing w:val="-1"/>
                <w:highlight w:val="none"/>
              </w:rPr>
              <w:t>违约金(元/天)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54" w:type="dxa"/>
            <w:tcBorders>
              <w:left w:val="single" w:color="000000" w:sz="10" w:space="0"/>
              <w:bottom w:val="single" w:color="000000" w:sz="10" w:space="0"/>
            </w:tcBorders>
          </w:tcPr>
          <w:p>
            <w:pPr>
              <w:pStyle w:val="139"/>
              <w:spacing w:before="177" w:line="183" w:lineRule="auto"/>
              <w:ind w:left="378"/>
              <w:rPr>
                <w:highlight w:val="none"/>
              </w:rPr>
            </w:pPr>
            <w:r>
              <w:rPr>
                <w:highlight w:val="none"/>
              </w:rPr>
              <w:t>1</w:t>
            </w:r>
          </w:p>
        </w:tc>
        <w:tc>
          <w:tcPr>
            <w:tcW w:w="3118" w:type="dxa"/>
            <w:tcBorders>
              <w:bottom w:val="single" w:color="000000" w:sz="10" w:space="0"/>
            </w:tcBorders>
          </w:tcPr>
          <w:p>
            <w:pPr>
              <w:pStyle w:val="139"/>
              <w:spacing w:before="142" w:line="221" w:lineRule="auto"/>
              <w:ind w:left="719"/>
              <w:rPr>
                <w:highlight w:val="none"/>
              </w:rPr>
            </w:pPr>
            <w:r>
              <w:rPr>
                <w:spacing w:val="-1"/>
                <w:highlight w:val="none"/>
              </w:rPr>
              <w:t>合同工程全部完工</w:t>
            </w:r>
          </w:p>
        </w:tc>
        <w:tc>
          <w:tcPr>
            <w:tcW w:w="2156" w:type="dxa"/>
            <w:tcBorders>
              <w:bottom w:val="single" w:color="000000" w:sz="10" w:space="0"/>
            </w:tcBorders>
          </w:tcPr>
          <w:p>
            <w:pPr>
              <w:pStyle w:val="139"/>
              <w:spacing w:before="142" w:line="221" w:lineRule="auto"/>
              <w:ind w:left="275"/>
              <w:rPr>
                <w:highlight w:val="none"/>
              </w:rPr>
            </w:pPr>
            <w:r>
              <w:rPr>
                <w:spacing w:val="-7"/>
                <w:highlight w:val="none"/>
              </w:rPr>
              <w:t>2024</w:t>
            </w:r>
            <w:r>
              <w:rPr>
                <w:spacing w:val="-43"/>
                <w:highlight w:val="none"/>
              </w:rPr>
              <w:t xml:space="preserve"> </w:t>
            </w:r>
            <w:r>
              <w:rPr>
                <w:spacing w:val="-7"/>
                <w:highlight w:val="none"/>
              </w:rPr>
              <w:t>年</w:t>
            </w:r>
            <w:r>
              <w:rPr>
                <w:spacing w:val="-40"/>
                <w:highlight w:val="none"/>
              </w:rPr>
              <w:t xml:space="preserve"> </w:t>
            </w:r>
            <w:r>
              <w:rPr>
                <w:rFonts w:hint="eastAsia"/>
                <w:spacing w:val="-7"/>
                <w:highlight w:val="none"/>
                <w:lang w:eastAsia="zh-CN"/>
              </w:rPr>
              <w:t xml:space="preserve">  </w:t>
            </w:r>
            <w:r>
              <w:rPr>
                <w:spacing w:val="-7"/>
                <w:highlight w:val="none"/>
              </w:rPr>
              <w:t>月</w:t>
            </w:r>
            <w:r>
              <w:rPr>
                <w:rFonts w:hint="eastAsia"/>
                <w:spacing w:val="-28"/>
                <w:highlight w:val="none"/>
                <w:lang w:eastAsia="zh-CN"/>
              </w:rPr>
              <w:t xml:space="preserve">  </w:t>
            </w:r>
            <w:r>
              <w:rPr>
                <w:spacing w:val="-7"/>
                <w:highlight w:val="none"/>
              </w:rPr>
              <w:t xml:space="preserve"> 日</w:t>
            </w:r>
          </w:p>
        </w:tc>
        <w:tc>
          <w:tcPr>
            <w:tcW w:w="1780" w:type="dxa"/>
            <w:tcBorders>
              <w:bottom w:val="single" w:color="000000" w:sz="10" w:space="0"/>
              <w:right w:val="single" w:color="000000" w:sz="10" w:space="0"/>
            </w:tcBorders>
          </w:tcPr>
          <w:p>
            <w:pPr>
              <w:pStyle w:val="139"/>
              <w:spacing w:before="178" w:line="182" w:lineRule="auto"/>
              <w:ind w:left="691"/>
              <w:rPr>
                <w:highlight w:val="none"/>
              </w:rPr>
            </w:pPr>
            <w:r>
              <w:rPr>
                <w:spacing w:val="-2"/>
                <w:highlight w:val="none"/>
              </w:rPr>
              <w:t>5000</w:t>
            </w:r>
          </w:p>
        </w:tc>
      </w:tr>
    </w:tbl>
    <w:p>
      <w:pPr>
        <w:spacing w:line="490" w:lineRule="exact"/>
        <w:ind w:firstLine="422" w:firstLineChars="200"/>
        <w:outlineLvl w:val="3"/>
        <w:rPr>
          <w:rFonts w:ascii="Times New Roman" w:hAnsi="Times New Roman"/>
          <w:b/>
          <w:bCs/>
          <w:szCs w:val="21"/>
          <w:highlight w:val="none"/>
        </w:rPr>
      </w:pP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（2）全部逾期完工违约金的总限额为</w:t>
      </w:r>
      <w:r>
        <w:rPr>
          <w:rFonts w:ascii="Times New Roman" w:hAnsi="Times New Roman"/>
          <w:szCs w:val="21"/>
          <w:highlight w:val="none"/>
          <w:u w:val="single"/>
        </w:rPr>
        <w:t>（不超过</w:t>
      </w:r>
      <w:r>
        <w:rPr>
          <w:rFonts w:hint="eastAsia" w:ascii="Times New Roman" w:hAnsi="Times New Roman"/>
          <w:szCs w:val="21"/>
          <w:highlight w:val="none"/>
          <w:u w:val="single"/>
        </w:rPr>
        <w:t>合同总价</w:t>
      </w:r>
      <w:r>
        <w:rPr>
          <w:rFonts w:ascii="Times New Roman" w:hAnsi="Times New Roman"/>
          <w:szCs w:val="21"/>
          <w:highlight w:val="none"/>
          <w:u w:val="single"/>
        </w:rPr>
        <w:t xml:space="preserve">的 </w:t>
      </w:r>
      <w:r>
        <w:rPr>
          <w:rFonts w:hint="eastAsia" w:ascii="Times New Roman" w:hAnsi="Times New Roman"/>
          <w:szCs w:val="21"/>
          <w:highlight w:val="none"/>
          <w:u w:val="single"/>
        </w:rPr>
        <w:t>5</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11.6工期提前</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工期提前的奖金约定：</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0" w:name="_Toc15743"/>
      <w:bookmarkStart w:id="541" w:name="_Toc7305"/>
      <w:r>
        <w:rPr>
          <w:rFonts w:ascii="Times New Roman" w:hAnsi="Times New Roman"/>
          <w:color w:val="auto"/>
          <w:sz w:val="21"/>
          <w:szCs w:val="21"/>
          <w:highlight w:val="none"/>
        </w:rPr>
        <w:t>12</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暂停施工</w:t>
      </w:r>
      <w:bookmarkEnd w:id="540"/>
      <w:bookmarkEnd w:id="54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12.1承包人暂停施工的责任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（5）承包人承担暂停施工责任的其它情形：</w:t>
      </w:r>
      <w:r>
        <w:rPr>
          <w:rFonts w:hint="eastAsia" w:ascii="Times New Roman" w:hAnsi="Times New Roman"/>
          <w:szCs w:val="21"/>
          <w:highlight w:val="none"/>
          <w:u w:val="single"/>
        </w:rPr>
        <w:t xml:space="preserve"> 1.现场非异常恶劣气候条件引起的正常停工 。</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2" w:name="_Toc15140"/>
      <w:bookmarkStart w:id="543" w:name="_Toc2612"/>
      <w:r>
        <w:rPr>
          <w:rFonts w:ascii="Times New Roman" w:hAnsi="Times New Roman"/>
          <w:bCs w:val="0"/>
          <w:color w:val="auto"/>
          <w:sz w:val="21"/>
          <w:szCs w:val="21"/>
          <w:highlight w:val="none"/>
        </w:rPr>
        <w:t>13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工程质量</w:t>
      </w:r>
      <w:bookmarkEnd w:id="542"/>
      <w:bookmarkEnd w:id="54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13.7质量评定</w:t>
      </w:r>
    </w:p>
    <w:p>
      <w:pPr>
        <w:spacing w:line="400" w:lineRule="exact"/>
        <w:ind w:firstLine="420" w:firstLineChars="200"/>
        <w:rPr>
          <w:rFonts w:ascii="Times New Roman" w:hAnsi="Times New Roman" w:cs="仿宋_GB2312"/>
          <w:szCs w:val="21"/>
          <w:highlight w:val="none"/>
          <w:u w:val="single"/>
        </w:rPr>
      </w:pPr>
      <w:r>
        <w:rPr>
          <w:rFonts w:hint="eastAsia" w:ascii="Times New Roman" w:hAnsi="Times New Roman" w:cs="仿宋_GB2312"/>
          <w:szCs w:val="21"/>
          <w:highlight w:val="none"/>
        </w:rPr>
        <w:t>13.7.7 工程合格标准为：</w:t>
      </w:r>
      <w:r>
        <w:rPr>
          <w:rFonts w:hint="eastAsia" w:ascii="Times New Roman" w:hAnsi="Times New Roman" w:cs="仿宋_GB2312"/>
          <w:szCs w:val="21"/>
          <w:highlight w:val="none"/>
          <w:u w:val="single"/>
        </w:rPr>
        <w:t xml:space="preserve"> </w:t>
      </w:r>
      <w:r>
        <w:rPr>
          <w:rFonts w:hint="eastAsia" w:ascii="Times New Roman" w:hAnsi="Times New Roman"/>
          <w:szCs w:val="21"/>
          <w:highlight w:val="none"/>
          <w:u w:val="single"/>
        </w:rPr>
        <w:t xml:space="preserve">符合国家验收规范的合格标准 </w:t>
      </w:r>
      <w:r>
        <w:rPr>
          <w:rFonts w:hint="eastAsia" w:ascii="Times New Roman" w:hAnsi="Times New Roman" w:cs="仿宋_GB2312"/>
          <w:szCs w:val="21"/>
          <w:highlight w:val="none"/>
          <w:u w:val="single"/>
        </w:rPr>
        <w:t xml:space="preserve"> </w:t>
      </w:r>
      <w:r>
        <w:rPr>
          <w:rFonts w:hint="eastAsia" w:ascii="Times New Roman" w:hAnsi="Times New Roman" w:cs="仿宋_GB2312"/>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4" w:name="_Toc7385"/>
      <w:bookmarkStart w:id="545" w:name="_Toc10980"/>
      <w:r>
        <w:rPr>
          <w:rFonts w:ascii="Times New Roman" w:hAnsi="Times New Roman"/>
          <w:color w:val="auto"/>
          <w:sz w:val="21"/>
          <w:szCs w:val="21"/>
          <w:highlight w:val="none"/>
        </w:rPr>
        <w:t>14</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试验和检验</w:t>
      </w:r>
      <w:bookmarkEnd w:id="544"/>
      <w:bookmarkEnd w:id="54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14.1材料、工程设备和工程的试验和检验</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14.1.6 本工程实行见证取样的试块、试件及有关材料：</w:t>
      </w:r>
      <w:r>
        <w:rPr>
          <w:rFonts w:ascii="Times New Roman" w:hAnsi="Times New Roman"/>
          <w:szCs w:val="21"/>
          <w:highlight w:val="none"/>
          <w:u w:val="single"/>
        </w:rPr>
        <w:t xml:space="preserve"> </w:t>
      </w:r>
      <w:r>
        <w:rPr>
          <w:rFonts w:hint="eastAsia" w:ascii="Times New Roman" w:hAnsi="Times New Roman"/>
          <w:szCs w:val="21"/>
          <w:highlight w:val="none"/>
          <w:u w:val="single"/>
        </w:rPr>
        <w:t>凡涉及工程结构安全的以及监理人认为应实行见证取样的有关材料。</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46" w:name="_Toc10620"/>
      <w:bookmarkStart w:id="547" w:name="_Toc20081"/>
      <w:r>
        <w:rPr>
          <w:rFonts w:ascii="Times New Roman" w:hAnsi="Times New Roman"/>
          <w:bCs w:val="0"/>
          <w:color w:val="auto"/>
          <w:sz w:val="21"/>
          <w:szCs w:val="21"/>
          <w:highlight w:val="none"/>
        </w:rPr>
        <w:t>15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变更</w:t>
      </w:r>
      <w:bookmarkEnd w:id="546"/>
      <w:bookmarkEnd w:id="54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15.1变更的范围和内容</w:t>
      </w:r>
    </w:p>
    <w:p>
      <w:pPr>
        <w:spacing w:line="490" w:lineRule="exact"/>
        <w:ind w:firstLine="420" w:firstLineChars="200"/>
        <w:jc w:val="left"/>
        <w:rPr>
          <w:rFonts w:ascii="Times New Roman" w:hAnsi="Times New Roman"/>
          <w:szCs w:val="21"/>
          <w:highlight w:val="none"/>
          <w:u w:val="single"/>
        </w:rPr>
      </w:pPr>
      <w:r>
        <w:rPr>
          <w:rFonts w:ascii="Times New Roman" w:hAnsi="Times New Roman"/>
          <w:szCs w:val="21"/>
          <w:highlight w:val="none"/>
          <w:u w:val="single"/>
        </w:rPr>
        <w:t>（6）</w:t>
      </w:r>
      <w:r>
        <w:rPr>
          <w:rFonts w:hint="eastAsia" w:ascii="Times New Roman" w:hAnsi="Times New Roman"/>
          <w:szCs w:val="21"/>
          <w:highlight w:val="none"/>
          <w:u w:val="single"/>
        </w:rPr>
        <w:t>合同中的任何项目的工程量增加或减少时，其单价均不予调整。</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15.5承包人的合理化建议</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15.5.2 承包人实现合理化建议的奖励金额为：</w:t>
      </w:r>
      <w:r>
        <w:rPr>
          <w:rFonts w:ascii="Times New Roman" w:hAnsi="Times New Roman"/>
          <w:szCs w:val="21"/>
          <w:highlight w:val="none"/>
          <w:u w:val="single"/>
        </w:rPr>
        <w:t xml:space="preserve"> </w:t>
      </w:r>
      <w:r>
        <w:rPr>
          <w:rFonts w:hint="eastAsia" w:ascii="Times New Roman" w:hAnsi="Times New Roman"/>
          <w:szCs w:val="21"/>
          <w:highlight w:val="none"/>
          <w:u w:val="single"/>
        </w:rPr>
        <w:t>无</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15.8暂估价</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 xml:space="preserve">15.8.1（1）发包人和承包人组织招标的暂估价项目： </w:t>
      </w:r>
      <w:r>
        <w:rPr>
          <w:rFonts w:ascii="Times New Roman" w:hAnsi="Times New Roman"/>
          <w:szCs w:val="21"/>
          <w:highlight w:val="none"/>
          <w:u w:val="single"/>
        </w:rPr>
        <w:t xml:space="preserve">（签约后填入） </w:t>
      </w:r>
      <w:r>
        <w:rPr>
          <w:rFonts w:ascii="Times New Roman" w:hAnsi="Times New Roman"/>
          <w:szCs w:val="21"/>
          <w:highlight w:val="none"/>
        </w:rPr>
        <w:t>；发包人组织招标的暂估价项目：</w:t>
      </w:r>
      <w:r>
        <w:rPr>
          <w:rFonts w:ascii="Times New Roman" w:hAnsi="Times New Roman"/>
          <w:szCs w:val="21"/>
          <w:highlight w:val="none"/>
          <w:u w:val="single"/>
        </w:rPr>
        <w:t xml:space="preserve"> （签约后填入）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（2）发包人和承包人以招标方式选择暂估价项目供应商或分包人时，双方的权利义务关系：</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8" w:name="_Toc26942"/>
      <w:bookmarkStart w:id="549" w:name="_Toc19169"/>
      <w:r>
        <w:rPr>
          <w:rFonts w:ascii="Times New Roman" w:hAnsi="Times New Roman"/>
          <w:bCs w:val="0"/>
          <w:color w:val="auto"/>
          <w:sz w:val="21"/>
          <w:szCs w:val="21"/>
          <w:highlight w:val="none"/>
        </w:rPr>
        <w:t>16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价格调整</w:t>
      </w:r>
      <w:bookmarkEnd w:id="548"/>
      <w:bookmarkEnd w:id="54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16.1物价波动引起的价格调整</w:t>
      </w:r>
    </w:p>
    <w:p>
      <w:pPr>
        <w:spacing w:line="490" w:lineRule="exact"/>
        <w:ind w:firstLine="420" w:firstLineChars="200"/>
        <w:jc w:val="left"/>
        <w:outlineLvl w:val="3"/>
        <w:rPr>
          <w:rFonts w:ascii="Times New Roman" w:hAnsi="Times New Roman"/>
          <w:bCs/>
          <w:szCs w:val="21"/>
          <w:highlight w:val="none"/>
        </w:rPr>
      </w:pPr>
      <w:r>
        <w:rPr>
          <w:rFonts w:hint="eastAsia" w:ascii="Times New Roman" w:hAnsi="Times New Roman"/>
          <w:bCs/>
          <w:szCs w:val="21"/>
          <w:highlight w:val="none"/>
        </w:rPr>
        <w:t>物价波动引起的价格调整方式：</w:t>
      </w:r>
      <w:r>
        <w:rPr>
          <w:rFonts w:ascii="Times New Roman" w:hAnsi="Times New Roman"/>
          <w:bCs/>
          <w:szCs w:val="21"/>
          <w:highlight w:val="none"/>
        </w:rPr>
        <w:t xml:space="preserve"> </w:t>
      </w:r>
      <w:r>
        <w:rPr>
          <w:rFonts w:hint="eastAsia" w:ascii="Times New Roman" w:hAnsi="Times New Roman"/>
          <w:bCs/>
          <w:szCs w:val="21"/>
          <w:highlight w:val="none"/>
          <w:u w:val="single"/>
        </w:rPr>
        <w:t>本合同执行期间，不因物价波动而进行合同价格调整。在基准日期后，除考虑国家、省有关部门依据法律法规关于税金的调整政策外，本合同执行期间不进行合同价格调整。</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50" w:name="_Toc18472"/>
      <w:bookmarkStart w:id="551" w:name="_Toc30840"/>
      <w:r>
        <w:rPr>
          <w:rFonts w:ascii="Times New Roman" w:hAnsi="Times New Roman"/>
          <w:bCs w:val="0"/>
          <w:color w:val="auto"/>
          <w:sz w:val="21"/>
          <w:szCs w:val="21"/>
          <w:highlight w:val="none"/>
        </w:rPr>
        <w:t>17</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计量与支付</w:t>
      </w:r>
      <w:bookmarkEnd w:id="550"/>
      <w:bookmarkEnd w:id="551"/>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17.2预付款</w:t>
      </w:r>
    </w:p>
    <w:p>
      <w:pPr>
        <w:spacing w:line="490" w:lineRule="exact"/>
        <w:ind w:firstLine="420" w:firstLineChars="200"/>
        <w:rPr>
          <w:rFonts w:ascii="Times New Roman" w:hAnsi="Times New Roman"/>
          <w:bCs/>
          <w:szCs w:val="21"/>
          <w:highlight w:val="none"/>
        </w:rPr>
      </w:pPr>
      <w:r>
        <w:rPr>
          <w:rFonts w:ascii="Times New Roman" w:hAnsi="Times New Roman"/>
          <w:bCs/>
          <w:szCs w:val="21"/>
          <w:highlight w:val="none"/>
        </w:rPr>
        <w:t>17.2.1 预付款：</w:t>
      </w:r>
      <w:r>
        <w:rPr>
          <w:rFonts w:hint="eastAsia" w:ascii="Times New Roman" w:hAnsi="Times New Roman"/>
          <w:bCs/>
          <w:szCs w:val="21"/>
          <w:highlight w:val="none"/>
          <w:u w:val="single"/>
        </w:rPr>
        <w:t>无</w:t>
      </w:r>
      <w:r>
        <w:rPr>
          <w:rFonts w:hint="eastAsia" w:ascii="Times New Roman" w:hAnsi="Times New Roman"/>
          <w:bCs/>
          <w:szCs w:val="21"/>
          <w:highlight w:val="none"/>
        </w:rPr>
        <w:t>。</w:t>
      </w:r>
    </w:p>
    <w:p>
      <w:pPr>
        <w:spacing w:line="490" w:lineRule="exact"/>
        <w:ind w:firstLine="422" w:firstLineChars="200"/>
        <w:rPr>
          <w:rFonts w:ascii="Times New Roman" w:hAnsi="Times New Roman"/>
          <w:b/>
          <w:bCs/>
          <w:szCs w:val="21"/>
          <w:highlight w:val="none"/>
        </w:rPr>
      </w:pPr>
      <w:r>
        <w:rPr>
          <w:rFonts w:hint="eastAsia" w:ascii="Times New Roman" w:hAnsi="Times New Roman"/>
          <w:b/>
          <w:bCs/>
          <w:szCs w:val="21"/>
          <w:highlight w:val="none"/>
        </w:rPr>
        <w:t>17.3</w:t>
      </w:r>
      <w:r>
        <w:rPr>
          <w:rFonts w:ascii="Times New Roman" w:hAnsi="Times New Roman"/>
          <w:b/>
          <w:bCs/>
          <w:szCs w:val="21"/>
          <w:highlight w:val="none"/>
        </w:rPr>
        <w:t>工程进度付款</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 xml:space="preserve">按工程进度支付，合同工程完工验收合格后，支付工程款至 90%，其余工程款在审计完成后一次性支付完成，按审定工程款的 2%作为质量保证金。（质保期满后无息返还）。具体以签订合同为准。 </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17.4质量保证金</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质量保证金为合同结算价款的 2%。以银行汇款、网银方式缴纳履约保证金的，工程完工后在退还履约保证金时按合同结算价款的2%转为质量保证金；以其他方式缴纳履约保证金的，工程完工后从合同结算价款中扣除相应质量保证金。在约定的缺陷责任期（工程质量 保修期）满时，发包人将会同承包人按照合同约定的内容核实承包人是否完成保修责任。如无异议，发包人应当在核实后将质量保证金（不计利息）支付给承包人。</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17.5竣工（完工）结算</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17.5.1竣工（完工）付款申请单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（1）承包人应提交完工付款申请单一式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17.6最终结清</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17.6.1最终结清申请单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（1）承包人应提交最终结清申请单一式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17.7竣工财务决算</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承包人应为竣工财务决算编制提供的资料：</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发包人要求提供的资料</w:t>
      </w:r>
      <w:r>
        <w:rPr>
          <w:rFonts w:ascii="Times New Roman" w:hAnsi="Times New Roman"/>
          <w:szCs w:val="21"/>
          <w:highlight w:val="none"/>
          <w:u w:val="single"/>
        </w:rPr>
        <w:t xml:space="preserve">  </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2" w:name="_Toc9030"/>
      <w:bookmarkStart w:id="553" w:name="_Toc15981"/>
      <w:r>
        <w:rPr>
          <w:rFonts w:ascii="Times New Roman" w:hAnsi="Times New Roman"/>
          <w:color w:val="auto"/>
          <w:sz w:val="21"/>
          <w:szCs w:val="21"/>
          <w:highlight w:val="none"/>
        </w:rPr>
        <w:t>18</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竣工验收（验收）</w:t>
      </w:r>
      <w:bookmarkEnd w:id="552"/>
      <w:bookmarkEnd w:id="55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18.1验收工作分类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u w:val="single"/>
        </w:rPr>
        <w:t>本工程法人验收包括：</w:t>
      </w:r>
      <w:r>
        <w:rPr>
          <w:rFonts w:hint="eastAsia" w:ascii="Times New Roman" w:hAnsi="Times New Roman"/>
          <w:szCs w:val="21"/>
          <w:highlight w:val="none"/>
          <w:u w:val="single"/>
        </w:rPr>
        <w:t>分部工程验收、单位工程验收、合同工程完工验收；政府验收包括：竣工验收。验收条件和验收程序：按《水利水电建设工程验收规程》（SL223-2008）规定执行和《水利水电工程施工质量检验与评定规程》（SL176 2021）。</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4" w:name="_Toc6670"/>
      <w:bookmarkStart w:id="555" w:name="_Toc29453"/>
      <w:r>
        <w:rPr>
          <w:rFonts w:ascii="Times New Roman" w:hAnsi="Times New Roman"/>
          <w:color w:val="auto"/>
          <w:sz w:val="21"/>
          <w:szCs w:val="21"/>
          <w:highlight w:val="none"/>
        </w:rPr>
        <w:t>19</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缺陷责任与保修责任</w:t>
      </w:r>
      <w:bookmarkEnd w:id="554"/>
      <w:bookmarkEnd w:id="555"/>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19.1缺陷责任期（工程质量保修期）的起算时间</w:t>
      </w:r>
    </w:p>
    <w:p>
      <w:pPr>
        <w:spacing w:line="490" w:lineRule="exact"/>
        <w:ind w:firstLine="420" w:firstLineChars="200"/>
        <w:rPr>
          <w:rFonts w:ascii="Times New Roman" w:hAnsi="Times New Roman"/>
          <w:kern w:val="0"/>
          <w:szCs w:val="21"/>
          <w:highlight w:val="none"/>
        </w:rPr>
      </w:pPr>
      <w:r>
        <w:rPr>
          <w:rFonts w:ascii="Times New Roman" w:hAnsi="Times New Roman"/>
          <w:kern w:val="0"/>
          <w:szCs w:val="21"/>
          <w:highlight w:val="none"/>
        </w:rPr>
        <w:t>本工程缺陷责任期（工程质量保修期）如下：</w:t>
      </w:r>
      <w:r>
        <w:rPr>
          <w:rFonts w:ascii="Times New Roman" w:hAnsi="Times New Roman"/>
          <w:szCs w:val="21"/>
          <w:highlight w:val="none"/>
          <w:u w:val="single"/>
        </w:rPr>
        <w:t xml:space="preserve"> </w:t>
      </w:r>
      <w:r>
        <w:rPr>
          <w:rFonts w:hint="eastAsia" w:ascii="Times New Roman" w:hAnsi="Times New Roman"/>
          <w:szCs w:val="21"/>
          <w:highlight w:val="none"/>
          <w:u w:val="single"/>
        </w:rPr>
        <w:t>12个月</w:t>
      </w:r>
      <w:r>
        <w:rPr>
          <w:rFonts w:ascii="Times New Roman" w:hAnsi="Times New Roman"/>
          <w:szCs w:val="21"/>
          <w:highlight w:val="none"/>
          <w:u w:val="single"/>
        </w:rPr>
        <w:t xml:space="preserve"> </w:t>
      </w:r>
      <w:r>
        <w:rPr>
          <w:rFonts w:ascii="Times New Roman" w:hAnsi="Times New Roman"/>
          <w:kern w:val="0"/>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6" w:name="_Toc17990"/>
      <w:bookmarkStart w:id="557" w:name="_Toc29083"/>
      <w:r>
        <w:rPr>
          <w:rFonts w:ascii="Times New Roman" w:hAnsi="Times New Roman"/>
          <w:color w:val="auto"/>
          <w:sz w:val="21"/>
          <w:szCs w:val="21"/>
          <w:highlight w:val="none"/>
        </w:rPr>
        <w:t>20</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保险</w:t>
      </w:r>
      <w:bookmarkEnd w:id="556"/>
      <w:bookmarkEnd w:id="557"/>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20.1工程保险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建筑工程一切险和（或）安装工程一切险投保人：</w:t>
      </w:r>
      <w:r>
        <w:rPr>
          <w:rFonts w:ascii="Times New Roman" w:hAnsi="Times New Roman"/>
          <w:szCs w:val="21"/>
          <w:highlight w:val="none"/>
          <w:u w:val="single"/>
        </w:rPr>
        <w:t xml:space="preserve"> </w:t>
      </w:r>
      <w:r>
        <w:rPr>
          <w:rFonts w:hint="eastAsia" w:ascii="Times New Roman" w:hAnsi="Times New Roman"/>
          <w:szCs w:val="21"/>
          <w:highlight w:val="none"/>
          <w:u w:val="single"/>
        </w:rPr>
        <w:t>以发包人和承包人的名义，由承包人负责投保。</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投保内容：</w:t>
      </w:r>
      <w:r>
        <w:rPr>
          <w:rFonts w:ascii="Times New Roman" w:hAnsi="Times New Roman"/>
          <w:szCs w:val="21"/>
          <w:highlight w:val="none"/>
          <w:u w:val="single"/>
        </w:rPr>
        <w:t xml:space="preserve">  </w:t>
      </w:r>
      <w:r>
        <w:rPr>
          <w:rFonts w:hint="eastAsia" w:ascii="Times New Roman" w:hAnsi="Times New Roman"/>
          <w:szCs w:val="21"/>
          <w:highlight w:val="none"/>
          <w:u w:val="single"/>
        </w:rPr>
        <w:t>建筑工程一切险和安装工程一切险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保险金额、保险费率和保险期限：</w:t>
      </w:r>
      <w:r>
        <w:rPr>
          <w:rFonts w:ascii="Times New Roman" w:hAnsi="Times New Roman"/>
          <w:szCs w:val="21"/>
          <w:highlight w:val="none"/>
          <w:u w:val="single"/>
        </w:rPr>
        <w:t xml:space="preserve"> </w:t>
      </w:r>
      <w:r>
        <w:rPr>
          <w:rFonts w:hint="eastAsia" w:ascii="Times New Roman" w:hAnsi="Times New Roman"/>
          <w:szCs w:val="21"/>
          <w:highlight w:val="none"/>
          <w:u w:val="single"/>
        </w:rPr>
        <w:t>以保险合同为准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承包人投保的费用摊入到相应工程的单价或合价中，发包人不另行支付。</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20.4第三者责任险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20.4.2</w:t>
      </w:r>
      <w:r>
        <w:rPr>
          <w:rFonts w:hint="eastAsia" w:ascii="Times New Roman" w:hAnsi="Times New Roman"/>
          <w:szCs w:val="21"/>
          <w:highlight w:val="none"/>
        </w:rPr>
        <w:t xml:space="preserve"> 第三者责任险：</w:t>
      </w:r>
      <w:r>
        <w:rPr>
          <w:rFonts w:ascii="Times New Roman" w:hAnsi="Times New Roman"/>
          <w:szCs w:val="21"/>
          <w:highlight w:val="none"/>
          <w:u w:val="single"/>
        </w:rPr>
        <w:t>承包人投保。</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20.5其它保险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需要投保的其它内容：</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承包人应为其施工设备办理保险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保险金额、保险费率和保险期限</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20.6对各项保险的一般要求</w:t>
      </w:r>
    </w:p>
    <w:p>
      <w:pPr>
        <w:spacing w:line="490" w:lineRule="exact"/>
        <w:ind w:firstLine="420" w:firstLineChars="200"/>
        <w:rPr>
          <w:rFonts w:ascii="Times New Roman" w:hAnsi="Times New Roman"/>
          <w:szCs w:val="21"/>
          <w:highlight w:val="none"/>
        </w:rPr>
      </w:pPr>
      <w:bookmarkStart w:id="558" w:name="_Toc511318205"/>
      <w:r>
        <w:rPr>
          <w:rFonts w:ascii="Times New Roman" w:hAnsi="Times New Roman"/>
          <w:szCs w:val="21"/>
          <w:highlight w:val="none"/>
        </w:rPr>
        <w:t>20.6.1保险凭证</w:t>
      </w:r>
      <w:bookmarkEnd w:id="558"/>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承包人提交保险凭证的期限：</w:t>
      </w:r>
      <w:r>
        <w:rPr>
          <w:rFonts w:ascii="Times New Roman" w:hAnsi="Times New Roman"/>
          <w:szCs w:val="21"/>
          <w:highlight w:val="none"/>
          <w:u w:val="single"/>
        </w:rPr>
        <w:t xml:space="preserve"> </w:t>
      </w:r>
      <w:r>
        <w:rPr>
          <w:rFonts w:hint="eastAsia" w:ascii="Times New Roman" w:hAnsi="Times New Roman"/>
          <w:szCs w:val="21"/>
          <w:highlight w:val="none"/>
          <w:u w:val="single"/>
        </w:rPr>
        <w:t>工程开工通知后28天内</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保险条件：</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承包人向发包人提交按合同规定的各项保险单的副本以及保险生效的证明材料，并通知监理人。</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20.6.4保险金不足的补偿</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发包人负责补偿的范围与金额：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lang w:val="zh-CN"/>
        </w:rPr>
      </w:pPr>
      <w:bookmarkStart w:id="559" w:name="_Toc66038576"/>
      <w:bookmarkStart w:id="560" w:name="_Toc66038301"/>
      <w:r>
        <w:rPr>
          <w:rFonts w:hint="eastAsia" w:ascii="Times New Roman" w:hAnsi="Times New Roman"/>
          <w:szCs w:val="21"/>
          <w:highlight w:val="none"/>
          <w:lang w:val="zh-CN"/>
        </w:rPr>
        <w:t>21. 不可抗力</w:t>
      </w:r>
      <w:bookmarkEnd w:id="559"/>
      <w:bookmarkEnd w:id="560"/>
    </w:p>
    <w:p>
      <w:pPr>
        <w:spacing w:line="490" w:lineRule="exact"/>
        <w:ind w:firstLine="420" w:firstLineChars="200"/>
        <w:rPr>
          <w:rFonts w:ascii="Times New Roman" w:hAnsi="Times New Roman"/>
          <w:szCs w:val="21"/>
          <w:highlight w:val="none"/>
          <w:lang w:val="zh-CN"/>
        </w:rPr>
      </w:pPr>
      <w:bookmarkStart w:id="561" w:name="_Toc66038302"/>
      <w:bookmarkStart w:id="562" w:name="_Toc292198108"/>
      <w:bookmarkStart w:id="563" w:name="_Toc447823223"/>
      <w:bookmarkStart w:id="564" w:name="_Toc66038577"/>
      <w:r>
        <w:rPr>
          <w:rFonts w:hint="eastAsia" w:ascii="Times New Roman" w:hAnsi="Times New Roman"/>
          <w:szCs w:val="21"/>
          <w:highlight w:val="none"/>
          <w:lang w:val="zh-CN"/>
        </w:rPr>
        <w:t>21.1 不可抗力的确认</w:t>
      </w:r>
      <w:bookmarkEnd w:id="561"/>
      <w:bookmarkEnd w:id="562"/>
      <w:bookmarkEnd w:id="563"/>
      <w:bookmarkEnd w:id="564"/>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21.1.1 不可抗力的其他情形包括因重大政治活动等政府指令的原因引起的停止施工。</w:t>
      </w:r>
    </w:p>
    <w:p>
      <w:pPr>
        <w:spacing w:line="490" w:lineRule="exact"/>
        <w:ind w:firstLine="420" w:firstLineChars="200"/>
        <w:rPr>
          <w:rFonts w:ascii="Times New Roman" w:hAnsi="Times New Roman"/>
          <w:szCs w:val="21"/>
          <w:highlight w:val="none"/>
          <w:lang w:val="zh-CN"/>
        </w:rPr>
      </w:pPr>
      <w:bookmarkStart w:id="565" w:name="_Toc416870640"/>
      <w:bookmarkStart w:id="566" w:name="_Toc66038578"/>
      <w:bookmarkStart w:id="567" w:name="_Toc66038303"/>
      <w:bookmarkStart w:id="568" w:name="_Toc468952847"/>
      <w:bookmarkStart w:id="569" w:name="_Toc508279769"/>
      <w:bookmarkStart w:id="570" w:name="_Toc248731369"/>
      <w:bookmarkStart w:id="571" w:name="_Toc21622658"/>
      <w:r>
        <w:rPr>
          <w:rFonts w:ascii="Times New Roman" w:hAnsi="Times New Roman"/>
          <w:szCs w:val="21"/>
          <w:highlight w:val="none"/>
          <w:lang w:val="zh-CN"/>
        </w:rPr>
        <w:t>22.</w:t>
      </w:r>
      <w:r>
        <w:rPr>
          <w:rFonts w:hint="eastAsia" w:ascii="Times New Roman" w:hAnsi="Times New Roman"/>
          <w:szCs w:val="21"/>
          <w:highlight w:val="none"/>
          <w:lang w:val="zh-CN"/>
        </w:rPr>
        <w:t xml:space="preserve"> </w:t>
      </w:r>
      <w:r>
        <w:rPr>
          <w:rFonts w:ascii="Times New Roman" w:hAnsi="Times New Roman"/>
          <w:szCs w:val="21"/>
          <w:highlight w:val="none"/>
          <w:lang w:val="zh-CN"/>
        </w:rPr>
        <w:t>违约</w:t>
      </w:r>
      <w:bookmarkEnd w:id="565"/>
      <w:bookmarkEnd w:id="566"/>
      <w:bookmarkEnd w:id="567"/>
      <w:bookmarkEnd w:id="568"/>
      <w:bookmarkEnd w:id="569"/>
      <w:bookmarkEnd w:id="570"/>
      <w:bookmarkEnd w:id="571"/>
    </w:p>
    <w:p>
      <w:pPr>
        <w:spacing w:line="490" w:lineRule="exact"/>
        <w:ind w:firstLine="420" w:firstLineChars="200"/>
        <w:rPr>
          <w:rFonts w:ascii="Times New Roman" w:hAnsi="Times New Roman"/>
          <w:szCs w:val="21"/>
          <w:highlight w:val="none"/>
          <w:lang w:val="zh-CN"/>
        </w:rPr>
      </w:pPr>
      <w:bookmarkStart w:id="572" w:name="_Toc248731370"/>
      <w:bookmarkStart w:id="573" w:name="_Toc66038579"/>
      <w:bookmarkStart w:id="574" w:name="_Toc21622659"/>
      <w:bookmarkStart w:id="575" w:name="_Toc66038304"/>
      <w:r>
        <w:rPr>
          <w:rFonts w:ascii="Times New Roman" w:hAnsi="Times New Roman"/>
          <w:szCs w:val="21"/>
          <w:highlight w:val="none"/>
          <w:lang w:val="zh-CN"/>
        </w:rPr>
        <w:t>22.1 承包人违约</w:t>
      </w:r>
      <w:bookmarkEnd w:id="572"/>
      <w:bookmarkEnd w:id="573"/>
      <w:bookmarkEnd w:id="574"/>
      <w:bookmarkEnd w:id="575"/>
    </w:p>
    <w:p>
      <w:pPr>
        <w:spacing w:line="490" w:lineRule="exact"/>
        <w:ind w:firstLine="420" w:firstLineChars="200"/>
        <w:rPr>
          <w:rFonts w:ascii="Times New Roman" w:hAnsi="Times New Roman"/>
          <w:szCs w:val="21"/>
          <w:highlight w:val="none"/>
          <w:lang w:val="zh-CN"/>
        </w:rPr>
      </w:pPr>
      <w:bookmarkStart w:id="576" w:name="_Toc235621659"/>
      <w:bookmarkStart w:id="577" w:name="_Toc248731371"/>
      <w:r>
        <w:rPr>
          <w:rFonts w:ascii="Times New Roman" w:hAnsi="Times New Roman"/>
          <w:szCs w:val="21"/>
          <w:highlight w:val="none"/>
          <w:lang w:val="zh-CN"/>
        </w:rPr>
        <w:t>22.1.1 承包人违约的情形</w:t>
      </w:r>
      <w:bookmarkEnd w:id="576"/>
      <w:bookmarkEnd w:id="577"/>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本款补充如下：</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（8）未经发包人同意，承包人派驻的项目经理、</w:t>
      </w:r>
      <w:r>
        <w:rPr>
          <w:rFonts w:hint="eastAsia" w:ascii="Times New Roman" w:hAnsi="Times New Roman"/>
          <w:szCs w:val="21"/>
          <w:highlight w:val="none"/>
          <w:lang w:val="zh-CN"/>
        </w:rPr>
        <w:t>项目</w:t>
      </w:r>
      <w:r>
        <w:rPr>
          <w:rFonts w:ascii="Times New Roman" w:hAnsi="Times New Roman"/>
          <w:szCs w:val="21"/>
          <w:highlight w:val="none"/>
          <w:lang w:val="zh-CN"/>
        </w:rPr>
        <w:t>技术负责人、质检</w:t>
      </w:r>
      <w:r>
        <w:rPr>
          <w:rFonts w:hint="eastAsia" w:ascii="Times New Roman" w:hAnsi="Times New Roman"/>
          <w:szCs w:val="21"/>
          <w:highlight w:val="none"/>
          <w:lang w:val="zh-CN"/>
        </w:rPr>
        <w:t>员、专职安全员、施工员、材料员、资料员等主要管理人员和技术骨干</w:t>
      </w:r>
      <w:r>
        <w:rPr>
          <w:rFonts w:ascii="Times New Roman" w:hAnsi="Times New Roman"/>
          <w:szCs w:val="21"/>
          <w:highlight w:val="none"/>
          <w:lang w:val="zh-CN"/>
        </w:rPr>
        <w:t>与投标文件中承诺不符。</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（9）未经发包人同意，承包人进场的主要</w:t>
      </w:r>
      <w:r>
        <w:rPr>
          <w:rFonts w:hint="eastAsia" w:ascii="Times New Roman" w:hAnsi="Times New Roman"/>
          <w:szCs w:val="21"/>
          <w:highlight w:val="none"/>
          <w:lang w:val="zh-CN"/>
        </w:rPr>
        <w:t>施工</w:t>
      </w:r>
      <w:r>
        <w:rPr>
          <w:rFonts w:ascii="Times New Roman" w:hAnsi="Times New Roman"/>
          <w:szCs w:val="21"/>
          <w:highlight w:val="none"/>
          <w:lang w:val="zh-CN"/>
        </w:rPr>
        <w:t>设备与投标文件中承诺</w:t>
      </w:r>
      <w:r>
        <w:rPr>
          <w:rFonts w:hint="eastAsia" w:ascii="Times New Roman" w:hAnsi="Times New Roman"/>
          <w:szCs w:val="21"/>
          <w:highlight w:val="none"/>
          <w:lang w:val="zh-CN"/>
        </w:rPr>
        <w:t>不</w:t>
      </w:r>
      <w:r>
        <w:rPr>
          <w:rFonts w:ascii="Times New Roman" w:hAnsi="Times New Roman"/>
          <w:szCs w:val="21"/>
          <w:highlight w:val="none"/>
          <w:lang w:val="zh-CN"/>
        </w:rPr>
        <w:t>符。</w:t>
      </w:r>
      <w:bookmarkStart w:id="578" w:name="_Toc416870641"/>
      <w:bookmarkStart w:id="579" w:name="_Toc221951334"/>
      <w:bookmarkStart w:id="580" w:name="_Toc222031045"/>
      <w:bookmarkStart w:id="581" w:name="_Toc229305401"/>
      <w:bookmarkStart w:id="582" w:name="_Toc508279770"/>
      <w:bookmarkStart w:id="583" w:name="_Toc21622660"/>
      <w:bookmarkStart w:id="584" w:name="_Toc468952848"/>
      <w:bookmarkStart w:id="585" w:name="_Toc222033894"/>
      <w:bookmarkStart w:id="586" w:name="_Toc222029543"/>
      <w:bookmarkStart w:id="587" w:name="_Toc222032712"/>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（10）</w:t>
      </w:r>
      <w:r>
        <w:rPr>
          <w:rFonts w:hint="eastAsia" w:ascii="Times New Roman" w:hAnsi="Times New Roman"/>
          <w:szCs w:val="21"/>
          <w:highlight w:val="none"/>
          <w:lang w:val="zh-CN"/>
        </w:rPr>
        <w:t>承包人在施工中粗制滥造、弄虚作假，在工程质量检查验收中伪造施工记录。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w:t>
      </w:r>
      <w:r>
        <w:rPr>
          <w:rFonts w:ascii="Times New Roman" w:hAnsi="Times New Roman"/>
          <w:szCs w:val="21"/>
          <w:highlight w:val="none"/>
          <w:lang w:val="zh-CN"/>
        </w:rPr>
        <w:t>1</w:t>
      </w:r>
      <w:r>
        <w:rPr>
          <w:rFonts w:hint="eastAsia" w:ascii="Times New Roman" w:hAnsi="Times New Roman"/>
          <w:szCs w:val="21"/>
          <w:highlight w:val="none"/>
          <w:lang w:val="zh-CN"/>
        </w:rPr>
        <w:t>）严重违反安全施工操作规程和施工质量强制性标准的施工行为。</w:t>
      </w:r>
    </w:p>
    <w:p>
      <w:pPr>
        <w:spacing w:line="490" w:lineRule="exact"/>
        <w:ind w:firstLine="420" w:firstLineChars="200"/>
        <w:rPr>
          <w:rFonts w:ascii="Times New Roman" w:hAnsi="Times New Roman"/>
          <w:szCs w:val="21"/>
          <w:highlight w:val="none"/>
          <w:lang w:val="zh-CN"/>
        </w:rPr>
      </w:pPr>
      <w:bookmarkStart w:id="588" w:name="_Toc66038580"/>
      <w:bookmarkStart w:id="589" w:name="_Toc66038305"/>
      <w:r>
        <w:rPr>
          <w:rFonts w:ascii="Times New Roman" w:hAnsi="Times New Roman"/>
          <w:szCs w:val="21"/>
          <w:highlight w:val="none"/>
          <w:lang w:val="zh-CN"/>
        </w:rPr>
        <w:t>24</w:t>
      </w:r>
      <w:r>
        <w:rPr>
          <w:rFonts w:hint="eastAsia" w:ascii="Times New Roman" w:hAnsi="Times New Roman"/>
          <w:szCs w:val="21"/>
          <w:highlight w:val="none"/>
          <w:lang w:val="zh-CN"/>
        </w:rPr>
        <w:t>. 争议的解决</w:t>
      </w:r>
      <w:bookmarkEnd w:id="578"/>
      <w:bookmarkEnd w:id="579"/>
      <w:bookmarkEnd w:id="580"/>
      <w:bookmarkEnd w:id="581"/>
      <w:bookmarkEnd w:id="582"/>
      <w:bookmarkEnd w:id="583"/>
      <w:bookmarkEnd w:id="584"/>
      <w:bookmarkEnd w:id="585"/>
      <w:bookmarkEnd w:id="586"/>
      <w:bookmarkEnd w:id="587"/>
      <w:bookmarkEnd w:id="588"/>
      <w:bookmarkEnd w:id="589"/>
    </w:p>
    <w:p>
      <w:pPr>
        <w:spacing w:line="490" w:lineRule="exact"/>
        <w:ind w:firstLine="420" w:firstLineChars="200"/>
        <w:rPr>
          <w:rFonts w:ascii="Times New Roman" w:hAnsi="Times New Roman"/>
          <w:szCs w:val="21"/>
          <w:highlight w:val="none"/>
          <w:lang w:val="zh-CN"/>
        </w:rPr>
      </w:pPr>
      <w:bookmarkStart w:id="590" w:name="_Toc66038306"/>
      <w:bookmarkStart w:id="591" w:name="_Toc21622661"/>
      <w:bookmarkStart w:id="592" w:name="_Toc66038581"/>
      <w:bookmarkStart w:id="593" w:name="_Toc221951335"/>
      <w:r>
        <w:rPr>
          <w:rFonts w:hint="eastAsia" w:ascii="Times New Roman" w:hAnsi="Times New Roman"/>
          <w:szCs w:val="21"/>
          <w:highlight w:val="none"/>
          <w:lang w:val="zh-CN"/>
        </w:rPr>
        <w:t>24.1 争议的解决方式</w:t>
      </w:r>
      <w:bookmarkEnd w:id="590"/>
      <w:bookmarkEnd w:id="591"/>
      <w:bookmarkEnd w:id="592"/>
    </w:p>
    <w:p>
      <w:pPr>
        <w:spacing w:line="490" w:lineRule="exact"/>
        <w:ind w:firstLine="420" w:firstLineChars="200"/>
        <w:rPr>
          <w:sz w:val="40"/>
          <w:szCs w:val="44"/>
          <w:highlight w:val="none"/>
        </w:rPr>
      </w:pPr>
      <w:r>
        <w:rPr>
          <w:rFonts w:hint="eastAsia" w:ascii="Times New Roman" w:hAnsi="Times New Roman"/>
          <w:szCs w:val="21"/>
          <w:highlight w:val="none"/>
          <w:lang w:val="zh-CN"/>
        </w:rPr>
        <w:t>合同当事人友好协商解决不成、不愿提请争议评审或不接受争议评审组意见的，约定的合同争议解决方式 ：向项目所在地人民法院提起诉讼。</w:t>
      </w:r>
      <w:bookmarkEnd w:id="593"/>
      <w:r>
        <w:rPr>
          <w:highlight w:val="none"/>
        </w:rPr>
        <w:br w:type="page"/>
      </w:r>
    </w:p>
    <w:p>
      <w:pPr>
        <w:spacing w:line="600" w:lineRule="exact"/>
        <w:rPr>
          <w:sz w:val="40"/>
          <w:szCs w:val="44"/>
          <w:highlight w:val="none"/>
        </w:rPr>
      </w:pPr>
    </w:p>
    <w:p>
      <w:pPr>
        <w:spacing w:line="600" w:lineRule="exact"/>
        <w:rPr>
          <w:sz w:val="40"/>
          <w:szCs w:val="44"/>
          <w:highlight w:val="none"/>
        </w:rPr>
      </w:pPr>
    </w:p>
    <w:p>
      <w:pPr>
        <w:spacing w:line="600" w:lineRule="exact"/>
        <w:rPr>
          <w:sz w:val="40"/>
          <w:szCs w:val="44"/>
          <w:highlight w:val="none"/>
        </w:rPr>
      </w:pPr>
    </w:p>
    <w:p>
      <w:pPr>
        <w:spacing w:line="600" w:lineRule="exact"/>
        <w:rPr>
          <w:sz w:val="32"/>
          <w:szCs w:val="36"/>
          <w:highlight w:val="none"/>
        </w:rPr>
      </w:pPr>
    </w:p>
    <w:p>
      <w:pPr>
        <w:jc w:val="center"/>
        <w:outlineLvl w:val="1"/>
        <w:rPr>
          <w:b/>
          <w:sz w:val="32"/>
          <w:szCs w:val="36"/>
          <w:highlight w:val="none"/>
        </w:rPr>
      </w:pPr>
      <w:bookmarkStart w:id="594" w:name="_Toc4819"/>
      <w:bookmarkStart w:id="595" w:name="_Toc28269"/>
      <w:r>
        <w:rPr>
          <w:b/>
          <w:sz w:val="32"/>
          <w:szCs w:val="36"/>
          <w:highlight w:val="none"/>
        </w:rPr>
        <w:t>第3节  合同附件格式</w:t>
      </w:r>
      <w:bookmarkEnd w:id="594"/>
      <w:bookmarkEnd w:id="595"/>
    </w:p>
    <w:p>
      <w:pPr>
        <w:spacing w:before="91" w:line="219" w:lineRule="auto"/>
        <w:ind w:left="44"/>
        <w:rPr>
          <w:rFonts w:ascii="宋体" w:hAnsi="宋体" w:cs="宋体"/>
          <w:sz w:val="28"/>
          <w:szCs w:val="28"/>
          <w:highlight w:val="none"/>
        </w:rPr>
      </w:pPr>
      <w:r>
        <w:rPr>
          <w:highlight w:val="none"/>
        </w:rPr>
        <w:br w:type="page"/>
      </w:r>
      <w:r>
        <w:rPr>
          <w:rFonts w:ascii="宋体" w:hAnsi="宋体" w:cs="宋体"/>
          <w:spacing w:val="-5"/>
          <w:sz w:val="28"/>
          <w:szCs w:val="28"/>
          <w:highlight w:val="none"/>
        </w:rPr>
        <w:t>附件一：合同协议书</w:t>
      </w:r>
    </w:p>
    <w:p>
      <w:pPr>
        <w:spacing w:before="291" w:line="219" w:lineRule="auto"/>
        <w:ind w:left="3480"/>
        <w:rPr>
          <w:rFonts w:ascii="黑体" w:hAnsi="黑体" w:eastAsia="黑体" w:cs="黑体"/>
          <w:sz w:val="28"/>
          <w:szCs w:val="28"/>
          <w:highlight w:val="none"/>
        </w:rPr>
      </w:pPr>
      <w:r>
        <w:rPr>
          <w:rFonts w:ascii="黑体" w:hAnsi="黑体" w:eastAsia="黑体" w:cs="黑体"/>
          <w:spacing w:val="-2"/>
          <w:sz w:val="28"/>
          <w:szCs w:val="28"/>
          <w:highlight w:val="none"/>
        </w:rPr>
        <w:t>合同协议书</w:t>
      </w:r>
    </w:p>
    <w:p>
      <w:pPr>
        <w:pStyle w:val="16"/>
        <w:spacing w:line="321" w:lineRule="auto"/>
        <w:rPr>
          <w:highlight w:val="none"/>
        </w:rPr>
      </w:pPr>
    </w:p>
    <w:p>
      <w:pPr>
        <w:pStyle w:val="16"/>
        <w:spacing w:line="322" w:lineRule="auto"/>
        <w:rPr>
          <w:highlight w:val="none"/>
        </w:rPr>
      </w:pPr>
    </w:p>
    <w:p>
      <w:pPr>
        <w:spacing w:before="68" w:line="468" w:lineRule="exact"/>
        <w:ind w:right="60"/>
        <w:jc w:val="right"/>
        <w:rPr>
          <w:rFonts w:ascii="宋体" w:hAnsi="宋体" w:cs="宋体"/>
          <w:szCs w:val="21"/>
          <w:highlight w:val="none"/>
        </w:rPr>
      </w:pPr>
      <w:r>
        <w:rPr>
          <w:rFonts w:ascii="宋体" w:hAnsi="宋体" w:cs="宋体"/>
          <w:spacing w:val="-2"/>
          <w:position w:val="19"/>
          <w:szCs w:val="21"/>
          <w:highlight w:val="none"/>
        </w:rPr>
        <w:t>（发包人名称，以下简称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9"/>
          <w:position w:val="19"/>
          <w:szCs w:val="21"/>
          <w:highlight w:val="none"/>
        </w:rPr>
        <w:t xml:space="preserve"> </w:t>
      </w:r>
      <w:r>
        <w:rPr>
          <w:rFonts w:ascii="宋体" w:hAnsi="宋体" w:cs="宋体"/>
          <w:spacing w:val="-2"/>
          <w:position w:val="19"/>
          <w:szCs w:val="21"/>
          <w:highlight w:val="none"/>
        </w:rPr>
        <w:t>）为实施（标段</w:t>
      </w:r>
      <w:r>
        <w:rPr>
          <w:rFonts w:ascii="宋体" w:hAnsi="宋体" w:cs="宋体"/>
          <w:spacing w:val="-3"/>
          <w:position w:val="19"/>
          <w:szCs w:val="21"/>
          <w:highlight w:val="none"/>
        </w:rPr>
        <w:t>名称</w:t>
      </w:r>
      <w:r>
        <w:rPr>
          <w:rFonts w:ascii="宋体" w:hAnsi="宋体" w:cs="宋体"/>
          <w:spacing w:val="-29"/>
          <w:position w:val="19"/>
          <w:szCs w:val="21"/>
          <w:highlight w:val="none"/>
        </w:rPr>
        <w:t>），</w:t>
      </w:r>
      <w:r>
        <w:rPr>
          <w:rFonts w:ascii="宋体" w:hAnsi="宋体" w:cs="宋体"/>
          <w:spacing w:val="-3"/>
          <w:position w:val="19"/>
          <w:szCs w:val="21"/>
          <w:highlight w:val="none"/>
        </w:rPr>
        <w:t>已接受（承包人名称，以下</w:t>
      </w:r>
    </w:p>
    <w:p>
      <w:pPr>
        <w:spacing w:before="1" w:line="219" w:lineRule="auto"/>
        <w:ind w:left="24"/>
        <w:rPr>
          <w:rFonts w:ascii="宋体" w:hAnsi="宋体" w:cs="宋体"/>
          <w:szCs w:val="21"/>
          <w:highlight w:val="none"/>
        </w:rPr>
      </w:pPr>
      <w:r>
        <w:rPr>
          <w:rFonts w:ascii="宋体" w:hAnsi="宋体" w:cs="宋体"/>
          <w:spacing w:val="-2"/>
          <w:szCs w:val="21"/>
          <w:highlight w:val="none"/>
        </w:rPr>
        <w:t>简称</w:t>
      </w:r>
      <w:r>
        <w:rPr>
          <w:rFonts w:eastAsia="Calibri" w:cs="Calibri"/>
          <w:spacing w:val="-2"/>
          <w:szCs w:val="21"/>
          <w:highlight w:val="none"/>
        </w:rPr>
        <w:t>“</w:t>
      </w:r>
      <w:r>
        <w:rPr>
          <w:rFonts w:ascii="宋体" w:hAnsi="宋体" w:cs="宋体"/>
          <w:spacing w:val="-2"/>
          <w:szCs w:val="21"/>
          <w:highlight w:val="none"/>
        </w:rPr>
        <w:t>承包人</w:t>
      </w:r>
      <w:r>
        <w:rPr>
          <w:rFonts w:eastAsia="Calibri" w:cs="Calibri"/>
          <w:spacing w:val="-2"/>
          <w:szCs w:val="21"/>
          <w:highlight w:val="none"/>
        </w:rPr>
        <w:t>”</w:t>
      </w:r>
      <w:r>
        <w:rPr>
          <w:rFonts w:eastAsia="Calibri" w:cs="Calibri"/>
          <w:spacing w:val="-8"/>
          <w:szCs w:val="21"/>
          <w:highlight w:val="none"/>
        </w:rPr>
        <w:t xml:space="preserve"> </w:t>
      </w:r>
      <w:r>
        <w:rPr>
          <w:rFonts w:ascii="宋体" w:hAnsi="宋体" w:cs="宋体"/>
          <w:spacing w:val="-2"/>
          <w:szCs w:val="21"/>
          <w:highlight w:val="none"/>
        </w:rPr>
        <w:t>）对该项目的投标。发包人和承包人共同达成如下协议。</w:t>
      </w:r>
    </w:p>
    <w:p>
      <w:pPr>
        <w:spacing w:before="218" w:line="468" w:lineRule="exact"/>
        <w:ind w:left="389"/>
        <w:rPr>
          <w:rFonts w:ascii="宋体" w:hAnsi="宋体" w:cs="宋体"/>
          <w:szCs w:val="21"/>
          <w:highlight w:val="none"/>
        </w:rPr>
      </w:pPr>
      <w:r>
        <w:rPr>
          <w:rFonts w:eastAsia="Calibri" w:cs="Calibri"/>
          <w:spacing w:val="-1"/>
          <w:position w:val="19"/>
          <w:szCs w:val="21"/>
          <w:highlight w:val="none"/>
        </w:rPr>
        <w:t xml:space="preserve">1.  </w:t>
      </w:r>
      <w:r>
        <w:rPr>
          <w:rFonts w:ascii="宋体" w:hAnsi="宋体" w:cs="宋体"/>
          <w:spacing w:val="-1"/>
          <w:position w:val="19"/>
          <w:szCs w:val="21"/>
          <w:highlight w:val="none"/>
        </w:rPr>
        <w:t>本协议书与下列文件一起构成合同文件：</w:t>
      </w:r>
    </w:p>
    <w:p>
      <w:pPr>
        <w:spacing w:before="1" w:line="219" w:lineRule="auto"/>
        <w:ind w:left="744"/>
        <w:rPr>
          <w:rFonts w:ascii="宋体" w:hAnsi="宋体" w:cs="宋体"/>
          <w:szCs w:val="21"/>
          <w:highlight w:val="none"/>
        </w:rPr>
      </w:pPr>
      <w:r>
        <w:rPr>
          <w:rFonts w:ascii="宋体" w:hAnsi="宋体" w:cs="宋体"/>
          <w:spacing w:val="-2"/>
          <w:szCs w:val="21"/>
          <w:highlight w:val="none"/>
        </w:rPr>
        <w:t>（</w:t>
      </w:r>
      <w:r>
        <w:rPr>
          <w:rFonts w:eastAsia="Calibri" w:cs="Calibri"/>
          <w:spacing w:val="-2"/>
          <w:szCs w:val="21"/>
          <w:highlight w:val="none"/>
        </w:rPr>
        <w:t>1</w:t>
      </w:r>
      <w:r>
        <w:rPr>
          <w:rFonts w:ascii="宋体" w:hAnsi="宋体" w:cs="宋体"/>
          <w:spacing w:val="-2"/>
          <w:szCs w:val="21"/>
          <w:highlight w:val="none"/>
        </w:rPr>
        <w:t>）中标通知书；</w:t>
      </w:r>
    </w:p>
    <w:p>
      <w:pPr>
        <w:spacing w:before="218" w:line="468" w:lineRule="exact"/>
        <w:ind w:left="744"/>
        <w:rPr>
          <w:rFonts w:ascii="宋体" w:hAnsi="宋体" w:cs="宋体"/>
          <w:szCs w:val="21"/>
          <w:highlight w:val="none"/>
        </w:rPr>
      </w:pPr>
      <w:r>
        <w:rPr>
          <w:rFonts w:ascii="宋体" w:hAnsi="宋体" w:cs="宋体"/>
          <w:spacing w:val="-1"/>
          <w:position w:val="19"/>
          <w:szCs w:val="21"/>
          <w:highlight w:val="none"/>
        </w:rPr>
        <w:t>（</w:t>
      </w:r>
      <w:r>
        <w:rPr>
          <w:rFonts w:eastAsia="Calibri" w:cs="Calibri"/>
          <w:spacing w:val="-1"/>
          <w:position w:val="19"/>
          <w:szCs w:val="21"/>
          <w:highlight w:val="none"/>
        </w:rPr>
        <w:t>2</w:t>
      </w:r>
      <w:r>
        <w:rPr>
          <w:rFonts w:ascii="宋体" w:hAnsi="宋体" w:cs="宋体"/>
          <w:spacing w:val="-1"/>
          <w:position w:val="19"/>
          <w:szCs w:val="21"/>
          <w:highlight w:val="none"/>
        </w:rPr>
        <w:t>）投标函及投标函附录；</w:t>
      </w:r>
    </w:p>
    <w:p>
      <w:pPr>
        <w:spacing w:before="1" w:line="220"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3</w:t>
      </w:r>
      <w:r>
        <w:rPr>
          <w:rFonts w:ascii="宋体" w:hAnsi="宋体" w:cs="宋体"/>
          <w:spacing w:val="-4"/>
          <w:szCs w:val="21"/>
          <w:highlight w:val="none"/>
        </w:rPr>
        <w:t>）专用合同条款；</w:t>
      </w:r>
    </w:p>
    <w:p>
      <w:pPr>
        <w:spacing w:before="217" w:line="221"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4</w:t>
      </w:r>
      <w:r>
        <w:rPr>
          <w:rFonts w:ascii="宋体" w:hAnsi="宋体" w:cs="宋体"/>
          <w:spacing w:val="-4"/>
          <w:szCs w:val="21"/>
          <w:highlight w:val="none"/>
        </w:rPr>
        <w:t>）通用合同条款；</w:t>
      </w:r>
    </w:p>
    <w:p>
      <w:pPr>
        <w:spacing w:before="217" w:line="468" w:lineRule="exact"/>
        <w:ind w:left="744"/>
        <w:rPr>
          <w:rFonts w:ascii="宋体" w:hAnsi="宋体" w:cs="宋体"/>
          <w:szCs w:val="21"/>
          <w:highlight w:val="none"/>
        </w:rPr>
      </w:pPr>
      <w:r>
        <w:rPr>
          <w:rFonts w:ascii="宋体" w:hAnsi="宋体" w:cs="宋体"/>
          <w:spacing w:val="-2"/>
          <w:position w:val="19"/>
          <w:szCs w:val="21"/>
          <w:highlight w:val="none"/>
        </w:rPr>
        <w:t>（</w:t>
      </w:r>
      <w:r>
        <w:rPr>
          <w:rFonts w:eastAsia="Calibri" w:cs="Calibri"/>
          <w:spacing w:val="-2"/>
          <w:position w:val="19"/>
          <w:szCs w:val="21"/>
          <w:highlight w:val="none"/>
        </w:rPr>
        <w:t>5</w:t>
      </w:r>
      <w:r>
        <w:rPr>
          <w:rFonts w:ascii="宋体" w:hAnsi="宋体" w:cs="宋体"/>
          <w:spacing w:val="-2"/>
          <w:position w:val="19"/>
          <w:szCs w:val="21"/>
          <w:highlight w:val="none"/>
        </w:rPr>
        <w:t>）技术标准和要求；</w:t>
      </w:r>
    </w:p>
    <w:p>
      <w:pPr>
        <w:spacing w:line="222" w:lineRule="auto"/>
        <w:ind w:left="744"/>
        <w:rPr>
          <w:rFonts w:ascii="宋体" w:hAnsi="宋体" w:cs="宋体"/>
          <w:szCs w:val="21"/>
          <w:highlight w:val="none"/>
        </w:rPr>
      </w:pPr>
      <w:r>
        <w:rPr>
          <w:rFonts w:ascii="宋体" w:hAnsi="宋体" w:cs="宋体"/>
          <w:spacing w:val="-8"/>
          <w:szCs w:val="21"/>
          <w:highlight w:val="none"/>
        </w:rPr>
        <w:t>（</w:t>
      </w:r>
      <w:r>
        <w:rPr>
          <w:rFonts w:eastAsia="Calibri" w:cs="Calibri"/>
          <w:spacing w:val="-8"/>
          <w:szCs w:val="21"/>
          <w:highlight w:val="none"/>
        </w:rPr>
        <w:t>6</w:t>
      </w:r>
      <w:r>
        <w:rPr>
          <w:rFonts w:ascii="宋体" w:hAnsi="宋体" w:cs="宋体"/>
          <w:spacing w:val="-8"/>
          <w:szCs w:val="21"/>
          <w:highlight w:val="none"/>
        </w:rPr>
        <w:t>）图纸；</w:t>
      </w:r>
    </w:p>
    <w:p>
      <w:pPr>
        <w:spacing w:before="215" w:line="468" w:lineRule="exact"/>
        <w:ind w:left="744"/>
        <w:rPr>
          <w:rFonts w:ascii="宋体" w:hAnsi="宋体" w:cs="宋体"/>
          <w:szCs w:val="21"/>
          <w:highlight w:val="none"/>
        </w:rPr>
      </w:pPr>
      <w:r>
        <w:rPr>
          <w:rFonts w:ascii="宋体" w:hAnsi="宋体" w:cs="宋体"/>
          <w:spacing w:val="-4"/>
          <w:position w:val="19"/>
          <w:szCs w:val="21"/>
          <w:highlight w:val="none"/>
        </w:rPr>
        <w:t>（</w:t>
      </w:r>
      <w:r>
        <w:rPr>
          <w:rFonts w:eastAsia="Calibri" w:cs="Calibri"/>
          <w:spacing w:val="-4"/>
          <w:position w:val="19"/>
          <w:szCs w:val="21"/>
          <w:highlight w:val="none"/>
        </w:rPr>
        <w:t>7</w:t>
      </w:r>
      <w:r>
        <w:rPr>
          <w:rFonts w:ascii="宋体" w:hAnsi="宋体" w:cs="宋体"/>
          <w:spacing w:val="-4"/>
          <w:position w:val="19"/>
          <w:szCs w:val="21"/>
          <w:highlight w:val="none"/>
        </w:rPr>
        <w:t>）已标价工程量清单；</w:t>
      </w:r>
    </w:p>
    <w:p>
      <w:pPr>
        <w:spacing w:before="1" w:line="220" w:lineRule="auto"/>
        <w:ind w:left="744"/>
        <w:rPr>
          <w:rFonts w:ascii="宋体" w:hAnsi="宋体" w:cs="宋体"/>
          <w:szCs w:val="21"/>
          <w:highlight w:val="none"/>
        </w:rPr>
      </w:pPr>
      <w:r>
        <w:rPr>
          <w:rFonts w:ascii="宋体" w:hAnsi="宋体" w:cs="宋体"/>
          <w:spacing w:val="-3"/>
          <w:szCs w:val="21"/>
          <w:highlight w:val="none"/>
        </w:rPr>
        <w:t>（</w:t>
      </w:r>
      <w:r>
        <w:rPr>
          <w:rFonts w:eastAsia="Calibri" w:cs="Calibri"/>
          <w:spacing w:val="-3"/>
          <w:szCs w:val="21"/>
          <w:highlight w:val="none"/>
        </w:rPr>
        <w:t>8</w:t>
      </w:r>
      <w:r>
        <w:rPr>
          <w:rFonts w:ascii="宋体" w:hAnsi="宋体" w:cs="宋体"/>
          <w:spacing w:val="-3"/>
          <w:szCs w:val="21"/>
          <w:highlight w:val="none"/>
        </w:rPr>
        <w:t>）其他合同文件。</w:t>
      </w:r>
    </w:p>
    <w:p>
      <w:pPr>
        <w:spacing w:before="217" w:line="468" w:lineRule="exact"/>
        <w:jc w:val="right"/>
        <w:rPr>
          <w:rFonts w:ascii="宋体" w:hAnsi="宋体" w:cs="宋体"/>
          <w:szCs w:val="21"/>
          <w:highlight w:val="none"/>
        </w:rPr>
      </w:pPr>
      <w:r>
        <w:rPr>
          <w:rFonts w:eastAsia="Calibri" w:cs="Calibri"/>
          <w:spacing w:val="-4"/>
          <w:position w:val="19"/>
          <w:szCs w:val="21"/>
          <w:highlight w:val="none"/>
        </w:rPr>
        <w:t xml:space="preserve">2.  </w:t>
      </w:r>
      <w:r>
        <w:rPr>
          <w:rFonts w:ascii="宋体" w:hAnsi="宋体" w:cs="宋体"/>
          <w:spacing w:val="-4"/>
          <w:position w:val="19"/>
          <w:szCs w:val="21"/>
          <w:highlight w:val="none"/>
        </w:rPr>
        <w:t>上述文件互相补充和解释，如有不明确或不一致之处，</w:t>
      </w:r>
      <w:r>
        <w:rPr>
          <w:rFonts w:ascii="宋体" w:hAnsi="宋体" w:cs="宋体"/>
          <w:spacing w:val="29"/>
          <w:position w:val="19"/>
          <w:szCs w:val="21"/>
          <w:highlight w:val="none"/>
        </w:rPr>
        <w:t xml:space="preserve"> </w:t>
      </w:r>
      <w:r>
        <w:rPr>
          <w:rFonts w:ascii="宋体" w:hAnsi="宋体" w:cs="宋体"/>
          <w:spacing w:val="-4"/>
          <w:position w:val="19"/>
          <w:szCs w:val="21"/>
          <w:highlight w:val="none"/>
        </w:rPr>
        <w:t>以合同约定次序在先者为准。</w:t>
      </w:r>
    </w:p>
    <w:p>
      <w:pPr>
        <w:spacing w:line="219" w:lineRule="auto"/>
        <w:ind w:left="382"/>
        <w:rPr>
          <w:rFonts w:ascii="宋体" w:hAnsi="宋体" w:cs="宋体"/>
          <w:szCs w:val="21"/>
          <w:highlight w:val="none"/>
        </w:rPr>
      </w:pPr>
      <w:r>
        <w:rPr>
          <w:rFonts w:eastAsia="Calibri" w:cs="Calibri"/>
          <w:spacing w:val="-1"/>
          <w:szCs w:val="21"/>
          <w:highlight w:val="none"/>
        </w:rPr>
        <w:t xml:space="preserve">3.  </w:t>
      </w:r>
      <w:r>
        <w:rPr>
          <w:rFonts w:ascii="宋体" w:hAnsi="宋体" w:cs="宋体"/>
          <w:spacing w:val="-1"/>
          <w:szCs w:val="21"/>
          <w:highlight w:val="none"/>
        </w:rPr>
        <w:t>签约合同价：人民币（大写）(</w:t>
      </w:r>
      <w:r>
        <w:rPr>
          <w:rFonts w:eastAsia="Calibri" w:cs="Calibri"/>
          <w:spacing w:val="-1"/>
          <w:szCs w:val="21"/>
          <w:highlight w:val="none"/>
        </w:rPr>
        <w:t>¥</w:t>
      </w:r>
      <w:r>
        <w:rPr>
          <w:rFonts w:ascii="宋体" w:hAnsi="宋体" w:cs="宋体"/>
          <w:spacing w:val="-1"/>
          <w:szCs w:val="21"/>
          <w:highlight w:val="none"/>
        </w:rPr>
        <w:t>)。</w:t>
      </w:r>
    </w:p>
    <w:p>
      <w:pPr>
        <w:spacing w:before="219" w:line="222" w:lineRule="auto"/>
        <w:ind w:left="376"/>
        <w:rPr>
          <w:rFonts w:ascii="宋体" w:hAnsi="宋体" w:cs="宋体"/>
          <w:szCs w:val="21"/>
          <w:highlight w:val="none"/>
        </w:rPr>
      </w:pPr>
      <w:r>
        <w:rPr>
          <w:rFonts w:eastAsia="Calibri" w:cs="Calibri"/>
          <w:spacing w:val="-19"/>
          <w:szCs w:val="21"/>
          <w:highlight w:val="none"/>
        </w:rPr>
        <w:t>4.</w:t>
      </w:r>
      <w:r>
        <w:rPr>
          <w:rFonts w:eastAsia="Calibri" w:cs="Calibri"/>
          <w:spacing w:val="10"/>
          <w:szCs w:val="21"/>
          <w:highlight w:val="none"/>
        </w:rPr>
        <w:t xml:space="preserve">  </w:t>
      </w:r>
      <w:r>
        <w:rPr>
          <w:rFonts w:ascii="宋体" w:hAnsi="宋体" w:cs="宋体"/>
          <w:spacing w:val="-19"/>
          <w:szCs w:val="21"/>
          <w:highlight w:val="none"/>
        </w:rPr>
        <w:t>合同形式：。</w:t>
      </w:r>
    </w:p>
    <w:p>
      <w:pPr>
        <w:spacing w:before="215" w:line="221" w:lineRule="auto"/>
        <w:ind w:left="382"/>
        <w:rPr>
          <w:rFonts w:ascii="宋体" w:hAnsi="宋体" w:cs="宋体"/>
          <w:szCs w:val="21"/>
          <w:highlight w:val="none"/>
        </w:rPr>
      </w:pPr>
      <w:r>
        <w:rPr>
          <w:rFonts w:eastAsia="Calibri" w:cs="Calibri"/>
          <w:spacing w:val="-6"/>
          <w:szCs w:val="21"/>
          <w:highlight w:val="none"/>
        </w:rPr>
        <w:t xml:space="preserve">5.  </w:t>
      </w:r>
      <w:r>
        <w:rPr>
          <w:rFonts w:ascii="宋体" w:hAnsi="宋体" w:cs="宋体"/>
          <w:spacing w:val="-6"/>
          <w:szCs w:val="21"/>
          <w:highlight w:val="none"/>
        </w:rPr>
        <w:t>计划开工日期：</w:t>
      </w:r>
      <w:r>
        <w:rPr>
          <w:rFonts w:ascii="宋体" w:hAnsi="宋体" w:cs="宋体"/>
          <w:spacing w:val="-14"/>
          <w:szCs w:val="21"/>
          <w:highlight w:val="none"/>
        </w:rPr>
        <w:t xml:space="preserve"> </w:t>
      </w:r>
      <w:r>
        <w:rPr>
          <w:rFonts w:ascii="宋体" w:hAnsi="宋体" w:cs="宋体"/>
          <w:spacing w:val="-6"/>
          <w:szCs w:val="21"/>
          <w:highlight w:val="none"/>
        </w:rPr>
        <w:t>年月日；</w:t>
      </w:r>
    </w:p>
    <w:p>
      <w:pPr>
        <w:spacing w:before="217" w:line="468" w:lineRule="exact"/>
        <w:ind w:left="651"/>
        <w:rPr>
          <w:rFonts w:ascii="宋体" w:hAnsi="宋体" w:cs="宋体"/>
          <w:szCs w:val="21"/>
          <w:highlight w:val="none"/>
        </w:rPr>
      </w:pPr>
      <w:r>
        <w:rPr>
          <w:rFonts w:ascii="宋体" w:hAnsi="宋体" w:cs="宋体"/>
          <w:spacing w:val="-19"/>
          <w:position w:val="19"/>
          <w:szCs w:val="21"/>
          <w:highlight w:val="none"/>
        </w:rPr>
        <w:t>计划竣工日期： 年月日；</w:t>
      </w:r>
      <w:r>
        <w:rPr>
          <w:rFonts w:ascii="宋体" w:hAnsi="宋体" w:cs="宋体"/>
          <w:spacing w:val="-12"/>
          <w:position w:val="19"/>
          <w:szCs w:val="21"/>
          <w:highlight w:val="none"/>
        </w:rPr>
        <w:t xml:space="preserve"> </w:t>
      </w:r>
      <w:r>
        <w:rPr>
          <w:rFonts w:ascii="宋体" w:hAnsi="宋体" w:cs="宋体"/>
          <w:spacing w:val="-19"/>
          <w:position w:val="19"/>
          <w:szCs w:val="21"/>
          <w:highlight w:val="none"/>
        </w:rPr>
        <w:t>工期：</w:t>
      </w:r>
      <w:r>
        <w:rPr>
          <w:rFonts w:ascii="宋体" w:hAnsi="宋体" w:cs="宋体"/>
          <w:spacing w:val="38"/>
          <w:position w:val="19"/>
          <w:szCs w:val="21"/>
          <w:highlight w:val="none"/>
        </w:rPr>
        <w:t xml:space="preserve"> </w:t>
      </w:r>
      <w:r>
        <w:rPr>
          <w:rFonts w:ascii="宋体" w:hAnsi="宋体" w:cs="宋体"/>
          <w:spacing w:val="-19"/>
          <w:position w:val="19"/>
          <w:szCs w:val="21"/>
          <w:highlight w:val="none"/>
        </w:rPr>
        <w:t>日历天。</w:t>
      </w:r>
    </w:p>
    <w:p>
      <w:pPr>
        <w:spacing w:before="1" w:line="220" w:lineRule="auto"/>
        <w:ind w:left="383"/>
        <w:rPr>
          <w:rFonts w:ascii="宋体" w:hAnsi="宋体" w:cs="宋体"/>
          <w:szCs w:val="21"/>
          <w:highlight w:val="none"/>
        </w:rPr>
      </w:pPr>
      <w:r>
        <w:rPr>
          <w:rFonts w:eastAsia="Calibri" w:cs="Calibri"/>
          <w:spacing w:val="-14"/>
          <w:szCs w:val="21"/>
          <w:highlight w:val="none"/>
        </w:rPr>
        <w:t>6.</w:t>
      </w:r>
      <w:r>
        <w:rPr>
          <w:rFonts w:eastAsia="Calibri" w:cs="Calibri"/>
          <w:spacing w:val="9"/>
          <w:szCs w:val="21"/>
          <w:highlight w:val="none"/>
        </w:rPr>
        <w:t xml:space="preserve">  </w:t>
      </w:r>
      <w:r>
        <w:rPr>
          <w:rFonts w:ascii="宋体" w:hAnsi="宋体" w:cs="宋体"/>
          <w:spacing w:val="-14"/>
          <w:szCs w:val="21"/>
          <w:highlight w:val="none"/>
        </w:rPr>
        <w:t>承包人项目经理：。</w:t>
      </w:r>
    </w:p>
    <w:p>
      <w:pPr>
        <w:spacing w:before="217" w:line="221" w:lineRule="auto"/>
        <w:ind w:left="382"/>
        <w:rPr>
          <w:rFonts w:ascii="宋体" w:hAnsi="宋体" w:cs="宋体"/>
          <w:szCs w:val="21"/>
          <w:highlight w:val="none"/>
        </w:rPr>
      </w:pPr>
      <w:r>
        <w:rPr>
          <w:rFonts w:eastAsia="Calibri" w:cs="Calibri"/>
          <w:spacing w:val="-4"/>
          <w:szCs w:val="21"/>
          <w:highlight w:val="none"/>
        </w:rPr>
        <w:t>7.</w:t>
      </w:r>
      <w:r>
        <w:rPr>
          <w:rFonts w:eastAsia="Calibri" w:cs="Calibri"/>
          <w:spacing w:val="15"/>
          <w:szCs w:val="21"/>
          <w:highlight w:val="none"/>
        </w:rPr>
        <w:t xml:space="preserve">  </w:t>
      </w:r>
      <w:r>
        <w:rPr>
          <w:rFonts w:ascii="宋体" w:hAnsi="宋体" w:cs="宋体"/>
          <w:spacing w:val="-4"/>
          <w:szCs w:val="21"/>
          <w:highlight w:val="none"/>
        </w:rPr>
        <w:t>工程质量符合标准。</w:t>
      </w:r>
    </w:p>
    <w:p>
      <w:pPr>
        <w:spacing w:before="216" w:line="221" w:lineRule="auto"/>
        <w:ind w:left="380"/>
        <w:rPr>
          <w:rFonts w:ascii="宋体" w:hAnsi="宋体" w:cs="宋体"/>
          <w:szCs w:val="21"/>
          <w:highlight w:val="none"/>
        </w:rPr>
      </w:pPr>
      <w:r>
        <w:rPr>
          <w:rFonts w:eastAsia="Calibri" w:cs="Calibri"/>
          <w:szCs w:val="21"/>
          <w:highlight w:val="none"/>
        </w:rPr>
        <w:t xml:space="preserve">8.  </w:t>
      </w:r>
      <w:r>
        <w:rPr>
          <w:rFonts w:ascii="宋体" w:hAnsi="宋体" w:cs="宋体"/>
          <w:szCs w:val="21"/>
          <w:highlight w:val="none"/>
        </w:rPr>
        <w:t>承包人承诺按合同约定承担工程的施工、</w:t>
      </w:r>
      <w:r>
        <w:rPr>
          <w:rFonts w:ascii="宋体" w:hAnsi="宋体" w:cs="宋体"/>
          <w:spacing w:val="-1"/>
          <w:szCs w:val="21"/>
          <w:highlight w:val="none"/>
        </w:rPr>
        <w:t>竣工交付及缺陷修复。</w:t>
      </w:r>
    </w:p>
    <w:p>
      <w:pPr>
        <w:spacing w:before="217" w:line="469" w:lineRule="exact"/>
        <w:ind w:left="380"/>
        <w:rPr>
          <w:rFonts w:ascii="宋体" w:hAnsi="宋体" w:cs="宋体"/>
          <w:szCs w:val="21"/>
          <w:highlight w:val="none"/>
        </w:rPr>
      </w:pPr>
      <w:r>
        <w:rPr>
          <w:rFonts w:eastAsia="Calibri" w:cs="Calibri"/>
          <w:position w:val="19"/>
          <w:szCs w:val="21"/>
          <w:highlight w:val="none"/>
        </w:rPr>
        <w:t xml:space="preserve">9.  </w:t>
      </w:r>
      <w:r>
        <w:rPr>
          <w:rFonts w:ascii="宋体" w:hAnsi="宋体" w:cs="宋体"/>
          <w:position w:val="19"/>
          <w:szCs w:val="21"/>
          <w:highlight w:val="none"/>
        </w:rPr>
        <w:t>发包人承诺按合同约定的条件、时间和方式向</w:t>
      </w:r>
      <w:r>
        <w:rPr>
          <w:rFonts w:ascii="宋体" w:hAnsi="宋体" w:cs="宋体"/>
          <w:spacing w:val="-1"/>
          <w:position w:val="19"/>
          <w:szCs w:val="21"/>
          <w:highlight w:val="none"/>
        </w:rPr>
        <w:t>承包人支付合同价款。</w:t>
      </w:r>
    </w:p>
    <w:p>
      <w:pPr>
        <w:spacing w:before="1" w:line="219" w:lineRule="auto"/>
        <w:ind w:left="389"/>
        <w:rPr>
          <w:rFonts w:ascii="宋体" w:hAnsi="宋体" w:cs="宋体"/>
          <w:szCs w:val="21"/>
          <w:highlight w:val="none"/>
        </w:rPr>
      </w:pPr>
      <w:r>
        <w:rPr>
          <w:rFonts w:eastAsia="Calibri" w:cs="Calibri"/>
          <w:spacing w:val="-6"/>
          <w:szCs w:val="21"/>
          <w:highlight w:val="none"/>
        </w:rPr>
        <w:t>10.</w:t>
      </w:r>
      <w:r>
        <w:rPr>
          <w:rFonts w:ascii="宋体" w:hAnsi="宋体" w:cs="宋体"/>
          <w:spacing w:val="-6"/>
          <w:szCs w:val="21"/>
          <w:highlight w:val="none"/>
        </w:rPr>
        <w:t>本协议书一式份， 合同双方各执份。</w:t>
      </w:r>
    </w:p>
    <w:p>
      <w:pPr>
        <w:spacing w:before="217" w:line="221" w:lineRule="auto"/>
        <w:ind w:left="389"/>
        <w:rPr>
          <w:rFonts w:ascii="宋体" w:hAnsi="宋体" w:cs="宋体"/>
          <w:szCs w:val="21"/>
          <w:highlight w:val="none"/>
        </w:rPr>
      </w:pPr>
      <w:r>
        <w:rPr>
          <w:rFonts w:eastAsia="Calibri" w:cs="Calibri"/>
          <w:spacing w:val="-1"/>
          <w:szCs w:val="21"/>
          <w:highlight w:val="none"/>
        </w:rPr>
        <w:t xml:space="preserve">11.  </w:t>
      </w:r>
      <w:r>
        <w:rPr>
          <w:rFonts w:ascii="宋体" w:hAnsi="宋体" w:cs="宋体"/>
          <w:spacing w:val="-1"/>
          <w:szCs w:val="21"/>
          <w:highlight w:val="none"/>
        </w:rPr>
        <w:t>合同未尽事宜，双方另行签订补充协议。补充协议是合同的组成部分。</w:t>
      </w:r>
    </w:p>
    <w:p>
      <w:pPr>
        <w:pStyle w:val="16"/>
        <w:spacing w:line="306" w:lineRule="auto"/>
        <w:rPr>
          <w:highlight w:val="none"/>
        </w:rPr>
      </w:pPr>
    </w:p>
    <w:p>
      <w:pPr>
        <w:pStyle w:val="16"/>
        <w:spacing w:line="306" w:lineRule="auto"/>
        <w:rPr>
          <w:highlight w:val="none"/>
        </w:rPr>
      </w:pPr>
    </w:p>
    <w:p>
      <w:pPr>
        <w:spacing w:before="69" w:line="220" w:lineRule="auto"/>
        <w:ind w:left="23"/>
        <w:rPr>
          <w:rFonts w:ascii="宋体" w:hAnsi="宋体" w:cs="宋体"/>
          <w:szCs w:val="21"/>
          <w:highlight w:val="none"/>
        </w:rPr>
      </w:pPr>
      <w:r>
        <w:rPr>
          <w:rFonts w:ascii="宋体" w:hAnsi="宋体" w:cs="宋体"/>
          <w:spacing w:val="-2"/>
          <w:szCs w:val="21"/>
          <w:highlight w:val="none"/>
        </w:rPr>
        <w:t>发包人</w:t>
      </w:r>
      <w:r>
        <w:rPr>
          <w:rFonts w:ascii="宋体" w:hAnsi="宋体" w:cs="宋体"/>
          <w:spacing w:val="-47"/>
          <w:szCs w:val="21"/>
          <w:highlight w:val="none"/>
        </w:rPr>
        <w:t>：（</w:t>
      </w:r>
      <w:r>
        <w:rPr>
          <w:rFonts w:ascii="宋体" w:hAnsi="宋体" w:cs="宋体"/>
          <w:spacing w:val="-2"/>
          <w:szCs w:val="21"/>
          <w:highlight w:val="none"/>
        </w:rPr>
        <w:t>盖单位章）承包人</w:t>
      </w:r>
      <w:r>
        <w:rPr>
          <w:rFonts w:ascii="宋体" w:hAnsi="宋体" w:cs="宋体"/>
          <w:spacing w:val="-47"/>
          <w:szCs w:val="21"/>
          <w:highlight w:val="none"/>
        </w:rPr>
        <w:t>：（</w:t>
      </w:r>
      <w:r>
        <w:rPr>
          <w:rFonts w:ascii="宋体" w:hAnsi="宋体" w:cs="宋体"/>
          <w:spacing w:val="-2"/>
          <w:szCs w:val="21"/>
          <w:highlight w:val="none"/>
        </w:rPr>
        <w:t>盖单位章）</w:t>
      </w:r>
    </w:p>
    <w:p>
      <w:pPr>
        <w:spacing w:before="218" w:line="468" w:lineRule="exact"/>
        <w:ind w:left="2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w:t>
      </w:r>
    </w:p>
    <w:p>
      <w:pPr>
        <w:spacing w:before="1" w:line="220" w:lineRule="auto"/>
        <w:ind w:left="21"/>
        <w:rPr>
          <w:rFonts w:ascii="宋体" w:hAnsi="宋体" w:cs="宋体"/>
          <w:szCs w:val="21"/>
          <w:highlight w:val="none"/>
        </w:rPr>
      </w:pPr>
      <w:r>
        <w:rPr>
          <w:rFonts w:ascii="宋体" w:hAnsi="宋体" w:cs="宋体"/>
          <w:spacing w:val="-1"/>
          <w:szCs w:val="21"/>
          <w:highlight w:val="none"/>
        </w:rPr>
        <w:t>年月日年月日</w:t>
      </w:r>
    </w:p>
    <w:p>
      <w:pPr>
        <w:spacing w:line="220" w:lineRule="auto"/>
        <w:rPr>
          <w:rFonts w:ascii="宋体" w:hAnsi="宋体" w:cs="宋体"/>
          <w:szCs w:val="21"/>
          <w:highlight w:val="none"/>
        </w:rPr>
        <w:sectPr>
          <w:pgSz w:w="11907" w:h="16839"/>
          <w:pgMar w:top="400" w:right="1740" w:bottom="400" w:left="1785" w:header="0" w:footer="0" w:gutter="0"/>
          <w:cols w:space="720" w:num="1"/>
        </w:sectPr>
      </w:pPr>
    </w:p>
    <w:p>
      <w:pPr>
        <w:spacing w:before="91" w:line="219" w:lineRule="auto"/>
        <w:ind w:left="44"/>
        <w:rPr>
          <w:rFonts w:ascii="宋体" w:hAnsi="宋体" w:cs="宋体"/>
          <w:sz w:val="28"/>
          <w:szCs w:val="28"/>
          <w:highlight w:val="none"/>
        </w:rPr>
      </w:pPr>
      <w:r>
        <w:rPr>
          <w:rFonts w:ascii="宋体" w:hAnsi="宋体" w:cs="宋体"/>
          <w:spacing w:val="-4"/>
          <w:sz w:val="28"/>
          <w:szCs w:val="28"/>
          <w:highlight w:val="none"/>
        </w:rPr>
        <w:t>附件二：履约担保格式</w:t>
      </w:r>
    </w:p>
    <w:p>
      <w:pPr>
        <w:spacing w:before="91" w:line="219" w:lineRule="auto"/>
        <w:ind w:left="3617"/>
        <w:rPr>
          <w:rFonts w:ascii="黑体" w:hAnsi="黑体" w:eastAsia="黑体" w:cs="黑体"/>
          <w:sz w:val="28"/>
          <w:szCs w:val="28"/>
          <w:highlight w:val="none"/>
        </w:rPr>
      </w:pPr>
      <w:r>
        <w:rPr>
          <w:rFonts w:ascii="黑体" w:hAnsi="黑体" w:eastAsia="黑体" w:cs="黑体"/>
          <w:spacing w:val="-2"/>
          <w:sz w:val="28"/>
          <w:szCs w:val="28"/>
          <w:highlight w:val="none"/>
        </w:rPr>
        <w:t>履约担保</w:t>
      </w:r>
    </w:p>
    <w:p>
      <w:pPr>
        <w:tabs>
          <w:tab w:val="left" w:pos="851"/>
        </w:tabs>
        <w:spacing w:before="68" w:line="221" w:lineRule="auto"/>
        <w:ind w:left="12"/>
        <w:rPr>
          <w:rFonts w:ascii="宋体" w:hAnsi="宋体" w:cs="宋体"/>
          <w:szCs w:val="21"/>
          <w:highlight w:val="none"/>
        </w:rPr>
      </w:pPr>
      <w:r>
        <w:rPr>
          <w:rFonts w:ascii="宋体" w:hAnsi="宋体" w:cs="宋体"/>
          <w:szCs w:val="21"/>
          <w:highlight w:val="none"/>
          <w:u w:val="single"/>
        </w:rPr>
        <w:tab/>
      </w:r>
      <w:r>
        <w:rPr>
          <w:rFonts w:ascii="宋体" w:hAnsi="宋体" w:cs="宋体"/>
          <w:spacing w:val="57"/>
          <w:szCs w:val="21"/>
          <w:highlight w:val="none"/>
        </w:rPr>
        <w:t xml:space="preserve"> </w:t>
      </w:r>
      <w:r>
        <w:rPr>
          <w:rFonts w:ascii="宋体" w:hAnsi="宋体" w:cs="宋体"/>
          <w:spacing w:val="-23"/>
          <w:szCs w:val="21"/>
          <w:highlight w:val="none"/>
        </w:rPr>
        <w:t>（发包人名称</w:t>
      </w:r>
      <w:r>
        <w:rPr>
          <w:rFonts w:ascii="宋体" w:hAnsi="宋体" w:cs="宋体"/>
          <w:spacing w:val="-18"/>
          <w:szCs w:val="21"/>
          <w:highlight w:val="none"/>
        </w:rPr>
        <w:t>）：</w:t>
      </w:r>
    </w:p>
    <w:p>
      <w:pPr>
        <w:pStyle w:val="16"/>
        <w:spacing w:line="306" w:lineRule="auto"/>
        <w:rPr>
          <w:highlight w:val="none"/>
        </w:rPr>
      </w:pPr>
    </w:p>
    <w:p>
      <w:pPr>
        <w:pStyle w:val="16"/>
        <w:spacing w:line="306" w:lineRule="auto"/>
        <w:rPr>
          <w:highlight w:val="none"/>
        </w:rPr>
      </w:pPr>
    </w:p>
    <w:p>
      <w:pPr>
        <w:pStyle w:val="16"/>
        <w:spacing w:line="306" w:lineRule="auto"/>
        <w:ind w:firstLine="420" w:firstLineChars="200"/>
        <w:rPr>
          <w:highlight w:val="none"/>
        </w:rPr>
      </w:pPr>
      <w:r>
        <w:rPr>
          <w:rFonts w:hint="eastAsia"/>
          <w:highlight w:val="none"/>
        </w:rPr>
        <w:t>鉴于（发包人名称，以下简称“发包人” ）接受 （承包人名称，以下称“承包人” ）于年月日参加（标段名称）的投标。我方愿意就承包人履行与你方订立的合同，向你方提供担保。</w:t>
      </w:r>
    </w:p>
    <w:p>
      <w:pPr>
        <w:pStyle w:val="16"/>
        <w:spacing w:line="306" w:lineRule="auto"/>
        <w:rPr>
          <w:highlight w:val="none"/>
        </w:rPr>
      </w:pPr>
      <w:r>
        <w:rPr>
          <w:rFonts w:hint="eastAsia"/>
          <w:highlight w:val="none"/>
        </w:rPr>
        <w:t>1.  担保金额人民币（大写）(¥)。</w:t>
      </w:r>
    </w:p>
    <w:p>
      <w:pPr>
        <w:pStyle w:val="16"/>
        <w:spacing w:line="306" w:lineRule="auto"/>
        <w:rPr>
          <w:highlight w:val="none"/>
        </w:rPr>
      </w:pPr>
      <w:r>
        <w:rPr>
          <w:rFonts w:hint="eastAsia"/>
          <w:highlight w:val="none"/>
        </w:rPr>
        <w:t>2.  担保有效期自发包人与承包人签订的合同生效之日起至发包人签发工程接收证书之</w:t>
      </w:r>
    </w:p>
    <w:p>
      <w:pPr>
        <w:pStyle w:val="16"/>
        <w:spacing w:line="306" w:lineRule="auto"/>
        <w:rPr>
          <w:highlight w:val="none"/>
        </w:rPr>
      </w:pPr>
      <w:r>
        <w:rPr>
          <w:rFonts w:hint="eastAsia"/>
          <w:highlight w:val="none"/>
        </w:rPr>
        <w:t>日止。</w:t>
      </w:r>
    </w:p>
    <w:p>
      <w:pPr>
        <w:pStyle w:val="16"/>
        <w:spacing w:line="306" w:lineRule="auto"/>
        <w:rPr>
          <w:highlight w:val="none"/>
        </w:rPr>
      </w:pPr>
      <w:r>
        <w:rPr>
          <w:rFonts w:hint="eastAsia"/>
          <w:highlight w:val="none"/>
        </w:rPr>
        <w:t>3.  在本担保有效期内，因承包人违反合同约定的义务给你方造成经济损失时， 我方在</w:t>
      </w:r>
    </w:p>
    <w:p>
      <w:pPr>
        <w:pStyle w:val="16"/>
        <w:spacing w:line="306" w:lineRule="auto"/>
        <w:rPr>
          <w:highlight w:val="none"/>
        </w:rPr>
      </w:pPr>
      <w:r>
        <w:rPr>
          <w:rFonts w:hint="eastAsia"/>
          <w:highlight w:val="none"/>
        </w:rPr>
        <w:t>收到你方以书面形式提出的在担保金额内的赔偿要求后， 在 7 天内支付。</w:t>
      </w:r>
    </w:p>
    <w:p>
      <w:pPr>
        <w:pStyle w:val="16"/>
        <w:spacing w:line="306" w:lineRule="auto"/>
        <w:rPr>
          <w:highlight w:val="none"/>
        </w:rPr>
      </w:pPr>
      <w:r>
        <w:rPr>
          <w:rFonts w:hint="eastAsia"/>
          <w:highlight w:val="none"/>
        </w:rPr>
        <w:t>4.发包人和承包人按《通用合同条款》第 9  条变更合同时，我方承担本担保规定的义务不变。</w:t>
      </w:r>
    </w:p>
    <w:p>
      <w:pPr>
        <w:pStyle w:val="16"/>
        <w:spacing w:line="307" w:lineRule="auto"/>
        <w:rPr>
          <w:highlight w:val="none"/>
        </w:rPr>
      </w:pPr>
    </w:p>
    <w:p>
      <w:pPr>
        <w:spacing w:before="68" w:line="220" w:lineRule="auto"/>
        <w:ind w:left="3441"/>
        <w:rPr>
          <w:rFonts w:ascii="宋体" w:hAnsi="宋体" w:cs="宋体"/>
          <w:szCs w:val="21"/>
          <w:highlight w:val="none"/>
        </w:rPr>
      </w:pPr>
      <w:r>
        <w:rPr>
          <w:rFonts w:ascii="宋体" w:hAnsi="宋体" w:cs="宋体"/>
          <w:spacing w:val="-8"/>
          <w:szCs w:val="21"/>
          <w:highlight w:val="none"/>
        </w:rPr>
        <w:t>担 保</w:t>
      </w:r>
      <w:r>
        <w:rPr>
          <w:rFonts w:ascii="宋体" w:hAnsi="宋体" w:cs="宋体"/>
          <w:spacing w:val="8"/>
          <w:szCs w:val="21"/>
          <w:highlight w:val="none"/>
        </w:rPr>
        <w:t xml:space="preserve"> </w:t>
      </w:r>
      <w:r>
        <w:rPr>
          <w:rFonts w:ascii="宋体" w:hAnsi="宋体" w:cs="宋体"/>
          <w:spacing w:val="-8"/>
          <w:szCs w:val="21"/>
          <w:highlight w:val="none"/>
        </w:rPr>
        <w:t>人</w:t>
      </w:r>
      <w:r>
        <w:rPr>
          <w:rFonts w:ascii="宋体" w:hAnsi="宋体" w:cs="宋体"/>
          <w:spacing w:val="-28"/>
          <w:szCs w:val="21"/>
          <w:highlight w:val="none"/>
        </w:rPr>
        <w:t>：（</w:t>
      </w:r>
      <w:r>
        <w:rPr>
          <w:rFonts w:ascii="宋体" w:hAnsi="宋体" w:cs="宋体"/>
          <w:spacing w:val="-8"/>
          <w:szCs w:val="21"/>
          <w:highlight w:val="none"/>
        </w:rPr>
        <w:t>盖单位章）</w:t>
      </w:r>
    </w:p>
    <w:p>
      <w:pPr>
        <w:spacing w:before="218" w:line="468" w:lineRule="exact"/>
        <w:ind w:left="344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6"/>
          <w:position w:val="19"/>
          <w:szCs w:val="21"/>
          <w:highlight w:val="none"/>
        </w:rPr>
        <w:t>：（</w:t>
      </w:r>
      <w:r>
        <w:rPr>
          <w:rFonts w:ascii="宋体" w:hAnsi="宋体" w:cs="宋体"/>
          <w:spacing w:val="-4"/>
          <w:position w:val="19"/>
          <w:szCs w:val="21"/>
          <w:highlight w:val="none"/>
        </w:rPr>
        <w:t>签字）</w:t>
      </w:r>
    </w:p>
    <w:p>
      <w:pPr>
        <w:spacing w:before="1" w:line="229" w:lineRule="auto"/>
        <w:ind w:left="3440"/>
        <w:rPr>
          <w:rFonts w:ascii="宋体" w:hAnsi="宋体" w:cs="宋体"/>
          <w:szCs w:val="21"/>
          <w:highlight w:val="none"/>
        </w:rPr>
      </w:pPr>
      <w:r>
        <w:rPr>
          <w:rFonts w:ascii="宋体" w:hAnsi="宋体" w:cs="宋体"/>
          <w:spacing w:val="-12"/>
          <w:szCs w:val="21"/>
          <w:highlight w:val="none"/>
        </w:rPr>
        <w:t>地</w:t>
      </w:r>
      <w:r>
        <w:rPr>
          <w:rFonts w:ascii="宋体" w:hAnsi="宋体" w:cs="宋体"/>
          <w:spacing w:val="2"/>
          <w:szCs w:val="21"/>
          <w:highlight w:val="none"/>
        </w:rPr>
        <w:t xml:space="preserve">    </w:t>
      </w:r>
      <w:r>
        <w:rPr>
          <w:rFonts w:ascii="宋体" w:hAnsi="宋体" w:cs="宋体"/>
          <w:spacing w:val="-12"/>
          <w:szCs w:val="21"/>
          <w:highlight w:val="none"/>
        </w:rPr>
        <w:t>址：</w:t>
      </w:r>
    </w:p>
    <w:p>
      <w:pPr>
        <w:spacing w:before="207" w:line="468" w:lineRule="exact"/>
        <w:ind w:left="3456"/>
        <w:rPr>
          <w:rFonts w:ascii="宋体" w:hAnsi="宋体" w:cs="宋体"/>
          <w:szCs w:val="21"/>
          <w:highlight w:val="none"/>
        </w:rPr>
      </w:pPr>
      <w:r>
        <w:rPr>
          <w:rFonts w:ascii="宋体" w:hAnsi="宋体" w:cs="宋体"/>
          <w:spacing w:val="-9"/>
          <w:position w:val="19"/>
          <w:szCs w:val="21"/>
          <w:highlight w:val="none"/>
        </w:rPr>
        <w:t>邮政编码：</w:t>
      </w:r>
    </w:p>
    <w:p>
      <w:pPr>
        <w:spacing w:line="222" w:lineRule="auto"/>
        <w:ind w:left="3465"/>
        <w:rPr>
          <w:rFonts w:ascii="宋体" w:hAnsi="宋体" w:cs="宋体"/>
          <w:szCs w:val="21"/>
          <w:highlight w:val="none"/>
        </w:rPr>
      </w:pPr>
      <w:r>
        <w:rPr>
          <w:rFonts w:ascii="宋体" w:hAnsi="宋体" w:cs="宋体"/>
          <w:spacing w:val="-20"/>
          <w:szCs w:val="21"/>
          <w:highlight w:val="none"/>
        </w:rPr>
        <w:t>电</w:t>
      </w:r>
      <w:r>
        <w:rPr>
          <w:rFonts w:ascii="宋体" w:hAnsi="宋体" w:cs="宋体"/>
          <w:spacing w:val="2"/>
          <w:szCs w:val="21"/>
          <w:highlight w:val="none"/>
        </w:rPr>
        <w:t xml:space="preserve">    </w:t>
      </w:r>
      <w:r>
        <w:rPr>
          <w:rFonts w:ascii="宋体" w:hAnsi="宋体" w:cs="宋体"/>
          <w:spacing w:val="-20"/>
          <w:szCs w:val="21"/>
          <w:highlight w:val="none"/>
        </w:rPr>
        <w:t>话：</w:t>
      </w:r>
    </w:p>
    <w:p>
      <w:pPr>
        <w:spacing w:before="215" w:line="220" w:lineRule="auto"/>
        <w:ind w:left="3439"/>
        <w:rPr>
          <w:rFonts w:ascii="宋体" w:hAnsi="宋体" w:cs="宋体"/>
          <w:szCs w:val="21"/>
          <w:highlight w:val="none"/>
        </w:rPr>
      </w:pPr>
      <w:r>
        <w:rPr>
          <w:rFonts w:ascii="宋体" w:hAnsi="宋体" w:cs="宋体"/>
          <w:spacing w:val="-12"/>
          <w:szCs w:val="21"/>
          <w:highlight w:val="none"/>
        </w:rPr>
        <w:t>传</w:t>
      </w:r>
      <w:r>
        <w:rPr>
          <w:rFonts w:ascii="宋体" w:hAnsi="宋体" w:cs="宋体"/>
          <w:spacing w:val="2"/>
          <w:szCs w:val="21"/>
          <w:highlight w:val="none"/>
        </w:rPr>
        <w:t xml:space="preserve">    </w:t>
      </w:r>
      <w:r>
        <w:rPr>
          <w:rFonts w:ascii="宋体" w:hAnsi="宋体" w:cs="宋体"/>
          <w:spacing w:val="-12"/>
          <w:szCs w:val="21"/>
          <w:highlight w:val="none"/>
        </w:rPr>
        <w:t>真：</w:t>
      </w:r>
    </w:p>
    <w:p>
      <w:pPr>
        <w:spacing w:before="217" w:line="221" w:lineRule="auto"/>
        <w:ind w:left="4221"/>
        <w:rPr>
          <w:rFonts w:ascii="宋体" w:hAnsi="宋体" w:cs="宋体"/>
          <w:szCs w:val="21"/>
          <w:highlight w:val="none"/>
        </w:rPr>
      </w:pPr>
      <w:r>
        <w:rPr>
          <w:rFonts w:ascii="宋体" w:hAnsi="宋体" w:cs="宋体"/>
          <w:spacing w:val="-2"/>
          <w:szCs w:val="21"/>
          <w:highlight w:val="none"/>
        </w:rPr>
        <w:t>年月日</w:t>
      </w:r>
    </w:p>
    <w:p>
      <w:pPr>
        <w:spacing w:line="490" w:lineRule="exact"/>
        <w:ind w:firstLine="3500" w:firstLineChars="1250"/>
        <w:rPr>
          <w:sz w:val="40"/>
          <w:szCs w:val="32"/>
          <w:highlight w:val="none"/>
        </w:rPr>
      </w:pPr>
      <w:r>
        <w:rPr>
          <w:sz w:val="28"/>
          <w:szCs w:val="32"/>
          <w:highlight w:val="none"/>
        </w:rPr>
        <w:br w:type="page"/>
      </w:r>
    </w:p>
    <w:p>
      <w:pPr>
        <w:pStyle w:val="3"/>
        <w:keepNext w:val="0"/>
        <w:keepLines w:val="0"/>
        <w:spacing w:before="0" w:after="0" w:line="490" w:lineRule="exact"/>
        <w:jc w:val="center"/>
        <w:rPr>
          <w:szCs w:val="36"/>
          <w:highlight w:val="none"/>
        </w:rPr>
      </w:pPr>
      <w:bookmarkStart w:id="596" w:name="_Toc419379605"/>
      <w:bookmarkStart w:id="597" w:name="_Toc5795"/>
      <w:bookmarkStart w:id="598" w:name="_Toc16892"/>
      <w:r>
        <w:rPr>
          <w:szCs w:val="36"/>
          <w:highlight w:val="none"/>
        </w:rPr>
        <w:t>第五章 工程量清单</w:t>
      </w:r>
      <w:bookmarkEnd w:id="596"/>
      <w:bookmarkEnd w:id="597"/>
      <w:bookmarkEnd w:id="598"/>
    </w:p>
    <w:p>
      <w:pPr>
        <w:spacing w:line="490" w:lineRule="exact"/>
        <w:jc w:val="center"/>
        <w:rPr>
          <w:sz w:val="24"/>
          <w:highlight w:val="none"/>
        </w:rPr>
      </w:pPr>
    </w:p>
    <w:p>
      <w:pPr>
        <w:spacing w:before="148" w:line="221" w:lineRule="auto"/>
        <w:ind w:left="24"/>
        <w:rPr>
          <w:highlight w:val="none"/>
        </w:rPr>
      </w:pPr>
      <w:r>
        <w:rPr>
          <w:rFonts w:ascii="宋体" w:hAnsi="宋体" w:cs="宋体"/>
          <w:spacing w:val="-1"/>
          <w:szCs w:val="21"/>
          <w:highlight w:val="none"/>
        </w:rPr>
        <w:t>具体要求详见电子版招标清单文件</w:t>
      </w:r>
      <w:r>
        <w:rPr>
          <w:highlight w:val="none"/>
        </w:rPr>
        <w:br w:type="page"/>
      </w:r>
    </w:p>
    <w:p>
      <w:pPr>
        <w:pStyle w:val="141"/>
        <w:spacing w:line="600" w:lineRule="exact"/>
        <w:ind w:firstLine="640" w:firstLineChars="200"/>
        <w:rPr>
          <w:rFonts w:ascii="Times New Roman" w:cs="Times New Roman"/>
          <w:color w:val="auto"/>
          <w:sz w:val="32"/>
          <w:szCs w:val="32"/>
          <w:highlight w:val="none"/>
        </w:rPr>
      </w:pPr>
    </w:p>
    <w:p>
      <w:pPr>
        <w:jc w:val="center"/>
        <w:rPr>
          <w:b/>
          <w:spacing w:val="40"/>
          <w:sz w:val="90"/>
          <w:szCs w:val="90"/>
          <w:highlight w:val="none"/>
        </w:rPr>
      </w:pPr>
    </w:p>
    <w:p>
      <w:pPr>
        <w:jc w:val="center"/>
        <w:rPr>
          <w:b/>
          <w:spacing w:val="40"/>
          <w:sz w:val="90"/>
          <w:szCs w:val="90"/>
          <w:highlight w:val="none"/>
        </w:rPr>
      </w:pPr>
    </w:p>
    <w:p>
      <w:pPr>
        <w:jc w:val="center"/>
        <w:rPr>
          <w:b/>
          <w:spacing w:val="40"/>
          <w:sz w:val="90"/>
          <w:szCs w:val="90"/>
          <w:highlight w:val="none"/>
        </w:rPr>
      </w:pPr>
    </w:p>
    <w:p>
      <w:pPr>
        <w:pStyle w:val="3"/>
        <w:keepNext w:val="0"/>
        <w:keepLines w:val="0"/>
        <w:spacing w:before="0" w:after="0" w:line="240" w:lineRule="auto"/>
        <w:jc w:val="center"/>
        <w:rPr>
          <w:spacing w:val="40"/>
          <w:sz w:val="52"/>
          <w:szCs w:val="52"/>
          <w:highlight w:val="none"/>
        </w:rPr>
      </w:pPr>
      <w:bookmarkStart w:id="599" w:name="_Toc21048"/>
      <w:bookmarkStart w:id="600" w:name="_Toc419379606"/>
      <w:bookmarkStart w:id="601" w:name="_Toc7360"/>
      <w:r>
        <w:rPr>
          <w:spacing w:val="40"/>
          <w:sz w:val="52"/>
          <w:szCs w:val="52"/>
          <w:highlight w:val="none"/>
        </w:rPr>
        <w:t>第二卷</w:t>
      </w:r>
      <w:bookmarkEnd w:id="599"/>
      <w:bookmarkEnd w:id="600"/>
      <w:bookmarkEnd w:id="601"/>
    </w:p>
    <w:p>
      <w:pPr>
        <w:spacing w:line="490" w:lineRule="exact"/>
        <w:jc w:val="center"/>
        <w:rPr>
          <w:b/>
          <w:sz w:val="40"/>
          <w:szCs w:val="44"/>
          <w:highlight w:val="none"/>
        </w:rPr>
      </w:pPr>
      <w:r>
        <w:rPr>
          <w:szCs w:val="21"/>
          <w:highlight w:val="none"/>
        </w:rPr>
        <w:br w:type="page"/>
      </w:r>
    </w:p>
    <w:p>
      <w:pPr>
        <w:pStyle w:val="3"/>
        <w:keepNext w:val="0"/>
        <w:keepLines w:val="0"/>
        <w:spacing w:before="0" w:after="0" w:line="490" w:lineRule="exact"/>
        <w:jc w:val="center"/>
        <w:rPr>
          <w:highlight w:val="none"/>
        </w:rPr>
      </w:pPr>
      <w:bookmarkStart w:id="602" w:name="_Toc27771"/>
      <w:bookmarkStart w:id="603" w:name="_Toc12714"/>
      <w:r>
        <w:rPr>
          <w:highlight w:val="none"/>
        </w:rPr>
        <w:t>第六章  图纸（招标图纸）</w:t>
      </w:r>
      <w:bookmarkEnd w:id="602"/>
      <w:bookmarkEnd w:id="603"/>
    </w:p>
    <w:p>
      <w:pPr>
        <w:spacing w:line="490" w:lineRule="exact"/>
        <w:jc w:val="center"/>
        <w:rPr>
          <w:b/>
          <w:sz w:val="40"/>
          <w:szCs w:val="44"/>
          <w:highlight w:val="none"/>
        </w:rPr>
      </w:pPr>
    </w:p>
    <w:p>
      <w:pPr>
        <w:rPr>
          <w:highlight w:val="none"/>
        </w:rPr>
      </w:pPr>
      <w:bookmarkStart w:id="604" w:name="第06章图纸招标01"/>
      <w:bookmarkEnd w:id="604"/>
    </w:p>
    <w:p>
      <w:pPr>
        <w:rPr>
          <w:highlight w:val="none"/>
        </w:rPr>
      </w:pPr>
    </w:p>
    <w:p>
      <w:pPr>
        <w:pStyle w:val="5"/>
        <w:keepNext w:val="0"/>
        <w:keepLines w:val="0"/>
        <w:spacing w:before="0" w:after="0" w:line="600" w:lineRule="exact"/>
        <w:ind w:firstLine="482" w:firstLineChars="200"/>
        <w:rPr>
          <w:bCs w:val="0"/>
          <w:color w:val="auto"/>
          <w:highlight w:val="none"/>
        </w:rPr>
      </w:pPr>
      <w:bookmarkStart w:id="605" w:name="第06章图纸招标03"/>
      <w:bookmarkEnd w:id="605"/>
      <w:bookmarkStart w:id="606" w:name="_Toc6942"/>
      <w:bookmarkStart w:id="607" w:name="_Toc10624"/>
      <w:r>
        <w:rPr>
          <w:rFonts w:hint="eastAsia"/>
          <w:bCs w:val="0"/>
          <w:color w:val="auto"/>
          <w:highlight w:val="none"/>
        </w:rPr>
        <w:t>1.</w:t>
      </w:r>
      <w:r>
        <w:rPr>
          <w:bCs w:val="0"/>
          <w:color w:val="auto"/>
          <w:highlight w:val="none"/>
        </w:rPr>
        <w:t>招标图纸目录</w:t>
      </w:r>
      <w:bookmarkEnd w:id="606"/>
      <w:bookmarkEnd w:id="607"/>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r>
              <w:rPr>
                <w:highlight w:val="none"/>
              </w:rPr>
              <w:t>序号</w:t>
            </w:r>
          </w:p>
        </w:tc>
        <w:tc>
          <w:tcPr>
            <w:tcW w:w="1557" w:type="dxa"/>
            <w:vAlign w:val="center"/>
          </w:tcPr>
          <w:p>
            <w:pPr>
              <w:jc w:val="center"/>
              <w:rPr>
                <w:highlight w:val="none"/>
              </w:rPr>
            </w:pPr>
            <w:r>
              <w:rPr>
                <w:highlight w:val="none"/>
              </w:rPr>
              <w:t>图名</w:t>
            </w:r>
          </w:p>
        </w:tc>
        <w:tc>
          <w:tcPr>
            <w:tcW w:w="1557" w:type="dxa"/>
            <w:vAlign w:val="center"/>
          </w:tcPr>
          <w:p>
            <w:pPr>
              <w:jc w:val="center"/>
              <w:rPr>
                <w:highlight w:val="none"/>
              </w:rPr>
            </w:pPr>
            <w:r>
              <w:rPr>
                <w:highlight w:val="none"/>
              </w:rPr>
              <w:t>图号</w:t>
            </w:r>
          </w:p>
        </w:tc>
        <w:tc>
          <w:tcPr>
            <w:tcW w:w="1557" w:type="dxa"/>
            <w:vAlign w:val="center"/>
          </w:tcPr>
          <w:p>
            <w:pPr>
              <w:jc w:val="center"/>
              <w:rPr>
                <w:highlight w:val="none"/>
              </w:rPr>
            </w:pPr>
            <w:r>
              <w:rPr>
                <w:highlight w:val="none"/>
              </w:rPr>
              <w:t>版本</w:t>
            </w:r>
          </w:p>
        </w:tc>
        <w:tc>
          <w:tcPr>
            <w:tcW w:w="1557" w:type="dxa"/>
            <w:vAlign w:val="center"/>
          </w:tcPr>
          <w:p>
            <w:pPr>
              <w:jc w:val="center"/>
              <w:rPr>
                <w:highlight w:val="none"/>
              </w:rPr>
            </w:pPr>
            <w:r>
              <w:rPr>
                <w:highlight w:val="none"/>
              </w:rPr>
              <w:t>出图日期</w:t>
            </w:r>
          </w:p>
        </w:tc>
        <w:tc>
          <w:tcPr>
            <w:tcW w:w="1395" w:type="dxa"/>
            <w:vAlign w:val="center"/>
          </w:tcPr>
          <w:p>
            <w:pPr>
              <w:jc w:val="center"/>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bl>
    <w:p>
      <w:pPr>
        <w:rPr>
          <w:highlight w:val="none"/>
        </w:rPr>
      </w:pPr>
    </w:p>
    <w:p>
      <w:pPr>
        <w:rPr>
          <w:highlight w:val="none"/>
        </w:rPr>
      </w:pPr>
    </w:p>
    <w:p>
      <w:pPr>
        <w:pStyle w:val="5"/>
        <w:keepNext w:val="0"/>
        <w:keepLines w:val="0"/>
        <w:spacing w:before="0" w:after="0" w:line="600" w:lineRule="exact"/>
        <w:ind w:firstLine="482" w:firstLineChars="200"/>
        <w:rPr>
          <w:color w:val="auto"/>
          <w:highlight w:val="none"/>
        </w:rPr>
      </w:pPr>
      <w:bookmarkStart w:id="608" w:name="_Toc5471"/>
      <w:bookmarkStart w:id="609" w:name="_Toc27567"/>
      <w:r>
        <w:rPr>
          <w:rFonts w:hint="eastAsia"/>
          <w:color w:val="auto"/>
          <w:highlight w:val="none"/>
        </w:rPr>
        <w:t>2.</w:t>
      </w:r>
      <w:r>
        <w:rPr>
          <w:color w:val="auto"/>
          <w:highlight w:val="none"/>
        </w:rPr>
        <w:t>招标图纸</w:t>
      </w:r>
      <w:r>
        <w:rPr>
          <w:rFonts w:hint="eastAsia"/>
          <w:color w:val="auto"/>
          <w:highlight w:val="none"/>
        </w:rPr>
        <w:t>及其他资料</w:t>
      </w:r>
      <w:r>
        <w:rPr>
          <w:color w:val="auto"/>
          <w:highlight w:val="none"/>
        </w:rPr>
        <w:t>在电子交易系统下载。</w:t>
      </w:r>
      <w:bookmarkEnd w:id="608"/>
      <w:bookmarkEnd w:id="609"/>
    </w:p>
    <w:p>
      <w:pPr>
        <w:rPr>
          <w:rFonts w:ascii="宋体" w:hAnsi="宋体"/>
          <w:color w:val="000000"/>
          <w:sz w:val="51"/>
          <w:szCs w:val="31"/>
          <w:highlight w:val="none"/>
        </w:rPr>
      </w:pPr>
      <w:r>
        <w:rPr>
          <w:highlight w:val="none"/>
        </w:rPr>
        <w:br w:type="page"/>
      </w: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pStyle w:val="3"/>
        <w:spacing w:before="120" w:after="120" w:line="360" w:lineRule="auto"/>
        <w:jc w:val="center"/>
        <w:rPr>
          <w:rFonts w:ascii="宋体" w:hAnsi="宋体"/>
          <w:bCs w:val="0"/>
          <w:color w:val="000000"/>
          <w:sz w:val="48"/>
          <w:szCs w:val="48"/>
          <w:highlight w:val="none"/>
        </w:rPr>
      </w:pPr>
    </w:p>
    <w:p>
      <w:pPr>
        <w:pStyle w:val="3"/>
        <w:spacing w:before="120" w:after="120" w:line="360" w:lineRule="auto"/>
        <w:jc w:val="center"/>
        <w:rPr>
          <w:rFonts w:ascii="宋体" w:hAnsi="宋体"/>
          <w:bCs w:val="0"/>
          <w:color w:val="000000"/>
          <w:sz w:val="51"/>
          <w:szCs w:val="31"/>
          <w:highlight w:val="none"/>
        </w:rPr>
      </w:pPr>
      <w:bookmarkStart w:id="610" w:name="_Toc32701"/>
      <w:r>
        <w:rPr>
          <w:rFonts w:hint="eastAsia" w:ascii="宋体" w:hAnsi="宋体"/>
          <w:bCs w:val="0"/>
          <w:color w:val="000000"/>
          <w:sz w:val="48"/>
          <w:szCs w:val="48"/>
          <w:highlight w:val="none"/>
        </w:rPr>
        <w:t>第 二 卷</w:t>
      </w:r>
      <w:bookmarkEnd w:id="136"/>
      <w:bookmarkEnd w:id="610"/>
      <w:r>
        <w:rPr>
          <w:rFonts w:hint="eastAsia" w:ascii="宋体" w:hAnsi="宋体"/>
          <w:bCs w:val="0"/>
          <w:color w:val="000000"/>
          <w:sz w:val="48"/>
          <w:szCs w:val="48"/>
          <w:highlight w:val="none"/>
        </w:rPr>
        <w:t xml:space="preserve"> </w:t>
      </w:r>
      <w:r>
        <w:rPr>
          <w:rFonts w:hint="eastAsia" w:ascii="宋体" w:hAnsi="宋体"/>
          <w:bCs w:val="0"/>
          <w:color w:val="000000"/>
          <w:sz w:val="51"/>
          <w:szCs w:val="31"/>
          <w:highlight w:val="none"/>
        </w:rPr>
        <w:t xml:space="preserve"> </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宋体" w:hAnsi="宋体"/>
          <w:b/>
          <w:color w:val="000000"/>
          <w:sz w:val="27"/>
          <w:szCs w:val="27"/>
          <w:highlight w:val="none"/>
        </w:rPr>
      </w:pPr>
      <w:r>
        <w:rPr>
          <w:rFonts w:ascii="宋体" w:hAnsi="宋体"/>
          <w:b/>
          <w:color w:val="000000"/>
          <w:sz w:val="27"/>
          <w:szCs w:val="27"/>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611" w:name="_Toc49870008"/>
      <w:bookmarkStart w:id="612" w:name="_Toc27830"/>
      <w:r>
        <w:rPr>
          <w:rFonts w:hint="eastAsia" w:ascii="黑体" w:hAnsi="黑体" w:eastAsia="黑体"/>
          <w:bCs w:val="0"/>
          <w:color w:val="000000"/>
          <w:sz w:val="31"/>
          <w:szCs w:val="31"/>
          <w:highlight w:val="none"/>
        </w:rPr>
        <w:t>第六章 技术标准和要求（合同技术条款）</w:t>
      </w:r>
      <w:bookmarkEnd w:id="611"/>
      <w:bookmarkEnd w:id="612"/>
    </w:p>
    <w:p>
      <w:pPr>
        <w:rPr>
          <w:highlight w:val="none"/>
        </w:rPr>
      </w:pPr>
      <w:bookmarkStart w:id="613" w:name="EB741dc3570c8c4efc9387f2fccdd1d59e"/>
    </w:p>
    <w:bookmarkEnd w:id="613"/>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第1节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1.1工程说明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1.1.1项目概况与招标范围</w:t>
      </w:r>
    </w:p>
    <w:p>
      <w:pPr>
        <w:spacing w:line="490" w:lineRule="exact"/>
        <w:ind w:firstLine="420" w:firstLineChars="200"/>
        <w:rPr>
          <w:rFonts w:hint="eastAsia" w:ascii="Times New Roman" w:hAnsi="Times New Roman"/>
          <w:szCs w:val="21"/>
          <w:highlight w:val="none"/>
          <w:lang w:val="zh-CN"/>
        </w:rPr>
      </w:pPr>
      <w:r>
        <w:rPr>
          <w:rFonts w:hint="eastAsia" w:ascii="Times New Roman" w:hAnsi="Times New Roman"/>
          <w:szCs w:val="21"/>
          <w:highlight w:val="none"/>
          <w:lang w:val="zh-CN"/>
        </w:rPr>
        <w:t>项目名称：盖州市2024年大中型水库移民后期扶持规划项目</w:t>
      </w:r>
    </w:p>
    <w:p>
      <w:pPr>
        <w:pStyle w:val="2"/>
        <w:rPr>
          <w:rFonts w:hint="eastAsia" w:ascii="Times New Roman" w:hAnsi="Times New Roman" w:eastAsia="宋体" w:cs="Times New Roman"/>
          <w:i w:val="0"/>
          <w:iCs w:val="0"/>
          <w:kern w:val="2"/>
          <w:sz w:val="21"/>
          <w:szCs w:val="21"/>
          <w:highlight w:val="none"/>
          <w:lang w:val="zh-CN" w:eastAsia="zh-CN" w:bidi="ar-SA"/>
        </w:rPr>
      </w:pPr>
      <w:r>
        <w:rPr>
          <w:rFonts w:hint="eastAsia" w:ascii="Times New Roman" w:hAnsi="Times New Roman" w:eastAsia="宋体" w:cs="Times New Roman"/>
          <w:i w:val="0"/>
          <w:iCs w:val="0"/>
          <w:kern w:val="2"/>
          <w:sz w:val="21"/>
          <w:szCs w:val="21"/>
          <w:highlight w:val="none"/>
          <w:lang w:val="zh-CN" w:eastAsia="zh-CN" w:bidi="ar-SA"/>
        </w:rPr>
        <w:t>标段名称：盖州市2024年大中型水库移民后期扶持规划项目（水利工程）第五标段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资金来源：中央资金</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建设地点：盖州市</w:t>
      </w:r>
      <w:r>
        <w:rPr>
          <w:rFonts w:hint="eastAsia" w:ascii="Times New Roman" w:hAnsi="Times New Roman"/>
          <w:highlight w:val="none"/>
        </w:rPr>
        <w:t>什字街镇</w:t>
      </w:r>
      <w:r>
        <w:rPr>
          <w:rFonts w:hint="eastAsia" w:ascii="Times New Roman" w:hAnsi="Times New Roman"/>
          <w:szCs w:val="21"/>
          <w:highlight w:val="none"/>
          <w:lang w:val="zh-CN"/>
        </w:rPr>
        <w:t xml:space="preserve">    </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质量标准：符合国家验收规范的合格标准；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招标范围:</w:t>
      </w:r>
    </w:p>
    <w:p>
      <w:pPr>
        <w:ind w:right="22" w:firstLine="480"/>
        <w:rPr>
          <w:rFonts w:ascii="Times New Roman" w:hAnsi="Times New Roman"/>
          <w:highlight w:val="none"/>
        </w:rPr>
      </w:pPr>
      <w:r>
        <w:rPr>
          <w:rFonts w:hint="eastAsia" w:ascii="Times New Roman" w:hAnsi="Times New Roman"/>
          <w:szCs w:val="21"/>
          <w:highlight w:val="none"/>
          <w:lang w:val="zh-CN"/>
        </w:rPr>
        <w:t>治理范围：</w:t>
      </w:r>
      <w:r>
        <w:rPr>
          <w:rFonts w:hint="eastAsia" w:ascii="Times New Roman" w:hAnsi="Times New Roman"/>
          <w:highlight w:val="none"/>
        </w:rPr>
        <w:t>（一）什字街镇鹰嘴石村河道治理工程</w:t>
      </w:r>
    </w:p>
    <w:p>
      <w:pPr>
        <w:ind w:right="22" w:firstLine="480"/>
        <w:rPr>
          <w:rFonts w:ascii="Times New Roman" w:hAnsi="Times New Roman"/>
          <w:highlight w:val="none"/>
        </w:rPr>
      </w:pPr>
      <w:r>
        <w:rPr>
          <w:rFonts w:hint="eastAsia" w:ascii="Times New Roman" w:hAnsi="Times New Roman"/>
          <w:highlight w:val="none"/>
        </w:rPr>
        <w:t>什字街镇鹰嘴石村河道治理工程始于邵屯河河心桩号K0+386（河口河心桩号K0+000），上游止于桩号K0+889。对邵屯河鹰嘴石村段右岸桩号Y0+429-Y0+502、Y0+508-Y0+880、Y0+920-Y0+975段采用固滨笼挡墙护岸，护岸总长500m。固滨笼挡墙护岸高度2.5m。</w:t>
      </w:r>
    </w:p>
    <w:p>
      <w:pPr>
        <w:ind w:right="22" w:firstLine="480"/>
        <w:rPr>
          <w:rFonts w:ascii="Times New Roman" w:hAnsi="Times New Roman"/>
          <w:highlight w:val="none"/>
        </w:rPr>
      </w:pPr>
      <w:r>
        <w:rPr>
          <w:rFonts w:hint="eastAsia" w:ascii="Times New Roman" w:hAnsi="Times New Roman"/>
          <w:highlight w:val="none"/>
        </w:rPr>
        <w:t>（二）什字街镇于屯村河道治理工程</w:t>
      </w:r>
    </w:p>
    <w:p>
      <w:pPr>
        <w:ind w:right="22" w:firstLine="480"/>
        <w:rPr>
          <w:rFonts w:ascii="Times New Roman" w:hAnsi="Times New Roman"/>
          <w:highlight w:val="none"/>
        </w:rPr>
      </w:pPr>
      <w:r>
        <w:rPr>
          <w:rFonts w:hint="eastAsia" w:ascii="Times New Roman" w:hAnsi="Times New Roman"/>
          <w:highlight w:val="none"/>
        </w:rPr>
        <w:t>什字街镇于屯村河道治理工程治理始于于屯村公路桥上690m处，桩号K0+000（距河口2.56km），止于桩号1+643，治理河道总长1643m，对什字街河于屯村段右岸绿滨垫护岸，其中：桩号Y0+000-Y0+208、Y0+214-Y0+324、Y0+384-Y0+492、Y0+497-Y0+700、Y0+715-Y0+770、Y0+777-Y0+873、Y0+880-Y1+009、Y1+030-Y1+441、Y1+570-Y1+644段护岸总长1394m，护岸采用绿滨垫护坡，固滨笼护脚，护岸高度2.5m。</w:t>
      </w:r>
    </w:p>
    <w:p>
      <w:pPr>
        <w:ind w:right="22" w:firstLine="480"/>
        <w:rPr>
          <w:rFonts w:ascii="Times New Roman" w:hAnsi="Times New Roman"/>
          <w:highlight w:val="none"/>
        </w:rPr>
      </w:pPr>
      <w:r>
        <w:rPr>
          <w:rFonts w:hint="eastAsia" w:ascii="Times New Roman" w:hAnsi="Times New Roman"/>
          <w:highlight w:val="none"/>
        </w:rPr>
        <w:t>截潜坝工程布置在截取水量大，便于施工的河床，用于拦截潜流和抬高潜水位，以增大集取潜流的水量，其方向与潜流方向垂直。截潜坝工程位于什字街河于屯桥下50m处，截潜坝长41m，左坝坐标X 4436308.007、Y 456628.034，右坝坐标X 4436272.715、Y 456607.161。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1.1.2水文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1.1.2.1 气象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流域内多年平均气温9.7℃，极端最低气温-28.1℃，极端最高气温36.6℃。多年平均降水量689mm，年内降水分配不均匀，6～9月降水占全年总降水量的73.1%。流域多年平均蒸发量1500mm。春季多西南风及东南风，夏季以东南风为主，多年平均最大风速18.6m/s，汛期多年平均最大风速14.8m/s，最大风速23.0m/s。最大积雪深度22cm，最大冻土深度1.1m。1.1.2.2 水文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碧流河是辽东半岛南部一条独流入海河流，发源于盖州市卧龙泉镇七盘岭山南麓，流经盖州市、庄河市、普兰店区和花园口经济区，在普兰店区城子坦街道谢家屯村南注入黄海。干流全长165km，流域面积2839km²。碧流河流河流域狭长，上下游宽，中间狭窄，形似葫芦，平均宽度18km。碧流河流域属千山山脉余脉，流域内地势由东北向西南倾斜，上游为低山区，最高山脉步云山海拔高程1129m，地形陡峻。碧流河流域内山地占67%，丘陵占24%，平原占9%。河流两岸山体相连，河谷宽窄相间，河谷一般宽度在700m左右，上游为卵石河床，主槽宽150～200m；中游为中砂河床，河道比降为2.39‰。</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1.1.3地质条件 </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工程所在区域属中低山及山丘区。河谷漫滩及一级阶地较发育，二级阶地残缺不全。两岸山坡较陡，基岩裸露。本区属于华北地层区，本区域位于阴山～天山东西向复杂构造带的东端与新华夏系第二隆起带中段交接复合部位。本区山地丘陵与小盆地相间，多呈东北向分布，一般山脉高程在384～718m左右。山体受自然剥蚀程度弱，山上植被较发育，小部分基岩裸露。小盆地和河谷平原地势较平坦，一般高程在284～320m左右，其表面沉积了厚度较小的第四系地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1.2工程任务和规模</w:t>
      </w:r>
    </w:p>
    <w:p>
      <w:pPr>
        <w:ind w:right="22" w:firstLine="480"/>
        <w:rPr>
          <w:rFonts w:ascii="Times New Roman" w:hAnsi="Times New Roman"/>
          <w:highlight w:val="none"/>
        </w:rPr>
      </w:pPr>
      <w:r>
        <w:rPr>
          <w:rFonts w:hint="eastAsia" w:ascii="Times New Roman" w:hAnsi="Times New Roman"/>
          <w:szCs w:val="21"/>
          <w:highlight w:val="none"/>
          <w:lang w:val="zh-CN"/>
        </w:rPr>
        <w:t>1.2.1治理范围：</w:t>
      </w:r>
      <w:r>
        <w:rPr>
          <w:rFonts w:hint="eastAsia" w:ascii="Times New Roman" w:hAnsi="Times New Roman"/>
          <w:highlight w:val="none"/>
        </w:rPr>
        <w:t>（一）什字街镇鹰嘴石村河道治理工程</w:t>
      </w:r>
    </w:p>
    <w:p>
      <w:pPr>
        <w:ind w:right="22" w:firstLine="480"/>
        <w:rPr>
          <w:rFonts w:ascii="Times New Roman" w:hAnsi="Times New Roman"/>
          <w:highlight w:val="none"/>
        </w:rPr>
      </w:pPr>
      <w:r>
        <w:rPr>
          <w:rFonts w:hint="eastAsia" w:ascii="Times New Roman" w:hAnsi="Times New Roman"/>
          <w:highlight w:val="none"/>
        </w:rPr>
        <w:t>什字街镇鹰嘴石村河道治理工程始于邵屯河河心桩号K0+386（河口河心桩号K0+000），上游止于桩号K0+889。对邵屯河鹰嘴石村段右岸桩号Y0+429-Y0+502、Y0+508-Y0+880、Y0+920-Y0+975段采用固滨笼挡墙护岸，护岸总长500m。固滨笼挡墙护岸高度2.5m。</w:t>
      </w:r>
    </w:p>
    <w:p>
      <w:pPr>
        <w:ind w:right="22" w:firstLine="480"/>
        <w:rPr>
          <w:rFonts w:ascii="Times New Roman" w:hAnsi="Times New Roman"/>
          <w:highlight w:val="none"/>
        </w:rPr>
      </w:pPr>
      <w:r>
        <w:rPr>
          <w:rFonts w:hint="eastAsia" w:ascii="Times New Roman" w:hAnsi="Times New Roman"/>
          <w:highlight w:val="none"/>
        </w:rPr>
        <w:t>（二）什字街镇于屯村河道治理工程</w:t>
      </w:r>
    </w:p>
    <w:p>
      <w:pPr>
        <w:ind w:right="22" w:firstLine="480"/>
        <w:rPr>
          <w:rFonts w:ascii="Times New Roman" w:hAnsi="Times New Roman"/>
          <w:highlight w:val="none"/>
        </w:rPr>
      </w:pPr>
      <w:r>
        <w:rPr>
          <w:rFonts w:hint="eastAsia" w:ascii="Times New Roman" w:hAnsi="Times New Roman"/>
          <w:highlight w:val="none"/>
        </w:rPr>
        <w:t>什字街镇于屯村河道治理工程治理始于于屯村公路桥上690m处，桩号K0+000（距河口2.56km），止于桩号1+643，治理河道总长1643m，对什字街河于屯村段右岸绿滨垫护岸，其中：桩号Y0+000-Y0+208、Y0+214-Y0+324、Y0+384-Y0+492、Y0+497-Y0+700、Y0+715-Y0+770、Y0+777-Y0+873、Y0+880-Y1+009、Y1+030-Y1+441、Y1+570-Y1+644段护岸总长1394m，护岸采用绿滨垫护坡，固滨笼护脚，护岸高度2.5m。</w:t>
      </w:r>
    </w:p>
    <w:p>
      <w:pPr>
        <w:ind w:right="22" w:firstLine="480"/>
        <w:rPr>
          <w:rFonts w:ascii="Times New Roman" w:hAnsi="Times New Roman"/>
          <w:highlight w:val="none"/>
        </w:rPr>
      </w:pPr>
      <w:r>
        <w:rPr>
          <w:rFonts w:hint="eastAsia" w:ascii="Times New Roman" w:hAnsi="Times New Roman"/>
          <w:highlight w:val="none"/>
        </w:rPr>
        <w:t>截潜坝工程布置在截取水量大，便于施工的河床，用于拦截潜流和抬高潜水位，以增大集取潜流的水量，其方向与潜流方向垂直。截潜坝工程位于什字街河于屯桥下50m处，截潜坝长41m，左坝坐标X 4436308.007、Y 456628.034，右坝坐标X 4436272.715、Y 456607.161。</w:t>
      </w:r>
    </w:p>
    <w:p>
      <w:pPr>
        <w:ind w:right="22" w:firstLine="480"/>
        <w:rPr>
          <w:rFonts w:hint="eastAsia" w:ascii="Times New Roman" w:hAnsi="Times New Roman"/>
          <w:highlight w:val="none"/>
        </w:rPr>
      </w:pPr>
      <w:r>
        <w:rPr>
          <w:rFonts w:hint="eastAsia" w:ascii="Times New Roman" w:hAnsi="Times New Roman"/>
          <w:szCs w:val="21"/>
          <w:highlight w:val="none"/>
          <w:lang w:val="zh-CN"/>
        </w:rPr>
        <w:t>1.2.2建设内容及主要建筑物：</w:t>
      </w:r>
      <w:r>
        <w:rPr>
          <w:rFonts w:hint="eastAsia" w:ascii="Times New Roman" w:hAnsi="Times New Roman"/>
          <w:highlight w:val="none"/>
        </w:rPr>
        <w:t>2.5m高固滨笼墙式护岸布置于邵屯河鹰嘴石村段。共计500m。固滨笼护岸背水侧为直立式，迎水侧固滨笼错台布置，错台宽度0.5m，挡墙顶宽1.0m，基础底宽2.5m，基础埋深1.2m，固滨笼护岸基础依次设置砂砾垫层100mm及反滤土工布一道。墙背部铺设反滤土工布一道。固滨笼护岸规格为2m×1.0m×0.5m、2m×1.5m×1.0m、2m×1.0m×1.0m、2m×1.0m×1.2m、2m×1.5m×1.2m。</w:t>
      </w:r>
    </w:p>
    <w:p>
      <w:pPr>
        <w:ind w:right="22" w:firstLine="480"/>
        <w:jc w:val="center"/>
        <w:rPr>
          <w:highlight w:val="none"/>
        </w:rPr>
      </w:pPr>
      <w:r>
        <w:rPr>
          <w:highlight w:val="none"/>
        </w:rPr>
        <w:drawing>
          <wp:inline distT="0" distB="0" distL="0" distR="0">
            <wp:extent cx="2632075" cy="2289810"/>
            <wp:effectExtent l="19050" t="0" r="0" b="0"/>
            <wp:docPr id="10"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2"/>
                    <pic:cNvPicPr>
                      <a:picLocks noChangeAspect="1" noChangeArrowheads="1"/>
                    </pic:cNvPicPr>
                  </pic:nvPicPr>
                  <pic:blipFill>
                    <a:blip r:embed="rId7"/>
                    <a:srcRect/>
                    <a:stretch>
                      <a:fillRect/>
                    </a:stretch>
                  </pic:blipFill>
                  <pic:spPr>
                    <a:xfrm>
                      <a:off x="0" y="0"/>
                      <a:ext cx="2632075" cy="2289810"/>
                    </a:xfrm>
                    <a:prstGeom prst="rect">
                      <a:avLst/>
                    </a:prstGeom>
                    <a:noFill/>
                    <a:ln w="9525" cmpd="sng">
                      <a:noFill/>
                      <a:miter lim="800000"/>
                      <a:headEnd/>
                      <a:tailEnd/>
                    </a:ln>
                    <a:effectLst/>
                  </pic:spPr>
                </pic:pic>
              </a:graphicData>
            </a:graphic>
          </wp:inline>
        </w:drawing>
      </w:r>
    </w:p>
    <w:p>
      <w:pPr>
        <w:pStyle w:val="12"/>
        <w:spacing w:line="500" w:lineRule="exact"/>
        <w:ind w:right="22" w:firstLine="480"/>
        <w:jc w:val="center"/>
        <w:rPr>
          <w:rFonts w:hint="eastAsia" w:ascii="黑体" w:hAnsi="黑体" w:eastAsia="黑体" w:cs="黑体"/>
          <w:kern w:val="0"/>
          <w:sz w:val="24"/>
          <w:highlight w:val="none"/>
        </w:rPr>
      </w:pPr>
      <w:r>
        <w:rPr>
          <w:rFonts w:hint="eastAsia" w:ascii="黑体" w:hAnsi="黑体" w:eastAsia="黑体" w:cs="黑体"/>
          <w:kern w:val="0"/>
          <w:sz w:val="24"/>
          <w:highlight w:val="none"/>
        </w:rPr>
        <w:t>图5-1    2.5m高固滨笼墙式护岸结构图</w:t>
      </w:r>
    </w:p>
    <w:p>
      <w:pPr>
        <w:ind w:right="22" w:firstLine="480"/>
        <w:rPr>
          <w:rFonts w:hint="eastAsia" w:ascii="Times New Roman" w:hAnsi="Times New Roman"/>
          <w:highlight w:val="none"/>
        </w:rPr>
      </w:pPr>
    </w:p>
    <w:p>
      <w:pPr>
        <w:ind w:right="22" w:firstLine="480"/>
        <w:jc w:val="center"/>
        <w:rPr>
          <w:highlight w:val="none"/>
        </w:rPr>
      </w:pPr>
    </w:p>
    <w:p>
      <w:pPr>
        <w:ind w:right="22" w:firstLine="480"/>
        <w:rPr>
          <w:rFonts w:hint="eastAsia" w:ascii="Times New Roman" w:hAnsi="Times New Roman"/>
          <w:highlight w:val="none"/>
        </w:rPr>
      </w:pPr>
      <w:r>
        <w:rPr>
          <w:rFonts w:hint="eastAsia" w:ascii="Times New Roman" w:hAnsi="Times New Roman"/>
          <w:highlight w:val="none"/>
        </w:rPr>
        <w:t>绿滨垫坡式护岸防护布置于什字街河于屯村段，共计1394m，均为河道右岸。绿滨垫坡式护岸分为绿滨垫护坡和固滨笼护脚，绿滨垫护坡规格为3m×2m×0.3m，垂直高度为2.5m，护岸坡比为1：2.0，下铺砂砾垫层100mm及反滤土工布一道。固滨笼护脚规格为2m×1.0m×1.2m，底部高程低于冲刷深度，固滨笼底部依次设置砂砾垫层100mm及反滤土工布一道，背部铺设反滤土工布一道。</w:t>
      </w:r>
    </w:p>
    <w:p>
      <w:pPr>
        <w:ind w:right="22" w:firstLine="480"/>
        <w:rPr>
          <w:rFonts w:ascii="Times New Roman" w:hAnsi="Times New Roman"/>
          <w:highlight w:val="none"/>
        </w:rPr>
      </w:pPr>
      <w:r>
        <w:rPr>
          <w:rFonts w:hint="eastAsia" w:ascii="Times New Roman" w:hAnsi="Times New Roman"/>
          <w:highlight w:val="none"/>
        </w:rPr>
        <w:t>为增加护坡边缘的强度，绿滨垫在上游、下游边界处加厚，加厚采用2m×1.0m×1.2m固滨笼结构，加厚1.2m。</w:t>
      </w:r>
    </w:p>
    <w:p>
      <w:pPr>
        <w:ind w:right="22" w:firstLine="480"/>
        <w:jc w:val="center"/>
        <w:rPr>
          <w:rFonts w:eastAsia="黑体"/>
          <w:kern w:val="0"/>
          <w:sz w:val="24"/>
          <w:highlight w:val="none"/>
        </w:rPr>
      </w:pPr>
      <w:r>
        <w:rPr>
          <w:highlight w:val="none"/>
        </w:rPr>
        <w:drawing>
          <wp:inline distT="0" distB="0" distL="0" distR="0">
            <wp:extent cx="3554095" cy="1797050"/>
            <wp:effectExtent l="19050" t="0" r="8255" b="0"/>
            <wp:docPr id="1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3"/>
                    <pic:cNvPicPr>
                      <a:picLocks noChangeAspect="1" noChangeArrowheads="1"/>
                    </pic:cNvPicPr>
                  </pic:nvPicPr>
                  <pic:blipFill>
                    <a:blip r:embed="rId8"/>
                    <a:srcRect/>
                    <a:stretch>
                      <a:fillRect/>
                    </a:stretch>
                  </pic:blipFill>
                  <pic:spPr>
                    <a:xfrm>
                      <a:off x="0" y="0"/>
                      <a:ext cx="3554095" cy="1797050"/>
                    </a:xfrm>
                    <a:prstGeom prst="rect">
                      <a:avLst/>
                    </a:prstGeom>
                    <a:noFill/>
                    <a:ln w="9525" cmpd="sng">
                      <a:noFill/>
                      <a:miter lim="800000"/>
                      <a:headEnd/>
                      <a:tailEnd/>
                    </a:ln>
                    <a:effectLst/>
                  </pic:spPr>
                </pic:pic>
              </a:graphicData>
            </a:graphic>
          </wp:inline>
        </w:drawing>
      </w:r>
    </w:p>
    <w:p>
      <w:pPr>
        <w:pStyle w:val="12"/>
        <w:spacing w:line="500" w:lineRule="exact"/>
        <w:ind w:right="22" w:firstLine="480"/>
        <w:jc w:val="center"/>
        <w:rPr>
          <w:rFonts w:hint="eastAsia" w:ascii="黑体" w:hAnsi="黑体" w:eastAsia="黑体" w:cs="黑体"/>
          <w:kern w:val="0"/>
          <w:sz w:val="24"/>
          <w:highlight w:val="none"/>
        </w:rPr>
      </w:pPr>
      <w:r>
        <w:rPr>
          <w:rFonts w:hint="eastAsia" w:ascii="黑体" w:hAnsi="黑体" w:eastAsia="黑体" w:cs="黑体"/>
          <w:kern w:val="0"/>
          <w:sz w:val="24"/>
          <w:highlight w:val="none"/>
        </w:rPr>
        <w:t>图5-3    2.5m高绿滨垫坡式护岸结构图</w:t>
      </w:r>
    </w:p>
    <w:p>
      <w:pPr>
        <w:ind w:right="22" w:firstLine="480"/>
        <w:rPr>
          <w:rFonts w:ascii="Times New Roman" w:hAnsi="Times New Roman"/>
          <w:highlight w:val="none"/>
        </w:rPr>
      </w:pPr>
      <w:r>
        <w:rPr>
          <w:rFonts w:hint="eastAsia" w:ascii="Times New Roman" w:hAnsi="Times New Roman"/>
          <w:highlight w:val="none"/>
        </w:rPr>
        <w:t>截潜坝总坝高3.0m，下部与嵌入不透水层深度0.5m，上部2.5m至设计河底高程。截潜坝采用C30F200W4钢筋混凝土墙结构，墙厚0.4m，坝中间设1道伸缩缝，采用沥青木板厚2cm，止水采用651型橡胶止水带。截潜坝设置双侧φ12@200抗裂钢筋网。</w:t>
      </w:r>
    </w:p>
    <w:p>
      <w:pPr>
        <w:spacing w:line="490" w:lineRule="exact"/>
        <w:ind w:firstLine="420" w:firstLineChars="200"/>
        <w:rPr>
          <w:rFonts w:ascii="Times New Roman" w:hAnsi="Times New Roman"/>
          <w:szCs w:val="21"/>
          <w:highlight w:val="none"/>
        </w:rPr>
      </w:pP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1.2.2.1 规范标准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（1）《防洪标准》（GB50201-2014）；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（2）《水利水电工程等级划分及洪水标准》（SL252-2017）；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（3）《堤防工程设计规范》（GB50286-2013）；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（4）《堤防工程管理设计规范》（SL171-96）；</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（5）《河道整治设计规范》（GB50707-2011）；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（6）《水电工程水工建筑物抗震设计规范》（NB35047-2015）；</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（7）《堤防工程施工规范》（SL260-2014）；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（8）《水工挡土墙设计规范》（SL379-2007）；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（9）《水利水电工程边坡设计规范》（SL386-2007）；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（10）《生态格网结构技术规程》（CECS353:2013）；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（11）《土工合成材料应用技术规范》（GB/T50290-2014）；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（12）《中国地震动参数区划图》（GB18306-2015）；</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（13）其它有关的法规、条例、规范及技术要求。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1.2.2.2规范文件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（1）《辽宁省水库移民后期扶持项目管理办法》（辽水移[2023]188号）；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（2）《水利部关于进一步做好大中型水库移民后期扶持工作的通知》（水移民〔2018〕208号）；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（3）《水利部关于印发加强水库移民工作监督管理指导意见的通知》(水移民〔2019]365号)；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（4）《中共中央办公厅、国务院办公厅关于加强和改进乡村治理的指导意见》(2019年6月)；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（5）《中共中央国务院关于全面推进乡村振兴加快农业农村现代化的意见》(中发〔2021]1号)；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（6）《营口市十四五水库移民后期扶持规划报告》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1.2.2.3工程等级和标准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1.2.2.3.1防洪标准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河道规划防护标准为10年一遇。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1.2.2.3.2 工程级别</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按照现行国家标准《堤防工程设计规范》（GB50286-2013）的要求，建筑物工程级别为5级，设计地震烈度Ⅶ度。建筑物合理使用年限为15年。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1.2.3工程设计技术指标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（1）混凝土要求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混凝土采用C30商品混凝土，抗冻等级F200，抗渗等级W6。</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（2）石料要求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要求耐久性好、不易碎、无风化迹象，石料粒径宜大于150mm，石料强度不小于30MPa。</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（3）土方回填要求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根据《堤防工程设计规范》（GB50286－2013）规定，结合本工程等级，岸坡回填土相对密度不应小于0.60。</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（4）生态格网要求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固滨笼生态网格网孔为10cm×12cm,采用热镀锌低碳钢丝，网面钢丝直径2.5mm，边丝直径3.0mm，扎丝直径2.2mm，中间设1隔片。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绿滨垫生态网格网孔为8cm×10cm，采用热镀锌低碳钢丝，网面钢丝直径2.2m，边丝直径2.7mm，扎丝直径2.2mm，中间设3隔片。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钢丝直径2.2mm镀层重量不应小于215g/m²，钢丝直径2.5mm和2.7mm镀层重量不应小于230g/m²，钢丝直径3.0m镀层重量不应小于245g/m²。</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（5）滤水土工布</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根据《土工合成材料 短纤针刺非织造土工布》（GBT 17638－2017）规定，土工布标称断裂强度须达到15kN/m，纵横向断裂强度15kN/m，对应伸长率为20%-100%，顶破强力2.5kN，单位面积质量偏差率为±5%，幅度偏差率为-0.5%，厚度偏差率为±10%，等效孔径O90(O95)为0.07mm-0.20mm，垂直渗透系数为K（K=1.0-9.9）×（10-1-10-3）cm/s，纵横向撕破强力0.40kN。铺设施工要求符合《土工合成材料应用技术规范》（GB/T50290-2014）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1.2.4截潜坝工程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截潜坝工程布置在截取水量大，便于施工的河床，用于拦截潜流和抬高潜水位，以增大集取潜流的水量，其方向与潜流方向垂直。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于屯桥上430m处右岸有支沟汇入，于屯桥下河道无支沟汇入，且河道相对平坦。因此，截潜坝工程选址位于什字街河于屯桥下50m处，截潜坝长41m，左坝坐标X 4436308.007、Y 456628.034，右坝坐标X 4436272.715、Y 456607.161。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截潜坝总坝高3.0m，下部与嵌入不透水层深度0.5m，上部2.5m至设计河底高程。截潜坝采用C30F200W4钢筋混凝土墙结构，墙厚0.4m，坝中间设1道伸缩缝，采用沥青木板厚2cm，止水采用651型橡胶止水带。截潜坝设置双侧φ12@200抗裂钢筋网。</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1.2.5移民工程标识牌设计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工程结束后，在于屯村、鹰嘴石村分别设立移民工程标识牌。标识牌设置C30混凝土方墩，规格为长0.5×宽0.5×高0.5m，标识牌钢架选择镀锌管（DN40，壁厚3.5mm），牌面选择Q235钢板（长1.0×宽0.8m×厚2.5mm），反光膜选用PET材质，耐候性10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1.2.6土方施工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方开挖采用单斗挖掘机，斗容1m³，开挖土方为砂砾料，土类级别Ⅲ。挖掘机挖土后期利用回填量就近堆放至基坑外部，剩余土料采用就近平整。土方回填采用74KW拖拉机压实回填，边角部分采用2.8KW蛙式打夯机夯实。土方回填相对密度0.6。施工结束后剩余土料严禁河道内堆放阻碍行洪。</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河道治理工程如遇场地条件限制，护岸措施的背坡土方开挖坡比采取1:0.5，施工时要根据实际情况，保证边坡安全稳定再进行施工。土方开挖应从上层往下层分段依次进行，严禁自下往上或采取倒悬的开挖方法，施工过程中作成一定的坡势，以利排水，在开挖过程中要避免边坡稳定范围形成积水。土方在开挖过程中，要检查土料是否按规定堆放。定期测量校正开挖区的平面尺寸和标高，以及按施工要求检查开挖边坡的坡度和平整度。</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砂砾料采用分层铺料，分层碾压，全断面填筑完毕后，作削坡处理。淤泥、腐植土、粉细砂不得填筑，选择填筑砂砾料级配良好，最大粒径不宜大于80mm或铺土厚度的2/3，对较大砾石不满足要求时应予以剔除，填筑时不得发生粗料集中架空现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1.2.7土工织物施工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土工织物铺设前应进行复验，质量必须合格，有扯裂、蠕变、老化的土工织物均不得使用。铺设时并应避免张拉受力，折叠、褶皱等情况。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土工布由当地购进，采用人工铺设。施工前应进行施工场地平整，清除场地上的杂物。铺放时应平顺，松紧适度，并应与基面密贴。有损坏处应及时修补或更换，沿顺水流方向相邻片（块）搭接长度不小于0.5m。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布标称断裂强度须达到15kN/m，纵横向断裂强度15kN/m，对应伸长率为20%-100%，顶破强力2.5kN，单位面积质量偏差率为±5%，幅度偏差率为-0.5%，厚度偏差率为±10%，等效孔径O90(O95)为0.07mm-0.20mm，垂直渗透系数为K（K=1.0-9.9）×（10-1-10-3）cm/s，纵横向撕破强力0.40kN。</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1.2.8生态网箱工程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在土工布铺设完成后，采用人工铺设石笼网，人工选石、修石、砌筑、填缝、找平及封口。石料由石料场购进，场内运输采用机动翻斗车运输。石笼网为热镀锌低碳钢丝成品，由厂家直接购进，人工进行网箱内块石砌筑及封口，要求块石砌筑整齐、密实，错缝无通缝。网箱隔网为单层，隔网沿长度方向布置，间距1.0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网箱内填充物采用块石，填料要求耐久性好、不易碎、无风化迹象，块石料粒径D150～200mm为宜，填充后生态格网结构的空隙率不超过30％，石料强度应低于MU30。单体块石质量控制在10kg～30kg之间，任意长度最小粒径不小于15cm，无尖角、薄片。石料要求未尽事宜参照《生态格网结构技术规程》（CECS353：2013）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1.2.9混凝土施工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混凝土采用商品混凝土，钢筋混凝土强度等级为C30，混凝土抗渗等级W6，抗冻等级为F200。</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混凝土水平运输采用混凝土输送泵 输出量30m³/h直接入仓，人工平仓振捣，振动器选取1.1kw插入式。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混凝土从搅拌地点运至浇筑地点后应充分搅拌后再卸车，不允许任意加水，混凝土发生离析时，浇筑前应二次搅拌，已初凝的混凝土不应使用。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分层浇筑、振捣。混凝土下料点应分散布置。路面混凝土连续进行浇筑，间隔时间不超过2h。插入式振捣器移动间距不宜大于振捣器作用半径的1.5倍，一般应小于1250px，涵管两侧要振捣密实，不得漏振。每一振点的延续时间，以表面呈现浮浆和不再沉落为达到要求，避免碰撞钢筋、模板，发现有变形、移位，各有关工种相互配合进行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拆模常温时混凝土强度大于1MPa，常温及时喷水养护，混凝土浇筑完毕后进行洒水养护，养护时间不少于14天。在干燥、炎热气候条件下，养护时间不少于28天。混凝土未达到设计强度前禁止车辆通行，混凝土强度达到40%允许人通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工程模板采用钢模板，模板应无损伤，有足够的强度，内侧和顶、底面均应光洁、平整、顺直，局部变形不得大于3mm，振捣时模板横向最大挠曲应小于4mm，高度应与混凝土路面板厚度一致，误差不超过±2mm，纵缝模板平缝的拉杆穿孔眼位应准确，企口缝则其企口舌部或凹槽的长度误差为钢模板±1m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钢筋采用HPB300、HRB400级钢筋，根据厂家提供的钢筋质量证明书，检查每批钢筋的外表质量，并测量每批钢筋的代表直径；钢筋加工在钢筋加工厂进行，然后运至施工现场，钢筋加工严格按照设计图纸要求进行。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1.3发包人提供的施工图纸和文件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1.3.1发包人负责提供的施工图纸和文件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(1)由发包人负责设计的工程项目，应由监理人按本章第1.3.2条签订的供图计划提供施工图纸给承包人。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(2)发包人按合同约定向承包人提供的设计基本资料、材料样品、试验成果，以及根据合同要求提供的录像、照片、会议纪要等所有图纸、文件(包括软件、移动硬盘)和影像资料等，发包人不再另行收取费用。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1.3.2发包人供图计划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(1)发包人应在发出开工通知后5天内，与承包人共同商签发包人供图计划，经合同双方签订的供图计划作为合同的补充文件。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(2）不论何种原因调整和修订了合同进度计划，监理人应及时与承包人共同修订供图计划，并作为执行合同进度计划的补充文件。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(3)发包人应向承包人提供4份各类施工图纸，(包括设计修改图)。承包人可根据施工需要，要求增加提供图纸份数，并为增供的图纸支付费用。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1.3.3发包人提供施工图纸的期限</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(1)用于承包人编制施工进度计划和旌工总布置所需的工程枢纽总布置图和丰要工程建筑物布置图应在签署合同协议书后7天内提供给承包人。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(2)用丁各工程项目施工的工程建筑物结构布置图、体形图等施工图纸，应在该项目工程施工前5天提供给承包人。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(3)用于工程施工的开挖支护图、配筋图、细部设计图和浇筑图等施工图纸，应在该部位施工前5天提供给承包人。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（4）用于机电设备安装的安装总图及其有关的图纸和技术义件（包括由设备供货商提交的图纸和技术文件）应在机电设备安装开始前 28  天提供给承包人。用于机电设备安装的埋设件图纸应在安装埋设前28  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（5）用于金属结构的制作和安装的安装总图、分件图、安装说明书等图纸和文件，应在开始制作安装前28  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（6）用于安装监测仪器安装和埋设的施工图纸和技术文件应在开始安装埋设前28天提供给承包人。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1.3.4施工图纸的修改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(1)承包人收到发包人按上述第1.3-3条的规定提交旋工图纸后，应进行详细检查，若发现错误或表达不清楚时，应在收到图纸后的5  天内书面通知监理人。若监理人确认需要作出修改或补充时，应在接件后5  天内将修改和补充后的施工图纸重新提交给承包人。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(2)监理人发出施工图纸后，需要对某些工程设计进行修改和补充时，应在该部位开始施工5  天前及时签发设计修改图。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(3)若因施工情况紧急，监理人无法在上述规定的时间内签发修改施工图纸，可以临时发出施工图修改通知单，但应在此后的合理时限内补发正式施工图纸。</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1.4承包人提交的文件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1.4.1承包人文件的提交计划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应在签署协议书后5天内，根据监理人批准的合同进度计划，编制一份由项目经理签署的承包人文件提交计划，提交监理人审批，监理人应在收到该提交计划后的7天内批复承包人。承包人文件的内容应包括本章第1.4-2～1.4.5条规定的各项提交件，以及按合同约定应由承包人提交的其它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1.4.2承包人负责设计的临时工程图纸和文件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(1)由承包人负责设计的临时工程项目，应在该项目开工前5天，提交该项目的总布置图、结构详图及其设计依据，以及监理人认为需要提交的其它图纸和文件，提交监理人批准。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(2)承包人提交的上述临时工程项目的基本资料、试验成果、施工样品，以及所有图纸、文件和影像资料等，其所需的费用均包括在相关项目的报价中，发包人不另行支付。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1.4.3施工总进度计划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(1)承包人按本合同专用合同条款第10.1款要求提交的施工总进度计划，应采用关键线路法编制网络图。网络图应包括以下各项数据和内容，表述全部工程施工作业间的逻辑关系：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1)作业和相应节点编号；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2)各项施工作业问的衔接逻辑和协调关系；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3)持续时问：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4)最早开工及最早完工日期：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5)最迟开工及最迟完工同期；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6)总时差和自由时差：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7)主要项目施工强度曲线；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8)附需要资源和说明。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(2)承包人编制的施工总进度计划应满足本合同约定的各工程施工控制节点工期要求。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1.4.4施工总布置设计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(1)承包人应在收到开工通知后的7天内，将本合同工程的施工总布置设计文件，提交监理人批准。监理人应在签收后7天内批复承包人。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提交的施工总布置设计文件，其内容应包括施工总平面布置图、主要剖面图和设计说明书。承包人应按本技术条款第2章所列各项临时设施的设计和使用要求进行总平面布置，施工总布置的占地范围不得超过发包人划定的界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(3)承包人应按本技术条款第3章有关“施工安全措施”和第4章“环境保护和水土保持”的要求，保护好临时设施周围的边坡、冲沟、河道、河岸的稳定和安全。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1.4.5主要施工方法和措施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(1)承包人应在每项工程开始施工或安装前7天，编制各工程项目的施工方法和措施，提交监理人批准。监理人应在收到文件后的7天内批复承包人。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(2)承包人按监理人指示提交的施工方法和措施，应包括施工需要的浇筑图、车间加工图和安装图等施工文件。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1.4.6承包人文件的审批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(1)除合同另有约定外，凡须经监理人审批的承包人文件，应在收到文件后5天内批复承包人，逾期不批复，则视为已经监理人批准。监理人的审批意见包括：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1)同意按此执行；或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2)按修改意见执行；或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3)修改后重新提交；或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4)不予批准。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凡标有“按修改意见执行”或“修改后重新提交”的图纸和文件，应由承包人在收到批复件后7天内作出相应修改。所有修改都应由承包人在修改的图纸和文件上标明编号、日期以及说明修改范围和内容，并由承包人项目经理签字后，重新提交监理人批复，监理人应在图纸的角签部位和文件的签署栏签注处理意见后，发还承包人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(3)凡合同约定由承包人提交监理人批准的图纸和文件，必须由项目经理或其授权代表签名，否则均属无效。凡未经监理人按上述第1款规定签署的图纸和文件，均属无效。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1.5发包人提供的材料和工程设备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本合同工程发包人不提供任何材料和工程设备。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1.6承包人提供的材料和设备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1.6.1承包人提供的材料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(1)承包人提供的材料应由监理人按以下程序进行检查和验收：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1)查验证件：承包人应按供货合同的要求查验每批材料的发货单、计量单、装箱材料的合格证书、化验单以及其它有关图纸、文件和证件，并应将上述图纸，以及文件、证件的复印件提交监理人；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2)抽样检验：承包人应会同监理人按本合同约定和技术条款各章的有关规定进行材料抽样检验，检验结果应提交监理人。并对每批材料是否合格作出鉴定；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3)材料验收：经鉴定合格的材料方能验收，承包人应与监理人共同核对每批材料的品名、规格、数量，并作好记录，共同验点人库。</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(2)不合格材料的处理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经监理人查库发现的不合格材料，应禁止使用，并清除出场。承包人违约使用了不合格材料，应按本合同约定予以清除或返工至合格为止。</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(3)代用材料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承包人申请代用材料，应将代用材料的技术标准、质量证明书和试验报告提交监理人。经监理人批准后，才能采用代用材料。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1.6.2承包人提供的工程设备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合同约定由承包人负责采购和安装的工程设备，应由承包人将工程设备的订货清单提交监理人批准。承包人应按监理人批准的工程设备订货清单办理订货，并应将订货协议副本提交监理人。承包人应承担工程设备的采购、验收、运输和保管的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1.6.3承包人施工设备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(1)承包人应在签署合同协议书后5天内，提交一份为完成本合同各项工作所需的施工设备清单，提交监理人批准。施工设备清单的内容应包括：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1)新购设备的生产厂家、品名、型号、规格、主要性能、数量和预计进场时间，承包人应向监理人提交新购置主要施工设备的订货协议复印件；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2)旧施工设备的购置时间、残值、运行和检修记录以及维修保养证书等；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3)租赁设备的购置时间、租赁期限、租赁价格、运行检修记录以及维修保养证书等。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(2)承包人配置的旧施工设备(包括租赁的旧设备)，应由监理人进行检查，并须进行试运行，确认其符合使用要求后方可投人使用。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承包人施工设各进场后，监理人应按承包人提供的施工设备清单，仔细核查进场施工设备的数量、规格和性能是否符合施工进度计划和质量控制的要求，监理人有权索取必要的施工设备资料，如发现进场的施工设备不能满足施工要求时，监理人有权责令撤换。</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1.6.4不合格的材料和工程设备的处理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由于承包人使用了不合格材料和工程设备造成了工程损害，监理人可要求承包人立即采取措施进行补救，直至彻底清除工程的不合格部位以及不合格的材料或工程设备，由此增加的费用和工期延误责任由承包人承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1.7进度计划的实施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1.7.1施工总进度实施措施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承包人应按监理人根据本章第1.4.3条要求批准的施工总进度实施计划，编制详细的施工总进度计划的实施措施，提交监理人批准。实施措施应说明以下内容：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(1)各永久工程和临时工程项目按期完成的年、月工程量计划和各年度形象面貌。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(2)主要物资材料(如钢材、钢筋、木材、水泥、粉煤灰、外加剂、砂石骨料、土料和石料、用水和用电等)使用计划及主要材料订货安排。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(3)施工现场各类人员配备和劳务计划。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(4)工程设备的订货、交货计划。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(5)其它说明。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1.7.2年进度计划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承包人应在每年12月，将下年度的进度计划，提交监理人批准，其内容包括：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(1)计划完成的年工程量及其施工面貌。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(2)该年旋工所需的机具、设备、材料的数量和需要补充采购的计划。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(3)要求发包人提供的施工图纸计划。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(4)提出发包人和其它承包人提供工程设备预埋件的计划要求。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(5)该年施工工作面移交计划日期和要求其它承包人提供工作面的计划日期。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(6)该年各施工工程项目的试验检验计划。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(7)工程安全措施实施计划等。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1.7.3季、月进度计划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监理人认为有必要时，可要求承包人向监理人提交季、月进度计划，其内容包括：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(1)季、月工程量及其施工面貌。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(2)该季、月所需施工设备数量及材料用量。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(3)该季、月发包人应提供的施工图纸目录等。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1.7.4月、周进度报告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(1)承包人应在每月底按批准的格式，向监理人提交月进度实施报告，其内容包括：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1)月完成工程量和累计完成工程量(包括永久工程和临时工程)：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2)月完成的工程面貌图；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3)材料实际进货、消耗和库存量；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4)现场施工设备的投运数量和运行状况；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5)工程设备的到货情况；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6)劳动力数量(木月及预计未来3个月劳动力的数量)；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7)当前影响施工进度计划的因素和采取的改进措施；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8)质量事故和质量缺陷处理纪录，质量状况评价；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9)安全施工措施实施情况(包括安全事故处理情况)；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10)环境保护及水土保持措施实施情况。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月进度报告应附有一组充分显示工程施工面貌与实际进度相对应的定点摄影照片。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(2)承包人应在每周进度会议上按批准的格式，向监理人提交周进度报表，其内容包括：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1)上周之前合同进度计划要求和实际完成工程量和累计完成工程量统计；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2)上周实际完成工程量统计；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3)下周计划完成的工程量；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4)要求监理人协调解决的主要问题。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1.7.5进度会议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(1)监理人应在每周的某一日和每月末定期召开周、月进度会议，检查承包人合同进度计划的执行情况，协调解决工程施工中发生的工程变更、质量缺陷处理等问题，以及与其它承包人的相互干扰和矛盾。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(2)承包人应在每周、月进度会议上按规定的格式提交周、月进度报表。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1.8工程质量的检查、检验和验收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1.8.1承包人的质量自检</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(1)承包人应在收到开工通知后的5天内，向监理人提交本工程质量保证措施文件，其内容包括：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1)质量检查机构的组织框图；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2)质量检查的岗位设置及检查人员名单；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3)各主要工程建筑物施工，以及各施工工种的质量检查程序；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4)隐蔽工程和工程隐蔽部位的质量检查程序；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5)质量检查记录及验收单格式。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(2)承包人应按监理人指示和批准的格式，编制工程质量报表，定期提交监理人。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(3)工程发生质量事故时，承包人应约请监理人共同对工程质量事故进行检查，做好质量事故检查的同期记录和事故处理的自检报告。自检报告应提交监理人。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1.8.2监理人的质量检查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(1)监理人为检查工程和工程设备质量的需要，可要求承包人提交材料质量和设备出厂合格证、材料试验和设备检测成果、施工和安装记录等，承包人应及时予以提供。</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(2)监理人有权要求承包人按合同约定提供试验用的材料样品或在现场钻取试件，并使用承包人的测试设备进行试验检验；监理人还可要求承包人进行补充的试验检验。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1.8.3发包人的完工预验收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在施工过程中，发包人(或监理人)应会同承包人和有关部门，根据本合同技术条款的规定，对完工的工程项目进行检查验收。检查合格后，发包人、监理人、承包人及有关各方均应在检查验收单上签字后，作为工程完工预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(2)承包人完成每项单位工程和分部工程后，发包人和(或)监理人应组织承包人及有关各方进行完工预验收。承包人应按技术条款的规定与完工验收要求参加验收各方共同签字后，作为工程竣工验收资料。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1.9.1专项验收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(1)专项验收是指与国家和地方有关的环境保护、水土保持、工程档案等的专项工程验收。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(2)专项验收可与工程竣工验收一并进行，其工程竣工验收资料.的整编内容可参照本章第1.9.3条的要求进行。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1.9.2阶段验收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根据国家对工程施工过程的安全管理需要，由发包人确定丁程建设的阶段验收项目。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1.9.3工程竣工验收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(1)工程竣工验收应遵守《水利工程建设项目验收管理规定》  水利部30号令《水利水电建设工程验收规程》(SL223--2008)的规定。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(2)各项单位工程、分部工程完工后，承包人应按本合同的约定，向发包人提交该项验收工程的竣工验收申请报告。发包人收到竣工验收申请报告后，应按合同约定的程序和时限完成验收工作。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(3)各项工程竣工验收前，承包人应整编以下竣工验收资料提交发包人，其内容包括(不限于)：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1)验收工程的各项施工材料的试验检验成果：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2)监理人对验收工程及其工程设备的质量检查记录；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3)施工过程中，本项工程及其工程设备的变更文件及资料；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4)质量事故记录以及工程及其工程设备的缺陷处理报告；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5)施工过程中，对验收工程质量的专题评定报告；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6)质量监督机构签认的质量鉴定报告和有关文件；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7)验收工程施工期的安全监测成果，以及工程设备的试运行检测成果；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8)监理人指示提交的其它竣工验收资料。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(4)工程竣工验收应在工程建设项目全部完成，各单位工程、分部工程和单项工程的竣工验收全部合格，并已满足一定运行条件后1年内进行。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(5)工程竣工验收应由发包人向国家主管部门提出工程竣工验收申请，并经国家主管部门批准后，由国家主管部门主持、发包人组织进行。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1.10工程量计量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1.10.1说明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(1)本合同工程项目应按本合同通用和专用合同条款第17条的约定进行计量。计量方去应符合本技术条款各章的有关规定。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(2)承包人应保证自供的一切计量设备和用具符合国家度量衡标准的精度要求。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(3)除合同另有约定外，凡超出施工图纸所示和合同技术条款规定的有效工程量以外的超挖、超填工程量，施工附加量，加工、运输损耗量等均不予计量。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根据合同完成的有效工程量，由承包人按施工图纸计算，或采用标准的计量设备进行秤量，并经监理人签认后，列人承包人的每月完成工程量报表。当分次结算累计工程量与按完成施工图纸所示及合同文件规定计算的有效工程量不一致时，以按完成施工图纸所示及合同文件规定计算的有效工程量为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(5)分次结算工程量的测量工作，应在监理人在场的情况下，由承包人负责。必要时，监理人有权指示承包人对结算工程量重新进行复核测量，并由监理人核查确认。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1.10.2重量计量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(1)按施工图纸所示计算的有效重量以吨或千克为单位计量。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(2)凡以重量计量并需秤量的材料，由承包人合格的测量人员使用经国家计量监督部门检验合格的秤量设备，根据合同约定，在监理人指定的地点进行秤量。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1.10.3面积计量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按施工图纸所示施工轮廓尺寸或结构物尺寸计算的有效面积以平方米为单位计量。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1.10.4体积计量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按施工图纸所示施工轮廓尺寸或结构物尺寸计算的有效体积以立方米为单位计量。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1.10.5长度计量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按施工图纸所示施工轮廓尺寸或结构物尺寸计算的有效长度以米为单位计量。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1.11引用技术标准和规程规范的规定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1.11.1遵守国家和行业标准的强制性规定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技术条款中有关工程等级、防洪标准和工程安全鉴定标准等涉及工程安全的施工安装技术要求及其验收标准，必须严格遵守国家和行业标准中的强制性规定。遇有矛盾时，应由监理人按国家和行业标准的强制性规定进行修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1.11.2引用标准和规程规范以最新版本为准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新技术条款中引用的标准和规程规范均标有出版年代，引用截止期为2009年底，应用时执行国家和各行业最新出版的版本。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1.12工程保险</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1.12.1投保险种</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发包人和承包人应按本合同通用合同条款第20条的约定投保以下险种：</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(1)建筑安装工程一切险(包括材料和工程设备，以发包人和承包人共同名义投保)；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(2)人员工伤事故险(按各自管辖的人员投保)：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(3)人身意外伤害险(按各自管辖的人员投保)；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(4)第三者责任险(按各自管辖区，以发包人和承包人共同名义投保)；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(5)施工设备险(由承包人负责投保)。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1.12.2保险费用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(1)本合同约定由发包人负责投保建筑安装工程一切险，承包人不需列报。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人员的工伤事故险和人身意外伤害险应由承包人按本合同通用合同条款第20.2款、第20.3款约定的责任和内容，为全部现场施工人员办理保险，保险费用含在《工程量清单》有关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(3)承包人管辖区内的第三者责任险应由承包人根据本合同通用合同条款第20.4款约定的责任和内容投保，其费用含在《工程量清单》有关项目的工程单价或总价中，发包人不另行支付。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(4)施工设备险由承包人负责投保，保险费用包括在施工设备运行费内。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 工程价款支付方法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1.13.1　单价支付项目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除合同另有约定外，承包人在《工程量清单》以单价形式列报的所有工程项目，发包人均按《工程量清单》相应项目的工程单价支付。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1.13.2　一般总价支付项目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除合同另有约定外，承包人在《工程量清单》以总价形式列报的所有工程项目，发包人均按《工程量清单》相应项目(不包括以总价形式列报的暂列金额)的总价支付。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1.13.3　特殊约定的总价支付项目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(1)保险费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发包人按本章第1.12节规定支付。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(2)其它费用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施工临时设施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 应用范围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本章规定适用于本合同工程施工临时设施的设计、施工及其附属设备的采购和配置、安装、运行、维护、管理和拆除等全部工作。其工作项目包括：现场施工测量、现场试验、施工交通、施工供电、施工供水、施工供风、施工照明、施工通信、邮政服务、砂石料料物开采加工系统、混凝土生产系统、机械修配厂、加工厂、仓库、存料场、弃料场以及施工现场办公和生活建筑设施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2.1.2 承包人责任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承包人应按本章第2.2节、第2.3节的规定，负责本工程的现场施工测量和现场试验工作。并对其提供的测量和试验成果负全部责任。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承包人应负责修建完成本章第2.4~2.15节所列的各项施工临时设施，并在各项永久工程建筑物施工前，完成全部施工临时设施及其附属设备的安装和试运行。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承包人应按发包人提供的施工交通规划及本章第2.4节的规定，负责场内施工临时道路及其交通设施、设备的设计、施工、采购和配置、安装、运行和维护。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承包人应按本章第2.5~2.9节的规定，负责设计和配置施工供水、供电、供风通信等施工临时设施。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(5) 承包人应按本章第2.10~2.14节的规定，负责设计、建造砂石料加工系统、混凝土生产系统、钢筋加工、机械修配加工、汽车修理保养、仓储设施、弃渣场等的临时生产设施。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承包人应按本章第2.15节的规定，负责现场办公和生活建筑等临时设施的规划、布置、设计、施工和维护，并应对现场办公和生活建筑物的使用安全负责。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2.1.3 主要提交件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承包人应按本技术条款第1.4.2条，以及批准的施工总布置设计和本章第2.4~2.15节的规定，编制各项施工临时设施的设计文件，提交监理人批准。其内容包括：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施工临时设施布置图；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施工工艺流程和(或)施工程序说明；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安全和环境保护措施；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施工期运行管理方式。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2.1.4 引用标准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(1)《生活饮用水卫生标准》（GB5749-2006）；</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(2)《水工建筑物地下开挖工程施工规范》（SL378-2007）；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(3)《水利水电工程施工组织设计规范》（SL303-2004）；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(4)《水利水电工程施工测量规范》（SL52-2003）。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2.2 现场施工测量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2.3 现场试验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 施工交通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2.4.1 场内施工道路</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本合同约定由发包人提供的施工道路外，承包人应负责修建本合同施工区内自发包人提供的道路至各施工点的全部施工道路、桥涵和停车场，并在合同实施期间负责管理和维护（包括管理和维护发包人提供的施工道路）。</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2.4.2 场外公共交通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 施工供电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2.5.1 施工电源</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除合同另有约定外，本合同工程的一切施工供电设施均由承包人自行解决。</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承包人应负责设计、施工、采购、安装、调试、管理和维修由发包人施工电源输出端的接口处至所有施工区和生活区的输电线路、配电所及其全部配电装置和功率补偿装置。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承包人应为其出现停电事故后急需恢复用电的重要工程部位(如基坑抽水、补救中断的混凝土浇筑、混凝土温控冷却水、办公和生活区的安全照明等)配备一定容量的事故备用电源，为紧急供电之用。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2.5.2 施工用电计划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承包人应在每年末、每季开始前　14　天向监理人提供下一年、各季度和各月的施工用电计划，并按监理人批准的用电计划执行。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2.6 施工供水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承包人应自行解决水源，负责提供本合同工程的施工和生活用水，其供水系统的总供水能力应不小于承包人每天所需的总用水量，水质应符合GB5749-2006有关的规定。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承包人应按本合同施工总布置的要求，负责设计、施工、采购、安装、管理和维修其施工区和生活区的供水系统，包括修建为保证正常供水的引水、储水和水处理设施等。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负责向发包人和监理人提供现场办公和生活用水，包括引向发包人和监理人办公地点和生活区的引水、储水和水处理设施及其设备、设施的施工、安装和日常维修等工作。上述供水设施建设和日常供水费用包括在供水项目的总价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为进入现场的其它承包人提供施工和生活用水方便，具体提供措施和收费办法由双方协商确定。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2.7 施工供风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承包人应负责提供本合同工程所需的施工供风，包括负责施工供风系统的设计、建造、运行管理和维护。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2.8 施工照明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承包人应负责设计、施工、采购、安装、管理和维修其工程所有施工作业区、办公区和生活区以及相关的道路、桥涵内的施工区照明线路和照明设施。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承包人应按监理人指示，为进入现场工作的其它承包人施工和生活用电提供方便。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2.9 施工通信和邮政服务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除合同另有约定外，承包人应自行与当地电信部门协商获得通信接口，其通信接口外的一切通信设施均由承包人自行解决。</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承包人应自行负责设计、施工、采购、安装、管理和维修其施工现场内部的通信服务设施。承包人应为发包人和其它承包人使用其内部通信设施提供方便。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承包人应自行与当地邮政部门协商解决其施工现场邮政服务事宜。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2.10 砂石料场开采加工系统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2.10.1 承包人自建砂石料加工系统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承包人应负责提供本合同工程施工所需的全部砂石料，并负责砂石料加工系统的设计和施工以及开采加工设备的采购、安装、调试、运行、管理和维护。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承包人应按批准的施工进度计划和各种砂石料和土料的需用量确定各项加工设备的生产能力和规模，进行加工、储存和供料平衡，并应满足高峰用量的要求。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 混凝土生产系统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承包人应按施工图纸和本合同技术条款规定的温控要求，负责混凝土制冷（热）系统的设计和施工，并负责制冷（热）设备的采购、安装、调试、运行管理和维修。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2.12 临时工厂设施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承包人应按批准的施工总进度和施工图纸的要求，修建以下临时工厂设施，并各工厂设施施工前，将临时工厂设施的设计文件提交监理人批准。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钢筋加工厂；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木材加工厂；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混凝土构件预制工厂；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机械修配工厂；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汽车保养站；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钢结构加工厂（包括预装配场地）。</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2.13 仓库和堆、存料场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承包人应按批准的施工组织设计和合同进度计划的要求，修建本工程的仓库和堆、存料场，并在开始施工前，将仓库和堆、存料场的设计图纸与文件提交监理人批准。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承包人应负责本合同工程所需的各项材料和设备仓库的设计、修建、管理和维护。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除合同另有约定外，储存炸药、雷管和油料等特殊材料仓库应按监理人批准的地点进行布置和修建，并应严格遵守国家有关安全管理的规定。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2.14 弃渣场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承包人应按监理人批准的环境保护措施计划，在弃渣场周围及场地内设置防洪和排水设施，防止冲刷弃渣，造成水土流失。</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 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2.15.1 承包人临时生产管理和生活设施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除合同另有约定外，承包人应负责其施工需要的全部临时生产管理与生活设施的设计、建造及其设备的采购、安装、管理和维护等。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承包人应在收到开工通知后的　14　天内，按发包人批准的施工规划总布置，向监理人编制一份临时生产管理和生活设施的布置和房屋建筑物设计的图纸和文件提交监理人批准。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2.15.2 发包人提供临时生产管理和生活设施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发包人可将已建成的办公管理和生活房屋建筑及其设施提供给承包人使用。具体管理办法由发包人和承包人另行签订协议。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 计量和支付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 现场施工测量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现场施工测量（包括根据合同约定由承包人测设的施工控制网、工程施工阶段的全部施工测量放样工作等）所需费用包含在《工程量清单》相应项目的工程单价或总价中，发包人不另行支付。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2.16.2 现场试验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现场室内试验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承包人现场试验室的建设费用，包含在《工程量清单》相应项目的工程单价或总价中，发包人不另行支付。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现场工艺试验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除合同另有约定外，现场工艺试验所需费用，包含在《工程量清单》相应项目的工程单价或总价中，发包人不另行支付。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现场生产性试验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除合同约定的大型现场生产性试验项目由发包人按《工程量清单》所列项目的总价支付外，其它各项生产性试验费用均包含在《工程量清单》相应项目的工程单价或总价中，发包人不另行支付。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2.16.3 施工交通设施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除合同另有约定外，承包人根据合同要求完成场内施工道路的建设和施工期的管理维护工作所需的费用，均包含在其他临时工程中，发包人不另行支付。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场外公共交通的费用，除合同约定由承包人为场外公共交通修建和（或）维护的临时设施外，承包人在施工场地外的一切交通费用，均由承包人自行承担，发包人不另行支付。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承包人承担的超大、超重件的运输费用，均由承包人自行负责，发包人不另行支付。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2.16.4 施工及生活供电设施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除合同另有约定外，承包人根据合同要求完成施工用电设施的建设、移设和拆除工作所需的费用，所需费用包含在《工程量清单》相应项目的工程单价或总价中，发包人不另行支付。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2.16.5 施工及生活供水设施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除合同另有约定外，承包人根据合同要求完成施工及生活供水设施的建设、移设和拆除工作所需的费用，所需费用包含在《工程量清单》相应项目的工程单价或总价中，发包人不另行支付。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2.16.6 施工供风设施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除合同另有约定外，承包人根据合同要求完成施工供风设施的建设、移设和拆除工作所需的费用，所需费用均包含在其他临时工程中，发包人不另行支付。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2.16.7 施工照明设施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除合同另有约定外，承包人根据合同要求完成施工照明设施的建设、移置、维护管理和拆除工作所需的费用，所需费用包含在其他临时工程中，发包人不另行支付。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2.16.8 施工通信和邮政设施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除合同另有约定外，承包人根据合同要求完成现场施工通信和邮政设施的建设、移设、维护管理和拆除工作所需的费用，所需费用均包含在其他临时工程中，发包人不另行支付。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2.16.9 砂石料生产系统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除合同另有约定外，承包人根据合同要求完成砂石料生产系统的建设和拆除工作所需的费用，已包含在相应项目的单价中，发包人不另行支付。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2.16.10 混凝土生产系统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除合同另有约定外，承包人根据合同要求完成混凝土生产系统的建设和拆除工作所需的费用，包含在《工程量清单》相应的混凝土工程单价或总价中，发包人不另行支付。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2.16.11 附属加工厂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除合同另有约定外，承包人根据合同要求完成附属加工厂的建设、维护管理和拆除工作所需的费用，所需费用均包含在其他临时工程中，发包人不另行支付。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2.16.12 仓库和存料场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除合同另有约定外，承包人根据合同要求完成仓库或存料场的建设、维护管理和拆除工作所需的费用，所需费用均包含在其他临时工程中，发包人不另行支付。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2.16.13 弃渣场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除合同另有约定外，承包人根据合同要求完成弃渣场的建设和维护管理等工作所需的费用，所需费用包含在《工程量清单》相应项目的工程单价或总价中，发包人不另行支付。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2.16.14 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除合同另有约定外，承包人根据合同要求完成临时生产管理和生活设施的建设、移设、维护管理和拆除工作所需的费用，所需费用包含在《工程量清单》相应项目的工程单价或总价中，发包人不另行支付。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2.16.15 其它临时设施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未列入《工程量清单》的其它临时设施，承包人根据合同要求完成这些设施的建设、移置、维护管理和拆除工作所需的费用，包含在相应永久工程项目的工程单价或总价中，发包人不另行支付。</w:t>
      </w:r>
    </w:p>
    <w:p>
      <w:pPr>
        <w:spacing w:line="490" w:lineRule="exact"/>
        <w:ind w:firstLine="420" w:firstLineChars="200"/>
        <w:rPr>
          <w:rFonts w:ascii="Times New Roman" w:hAnsi="Times New Roman"/>
          <w:szCs w:val="21"/>
          <w:highlight w:val="none"/>
          <w:lang w:val="zh-CN"/>
        </w:rPr>
      </w:pPr>
    </w:p>
    <w:p>
      <w:pPr>
        <w:spacing w:line="490" w:lineRule="exact"/>
        <w:ind w:firstLine="420" w:firstLineChars="200"/>
        <w:rPr>
          <w:rFonts w:ascii="Times New Roman" w:hAnsi="Times New Roman"/>
          <w:szCs w:val="21"/>
          <w:highlight w:val="none"/>
          <w:lang w:val="zh-CN"/>
        </w:rPr>
      </w:pP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 施工安全措施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3.1.1 应用范围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本章适用于水利工程施工现场的安全管理工作包括：现场施工劳动保护、爆破作业、照明、场内交通、消防施工作业保护、洪水和气象灾害保护、施工安全监测等。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3.1.2 承包人责任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承包人应按本合同通用合同条款第9.2款的约定和《水利水电工程施工通用安全技术规程》(SL398-2007)的规定履行其安全施工职责，对本工程的施工安全负责。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坚持“安全第一，预防为主”的方针，建立、健全安全生产责任制度，制定各项安全生产规章制度和操作规程，建立完善的施工安全生产设施，健全安全生产保证体系，加强监督管理，切实保障全体人员的生命和财产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承包人应加强对职工进行施工安全教育，应按本章第3.2节规定的内容，编印安全保护手册发给全体职工。工人上岗前应进行安全操作的培训和考核。合格者才准上岗。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承包人必须遵守国家颁布的有关安全规程。若承包人责任区内发生重大安全事故时，承包人应立即报告发包人，并在事故发生后24小时内提交事故情况的书面报告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(5) 承包人应为施工作业人员配置必需的劳动保护用品。承包人应对其施工安全措施不到位而发生的安全事故承担责任。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承包人应负责全部施工作业的安全检查，建立专门的安全检查机构，配备专职的安检人员，进行经常性的安全生产检查，并及时作好安全记录。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3.1.3 主要提交件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承包人应在本工程开工前　5　天，根据《中华人民共和国安全生产法》、《中华人民共和国消防法》、《中华人民共和国道路交通安全法》、《中华人民共和国传染病防治法》、《水利工程建设安全生产管理规定》等国家行业和地方有关法规，以及本章第3.2.1条规定的内容和要求，编制一份施工安全措施计划，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承包人应在每年、每季和每月的进度报告中，按本章规定的各项安全工作内容，详细说明本工程安全措施计划的实施情况，以及按规定的格式提交安全检查和事故处理记录。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3.1.4 引用的法律法规</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《水利工程建设安全生产管理规定》；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《安全技术措施计划的项目总名称表》；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《中华人民共和国道路交通安全法》；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《中华人民共和国安全生产法》；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《中华人民共和国消防法》；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《中华人民共和国传染病防治法实施办法》；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《中华人民共和国食品卫生法》；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《中华人民共和国劳动法》。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3.1.5 引用标准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《爆破安全规程》（GB6722-2003）；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《安全标志及其使用导则》（GB2894-2008）；</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《水利水电工程施工通用安全技术规程》（SL398-2007）；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《水利水电工程金属结构与机电设备安装安全技术规程》（SL400-2007）；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《职业健康安全管理体系规范》（GB/T28001-2011）。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 施工安全措施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 施工安全措施计划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章第3.1.3条的规定提交施工安全措施计划，其内容应包括施工安全机构的设置、专职安全人员的配备，以及防洪、防火、防毒、防噪声、防爆破烟尘、救护、警报、治安和炸药管理等。施工安全措施的项目和范围，还应符合国家颁发的《安全技术措施计划的项目总名称表》及其附录H、I、J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3.2.2 劳动保护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承包人应定期向所有现场施工人员发放安全帽、水鞋、雨衣、手套、手灯、防护面具和安全带等劳动保护用品，以及特殊工种作业人员的劳动保护津贴和营养补助等。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按《中华人民共和国劳动法》的有关规定安排现场作业人员的劳动和休息时间，加班时间不得超过《中华人民共和国劳动法》第四章的规定。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3.2.3 伤病防治和卫生保健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 承包人应在施工现场设置医疗卫生机构，负责施工人员的伤病防治和卫生保健工作。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施工人员进入生活区和作业面前，应对环境进行卫生清理，以及采取消毒、杀虫、灭鼠等卫生措施，并对饮用水进行消毒。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 及时做好病源和疫情监测。一旦发现疫情，应立即采取措施控制感染源和感染者。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 职工食堂应严格执行《中华人民共和国食品卫生法》的有关规定。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 所有传染病人、病原携带者和疑似病人一律不得从事易于使该病传播的工作。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3.2.4 危险物品的安全管理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承包人运输和存放爆破器材，应遵守SL398-2007第8.3.3条、第8.3.4条的规定；油料的运输和管理应遵守SL398-2007第11.5节的规定。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3.2.5 照明安全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承包人应在施工作业区、施工道路、临时设施、办公区和生活区设置足够的照明，布置照明设施符合相关规范的规定。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3.2.6 接地及防雷装置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接地及防雷装置应符合SL398-2007第4.2节接地（接零）与防雷规定的要求。凡可能漏电伤人或易受雷击的电器及建筑物均应设置接地或防雷装置。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3.2.7 防有毒，有害物品的控制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承包人应遵守SL378-2007第11.3节防尘、有害气体的规定。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3.2.8 爆破作业安全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承包人的施工爆破作业应严格遵照GB6722-2003及国家有关爆破安全管理的规定、承包人应对爆破造成的工程和人身损害和财产损失承担责任。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对实施电引爆的作业区，承包人应采用必要的特殊安全装置，以防止暴风雨时的大气或邻近电气设备放电的影响。特殊安全装置应经过试验证明其确保安全可靠时方可使用。试验报告应提交监理人。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当承包人的现场爆破作业对其它承包人的施工造成干扰及影响临近设施和人员的安全时，应由监理人协调解决、现场爆破时，各方均应服从爆破作业指挥人员的命令。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3.2.9 消防</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承包人应遵守《中华人民共和国消防法》，并负责其自己辖区内的消防工作。承包人应对其辖区内发生的火灾及其造成的人员伤亡和财产损失负责。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SL398-2007第3.5节的规定，建立现场消防组织，配置必要的消防专职人员和消防设备器材。消防设备的型号和功率应满足消防任务的需要。在现场配备必要的灭火器材、设置防火警示标志，保持畅通的消防通道。</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承包人应对职工进行经常性的消防知识教育和消防安全训练，消防设备器材应经常检查和保养，使其处于良好的待命状态。</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承包人应制定经常性的消防检查制度，划分施工现场的防火责任区。承包人的消防专职人员应定期检查各施工现场，以及办公与生活区的消防安全，特别是用电安全。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3.2.10 洪水和气象灾害的防护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做好水情和气象预报工作。承包人应向发包人或地方主管水文、气象预报工作的部门获取工程所在区域短、中、长期水文、气象预报资料。一旦发现有可能危及工程和人身财产安全的灾害预兆时，应立即采取确保安全的有效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每年汛前，承包人应编制防洪度汛预案，并按《水利水电工程施工通用安全技术规程》(SL398-2007)第3.6节、第3.7节的规定，制定切实可行的预防和减灾措施。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3.2.11 安全标志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承包人应按GB2894-2008的要求，在施工区内设置一切必需的安全标志，其标志类型包括：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禁止标志；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警告标志；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指令标志；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提示标志。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承包人应负责保护施工区内的所有标志，并按监理人指示补充或更换失效的标志。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3.2.12 施工安全监测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有关施工期的安全监测详见本技术条款第16章。</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 应急救援措施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3.3.1 事故应急救援预案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承包人应制定生产安全事故的应急救援预案，应急救援预案应能随时紧急调动应救人员，救援专职人员应定期组织演练。</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发生事故后，承包人应按应急救援要求，配备必需的应急救援器材和设备，并及时将应急救援的措施报告提交监理人。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3.3.2 伤亡事故处理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施工过程中，若发生施工生产人员或第三者人员的伤亡事故时，承包人应按本合同通用合同条款第9.5款的约定，及时进行处理，并立即报告监理人。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发生重大伤亡或特大事故时，承包人必须保护事故现场，立即报告发包人和当地政府的安全管理部门，并在当地政府的支持和协助下，按国家有关规定妥善处理好事故。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事故处理结案后，承包人应向公众张榜告示处理事故结果。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3.3.3 预防自然灾害措施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施工期间一旦发生洪水、或可能危及人身财产安全事故的预兆时，承包人应立即采取有效的防灾措施，确保工程人员和财产的安全。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一旦发生安全事故，承包人应立即按其安全职责分工，组织人员、设备和物资，尽快制止事故发展，及时消除隐患，划定警戒范围，并在最短时间内组织好人员、车辆和设备的疏散，避免再次发生人员伤亡和财产损失。</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保护好事故现场，为事故调查分析提供直接证据，做好现场标志和书面记录，绘制现场简图，并妥善保存现场重要痕迹、物证，必要时应对事故现场和伤亡情况进行录像或拍照，待事故调查部门有明确指令后，才能清除事故现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3.4 计量和支付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直接属于具体工程项目的安全文明施工措施费，应包含在《工程量清单》各具体工程项目有效工程量的工程单</w:t>
      </w: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宋体" w:hAnsi="宋体"/>
          <w:bCs w:val="0"/>
          <w:color w:val="000000"/>
          <w:sz w:val="51"/>
          <w:szCs w:val="31"/>
          <w:highlight w:val="none"/>
        </w:rPr>
      </w:pPr>
      <w:bookmarkStart w:id="614" w:name="_Toc49870009"/>
      <w:bookmarkStart w:id="615" w:name="_Toc16271"/>
      <w:r>
        <w:rPr>
          <w:rFonts w:hint="eastAsia" w:ascii="宋体" w:hAnsi="宋体"/>
          <w:bCs w:val="0"/>
          <w:color w:val="000000"/>
          <w:sz w:val="51"/>
          <w:szCs w:val="31"/>
          <w:highlight w:val="none"/>
        </w:rPr>
        <w:t>第 三 卷</w:t>
      </w:r>
      <w:bookmarkEnd w:id="614"/>
      <w:bookmarkEnd w:id="615"/>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16" w:name="_Toc49870010"/>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17" w:name="_Toc31269"/>
      <w:r>
        <w:rPr>
          <w:rFonts w:hint="eastAsia" w:ascii="黑体" w:hAnsi="黑体" w:eastAsia="黑体"/>
          <w:bCs w:val="0"/>
          <w:color w:val="000000"/>
          <w:sz w:val="31"/>
          <w:szCs w:val="31"/>
          <w:highlight w:val="none"/>
        </w:rPr>
        <w:t>第七章  投标文件格式</w:t>
      </w:r>
      <w:bookmarkEnd w:id="616"/>
      <w:bookmarkEnd w:id="617"/>
    </w:p>
    <w:p>
      <w:pPr>
        <w:rPr>
          <w:highlight w:val="none"/>
        </w:rPr>
      </w:pPr>
      <w:r>
        <w:rPr>
          <w:highlight w:val="none"/>
        </w:rPr>
        <w:br w:type="page"/>
      </w:r>
    </w:p>
    <w:p>
      <w:pPr>
        <w:pStyle w:val="4"/>
        <w:spacing w:line="400" w:lineRule="exact"/>
        <w:rPr>
          <w:rFonts w:ascii="Times New Roman" w:hAnsi="Times New Roman"/>
          <w:color w:val="000000"/>
          <w:sz w:val="23"/>
          <w:szCs w:val="21"/>
          <w:highlight w:val="none"/>
        </w:rPr>
      </w:pPr>
      <w:bookmarkStart w:id="618" w:name="_Toc28595"/>
      <w:r>
        <w:rPr>
          <w:rFonts w:hint="eastAsia" w:ascii="Times New Roman" w:hAnsi="Times New Roman"/>
          <w:color w:val="000000"/>
          <w:sz w:val="23"/>
          <w:szCs w:val="21"/>
          <w:highlight w:val="none"/>
        </w:rPr>
        <w:t>评标要素索引表</w:t>
      </w:r>
      <w:bookmarkEnd w:id="618"/>
    </w:p>
    <w:p>
      <w:pPr>
        <w:adjustRightInd w:val="0"/>
        <w:snapToGrid w:val="0"/>
        <w:spacing w:afterLines="50" w:line="400" w:lineRule="exact"/>
        <w:jc w:val="center"/>
        <w:rPr>
          <w:rFonts w:ascii="Times New Roman" w:hAnsi="Times New Roman"/>
          <w:b/>
          <w:color w:val="000000"/>
          <w:sz w:val="20"/>
          <w:szCs w:val="20"/>
          <w:highlight w:val="none"/>
        </w:rPr>
      </w:pPr>
      <w:r>
        <w:rPr>
          <w:rFonts w:hint="eastAsia"/>
          <w:b/>
          <w:color w:val="000000"/>
          <w:sz w:val="20"/>
          <w:szCs w:val="20"/>
          <w:highlight w:val="none"/>
        </w:rPr>
        <w:t>评标要素索引表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序号</w:t>
            </w: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评审内容</w:t>
            </w: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投标文件页码范围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pStyle w:val="61"/>
              <w:widowControl w:val="0"/>
              <w:pBdr>
                <w:bottom w:val="none" w:color="auto" w:sz="0" w:space="0"/>
                <w:right w:val="none" w:color="auto" w:sz="0" w:space="0"/>
              </w:pBdr>
              <w:adjustRightInd w:val="0"/>
              <w:snapToGrid w:val="0"/>
              <w:spacing w:before="0" w:beforeAutospacing="0" w:after="0" w:afterAutospacing="0" w:line="400" w:lineRule="exact"/>
              <w:rPr>
                <w:b/>
                <w:color w:val="000000"/>
                <w:kern w:val="2"/>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u w:val="singl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bl>
    <w:p>
      <w:pPr>
        <w:spacing w:line="400" w:lineRule="exact"/>
        <w:rPr>
          <w:rFonts w:ascii="Times New Roman" w:hAnsi="Times New Roman"/>
          <w:color w:val="000000"/>
          <w:sz w:val="20"/>
          <w:szCs w:val="20"/>
          <w:highlight w:val="none"/>
        </w:rPr>
      </w:pPr>
    </w:p>
    <w:p>
      <w:pPr>
        <w:rPr>
          <w:highlight w:val="none"/>
        </w:rPr>
      </w:pPr>
      <w:r>
        <w:rPr>
          <w:highlight w:val="none"/>
        </w:rPr>
        <w:br w:type="page"/>
      </w:r>
    </w:p>
    <w:p>
      <w:pPr>
        <w:rPr>
          <w:highlight w:val="none"/>
        </w:rPr>
      </w:pPr>
      <w:bookmarkStart w:id="619" w:name="EBcea738247aac44409f150352b6093b7c"/>
    </w:p>
    <w:p>
      <w:pPr>
        <w:pStyle w:val="138"/>
        <w:spacing w:after="400"/>
        <w:jc w:val="center"/>
        <w:rPr>
          <w:rFonts w:ascii="黑体" w:hAnsi="黑体" w:eastAsia="黑体" w:cs="黑体"/>
          <w:sz w:val="40"/>
          <w:szCs w:val="40"/>
          <w:highlight w:val="none"/>
        </w:rPr>
      </w:pPr>
      <w:r>
        <w:rPr>
          <w:rFonts w:ascii="黑体" w:hAnsi="黑体" w:eastAsia="黑体" w:cs="黑体"/>
          <w:sz w:val="40"/>
          <w:szCs w:val="40"/>
          <w:highlight w:val="none"/>
        </w:rPr>
        <w:t>目  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一、封面</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二、投标函及投标函附录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三、法定代表人身份证明及授权委托书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四、投标保证金</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五、已标价工程量清单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六、施工组织设计</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七、项目管理机构</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(二)项目管理机构组成表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(三)主要人员简历表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八、拟分包项目情况表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九、资格审查资料</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(二)投标人基本情况表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(三)近3年财务状况表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(四)近</w:t>
      </w:r>
      <w:r>
        <w:rPr>
          <w:rFonts w:hint="eastAsia" w:ascii="宋体" w:hAnsi="宋体" w:eastAsia="宋体" w:cs="宋体"/>
          <w:highlight w:val="none"/>
        </w:rPr>
        <w:t>5</w:t>
      </w:r>
      <w:r>
        <w:rPr>
          <w:rFonts w:ascii="宋体" w:hAnsi="宋体" w:eastAsia="宋体" w:cs="宋体"/>
          <w:highlight w:val="none"/>
        </w:rPr>
        <w:t>年完成的类似项目情况表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(五)正在施工的和新承接的项目情况表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(六)近3年发生的诉讼及仲裁情况</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(七)资格审查自审表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十、原件的复印件</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十一、投标人告知承诺书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十二、其他材料</w:t>
      </w:r>
    </w:p>
    <w:p>
      <w:pPr>
        <w:rPr>
          <w:highlight w:val="none"/>
        </w:rPr>
      </w:pPr>
    </w:p>
    <w:p>
      <w:pPr>
        <w:pStyle w:val="89"/>
        <w:spacing w:line="400" w:lineRule="exact"/>
        <w:rPr>
          <w:color w:val="000000"/>
          <w:sz w:val="35"/>
          <w:szCs w:val="35"/>
          <w:highlight w:val="none"/>
        </w:rPr>
      </w:pP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w:t>
      </w:r>
      <w:r>
        <w:rPr>
          <w:rFonts w:hint="eastAsia" w:ascii="仿宋_GB2312" w:eastAsia="仿宋_GB2312"/>
          <w:color w:val="000000"/>
          <w:sz w:val="27"/>
          <w:szCs w:val="27"/>
          <w:highlight w:val="none"/>
        </w:rPr>
        <w:t>项目名称）</w:t>
      </w:r>
      <w:r>
        <w:rPr>
          <w:rFonts w:hint="eastAsia" w:ascii="仿宋_GB2312" w:eastAsia="仿宋_GB2312"/>
          <w:color w:val="000000"/>
          <w:sz w:val="27"/>
          <w:szCs w:val="27"/>
          <w:highlight w:val="none"/>
          <w:u w:val="single"/>
        </w:rPr>
        <w:t xml:space="preserve">            （</w:t>
      </w:r>
      <w:r>
        <w:rPr>
          <w:rFonts w:hint="eastAsia" w:ascii="仿宋_GB2312" w:eastAsia="仿宋_GB2312"/>
          <w:color w:val="000000"/>
          <w:sz w:val="27"/>
          <w:szCs w:val="27"/>
          <w:highlight w:val="none"/>
        </w:rPr>
        <w:t>标段名称</w:t>
      </w:r>
      <w:r>
        <w:rPr>
          <w:rFonts w:hint="eastAsia" w:eastAsia="黑体"/>
          <w:color w:val="000000"/>
          <w:sz w:val="27"/>
          <w:szCs w:val="27"/>
          <w:highlight w:val="none"/>
        </w:rPr>
        <w:t>）</w:t>
      </w:r>
      <w:r>
        <w:rPr>
          <w:rFonts w:eastAsia="黑体"/>
          <w:color w:val="000000"/>
          <w:sz w:val="27"/>
          <w:szCs w:val="27"/>
          <w:highlight w:val="none"/>
        </w:rPr>
        <w:t xml:space="preserve"> </w:t>
      </w: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42"/>
          <w:szCs w:val="42"/>
          <w:highlight w:val="none"/>
        </w:rPr>
      </w:pPr>
      <w:r>
        <w:rPr>
          <w:rFonts w:hint="eastAsia" w:eastAsia="黑体"/>
          <w:color w:val="000000"/>
          <w:sz w:val="42"/>
          <w:szCs w:val="42"/>
          <w:highlight w:val="none"/>
        </w:rPr>
        <w:t>投</w:t>
      </w:r>
      <w:r>
        <w:rPr>
          <w:rFonts w:eastAsia="黑体"/>
          <w:color w:val="000000"/>
          <w:sz w:val="42"/>
          <w:szCs w:val="42"/>
          <w:highlight w:val="none"/>
        </w:rPr>
        <w:t xml:space="preserve">  </w:t>
      </w:r>
      <w:r>
        <w:rPr>
          <w:rFonts w:hint="eastAsia" w:eastAsia="黑体"/>
          <w:color w:val="000000"/>
          <w:sz w:val="42"/>
          <w:szCs w:val="42"/>
          <w:highlight w:val="none"/>
        </w:rPr>
        <w:t>标</w:t>
      </w:r>
      <w:r>
        <w:rPr>
          <w:rFonts w:eastAsia="黑体"/>
          <w:color w:val="000000"/>
          <w:sz w:val="42"/>
          <w:szCs w:val="42"/>
          <w:highlight w:val="none"/>
        </w:rPr>
        <w:t xml:space="preserve">  </w:t>
      </w:r>
      <w:r>
        <w:rPr>
          <w:rFonts w:hint="eastAsia" w:eastAsia="黑体"/>
          <w:color w:val="000000"/>
          <w:sz w:val="42"/>
          <w:szCs w:val="42"/>
          <w:highlight w:val="none"/>
        </w:rPr>
        <w:t>文</w:t>
      </w:r>
      <w:r>
        <w:rPr>
          <w:rFonts w:eastAsia="黑体"/>
          <w:color w:val="000000"/>
          <w:sz w:val="42"/>
          <w:szCs w:val="42"/>
          <w:highlight w:val="none"/>
        </w:rPr>
        <w:t xml:space="preserve">  </w:t>
      </w:r>
      <w:r>
        <w:rPr>
          <w:rFonts w:hint="eastAsia" w:eastAsia="黑体"/>
          <w:color w:val="000000"/>
          <w:sz w:val="42"/>
          <w:szCs w:val="42"/>
          <w:highlight w:val="none"/>
        </w:rPr>
        <w:t>件</w:t>
      </w: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jc w:val="center"/>
        <w:rPr>
          <w:rFonts w:eastAsia="黑体"/>
          <w:color w:val="000000"/>
          <w:sz w:val="27"/>
          <w:szCs w:val="27"/>
          <w:highlight w:val="none"/>
        </w:rPr>
      </w:pPr>
      <w:r>
        <w:rPr>
          <w:rFonts w:hint="eastAsia" w:eastAsia="黑体"/>
          <w:color w:val="000000"/>
          <w:sz w:val="27"/>
          <w:szCs w:val="27"/>
          <w:highlight w:val="none"/>
        </w:rPr>
        <w:t>投标人：</w:t>
      </w:r>
      <w:r>
        <w:rPr>
          <w:rFonts w:eastAsia="黑体"/>
          <w:color w:val="000000"/>
          <w:sz w:val="27"/>
          <w:szCs w:val="27"/>
          <w:highlight w:val="none"/>
          <w:u w:val="single"/>
        </w:rPr>
        <w:t xml:space="preserve">                              </w:t>
      </w:r>
      <w:r>
        <w:rPr>
          <w:rFonts w:hint="eastAsia" w:eastAsia="黑体"/>
          <w:color w:val="000000"/>
          <w:sz w:val="27"/>
          <w:szCs w:val="27"/>
          <w:highlight w:val="none"/>
        </w:rPr>
        <w:t>（盖单位章）</w:t>
      </w:r>
    </w:p>
    <w:p>
      <w:pPr>
        <w:pStyle w:val="89"/>
        <w:spacing w:line="400" w:lineRule="exact"/>
        <w:jc w:val="center"/>
        <w:rPr>
          <w:rFonts w:eastAsia="黑体"/>
          <w:color w:val="000000"/>
          <w:sz w:val="27"/>
          <w:szCs w:val="27"/>
          <w:highlight w:val="none"/>
          <w:u w:val="singl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年</w:t>
      </w:r>
      <w:r>
        <w:rPr>
          <w:rFonts w:eastAsia="黑体"/>
          <w:color w:val="000000"/>
          <w:sz w:val="27"/>
          <w:szCs w:val="27"/>
          <w:highlight w:val="none"/>
          <w:u w:val="single"/>
        </w:rPr>
        <w:t xml:space="preserve">        </w:t>
      </w:r>
      <w:r>
        <w:rPr>
          <w:rFonts w:hint="eastAsia" w:eastAsia="黑体"/>
          <w:color w:val="000000"/>
          <w:sz w:val="27"/>
          <w:szCs w:val="27"/>
          <w:highlight w:val="none"/>
        </w:rPr>
        <w:t>月</w:t>
      </w:r>
      <w:r>
        <w:rPr>
          <w:rFonts w:eastAsia="黑体"/>
          <w:color w:val="000000"/>
          <w:sz w:val="27"/>
          <w:szCs w:val="27"/>
          <w:highlight w:val="none"/>
          <w:u w:val="single"/>
        </w:rPr>
        <w:t xml:space="preserve">         </w:t>
      </w:r>
      <w:r>
        <w:rPr>
          <w:rFonts w:hint="eastAsia" w:eastAsia="黑体"/>
          <w:color w:val="000000"/>
          <w:sz w:val="27"/>
          <w:szCs w:val="27"/>
          <w:highlight w:val="none"/>
        </w:rPr>
        <w:t>日</w:t>
      </w:r>
    </w:p>
    <w:p>
      <w:pPr>
        <w:pStyle w:val="90"/>
        <w:outlineLvl w:val="1"/>
        <w:rPr>
          <w:highlight w:val="none"/>
        </w:rPr>
      </w:pPr>
      <w:r>
        <w:rPr>
          <w:highlight w:val="none"/>
        </w:rPr>
        <w:br w:type="page"/>
      </w:r>
      <w:bookmarkStart w:id="620" w:name="_Toc8969"/>
      <w:r>
        <w:rPr>
          <w:rFonts w:ascii="黑体" w:hAnsi="黑体" w:eastAsia="黑体" w:cs="黑体"/>
          <w:b/>
          <w:sz w:val="32"/>
          <w:highlight w:val="none"/>
        </w:rPr>
        <w:t>一、投标函及投标函附录</w:t>
      </w:r>
      <w:bookmarkEnd w:id="620"/>
    </w:p>
    <w:p>
      <w:pPr>
        <w:pStyle w:val="91"/>
        <w:spacing w:line="400" w:lineRule="exact"/>
        <w:jc w:val="center"/>
        <w:rPr>
          <w:rFonts w:ascii="Times New Roman" w:hAnsi="Times New Roman"/>
          <w:color w:val="000000"/>
          <w:sz w:val="30"/>
          <w:szCs w:val="30"/>
          <w:highlight w:val="none"/>
        </w:rPr>
      </w:pPr>
      <w:bookmarkStart w:id="621" w:name="_Toc311"/>
      <w:r>
        <w:rPr>
          <w:rFonts w:ascii="Times New Roman" w:hAnsi="Times New Roman"/>
          <w:color w:val="000000"/>
          <w:sz w:val="30"/>
          <w:szCs w:val="30"/>
          <w:highlight w:val="none"/>
        </w:rPr>
        <w:t>一、投标函及投标函附录</w:t>
      </w:r>
      <w:bookmarkEnd w:id="621"/>
    </w:p>
    <w:p>
      <w:pPr>
        <w:pStyle w:val="94"/>
        <w:rPr>
          <w:color w:val="000000"/>
          <w:highlight w:val="none"/>
        </w:rPr>
      </w:pPr>
      <w:bookmarkStart w:id="622" w:name="_Toc8584"/>
      <w:r>
        <w:rPr>
          <w:rFonts w:hint="eastAsia"/>
          <w:color w:val="000000"/>
          <w:highlight w:val="none"/>
        </w:rPr>
        <w:t>（一）投标函</w:t>
      </w:r>
      <w:bookmarkEnd w:id="622"/>
    </w:p>
    <w:p>
      <w:pPr>
        <w:pStyle w:val="92"/>
        <w:spacing w:line="400" w:lineRule="exact"/>
        <w:rPr>
          <w:color w:val="000000"/>
          <w:sz w:val="19"/>
          <w:szCs w:val="19"/>
          <w:highlight w:val="none"/>
        </w:rPr>
      </w:pPr>
    </w:p>
    <w:p>
      <w:pPr>
        <w:pStyle w:val="92"/>
        <w:spacing w:line="400" w:lineRule="exac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92"/>
        <w:spacing w:line="400" w:lineRule="exact"/>
        <w:rPr>
          <w:rFonts w:ascii="宋体" w:hAnsi="宋体"/>
          <w:color w:val="000000"/>
          <w:szCs w:val="21"/>
          <w:highlight w:val="none"/>
        </w:rPr>
      </w:pP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1．我方已仔细研究了</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（标段名称）招标文件的全部内容，愿意以人民币（大写）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）的投标总报价，工期</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日历天，按合同约定实施和完成承包工程，修补工程中的任何缺陷，工程质量达到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2"/>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2．我方承诺在投标有效期内不补充、修改、替代或撤回本投标文件。</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 随同本投标函提交投标保证金一份，金额为人民币（大写）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元 ）。</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4．如我方中标：</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（1）我方承诺在收到中标通知书后，在中标通知书规定的期限内与你方签订合同。</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（2）随同本投标函递交的投标函附录属于合同文件的组成部分。</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（3）我方承诺按照招标文件规定向你方递交履约担保。</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（4）我方承诺在合同约定的期限内完成并移交全部合同工程。</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5．我方在此声明，所递交的投标文件及有关资料内容完整、真实和准确，且不存在第二章“投标人须知”第1.4.3项规定的任何一种情形。</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u w:val="single"/>
        </w:rPr>
        <w:t xml:space="preserve">                                       </w:t>
      </w:r>
      <w:r>
        <w:rPr>
          <w:rFonts w:hint="eastAsia" w:ascii="宋体" w:hAnsi="宋体"/>
          <w:color w:val="000000"/>
          <w:szCs w:val="21"/>
          <w:highlight w:val="none"/>
        </w:rPr>
        <w:t>（其他补充说明）。</w:t>
      </w:r>
    </w:p>
    <w:p>
      <w:pPr>
        <w:pStyle w:val="92"/>
        <w:spacing w:line="400" w:lineRule="exact"/>
        <w:rPr>
          <w:rFonts w:ascii="宋体" w:hAnsi="宋体"/>
          <w:color w:val="000000"/>
          <w:szCs w:val="21"/>
          <w:highlight w:val="none"/>
        </w:rPr>
      </w:pP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投 标 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网址：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电话：</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传真：</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邮政编码：</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p>
    <w:p>
      <w:pPr>
        <w:pStyle w:val="92"/>
        <w:spacing w:line="400" w:lineRule="exact"/>
        <w:ind w:firstLine="4725" w:firstLineChars="2250"/>
        <w:rPr>
          <w:rFonts w:ascii="宋体" w:hAnsi="宋体"/>
          <w:color w:val="000000"/>
          <w:szCs w:val="21"/>
          <w:highlight w:val="none"/>
        </w:rPr>
      </w:pPr>
      <w:r>
        <w:rPr>
          <w:rFonts w:hint="eastAsia" w:ascii="宋体" w:hAnsi="宋体"/>
          <w:color w:val="000000"/>
          <w:szCs w:val="21"/>
          <w:highlight w:val="none"/>
          <w:u w:val="single"/>
        </w:rPr>
        <w:t>___   __</w:t>
      </w:r>
      <w:r>
        <w:rPr>
          <w:rFonts w:hint="eastAsia" w:ascii="宋体" w:hAnsi="宋体"/>
          <w:color w:val="000000"/>
          <w:szCs w:val="21"/>
          <w:highlight w:val="none"/>
        </w:rPr>
        <w:t>年</w:t>
      </w:r>
      <w:r>
        <w:rPr>
          <w:rFonts w:hint="eastAsia" w:ascii="宋体" w:hAnsi="宋体"/>
          <w:color w:val="000000"/>
          <w:szCs w:val="21"/>
          <w:highlight w:val="none"/>
          <w:u w:val="single"/>
        </w:rPr>
        <w:t>__   __</w:t>
      </w:r>
      <w:r>
        <w:rPr>
          <w:rFonts w:hint="eastAsia" w:ascii="宋体" w:hAnsi="宋体"/>
          <w:color w:val="000000"/>
          <w:szCs w:val="21"/>
          <w:highlight w:val="none"/>
        </w:rPr>
        <w:t>月__</w:t>
      </w:r>
      <w:r>
        <w:rPr>
          <w:rFonts w:hint="eastAsia" w:ascii="宋体" w:hAnsi="宋体"/>
          <w:color w:val="000000"/>
          <w:szCs w:val="21"/>
          <w:highlight w:val="none"/>
          <w:u w:val="single"/>
        </w:rPr>
        <w:t>_  _</w:t>
      </w:r>
      <w:r>
        <w:rPr>
          <w:rFonts w:hint="eastAsia" w:ascii="宋体" w:hAnsi="宋体"/>
          <w:color w:val="000000"/>
          <w:szCs w:val="21"/>
          <w:highlight w:val="none"/>
        </w:rPr>
        <w:t>日</w:t>
      </w:r>
    </w:p>
    <w:p>
      <w:pPr>
        <w:pStyle w:val="92"/>
        <w:spacing w:line="400" w:lineRule="exact"/>
        <w:rPr>
          <w:rFonts w:ascii="Times New Roman" w:hAnsi="Times New Roman" w:eastAsia="黑体"/>
          <w:color w:val="000000"/>
          <w:sz w:val="20"/>
          <w:szCs w:val="20"/>
          <w:highlight w:val="none"/>
        </w:rPr>
      </w:pPr>
    </w:p>
    <w:p>
      <w:pPr>
        <w:pStyle w:val="92"/>
        <w:spacing w:line="400" w:lineRule="exact"/>
        <w:rPr>
          <w:rFonts w:eastAsia="黑体"/>
          <w:color w:val="000000"/>
          <w:sz w:val="19"/>
          <w:szCs w:val="19"/>
          <w:highlight w:val="none"/>
        </w:rPr>
      </w:pPr>
      <w:r>
        <w:rPr>
          <w:rFonts w:eastAsia="黑体"/>
          <w:color w:val="000000"/>
          <w:sz w:val="19"/>
          <w:szCs w:val="19"/>
          <w:highlight w:val="none"/>
        </w:rPr>
        <w:br w:type="page"/>
      </w:r>
    </w:p>
    <w:p>
      <w:pPr>
        <w:pStyle w:val="94"/>
        <w:rPr>
          <w:color w:val="000000"/>
          <w:highlight w:val="none"/>
        </w:rPr>
      </w:pPr>
      <w:bookmarkStart w:id="623" w:name="_Toc26041"/>
      <w:r>
        <w:rPr>
          <w:rFonts w:hint="eastAsia"/>
          <w:color w:val="000000"/>
          <w:highlight w:val="none"/>
        </w:rPr>
        <w:t>（二）投标函附录</w:t>
      </w:r>
      <w:bookmarkEnd w:id="623"/>
    </w:p>
    <w:p>
      <w:pPr>
        <w:pStyle w:val="92"/>
        <w:spacing w:line="400" w:lineRule="exact"/>
        <w:rPr>
          <w:rFonts w:eastAsia="黑体"/>
          <w:color w:val="000000"/>
          <w:sz w:val="19"/>
          <w:szCs w:val="19"/>
          <w:highlight w:val="none"/>
        </w:rPr>
      </w:pPr>
    </w:p>
    <w:tbl>
      <w:tblPr>
        <w:tblStyle w:val="14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2337"/>
        <w:gridCol w:w="2159"/>
        <w:gridCol w:w="2701"/>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pStyle w:val="139"/>
              <w:spacing w:before="216" w:line="222" w:lineRule="auto"/>
              <w:ind w:left="119"/>
              <w:rPr>
                <w:highlight w:val="none"/>
              </w:rPr>
            </w:pPr>
            <w:r>
              <w:rPr>
                <w:spacing w:val="-2"/>
                <w:highlight w:val="none"/>
              </w:rPr>
              <w:t>序号</w:t>
            </w:r>
          </w:p>
        </w:tc>
        <w:tc>
          <w:tcPr>
            <w:tcW w:w="2337" w:type="dxa"/>
          </w:tcPr>
          <w:p>
            <w:pPr>
              <w:pStyle w:val="139"/>
              <w:spacing w:before="216" w:line="221" w:lineRule="auto"/>
              <w:ind w:left="751"/>
              <w:rPr>
                <w:highlight w:val="none"/>
              </w:rPr>
            </w:pPr>
            <w:r>
              <w:rPr>
                <w:spacing w:val="-1"/>
                <w:highlight w:val="none"/>
              </w:rPr>
              <w:t>条款名称</w:t>
            </w:r>
          </w:p>
        </w:tc>
        <w:tc>
          <w:tcPr>
            <w:tcW w:w="2159" w:type="dxa"/>
          </w:tcPr>
          <w:p>
            <w:pPr>
              <w:pStyle w:val="139"/>
              <w:spacing w:before="216" w:line="221" w:lineRule="auto"/>
              <w:ind w:left="555"/>
              <w:rPr>
                <w:highlight w:val="none"/>
              </w:rPr>
            </w:pPr>
            <w:r>
              <w:rPr>
                <w:spacing w:val="-1"/>
                <w:highlight w:val="none"/>
              </w:rPr>
              <w:t>合同条款号</w:t>
            </w:r>
          </w:p>
        </w:tc>
        <w:tc>
          <w:tcPr>
            <w:tcW w:w="2701" w:type="dxa"/>
          </w:tcPr>
          <w:p>
            <w:pPr>
              <w:pStyle w:val="139"/>
              <w:spacing w:before="216" w:line="221" w:lineRule="auto"/>
              <w:ind w:left="939"/>
              <w:rPr>
                <w:highlight w:val="none"/>
              </w:rPr>
            </w:pPr>
            <w:r>
              <w:rPr>
                <w:spacing w:val="-3"/>
                <w:highlight w:val="none"/>
              </w:rPr>
              <w:t>约定内容</w:t>
            </w:r>
          </w:p>
        </w:tc>
        <w:tc>
          <w:tcPr>
            <w:tcW w:w="722" w:type="dxa"/>
          </w:tcPr>
          <w:p>
            <w:pPr>
              <w:pStyle w:val="139"/>
              <w:spacing w:before="216" w:line="222" w:lineRule="auto"/>
              <w:ind w:left="156"/>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5" w:type="dxa"/>
          </w:tcPr>
          <w:p>
            <w:pPr>
              <w:spacing w:before="254" w:line="179" w:lineRule="auto"/>
              <w:ind w:left="288"/>
              <w:rPr>
                <w:rFonts w:eastAsia="Calibri" w:cs="Calibri"/>
                <w:szCs w:val="21"/>
                <w:highlight w:val="none"/>
              </w:rPr>
            </w:pPr>
            <w:r>
              <w:rPr>
                <w:rFonts w:eastAsia="Calibri" w:cs="Calibri"/>
                <w:szCs w:val="21"/>
                <w:highlight w:val="none"/>
              </w:rPr>
              <w:t>1</w:t>
            </w:r>
          </w:p>
        </w:tc>
        <w:tc>
          <w:tcPr>
            <w:tcW w:w="2337" w:type="dxa"/>
          </w:tcPr>
          <w:p>
            <w:pPr>
              <w:pStyle w:val="139"/>
              <w:spacing w:before="213" w:line="221" w:lineRule="auto"/>
              <w:ind w:left="755"/>
              <w:rPr>
                <w:highlight w:val="none"/>
              </w:rPr>
            </w:pPr>
            <w:r>
              <w:rPr>
                <w:spacing w:val="-3"/>
                <w:highlight w:val="none"/>
              </w:rPr>
              <w:t>项目经理</w:t>
            </w:r>
          </w:p>
        </w:tc>
        <w:tc>
          <w:tcPr>
            <w:tcW w:w="2159" w:type="dxa"/>
          </w:tcPr>
          <w:p>
            <w:pPr>
              <w:spacing w:before="254" w:line="179" w:lineRule="auto"/>
              <w:ind w:left="799"/>
              <w:rPr>
                <w:rFonts w:eastAsia="Calibri" w:cs="Calibri"/>
                <w:szCs w:val="21"/>
                <w:highlight w:val="none"/>
              </w:rPr>
            </w:pPr>
            <w:r>
              <w:rPr>
                <w:highlight w:val="none"/>
              </w:rPr>
              <w:fldChar w:fldCharType="begin"/>
            </w:r>
            <w:r>
              <w:rPr>
                <w:highlight w:val="none"/>
              </w:rPr>
              <w:instrText xml:space="preserve"> HYPERLINK "1.1.2.4" </w:instrText>
            </w:r>
            <w:r>
              <w:rPr>
                <w:highlight w:val="none"/>
              </w:rPr>
              <w:fldChar w:fldCharType="separate"/>
            </w:r>
            <w:r>
              <w:rPr>
                <w:rFonts w:eastAsia="Calibri" w:cs="Calibri"/>
                <w:spacing w:val="-3"/>
                <w:szCs w:val="21"/>
                <w:highlight w:val="none"/>
              </w:rPr>
              <w:t>1.1.2.4</w:t>
            </w:r>
            <w:r>
              <w:rPr>
                <w:rFonts w:eastAsia="Calibri" w:cs="Calibri"/>
                <w:spacing w:val="-3"/>
                <w:szCs w:val="21"/>
                <w:highlight w:val="none"/>
              </w:rPr>
              <w:fldChar w:fldCharType="end"/>
            </w:r>
          </w:p>
        </w:tc>
        <w:tc>
          <w:tcPr>
            <w:tcW w:w="2701" w:type="dxa"/>
          </w:tcPr>
          <w:p>
            <w:pPr>
              <w:pStyle w:val="139"/>
              <w:spacing w:before="212" w:line="221" w:lineRule="auto"/>
              <w:ind w:left="113"/>
              <w:rPr>
                <w:highlight w:val="none"/>
              </w:rPr>
            </w:pPr>
            <w:r>
              <w:rPr>
                <w:spacing w:val="-12"/>
                <w:highlight w:val="none"/>
              </w:rPr>
              <w:t>姓名：</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6" w:line="180" w:lineRule="auto"/>
              <w:ind w:left="282"/>
              <w:rPr>
                <w:rFonts w:eastAsia="Calibri" w:cs="Calibri"/>
                <w:szCs w:val="21"/>
                <w:highlight w:val="none"/>
              </w:rPr>
            </w:pPr>
            <w:r>
              <w:rPr>
                <w:rFonts w:eastAsia="Calibri" w:cs="Calibri"/>
                <w:szCs w:val="21"/>
                <w:highlight w:val="none"/>
              </w:rPr>
              <w:t>2</w:t>
            </w:r>
          </w:p>
        </w:tc>
        <w:tc>
          <w:tcPr>
            <w:tcW w:w="2337" w:type="dxa"/>
          </w:tcPr>
          <w:p>
            <w:pPr>
              <w:pStyle w:val="139"/>
              <w:spacing w:before="216" w:line="221" w:lineRule="auto"/>
              <w:ind w:left="963"/>
              <w:rPr>
                <w:highlight w:val="none"/>
              </w:rPr>
            </w:pPr>
            <w:r>
              <w:rPr>
                <w:spacing w:val="-3"/>
                <w:highlight w:val="none"/>
              </w:rPr>
              <w:t>工期</w:t>
            </w:r>
          </w:p>
        </w:tc>
        <w:tc>
          <w:tcPr>
            <w:tcW w:w="2159" w:type="dxa"/>
          </w:tcPr>
          <w:p>
            <w:pPr>
              <w:spacing w:before="257" w:line="179" w:lineRule="auto"/>
              <w:ind w:left="799"/>
              <w:rPr>
                <w:rFonts w:eastAsia="Calibri" w:cs="Calibri"/>
                <w:szCs w:val="21"/>
                <w:highlight w:val="none"/>
              </w:rPr>
            </w:pPr>
            <w:r>
              <w:rPr>
                <w:highlight w:val="none"/>
              </w:rPr>
              <w:fldChar w:fldCharType="begin"/>
            </w:r>
            <w:r>
              <w:rPr>
                <w:highlight w:val="none"/>
              </w:rPr>
              <w:instrText xml:space="preserve"> HYPERLINK "1.1.4.3" </w:instrText>
            </w:r>
            <w:r>
              <w:rPr>
                <w:highlight w:val="none"/>
              </w:rPr>
              <w:fldChar w:fldCharType="separate"/>
            </w:r>
            <w:r>
              <w:rPr>
                <w:rFonts w:eastAsia="Calibri" w:cs="Calibri"/>
                <w:spacing w:val="-3"/>
                <w:szCs w:val="21"/>
                <w:highlight w:val="none"/>
              </w:rPr>
              <w:t>1.1.4.3</w:t>
            </w:r>
            <w:r>
              <w:rPr>
                <w:rFonts w:eastAsia="Calibri" w:cs="Calibri"/>
                <w:spacing w:val="-3"/>
                <w:szCs w:val="21"/>
                <w:highlight w:val="none"/>
              </w:rPr>
              <w:fldChar w:fldCharType="end"/>
            </w:r>
          </w:p>
        </w:tc>
        <w:tc>
          <w:tcPr>
            <w:tcW w:w="2701" w:type="dxa"/>
          </w:tcPr>
          <w:p>
            <w:pPr>
              <w:pStyle w:val="139"/>
              <w:spacing w:before="215" w:line="221" w:lineRule="auto"/>
              <w:ind w:left="118"/>
              <w:rPr>
                <w:highlight w:val="none"/>
              </w:rPr>
            </w:pPr>
            <w:r>
              <w:rPr>
                <w:spacing w:val="-26"/>
                <w:highlight w:val="none"/>
              </w:rPr>
              <w:t>天数：</w:t>
            </w:r>
            <w:r>
              <w:rPr>
                <w:spacing w:val="41"/>
                <w:highlight w:val="none"/>
              </w:rPr>
              <w:t xml:space="preserve"> </w:t>
            </w:r>
            <w:r>
              <w:rPr>
                <w:spacing w:val="-26"/>
                <w:highlight w:val="none"/>
              </w:rPr>
              <w:t>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55" w:type="dxa"/>
          </w:tcPr>
          <w:p>
            <w:pPr>
              <w:spacing w:before="234" w:line="179" w:lineRule="auto"/>
              <w:ind w:left="281"/>
              <w:rPr>
                <w:rFonts w:eastAsia="Calibri" w:cs="Calibri"/>
                <w:szCs w:val="21"/>
                <w:highlight w:val="none"/>
              </w:rPr>
            </w:pPr>
            <w:r>
              <w:rPr>
                <w:rFonts w:eastAsia="Calibri" w:cs="Calibri"/>
                <w:szCs w:val="21"/>
                <w:highlight w:val="none"/>
              </w:rPr>
              <w:t>3</w:t>
            </w:r>
          </w:p>
        </w:tc>
        <w:tc>
          <w:tcPr>
            <w:tcW w:w="2337" w:type="dxa"/>
          </w:tcPr>
          <w:p>
            <w:pPr>
              <w:pStyle w:val="139"/>
              <w:spacing w:before="192" w:line="221" w:lineRule="auto"/>
              <w:ind w:left="646"/>
              <w:rPr>
                <w:highlight w:val="none"/>
              </w:rPr>
            </w:pPr>
            <w:r>
              <w:rPr>
                <w:spacing w:val="-1"/>
                <w:highlight w:val="none"/>
              </w:rPr>
              <w:t>缺陷责任期</w:t>
            </w:r>
          </w:p>
        </w:tc>
        <w:tc>
          <w:tcPr>
            <w:tcW w:w="2159" w:type="dxa"/>
          </w:tcPr>
          <w:p>
            <w:pPr>
              <w:spacing w:before="236" w:line="178" w:lineRule="auto"/>
              <w:ind w:left="799"/>
              <w:rPr>
                <w:rFonts w:eastAsia="Calibri" w:cs="Calibri"/>
                <w:szCs w:val="21"/>
                <w:highlight w:val="none"/>
              </w:rPr>
            </w:pPr>
            <w:r>
              <w:rPr>
                <w:highlight w:val="none"/>
              </w:rPr>
              <w:fldChar w:fldCharType="begin"/>
            </w:r>
            <w:r>
              <w:rPr>
                <w:highlight w:val="none"/>
              </w:rPr>
              <w:instrText xml:space="preserve"> HYPERLINK "1.1.4.5" </w:instrText>
            </w:r>
            <w:r>
              <w:rPr>
                <w:highlight w:val="none"/>
              </w:rPr>
              <w:fldChar w:fldCharType="separate"/>
            </w:r>
            <w:r>
              <w:rPr>
                <w:rFonts w:eastAsia="Calibri" w:cs="Calibri"/>
                <w:spacing w:val="-3"/>
                <w:szCs w:val="21"/>
                <w:highlight w:val="none"/>
              </w:rPr>
              <w:t>1.1.4.5</w:t>
            </w:r>
            <w:r>
              <w:rPr>
                <w:rFonts w:eastAsia="Calibri" w:cs="Calibri"/>
                <w:spacing w:val="-3"/>
                <w:szCs w:val="21"/>
                <w:highlight w:val="none"/>
              </w:rPr>
              <w:fldChar w:fldCharType="end"/>
            </w:r>
          </w:p>
        </w:tc>
        <w:tc>
          <w:tcPr>
            <w:tcW w:w="2701" w:type="dxa"/>
          </w:tcPr>
          <w:p>
            <w:pPr>
              <w:pStyle w:val="139"/>
              <w:spacing w:before="192" w:line="221" w:lineRule="auto"/>
              <w:ind w:left="117"/>
              <w:rPr>
                <w:highlight w:val="none"/>
                <w:lang w:eastAsia="zh-CN"/>
              </w:rPr>
            </w:pPr>
            <w:r>
              <w:rPr>
                <w:rFonts w:hint="eastAsia"/>
                <w:spacing w:val="-5"/>
                <w:highlight w:val="none"/>
                <w:lang w:eastAsia="zh-CN"/>
              </w:rPr>
              <w:t>12个月</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8" w:line="178" w:lineRule="auto"/>
              <w:ind w:left="275"/>
              <w:rPr>
                <w:rFonts w:eastAsia="Calibri" w:cs="Calibri"/>
                <w:szCs w:val="21"/>
                <w:highlight w:val="none"/>
              </w:rPr>
            </w:pPr>
            <w:r>
              <w:rPr>
                <w:rFonts w:eastAsia="Calibri" w:cs="Calibri"/>
                <w:szCs w:val="21"/>
                <w:highlight w:val="none"/>
              </w:rPr>
              <w:t>4</w:t>
            </w:r>
          </w:p>
        </w:tc>
        <w:tc>
          <w:tcPr>
            <w:tcW w:w="2337" w:type="dxa"/>
          </w:tcPr>
          <w:p>
            <w:pPr>
              <w:pStyle w:val="139"/>
              <w:spacing w:before="215" w:line="221" w:lineRule="auto"/>
              <w:ind w:left="649"/>
              <w:rPr>
                <w:highlight w:val="none"/>
              </w:rPr>
            </w:pPr>
            <w:r>
              <w:rPr>
                <w:spacing w:val="-2"/>
                <w:highlight w:val="none"/>
              </w:rPr>
              <w:t>投标有效期</w:t>
            </w:r>
          </w:p>
        </w:tc>
        <w:tc>
          <w:tcPr>
            <w:tcW w:w="2159" w:type="dxa"/>
          </w:tcPr>
          <w:p>
            <w:pPr>
              <w:rPr>
                <w:rFonts w:ascii="Arial"/>
                <w:highlight w:val="none"/>
              </w:rPr>
            </w:pPr>
          </w:p>
        </w:tc>
        <w:tc>
          <w:tcPr>
            <w:tcW w:w="2701" w:type="dxa"/>
          </w:tcPr>
          <w:p>
            <w:pPr>
              <w:pStyle w:val="139"/>
              <w:spacing w:before="215" w:line="221" w:lineRule="auto"/>
              <w:ind w:left="114"/>
              <w:rPr>
                <w:highlight w:val="none"/>
              </w:rPr>
            </w:pPr>
            <w:r>
              <w:rPr>
                <w:spacing w:val="-10"/>
                <w:highlight w:val="none"/>
              </w:rPr>
              <w:t>90 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55" w:type="dxa"/>
          </w:tcPr>
          <w:p>
            <w:pPr>
              <w:spacing w:before="259" w:line="178" w:lineRule="auto"/>
              <w:ind w:left="281"/>
              <w:rPr>
                <w:rFonts w:eastAsia="Calibri" w:cs="Calibri"/>
                <w:szCs w:val="21"/>
                <w:highlight w:val="none"/>
              </w:rPr>
            </w:pPr>
            <w:r>
              <w:rPr>
                <w:rFonts w:eastAsia="Calibri" w:cs="Calibri"/>
                <w:szCs w:val="21"/>
                <w:highlight w:val="none"/>
              </w:rPr>
              <w:t>5</w:t>
            </w:r>
          </w:p>
        </w:tc>
        <w:tc>
          <w:tcPr>
            <w:tcW w:w="2337" w:type="dxa"/>
          </w:tcPr>
          <w:p>
            <w:pPr>
              <w:pStyle w:val="139"/>
              <w:spacing w:before="217" w:line="221" w:lineRule="auto"/>
              <w:ind w:left="753"/>
              <w:rPr>
                <w:highlight w:val="none"/>
              </w:rPr>
            </w:pPr>
            <w:r>
              <w:rPr>
                <w:spacing w:val="-2"/>
                <w:highlight w:val="none"/>
              </w:rPr>
              <w:t>质量标准</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1.3.3</w:t>
            </w:r>
          </w:p>
        </w:tc>
        <w:tc>
          <w:tcPr>
            <w:tcW w:w="2701" w:type="dxa"/>
          </w:tcPr>
          <w:p>
            <w:pPr>
              <w:rPr>
                <w:rFonts w:ascii="Arial"/>
                <w:highlight w:val="none"/>
              </w:rPr>
            </w:pP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spacing w:before="258" w:line="179" w:lineRule="auto"/>
              <w:ind w:left="281"/>
              <w:rPr>
                <w:rFonts w:eastAsia="Calibri" w:cs="Calibri"/>
                <w:szCs w:val="21"/>
                <w:highlight w:val="none"/>
              </w:rPr>
            </w:pPr>
            <w:r>
              <w:rPr>
                <w:rFonts w:eastAsia="Calibri" w:cs="Calibri"/>
                <w:szCs w:val="21"/>
                <w:highlight w:val="none"/>
              </w:rPr>
              <w:t>6</w:t>
            </w:r>
          </w:p>
        </w:tc>
        <w:tc>
          <w:tcPr>
            <w:tcW w:w="2337" w:type="dxa"/>
          </w:tcPr>
          <w:p>
            <w:pPr>
              <w:pStyle w:val="139"/>
              <w:spacing w:before="216" w:line="221" w:lineRule="auto"/>
              <w:ind w:left="754"/>
              <w:rPr>
                <w:highlight w:val="none"/>
              </w:rPr>
            </w:pPr>
            <w:r>
              <w:rPr>
                <w:spacing w:val="-2"/>
                <w:highlight w:val="none"/>
              </w:rPr>
              <w:t>投标内容</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1.3.1</w:t>
            </w:r>
          </w:p>
        </w:tc>
        <w:tc>
          <w:tcPr>
            <w:tcW w:w="2701" w:type="dxa"/>
          </w:tcPr>
          <w:p>
            <w:pPr>
              <w:rPr>
                <w:rFonts w:ascii="Arial"/>
                <w:highlight w:val="none"/>
              </w:rPr>
            </w:pPr>
          </w:p>
        </w:tc>
        <w:tc>
          <w:tcPr>
            <w:tcW w:w="722" w:type="dxa"/>
          </w:tcPr>
          <w:p>
            <w:pPr>
              <w:rPr>
                <w:rFonts w:ascii="Arial"/>
                <w:highlight w:val="none"/>
              </w:rPr>
            </w:pPr>
          </w:p>
        </w:tc>
      </w:tr>
    </w:tbl>
    <w:p>
      <w:pPr>
        <w:pStyle w:val="92"/>
        <w:spacing w:line="400" w:lineRule="exact"/>
        <w:ind w:left="840" w:leftChars="400" w:firstLine="2090" w:firstLineChars="1100"/>
        <w:rPr>
          <w:rFonts w:ascii="Times New Roman" w:hAnsi="Times New Roman" w:eastAsia="黑体"/>
          <w:color w:val="000000"/>
          <w:sz w:val="19"/>
          <w:szCs w:val="19"/>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highlight w:val="none"/>
        </w:rPr>
      </w:pPr>
      <w:bookmarkStart w:id="624" w:name="_Toc26796"/>
      <w:r>
        <w:rPr>
          <w:rFonts w:ascii="黑体" w:hAnsi="黑体" w:eastAsia="黑体" w:cs="黑体"/>
          <w:b/>
          <w:sz w:val="32"/>
          <w:highlight w:val="none"/>
        </w:rPr>
        <w:t>二、法定代表人身份证明及授权委托书</w:t>
      </w:r>
      <w:bookmarkEnd w:id="624"/>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法定代表人身份证明</w:t>
      </w:r>
    </w:p>
    <w:p>
      <w:pPr>
        <w:pStyle w:val="98"/>
        <w:spacing w:line="400" w:lineRule="exact"/>
        <w:rPr>
          <w:rFonts w:ascii="Times New Roman" w:hAnsi="Times New Roman"/>
          <w:color w:val="000000"/>
          <w:sz w:val="19"/>
          <w:szCs w:val="19"/>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单位性质：</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成立时间：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w:t>
      </w:r>
    </w:p>
    <w:p>
      <w:pPr>
        <w:pStyle w:val="98"/>
        <w:spacing w:line="400" w:lineRule="exact"/>
        <w:rPr>
          <w:rFonts w:ascii="宋体" w:hAnsi="宋体"/>
          <w:color w:val="000000"/>
          <w:szCs w:val="21"/>
          <w:highlight w:val="none"/>
        </w:rPr>
      </w:pPr>
      <w:r>
        <w:rPr>
          <w:rFonts w:hint="eastAsia" w:ascii="宋体" w:hAnsi="宋体"/>
          <w:color w:val="000000"/>
          <w:szCs w:val="21"/>
          <w:highlight w:val="none"/>
        </w:rPr>
        <w:t>经营期限：</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姓名：</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性别：</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年龄：</w:t>
      </w:r>
      <w:r>
        <w:rPr>
          <w:rFonts w:hint="eastAsia" w:ascii="宋体" w:hAnsi="宋体"/>
          <w:color w:val="000000"/>
          <w:szCs w:val="21"/>
          <w:highlight w:val="none"/>
          <w:u w:val="single"/>
        </w:rPr>
        <w:t xml:space="preserve">        </w:t>
      </w:r>
      <w:r>
        <w:rPr>
          <w:rFonts w:hint="eastAsia" w:ascii="宋体" w:hAnsi="宋体"/>
          <w:color w:val="000000"/>
          <w:szCs w:val="21"/>
          <w:highlight w:val="none"/>
        </w:rPr>
        <w:t>身份证号码：</w:t>
      </w:r>
      <w:r>
        <w:rPr>
          <w:rFonts w:hint="eastAsia" w:ascii="宋体" w:hAnsi="宋体"/>
          <w:color w:val="000000"/>
          <w:szCs w:val="21"/>
          <w:highlight w:val="none"/>
          <w:u w:val="single"/>
        </w:rPr>
        <w:t xml:space="preserve">                    </w:t>
      </w:r>
      <w:r>
        <w:rPr>
          <w:rFonts w:hint="eastAsia" w:ascii="宋体" w:hAnsi="宋体"/>
          <w:color w:val="000000"/>
          <w:szCs w:val="21"/>
          <w:highlight w:val="none"/>
        </w:rPr>
        <w:t>职务：</w:t>
      </w:r>
      <w:r>
        <w:rPr>
          <w:rFonts w:hint="eastAsia" w:ascii="宋体" w:hAnsi="宋体"/>
          <w:color w:val="000000"/>
          <w:szCs w:val="21"/>
          <w:highlight w:val="none"/>
          <w:u w:val="single"/>
        </w:rPr>
        <w:t xml:space="preserve">             </w:t>
      </w:r>
      <w:r>
        <w:rPr>
          <w:rFonts w:hint="eastAsia" w:ascii="宋体" w:hAnsi="宋体"/>
          <w:color w:val="000000"/>
          <w:szCs w:val="21"/>
          <w:highlight w:val="none"/>
        </w:rPr>
        <w:t>系</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(投标人名称)的法定代表人。</w:t>
      </w:r>
    </w:p>
    <w:p>
      <w:pPr>
        <w:pStyle w:val="98"/>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特此证明。</w:t>
      </w: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投标人：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           </w:t>
      </w:r>
    </w:p>
    <w:p>
      <w:pPr>
        <w:pStyle w:val="98"/>
        <w:spacing w:line="400" w:lineRule="exact"/>
        <w:jc w:val="center"/>
        <w:rPr>
          <w:rFonts w:ascii="Times New Roman" w:hAnsi="Times New Roman" w:eastAsia="黑体"/>
          <w:color w:val="000000"/>
          <w:sz w:val="19"/>
          <w:szCs w:val="19"/>
          <w:highlight w:val="none"/>
        </w:rPr>
      </w:pPr>
      <w:r>
        <w:rPr>
          <w:rFonts w:hint="eastAsia" w:ascii="宋体" w:hAnsi="宋体"/>
          <w:color w:val="000000"/>
          <w:szCs w:val="21"/>
          <w:highlight w:val="none"/>
        </w:rPr>
        <w:br w:type="page"/>
      </w:r>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授权委托书</w:t>
      </w:r>
    </w:p>
    <w:p>
      <w:pPr>
        <w:pStyle w:val="98"/>
        <w:spacing w:line="400" w:lineRule="exact"/>
        <w:rPr>
          <w:rFonts w:ascii="Times New Roman" w:hAnsi="Times New Roman" w:eastAsia="黑体"/>
          <w:color w:val="000000"/>
          <w:sz w:val="20"/>
          <w:szCs w:val="20"/>
          <w:highlight w:val="none"/>
        </w:rPr>
      </w:pPr>
    </w:p>
    <w:p>
      <w:pPr>
        <w:pStyle w:val="98"/>
        <w:topLinePunct/>
        <w:spacing w:line="400" w:lineRule="exact"/>
        <w:ind w:firstLine="420" w:firstLineChars="200"/>
        <w:rPr>
          <w:color w:val="000000"/>
          <w:szCs w:val="21"/>
          <w:highlight w:val="none"/>
        </w:rPr>
      </w:pPr>
      <w:r>
        <w:rPr>
          <w:rFonts w:hint="eastAsia"/>
          <w:color w:val="000000"/>
          <w:szCs w:val="21"/>
          <w:highlight w:val="none"/>
        </w:rPr>
        <w:t>本人</w:t>
      </w:r>
      <w:r>
        <w:rPr>
          <w:color w:val="000000"/>
          <w:szCs w:val="21"/>
          <w:highlight w:val="none"/>
          <w:u w:val="single"/>
        </w:rPr>
        <w:t xml:space="preserve">       </w:t>
      </w:r>
      <w:r>
        <w:rPr>
          <w:rFonts w:hint="eastAsia"/>
          <w:color w:val="000000"/>
          <w:szCs w:val="21"/>
          <w:highlight w:val="none"/>
        </w:rPr>
        <w:t>（姓名）系</w:t>
      </w:r>
      <w:r>
        <w:rPr>
          <w:color w:val="000000"/>
          <w:szCs w:val="21"/>
          <w:highlight w:val="none"/>
          <w:u w:val="single"/>
        </w:rPr>
        <w:t xml:space="preserve">        </w:t>
      </w:r>
      <w:r>
        <w:rPr>
          <w:rFonts w:hint="eastAsia"/>
          <w:color w:val="000000"/>
          <w:szCs w:val="21"/>
          <w:highlight w:val="none"/>
        </w:rPr>
        <w:t>（投标人名称）的法定代表人，现委托</w:t>
      </w:r>
      <w:r>
        <w:rPr>
          <w:color w:val="000000"/>
          <w:szCs w:val="21"/>
          <w:highlight w:val="none"/>
          <w:u w:val="single"/>
        </w:rPr>
        <w:t xml:space="preserve">        </w:t>
      </w:r>
      <w:r>
        <w:rPr>
          <w:rFonts w:hint="eastAsia"/>
          <w:color w:val="000000"/>
          <w:szCs w:val="21"/>
          <w:highlight w:val="none"/>
        </w:rPr>
        <w:t>（姓名）为我方代理人。代理人根据授权，以我方名义签署、澄清、说明、补正、递交、撤回、修改</w:t>
      </w:r>
      <w:r>
        <w:rPr>
          <w:color w:val="000000"/>
          <w:szCs w:val="21"/>
          <w:highlight w:val="none"/>
          <w:u w:val="single"/>
        </w:rPr>
        <w:t xml:space="preserve">           </w:t>
      </w:r>
      <w:r>
        <w:rPr>
          <w:rFonts w:hint="eastAsia"/>
          <w:color w:val="000000"/>
          <w:szCs w:val="21"/>
          <w:highlight w:val="none"/>
        </w:rPr>
        <w:t>（项目名称）</w:t>
      </w:r>
      <w:r>
        <w:rPr>
          <w:color w:val="000000"/>
          <w:szCs w:val="21"/>
          <w:highlight w:val="none"/>
          <w:u w:val="single"/>
        </w:rPr>
        <w:t xml:space="preserve">           </w:t>
      </w:r>
      <w:r>
        <w:rPr>
          <w:rFonts w:hint="eastAsia"/>
          <w:color w:val="000000"/>
          <w:szCs w:val="21"/>
          <w:highlight w:val="none"/>
        </w:rPr>
        <w:t>（标段名称）投标文件、签订合同和处理有关事宜，其法律后果由我方承担。</w:t>
      </w:r>
    </w:p>
    <w:p>
      <w:pPr>
        <w:pStyle w:val="98"/>
        <w:spacing w:line="400" w:lineRule="exact"/>
        <w:rPr>
          <w:color w:val="000000"/>
          <w:szCs w:val="21"/>
          <w:highlight w:val="none"/>
        </w:rPr>
      </w:pPr>
      <w:r>
        <w:rPr>
          <w:color w:val="000000"/>
          <w:szCs w:val="21"/>
          <w:highlight w:val="none"/>
        </w:rPr>
        <w:t xml:space="preserve">    </w:t>
      </w:r>
      <w:r>
        <w:rPr>
          <w:rFonts w:hint="eastAsia"/>
          <w:color w:val="000000"/>
          <w:szCs w:val="21"/>
          <w:highlight w:val="none"/>
        </w:rPr>
        <w:t>委托期限：</w:t>
      </w:r>
      <w:r>
        <w:rPr>
          <w:color w:val="000000"/>
          <w:szCs w:val="21"/>
          <w:highlight w:val="none"/>
          <w:u w:val="single"/>
        </w:rPr>
        <w:t xml:space="preserve">             </w:t>
      </w:r>
      <w:r>
        <w:rPr>
          <w:rFonts w:hint="eastAsia"/>
          <w:color w:val="000000"/>
          <w:szCs w:val="21"/>
          <w:highlight w:val="none"/>
        </w:rPr>
        <w:t>。</w:t>
      </w:r>
    </w:p>
    <w:p>
      <w:pPr>
        <w:pStyle w:val="98"/>
        <w:spacing w:line="400" w:lineRule="exact"/>
        <w:ind w:firstLine="420" w:firstLineChars="200"/>
        <w:rPr>
          <w:color w:val="000000"/>
          <w:szCs w:val="21"/>
          <w:highlight w:val="none"/>
        </w:rPr>
      </w:pPr>
      <w:r>
        <w:rPr>
          <w:rFonts w:hint="eastAsia"/>
          <w:color w:val="000000"/>
          <w:szCs w:val="21"/>
          <w:highlight w:val="none"/>
        </w:rPr>
        <w:t>代理人无转委托权。</w:t>
      </w:r>
    </w:p>
    <w:p>
      <w:pPr>
        <w:pStyle w:val="98"/>
        <w:spacing w:line="400" w:lineRule="exact"/>
        <w:ind w:firstLine="420" w:firstLineChars="200"/>
        <w:rPr>
          <w:color w:val="000000"/>
          <w:szCs w:val="21"/>
          <w:highlight w:val="none"/>
        </w:rPr>
      </w:pPr>
      <w:r>
        <w:rPr>
          <w:rFonts w:hint="eastAsia"/>
          <w:color w:val="000000"/>
          <w:szCs w:val="21"/>
          <w:highlight w:val="none"/>
        </w:rPr>
        <w:t>附：法定代表人身份证明</w:t>
      </w:r>
    </w:p>
    <w:p>
      <w:pPr>
        <w:pStyle w:val="98"/>
        <w:spacing w:line="400" w:lineRule="exact"/>
        <w:rPr>
          <w:color w:val="000000"/>
          <w:szCs w:val="21"/>
          <w:highlight w:val="none"/>
        </w:rPr>
      </w:pPr>
    </w:p>
    <w:p>
      <w:pPr>
        <w:pStyle w:val="98"/>
        <w:spacing w:line="400" w:lineRule="exac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投标人：</w:t>
      </w:r>
      <w:r>
        <w:rPr>
          <w:color w:val="000000"/>
          <w:szCs w:val="21"/>
          <w:highlight w:val="none"/>
          <w:u w:val="single"/>
        </w:rPr>
        <w:t xml:space="preserve">                               </w:t>
      </w:r>
      <w:r>
        <w:rPr>
          <w:rFonts w:hint="eastAsia"/>
          <w:color w:val="000000"/>
          <w:szCs w:val="21"/>
          <w:highlight w:val="none"/>
        </w:rPr>
        <w:t>（盖单位章）</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法定代表人：</w:t>
      </w:r>
      <w:r>
        <w:rPr>
          <w:color w:val="000000"/>
          <w:szCs w:val="21"/>
          <w:highlight w:val="none"/>
          <w:u w:val="single"/>
        </w:rPr>
        <w:t xml:space="preserve">                               </w:t>
      </w:r>
      <w:r>
        <w:rPr>
          <w:rFonts w:hint="eastAsia"/>
          <w:color w:val="000000"/>
          <w:szCs w:val="21"/>
          <w:highlight w:val="none"/>
        </w:rPr>
        <w:t>（签字）</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委托代理人：</w:t>
      </w:r>
      <w:r>
        <w:rPr>
          <w:color w:val="000000"/>
          <w:szCs w:val="21"/>
          <w:highlight w:val="none"/>
          <w:u w:val="single"/>
        </w:rPr>
        <w:t xml:space="preserve">                               </w:t>
      </w:r>
      <w:r>
        <w:rPr>
          <w:rFonts w:hint="eastAsia"/>
          <w:color w:val="000000"/>
          <w:szCs w:val="21"/>
          <w:highlight w:val="none"/>
        </w:rPr>
        <w:t>（签字）</w:t>
      </w:r>
      <w:r>
        <w:rPr>
          <w:color w:val="000000"/>
          <w:szCs w:val="21"/>
          <w:highlight w:val="none"/>
        </w:rPr>
        <w:t xml:space="preserve"> </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p>
    <w:p>
      <w:pPr>
        <w:pStyle w:val="98"/>
        <w:spacing w:line="400" w:lineRule="exact"/>
        <w:ind w:firstLine="1575" w:firstLineChars="750"/>
        <w:jc w:val="right"/>
        <w:rPr>
          <w:rFonts w:eastAsia="黑体"/>
          <w:color w:val="000000"/>
          <w:szCs w:val="21"/>
          <w:highlight w:val="none"/>
        </w:rPr>
      </w:pPr>
      <w:r>
        <w:rPr>
          <w:color w:val="000000"/>
          <w:szCs w:val="21"/>
          <w:highlight w:val="none"/>
          <w:u w:val="single"/>
        </w:rPr>
        <w:t xml:space="preserve">       </w:t>
      </w:r>
      <w:r>
        <w:rPr>
          <w:rFonts w:hint="eastAsia"/>
          <w:color w:val="000000"/>
          <w:szCs w:val="21"/>
          <w:highlight w:val="none"/>
        </w:rPr>
        <w:t>年</w:t>
      </w:r>
      <w:r>
        <w:rPr>
          <w:color w:val="000000"/>
          <w:szCs w:val="21"/>
          <w:highlight w:val="none"/>
        </w:rPr>
        <w:t xml:space="preserve"> </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p>
    <w:p>
      <w:pPr>
        <w:pStyle w:val="99"/>
        <w:outlineLvl w:val="1"/>
        <w:rPr>
          <w:highlight w:val="none"/>
        </w:rPr>
      </w:pPr>
      <w:r>
        <w:rPr>
          <w:highlight w:val="none"/>
        </w:rPr>
        <w:br w:type="page"/>
      </w:r>
      <w:bookmarkStart w:id="625" w:name="_Toc29805"/>
      <w:r>
        <w:rPr>
          <w:rFonts w:ascii="黑体" w:hAnsi="黑体" w:eastAsia="黑体" w:cs="黑体"/>
          <w:b/>
          <w:sz w:val="32"/>
          <w:highlight w:val="none"/>
        </w:rPr>
        <w:t>三、投标保证金</w:t>
      </w:r>
      <w:bookmarkEnd w:id="625"/>
    </w:p>
    <w:p>
      <w:pPr>
        <w:pStyle w:val="100"/>
        <w:jc w:val="center"/>
        <w:rPr>
          <w:rFonts w:ascii="黑体" w:hAnsi="黑体" w:eastAsia="黑体"/>
          <w:b/>
          <w:sz w:val="30"/>
          <w:szCs w:val="30"/>
          <w:highlight w:val="none"/>
        </w:rPr>
      </w:pPr>
      <w:r>
        <w:rPr>
          <w:rFonts w:hint="eastAsia" w:ascii="黑体" w:hAnsi="黑体" w:eastAsia="黑体"/>
          <w:b/>
          <w:sz w:val="30"/>
          <w:szCs w:val="30"/>
          <w:highlight w:val="none"/>
        </w:rPr>
        <w:t>投标保证金</w:t>
      </w:r>
    </w:p>
    <w:p>
      <w:pPr>
        <w:pStyle w:val="100"/>
        <w:spacing w:line="400" w:lineRule="exact"/>
        <w:jc w:val="left"/>
        <w:rPr>
          <w:rFonts w:ascii="宋体" w:hAnsi="宋体"/>
          <w:color w:val="000000"/>
          <w:szCs w:val="21"/>
          <w:highlight w:val="none"/>
          <w:u w:val="singl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100"/>
        <w:spacing w:line="400" w:lineRule="exact"/>
        <w:jc w:val="left"/>
        <w:rPr>
          <w:rFonts w:ascii="宋体" w:hAnsi="宋体"/>
          <w:color w:val="000000"/>
          <w:szCs w:val="21"/>
          <w:highlight w:val="none"/>
        </w:rPr>
      </w:pP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鉴于</w:t>
      </w:r>
      <w:r>
        <w:rPr>
          <w:rFonts w:hint="eastAsia" w:ascii="宋体" w:hAnsi="宋体"/>
          <w:color w:val="000000"/>
          <w:szCs w:val="21"/>
          <w:highlight w:val="none"/>
          <w:u w:val="single"/>
        </w:rPr>
        <w:t xml:space="preserve">       </w:t>
      </w:r>
      <w:r>
        <w:rPr>
          <w:rFonts w:hint="eastAsia" w:ascii="宋体" w:hAnsi="宋体"/>
          <w:color w:val="000000"/>
          <w:szCs w:val="21"/>
          <w:highlight w:val="none"/>
        </w:rPr>
        <w:t>（投标人名称，以下称“投标人”）于</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日参加</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（标段名称）的投标，</w:t>
      </w:r>
      <w:r>
        <w:rPr>
          <w:rFonts w:hint="eastAsia" w:ascii="宋体" w:hAnsi="宋体"/>
          <w:color w:val="000000"/>
          <w:szCs w:val="21"/>
          <w:highlight w:val="none"/>
          <w:u w:val="single"/>
        </w:rPr>
        <w:t xml:space="preserve">        </w:t>
      </w:r>
      <w:r>
        <w:rPr>
          <w:rFonts w:hint="eastAsia" w:ascii="宋体" w:hAnsi="宋体"/>
          <w:color w:val="000000"/>
          <w:szCs w:val="21"/>
          <w:highlight w:val="none"/>
        </w:rPr>
        <w:t>（担保人名称，以下简称“我方”）无条件地、不可撤销地保证：投标人在规定的投标文件有效期内补充、修改、替代或撤回其投标文件的，或者投标人在收到中标通知书后无正当理由拒签合同或拒交规定履约担保的，我方承担保证责任。收到你方书面通知后，在7日内无条件向你方支付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本担保在投标有效期内保持有效。要求我方承担保证责任的书面通知应在投标有效期内送达我方。</w:t>
      </w: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 xml:space="preserve"> </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担保人：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地    址：</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u w:val="single"/>
        </w:rPr>
      </w:pPr>
      <w:r>
        <w:rPr>
          <w:rFonts w:hint="eastAsia" w:ascii="宋体" w:hAnsi="宋体"/>
          <w:color w:val="000000"/>
          <w:szCs w:val="21"/>
          <w:highlight w:val="none"/>
        </w:rPr>
        <w:t>邮政编码：</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电    话：</w:t>
      </w:r>
      <w:r>
        <w:rPr>
          <w:rFonts w:hint="eastAsia" w:ascii="宋体" w:hAnsi="宋体"/>
          <w:color w:val="000000"/>
          <w:szCs w:val="21"/>
          <w:highlight w:val="none"/>
          <w:u w:val="single"/>
        </w:rPr>
        <w:t xml:space="preserve">                                          </w:t>
      </w:r>
    </w:p>
    <w:p>
      <w:pPr>
        <w:pStyle w:val="100"/>
        <w:spacing w:line="400" w:lineRule="exact"/>
        <w:ind w:firstLine="3313" w:firstLineChars="1578"/>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注1：投标保证金采取电汇、保函的，附上述票据的复印件；采取担保的，应采用上述格式。</w:t>
      </w:r>
    </w:p>
    <w:p>
      <w:pPr>
        <w:pStyle w:val="100"/>
        <w:rPr>
          <w:highlight w:val="none"/>
        </w:rPr>
      </w:pPr>
      <w:r>
        <w:rPr>
          <w:rFonts w:hint="eastAsia" w:ascii="宋体" w:hAnsi="宋体"/>
          <w:color w:val="000000"/>
          <w:szCs w:val="21"/>
          <w:highlight w:val="none"/>
        </w:rPr>
        <w:t>注2：委托代理人应附授权委托书。</w:t>
      </w:r>
    </w:p>
    <w:p>
      <w:pPr>
        <w:pStyle w:val="101"/>
        <w:outlineLvl w:val="1"/>
        <w:rPr>
          <w:highlight w:val="none"/>
        </w:rPr>
      </w:pPr>
      <w:r>
        <w:rPr>
          <w:highlight w:val="none"/>
        </w:rPr>
        <w:br w:type="page"/>
      </w:r>
      <w:bookmarkStart w:id="626" w:name="_Toc18890"/>
      <w:r>
        <w:rPr>
          <w:rFonts w:ascii="黑体" w:hAnsi="黑体" w:eastAsia="黑体" w:cs="黑体"/>
          <w:b/>
          <w:sz w:val="32"/>
          <w:highlight w:val="none"/>
        </w:rPr>
        <w:t>四、已标价工程量清单</w:t>
      </w:r>
      <w:bookmarkEnd w:id="626"/>
    </w:p>
    <w:p>
      <w:pPr>
        <w:pStyle w:val="102"/>
        <w:rPr>
          <w:highlight w:val="none"/>
        </w:rPr>
      </w:pPr>
    </w:p>
    <w:p>
      <w:pPr>
        <w:pStyle w:val="103"/>
        <w:outlineLvl w:val="1"/>
        <w:rPr>
          <w:highlight w:val="none"/>
        </w:rPr>
      </w:pPr>
      <w:r>
        <w:rPr>
          <w:highlight w:val="none"/>
        </w:rPr>
        <w:br w:type="page"/>
      </w:r>
      <w:bookmarkStart w:id="627" w:name="_Toc31878"/>
      <w:r>
        <w:rPr>
          <w:rFonts w:ascii="黑体" w:hAnsi="黑体" w:eastAsia="黑体" w:cs="黑体"/>
          <w:b/>
          <w:sz w:val="32"/>
          <w:highlight w:val="none"/>
        </w:rPr>
        <w:t>五、施工组织设计</w:t>
      </w:r>
      <w:bookmarkEnd w:id="627"/>
    </w:p>
    <w:p>
      <w:pPr>
        <w:pStyle w:val="104"/>
        <w:jc w:val="center"/>
        <w:rPr>
          <w:rFonts w:ascii="黑体" w:hAnsi="黑体" w:eastAsia="黑体"/>
          <w:b/>
          <w:sz w:val="30"/>
          <w:szCs w:val="30"/>
          <w:highlight w:val="none"/>
        </w:rPr>
      </w:pPr>
      <w:r>
        <w:rPr>
          <w:rFonts w:hint="eastAsia" w:ascii="黑体" w:hAnsi="黑体" w:eastAsia="黑体"/>
          <w:b/>
          <w:sz w:val="30"/>
          <w:szCs w:val="30"/>
          <w:highlight w:val="none"/>
        </w:rPr>
        <w:t>施工组织设计</w:t>
      </w:r>
    </w:p>
    <w:p>
      <w:pPr>
        <w:pStyle w:val="104"/>
        <w:spacing w:line="400" w:lineRule="exact"/>
        <w:rPr>
          <w:rFonts w:ascii="Times New Roman" w:hAnsi="Times New Roman" w:eastAsia="黑体"/>
          <w:color w:val="000000"/>
          <w:sz w:val="20"/>
          <w:szCs w:val="20"/>
          <w:highlight w:val="none"/>
        </w:rPr>
      </w:pPr>
    </w:p>
    <w:p>
      <w:pPr>
        <w:pStyle w:val="104"/>
        <w:spacing w:line="400" w:lineRule="exact"/>
        <w:ind w:firstLine="525" w:firstLineChars="250"/>
        <w:rPr>
          <w:rFonts w:ascii="宋体" w:hAnsi="宋体"/>
          <w:color w:val="000000"/>
          <w:szCs w:val="21"/>
          <w:highlight w:val="none"/>
        </w:rPr>
      </w:pPr>
      <w:r>
        <w:rPr>
          <w:rFonts w:hint="eastAsia" w:ascii="宋体" w:hAnsi="宋体"/>
          <w:color w:val="000000"/>
          <w:szCs w:val="21"/>
          <w:highlight w:val="none"/>
        </w:rPr>
        <w:t>1.投标人编制施工组织设计时应采用文字并结合图表形式说明工程的施工组织、施工方法、技术组织措施，同时应对关键工序、复杂环节重点提出相应技术措施，如冬雨季施工技术、减少噪音、降低环境污染、地下管线及其他地上地下设施的保护加固措施等。施工组织设计还应结合工程特点提出切实可行的工程质量、工程进度、安全生产、防汛度汛、文明施工、水土保持、环境保护管理方案。</w:t>
      </w:r>
    </w:p>
    <w:p>
      <w:pPr>
        <w:pStyle w:val="104"/>
        <w:spacing w:line="400" w:lineRule="exact"/>
        <w:ind w:firstLine="315" w:firstLineChars="150"/>
        <w:rPr>
          <w:rFonts w:ascii="宋体" w:hAnsi="宋体"/>
          <w:color w:val="000000"/>
          <w:szCs w:val="21"/>
          <w:highlight w:val="none"/>
        </w:rPr>
      </w:pPr>
      <w:r>
        <w:rPr>
          <w:rFonts w:hint="eastAsia" w:ascii="宋体" w:hAnsi="宋体"/>
          <w:color w:val="000000"/>
          <w:szCs w:val="21"/>
          <w:highlight w:val="none"/>
        </w:rPr>
        <w:t>施工组织设计应附的文字说明及配图见下表（不限于,仅供参考）：</w:t>
      </w:r>
    </w:p>
    <w:tbl>
      <w:tblPr>
        <w:tblStyle w:val="3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6008"/>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序号</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名           称</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施工围堰设计说明书及附图（包括加高、维护、拆除）</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施工排水设计说明书及附图（包括降水方案、场地排水等）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材料采购（黄砂、碎石、块石的产地、矿名等均应明示，钢材、水泥的生产厂家，转运方案：卸料、短驳、运输、道路维护等）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土方工程施工说明书及附图（施工工艺及质量保证措施和有关试验要求，施工进度工期计划等）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基坑支护、地基加固工程施工说明书及附图（施工工艺及质量保证措施和有关试验要求，施工进度工期计划等）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主体建筑物工程施工说明书及附图（施工工艺及质量保证措施和有关试验要求，施工进度工期计划等）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7</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金属结构制造和安装计划、措施及附图</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8</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机电设备安装、调试方案、施工进度计划说明书</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9</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建筑与装修工程施工说明书（施工工艺及质量保证措施，施工进度工期计划等）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10</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工程质量管理方案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安全生产管理方案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防汛度汛</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文明工地建设措施，为其他承包人提供方便的措施等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水土保持、环境保护管理方案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其他有关工程的施工工艺及进度计划</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有关施工建议</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bl>
    <w:p>
      <w:pPr>
        <w:pStyle w:val="104"/>
        <w:tabs>
          <w:tab w:val="left" w:pos="720"/>
        </w:tabs>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2.施工组织设计除采用文字表述外应附下列图表,图表及格式要求附后。</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附表一  拟投入本标段的主要施工设备表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附表二  拟投入本标段的实验和检测仪器设备表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附表三  拟投入本标段的劳动力计划表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附表四  计划开工日期、完工日期和施工进度网络图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附表五  施工总平面图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附表六  临时用地表</w:t>
      </w:r>
    </w:p>
    <w:p>
      <w:pPr>
        <w:pStyle w:val="104"/>
        <w:spacing w:line="400" w:lineRule="exact"/>
        <w:rPr>
          <w:rFonts w:ascii="Times New Roman" w:hAnsi="Times New Roman"/>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28" w:name="_Toc13773"/>
      <w:r>
        <w:rPr>
          <w:rFonts w:hint="eastAsia"/>
          <w:color w:val="000000"/>
          <w:highlight w:val="none"/>
        </w:rPr>
        <w:t>附表一：拟投入本标段的主要施工设备表</w:t>
      </w:r>
      <w:bookmarkEnd w:id="628"/>
    </w:p>
    <w:p>
      <w:pPr>
        <w:pStyle w:val="104"/>
        <w:spacing w:line="400" w:lineRule="exact"/>
        <w:rPr>
          <w:color w:val="000000"/>
          <w:sz w:val="19"/>
          <w:szCs w:val="19"/>
          <w:highlight w:val="none"/>
        </w:rPr>
      </w:pPr>
    </w:p>
    <w:tbl>
      <w:tblPr>
        <w:tblStyle w:val="36"/>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7"/>
        <w:gridCol w:w="761"/>
        <w:gridCol w:w="991"/>
        <w:gridCol w:w="672"/>
        <w:gridCol w:w="739"/>
        <w:gridCol w:w="1213"/>
        <w:gridCol w:w="875"/>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设备名称</w:t>
            </w: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额定功率（KW）</w:t>
            </w: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生产</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能力</w:t>
            </w: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用于施工部位</w:t>
            </w: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29" w:name="_Toc6069"/>
      <w:r>
        <w:rPr>
          <w:rFonts w:hint="eastAsia"/>
          <w:color w:val="000000"/>
          <w:highlight w:val="none"/>
        </w:rPr>
        <w:t>附表二：拟投入本标段的试验和检测仪器设备表</w:t>
      </w:r>
      <w:bookmarkEnd w:id="629"/>
    </w:p>
    <w:p>
      <w:pPr>
        <w:pStyle w:val="104"/>
        <w:spacing w:line="400" w:lineRule="exact"/>
        <w:rPr>
          <w:color w:val="000000"/>
          <w:sz w:val="19"/>
          <w:szCs w:val="19"/>
          <w:highlight w:val="none"/>
        </w:rPr>
      </w:pPr>
    </w:p>
    <w:tbl>
      <w:tblPr>
        <w:tblStyle w:val="36"/>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8"/>
        <w:gridCol w:w="876"/>
        <w:gridCol w:w="876"/>
        <w:gridCol w:w="673"/>
        <w:gridCol w:w="739"/>
        <w:gridCol w:w="1213"/>
        <w:gridCol w:w="165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仪器设备名称</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已使用台时数</w:t>
            </w: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用途</w:t>
            </w: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0" w:name="_Toc558"/>
      <w:r>
        <w:rPr>
          <w:rFonts w:hint="eastAsia"/>
          <w:color w:val="000000"/>
          <w:highlight w:val="none"/>
        </w:rPr>
        <w:t>附表三：拟投入本标段的劳动力计划表</w:t>
      </w:r>
      <w:bookmarkEnd w:id="630"/>
    </w:p>
    <w:p>
      <w:pPr>
        <w:pStyle w:val="104"/>
        <w:spacing w:line="400" w:lineRule="exact"/>
        <w:ind w:right="200"/>
        <w:jc w:val="right"/>
        <w:rPr>
          <w:rFonts w:ascii="宋体" w:hAnsi="宋体"/>
          <w:color w:val="000000"/>
          <w:szCs w:val="21"/>
          <w:highlight w:val="none"/>
        </w:rPr>
      </w:pPr>
      <w:r>
        <w:rPr>
          <w:rFonts w:hint="eastAsia" w:ascii="宋体" w:hAnsi="宋体"/>
          <w:color w:val="000000"/>
          <w:szCs w:val="21"/>
          <w:highlight w:val="none"/>
        </w:rPr>
        <w:t>单位：人</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工种</w:t>
            </w:r>
          </w:p>
        </w:tc>
        <w:tc>
          <w:tcPr>
            <w:tcW w:w="4514" w:type="pct"/>
            <w:gridSpan w:val="7"/>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5"/>
        <w:rPr>
          <w:color w:val="000000"/>
          <w:highlight w:val="none"/>
        </w:rPr>
      </w:pPr>
      <w:bookmarkStart w:id="631" w:name="_Toc9696"/>
      <w:r>
        <w:rPr>
          <w:rFonts w:hint="eastAsia"/>
          <w:color w:val="000000"/>
          <w:highlight w:val="none"/>
        </w:rPr>
        <w:t>附表四：计划开工日期、完工日期和施工进度网络图</w:t>
      </w:r>
      <w:bookmarkEnd w:id="631"/>
    </w:p>
    <w:p>
      <w:pPr>
        <w:pStyle w:val="104"/>
        <w:spacing w:line="400" w:lineRule="exact"/>
        <w:rPr>
          <w:rFonts w:eastAsia="黑体"/>
          <w:color w:val="000000"/>
          <w:sz w:val="19"/>
          <w:szCs w:val="19"/>
          <w:highlight w:val="none"/>
        </w:rPr>
      </w:pP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 投标人应递交施工进度网络图或施工进度表，说明按招标文件要求的计划工期进行施工的各个关键日期。</w:t>
      </w: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 施工进度表可采用</w:t>
      </w:r>
      <w:r>
        <w:rPr>
          <w:rFonts w:hint="eastAsia" w:ascii="宋体" w:hAnsi="宋体"/>
          <w:color w:val="000000"/>
          <w:szCs w:val="21"/>
          <w:highlight w:val="none"/>
          <w:u w:val="single"/>
        </w:rPr>
        <w:t xml:space="preserve">                 </w:t>
      </w:r>
      <w:r>
        <w:rPr>
          <w:rFonts w:hint="eastAsia" w:ascii="宋体" w:hAnsi="宋体"/>
          <w:color w:val="000000"/>
          <w:szCs w:val="21"/>
          <w:highlight w:val="none"/>
        </w:rPr>
        <w:t>网络图（或横道图）表示。</w:t>
      </w:r>
    </w:p>
    <w:p>
      <w:pPr>
        <w:pStyle w:val="104"/>
        <w:spacing w:line="400" w:lineRule="exact"/>
        <w:rPr>
          <w:rFonts w:ascii="Times New Roman" w:hAnsi="Times New Roman"/>
          <w:color w:val="000000"/>
          <w:sz w:val="19"/>
          <w:szCs w:val="19"/>
          <w:highlight w:val="none"/>
        </w:rPr>
      </w:pP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2" w:name="_Toc5732"/>
      <w:r>
        <w:rPr>
          <w:rFonts w:hint="eastAsia"/>
          <w:color w:val="000000"/>
          <w:highlight w:val="none"/>
        </w:rPr>
        <w:t>附表五：施工总平面图</w:t>
      </w:r>
      <w:bookmarkEnd w:id="632"/>
    </w:p>
    <w:p>
      <w:pPr>
        <w:pStyle w:val="104"/>
        <w:spacing w:line="400" w:lineRule="exact"/>
        <w:rPr>
          <w:rFonts w:eastAsia="黑体"/>
          <w:color w:val="000000"/>
          <w:sz w:val="19"/>
          <w:szCs w:val="19"/>
          <w:highlight w:val="none"/>
        </w:rPr>
      </w:pPr>
      <w:r>
        <w:rPr>
          <w:rFonts w:eastAsia="黑体"/>
          <w:color w:val="000000"/>
          <w:sz w:val="19"/>
          <w:szCs w:val="19"/>
          <w:highlight w:val="none"/>
        </w:rPr>
        <w:tab/>
      </w:r>
    </w:p>
    <w:p>
      <w:pPr>
        <w:pStyle w:val="104"/>
        <w:spacing w:line="400" w:lineRule="exact"/>
        <w:ind w:firstLine="420" w:firstLineChars="200"/>
        <w:rPr>
          <w:color w:val="000000"/>
          <w:szCs w:val="21"/>
          <w:highlight w:val="none"/>
        </w:rPr>
      </w:pPr>
      <w:r>
        <w:rPr>
          <w:rFonts w:hint="eastAsia"/>
          <w:color w:val="000000"/>
          <w:szCs w:val="21"/>
          <w:highlight w:val="none"/>
        </w:rPr>
        <w:t>投标人应递交一份施工总平面图，绘出现场临时设施布置图表并附文字说明，说明临时设施、加工车间、现场办公、设备及仓储、供电、供水、卫生、生活、道路、消防等设施的情况和布置。</w:t>
      </w: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3" w:name="_Toc25401"/>
      <w:r>
        <w:rPr>
          <w:rFonts w:hint="eastAsia"/>
          <w:color w:val="000000"/>
          <w:highlight w:val="none"/>
        </w:rPr>
        <w:t>附表六：临时用地表</w:t>
      </w:r>
      <w:bookmarkEnd w:id="633"/>
    </w:p>
    <w:p>
      <w:pPr>
        <w:pStyle w:val="104"/>
        <w:spacing w:line="400" w:lineRule="exact"/>
        <w:jc w:val="center"/>
        <w:rPr>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 途</w:t>
            </w:r>
          </w:p>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面 积（㎡）</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位 置</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8"/>
        <w:outlineLvl w:val="1"/>
        <w:rPr>
          <w:highlight w:val="none"/>
        </w:rPr>
      </w:pPr>
      <w:r>
        <w:rPr>
          <w:highlight w:val="none"/>
        </w:rPr>
        <w:br w:type="page"/>
      </w:r>
      <w:bookmarkStart w:id="634" w:name="_Toc19979"/>
      <w:r>
        <w:rPr>
          <w:rFonts w:ascii="黑体" w:hAnsi="黑体" w:eastAsia="黑体" w:cs="黑体"/>
          <w:b/>
          <w:sz w:val="32"/>
          <w:highlight w:val="none"/>
        </w:rPr>
        <w:t>六、项目管理机构</w:t>
      </w:r>
      <w:bookmarkEnd w:id="634"/>
    </w:p>
    <w:p>
      <w:pPr>
        <w:pStyle w:val="109"/>
        <w:outlineLvl w:val="2"/>
        <w:rPr>
          <w:highlight w:val="none"/>
        </w:rPr>
      </w:pPr>
      <w:bookmarkStart w:id="635" w:name="_Toc21592"/>
      <w:r>
        <w:rPr>
          <w:rFonts w:ascii="黑体" w:hAnsi="黑体" w:eastAsia="黑体" w:cs="黑体"/>
          <w:b/>
          <w:sz w:val="28"/>
          <w:highlight w:val="none"/>
        </w:rPr>
        <w:t>(一)项目管理机构组成表</w:t>
      </w:r>
      <w:bookmarkEnd w:id="635"/>
    </w:p>
    <w:p>
      <w:pPr>
        <w:pStyle w:val="110"/>
        <w:spacing w:line="400" w:lineRule="exact"/>
        <w:jc w:val="center"/>
        <w:rPr>
          <w:rFonts w:eastAsia="黑体"/>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21"/>
        <w:gridCol w:w="720"/>
        <w:gridCol w:w="1081"/>
        <w:gridCol w:w="720"/>
        <w:gridCol w:w="721"/>
        <w:gridCol w:w="720"/>
        <w:gridCol w:w="252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职务</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姓名</w:t>
            </w:r>
          </w:p>
        </w:tc>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职称</w:t>
            </w:r>
          </w:p>
        </w:tc>
        <w:tc>
          <w:tcPr>
            <w:tcW w:w="3381" w:type="pct"/>
            <w:gridSpan w:val="5"/>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执业或职业资格证明</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证书名称</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级别</w:t>
            </w: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证号</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专业</w:t>
            </w: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社会保险</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bl>
    <w:p>
      <w:pPr>
        <w:pStyle w:val="111"/>
        <w:rPr>
          <w:highlight w:val="none"/>
        </w:rPr>
      </w:pPr>
      <w:r>
        <w:rPr>
          <w:highlight w:val="none"/>
        </w:rPr>
        <w:t xml:space="preserve">    备注：本表应附材料如下：</w:t>
      </w:r>
    </w:p>
    <w:p>
      <w:pPr>
        <w:pStyle w:val="90"/>
        <w:rPr>
          <w:highlight w:val="none"/>
        </w:rPr>
      </w:pPr>
      <w:r>
        <w:rPr>
          <w:highlight w:val="none"/>
        </w:rPr>
        <w:t>职称证（执业证或上岗证书）、养老保险证明、其他。</w:t>
      </w:r>
    </w:p>
    <w:p>
      <w:pPr>
        <w:pStyle w:val="112"/>
        <w:outlineLvl w:val="2"/>
        <w:rPr>
          <w:highlight w:val="none"/>
        </w:rPr>
      </w:pPr>
      <w:r>
        <w:rPr>
          <w:highlight w:val="none"/>
        </w:rPr>
        <w:br w:type="page"/>
      </w:r>
      <w:bookmarkStart w:id="636" w:name="_Toc32023"/>
      <w:r>
        <w:rPr>
          <w:rFonts w:ascii="黑体" w:hAnsi="黑体" w:eastAsia="黑体" w:cs="黑体"/>
          <w:b/>
          <w:sz w:val="28"/>
          <w:highlight w:val="none"/>
        </w:rPr>
        <w:t>(二)主要人员简历表</w:t>
      </w:r>
      <w:bookmarkEnd w:id="636"/>
    </w:p>
    <w:p>
      <w:pPr>
        <w:pStyle w:val="113"/>
        <w:rPr>
          <w:highlight w:val="none"/>
        </w:rPr>
      </w:pPr>
    </w:p>
    <w:tbl>
      <w:tblPr>
        <w:tblStyle w:val="36"/>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59"/>
        <w:gridCol w:w="720"/>
        <w:gridCol w:w="927"/>
        <w:gridCol w:w="1065"/>
        <w:gridCol w:w="708"/>
        <w:gridCol w:w="1261"/>
        <w:gridCol w:w="39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执业资格</w:t>
            </w:r>
          </w:p>
        </w:tc>
        <w:tc>
          <w:tcPr>
            <w:tcW w:w="3071"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安全生产考核合格证书</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毕业学校</w:t>
            </w:r>
          </w:p>
        </w:tc>
        <w:tc>
          <w:tcPr>
            <w:tcW w:w="7572" w:type="dxa"/>
            <w:gridSpan w:val="8"/>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r>
              <w:rPr>
                <w:rFonts w:hint="eastAsia" w:ascii="宋体" w:hAnsi="宋体"/>
                <w:color w:val="000000"/>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8" w:type="dxa"/>
            <w:gridSpan w:val="9"/>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担任职务</w:t>
            </w: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r>
              <w:rPr>
                <w:rFonts w:hint="eastAsia" w:ascii="宋体" w:hAnsi="宋体"/>
                <w:color w:val="000000"/>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bl>
    <w:p>
      <w:pPr>
        <w:pStyle w:val="113"/>
        <w:spacing w:line="400" w:lineRule="exact"/>
        <w:rPr>
          <w:rFonts w:ascii="Times New Roman" w:hAnsi="Times New Roman" w:eastAsia="黑体"/>
          <w:color w:val="000000"/>
          <w:sz w:val="19"/>
          <w:szCs w:val="19"/>
          <w:highlight w:val="none"/>
        </w:rPr>
      </w:pPr>
      <w:r>
        <w:rPr>
          <w:rFonts w:hint="eastAsia" w:ascii="宋体" w:hAnsi="宋体"/>
          <w:color w:val="000000"/>
          <w:szCs w:val="21"/>
          <w:highlight w:val="none"/>
        </w:rPr>
        <w:t>注</w:t>
      </w:r>
      <w:r>
        <w:rPr>
          <w:rFonts w:hint="eastAsia" w:ascii="宋体" w:hAnsi="宋体"/>
          <w:color w:val="000000"/>
          <w:highlight w:val="none"/>
        </w:rPr>
        <w:t>：主要人员指项目经理、技术负责人、安全管理人员（专职安全生产管理人员）、质量管理人员、财务负责人及其它主要人员。</w:t>
      </w:r>
    </w:p>
    <w:p>
      <w:pPr>
        <w:pStyle w:val="111"/>
        <w:rPr>
          <w:highlight w:val="none"/>
        </w:rPr>
      </w:pPr>
      <w:r>
        <w:rPr>
          <w:highlight w:val="none"/>
        </w:rPr>
        <w:t xml:space="preserve">    备注：本表应附材料如下：</w:t>
      </w:r>
    </w:p>
    <w:p>
      <w:pPr>
        <w:pStyle w:val="90"/>
        <w:rPr>
          <w:highlight w:val="none"/>
        </w:rPr>
      </w:pPr>
      <w:r>
        <w:rPr>
          <w:highlight w:val="none"/>
        </w:rPr>
        <w:t>建造师证书、项目经理身份证、项目经理职称证书。</w:t>
      </w:r>
    </w:p>
    <w:p>
      <w:pPr>
        <w:pStyle w:val="114"/>
        <w:outlineLvl w:val="1"/>
        <w:rPr>
          <w:highlight w:val="none"/>
        </w:rPr>
      </w:pPr>
      <w:r>
        <w:rPr>
          <w:highlight w:val="none"/>
        </w:rPr>
        <w:br w:type="page"/>
      </w:r>
      <w:bookmarkStart w:id="637" w:name="_Toc24600"/>
      <w:r>
        <w:rPr>
          <w:rFonts w:ascii="黑体" w:hAnsi="黑体" w:eastAsia="黑体" w:cs="黑体"/>
          <w:b/>
          <w:sz w:val="32"/>
          <w:highlight w:val="none"/>
        </w:rPr>
        <w:t>七、拟分包项目情况表</w:t>
      </w:r>
      <w:bookmarkEnd w:id="637"/>
    </w:p>
    <w:p>
      <w:pPr>
        <w:pStyle w:val="115"/>
        <w:jc w:val="center"/>
        <w:rPr>
          <w:rFonts w:ascii="黑体" w:hAnsi="黑体" w:eastAsia="黑体"/>
          <w:b/>
          <w:sz w:val="30"/>
          <w:szCs w:val="30"/>
          <w:highlight w:val="none"/>
        </w:rPr>
      </w:pPr>
      <w:r>
        <w:rPr>
          <w:rFonts w:hint="eastAsia" w:ascii="黑体" w:hAnsi="黑体" w:eastAsia="黑体"/>
          <w:b/>
          <w:sz w:val="30"/>
          <w:szCs w:val="30"/>
          <w:highlight w:val="none"/>
        </w:rPr>
        <w:t>拟分包项目情况表</w:t>
      </w:r>
    </w:p>
    <w:p>
      <w:pPr>
        <w:pStyle w:val="115"/>
        <w:spacing w:line="400" w:lineRule="exact"/>
        <w:rPr>
          <w:rFonts w:ascii="Times New Roman" w:hAnsi="Times New Roman" w:eastAsia="黑体"/>
          <w:color w:val="000000"/>
          <w:sz w:val="19"/>
          <w:szCs w:val="19"/>
          <w:highlight w:val="none"/>
        </w:rPr>
      </w:pPr>
      <w:r>
        <w:rPr>
          <w:rFonts w:eastAsia="黑体"/>
          <w:color w:val="000000"/>
          <w:sz w:val="19"/>
          <w:szCs w:val="19"/>
          <w:highlight w:val="none"/>
        </w:rPr>
        <w:t xml:space="preserve">                          </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2355"/>
        <w:gridCol w:w="1787"/>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分包人名称</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地  址</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法定代表人</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电  话</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营业执照号码</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资质等级</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拟分包的工程项目</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主要内容</w:t>
            </w: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r>
              <w:rPr>
                <w:rFonts w:hint="eastAsia" w:ascii="宋体" w:hAnsi="宋体"/>
                <w:color w:val="000000"/>
                <w:szCs w:val="21"/>
                <w:highlight w:val="none"/>
              </w:rPr>
              <w:t>预计造价（万元）</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452" w:type="pct"/>
            <w:vMerge w:val="restar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bl>
    <w:p>
      <w:pPr>
        <w:pStyle w:val="116"/>
        <w:outlineLvl w:val="1"/>
        <w:rPr>
          <w:highlight w:val="none"/>
        </w:rPr>
      </w:pPr>
      <w:r>
        <w:rPr>
          <w:highlight w:val="none"/>
        </w:rPr>
        <w:br w:type="page"/>
      </w:r>
      <w:bookmarkStart w:id="638" w:name="_Toc11981"/>
      <w:r>
        <w:rPr>
          <w:rFonts w:ascii="黑体" w:hAnsi="黑体" w:eastAsia="黑体" w:cs="黑体"/>
          <w:b/>
          <w:sz w:val="32"/>
          <w:highlight w:val="none"/>
        </w:rPr>
        <w:t>八、资格审查资料</w:t>
      </w:r>
      <w:bookmarkEnd w:id="638"/>
    </w:p>
    <w:p>
      <w:pPr>
        <w:pStyle w:val="117"/>
        <w:outlineLvl w:val="2"/>
        <w:rPr>
          <w:highlight w:val="none"/>
        </w:rPr>
      </w:pPr>
      <w:bookmarkStart w:id="639" w:name="_Toc27957"/>
      <w:r>
        <w:rPr>
          <w:rFonts w:ascii="黑体" w:hAnsi="黑体" w:eastAsia="黑体" w:cs="黑体"/>
          <w:b/>
          <w:sz w:val="28"/>
          <w:highlight w:val="none"/>
        </w:rPr>
        <w:t>(一)投标人基本情况表</w:t>
      </w:r>
      <w:bookmarkEnd w:id="639"/>
    </w:p>
    <w:p>
      <w:pPr>
        <w:pStyle w:val="118"/>
        <w:spacing w:line="400" w:lineRule="exact"/>
        <w:rPr>
          <w:color w:val="000000"/>
          <w:szCs w:val="21"/>
          <w:highlight w:val="none"/>
        </w:rPr>
      </w:pPr>
    </w:p>
    <w:tbl>
      <w:tblPr>
        <w:tblStyle w:val="36"/>
        <w:tblW w:w="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182"/>
        <w:gridCol w:w="1168"/>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w:t>
            </w:r>
            <w:r>
              <w:rPr>
                <w:color w:val="000000"/>
                <w:sz w:val="20"/>
                <w:szCs w:val="20"/>
                <w:highlight w:val="none"/>
              </w:rPr>
              <w:t xml:space="preserve"> </w:t>
            </w:r>
            <w:r>
              <w:rPr>
                <w:rFonts w:hint="eastAsia"/>
                <w:color w:val="000000"/>
                <w:sz w:val="20"/>
                <w:szCs w:val="20"/>
                <w:highlight w:val="none"/>
              </w:rPr>
              <w:t>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传</w:t>
            </w:r>
            <w:r>
              <w:rPr>
                <w:color w:val="000000"/>
                <w:sz w:val="20"/>
                <w:szCs w:val="20"/>
                <w:highlight w:val="none"/>
              </w:rPr>
              <w:t xml:space="preserve">  </w:t>
            </w:r>
            <w:r>
              <w:rPr>
                <w:rFonts w:hint="eastAsia"/>
                <w:color w:val="000000"/>
                <w:sz w:val="20"/>
                <w:szCs w:val="20"/>
                <w:highlight w:val="none"/>
              </w:rPr>
              <w:t>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网</w:t>
            </w:r>
            <w:r>
              <w:rPr>
                <w:color w:val="000000"/>
                <w:sz w:val="20"/>
                <w:szCs w:val="20"/>
                <w:highlight w:val="none"/>
              </w:rPr>
              <w:t xml:space="preserve"> </w:t>
            </w:r>
            <w:r>
              <w:rPr>
                <w:rFonts w:hint="eastAsia"/>
                <w:color w:val="000000"/>
                <w:sz w:val="20"/>
                <w:szCs w:val="20"/>
                <w:highlight w:val="none"/>
              </w:rPr>
              <w:t>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员工总人数：</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ind w:firstLine="1000" w:firstLineChars="500"/>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其中</w:t>
            </w: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项目经理</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高级职称人员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中级职称人员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初级职称人员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spacing w:line="400" w:lineRule="exact"/>
              <w:jc w:val="center"/>
              <w:rPr>
                <w:color w:val="000000"/>
                <w:sz w:val="20"/>
                <w:szCs w:val="20"/>
                <w:highlight w:val="none"/>
              </w:rPr>
            </w:pPr>
            <w:r>
              <w:rPr>
                <w:rFonts w:hint="eastAsia"/>
                <w:color w:val="000000"/>
                <w:sz w:val="20"/>
                <w:szCs w:val="20"/>
                <w:highlight w:val="none"/>
              </w:rPr>
              <w:t>技</w:t>
            </w:r>
            <w:r>
              <w:rPr>
                <w:color w:val="000000"/>
                <w:sz w:val="20"/>
                <w:szCs w:val="20"/>
                <w:highlight w:val="none"/>
              </w:rPr>
              <w:t xml:space="preserve">  </w:t>
            </w:r>
            <w:r>
              <w:rPr>
                <w:rFonts w:hint="eastAsia"/>
                <w:color w:val="000000"/>
                <w:sz w:val="20"/>
                <w:szCs w:val="20"/>
                <w:highlight w:val="none"/>
              </w:rPr>
              <w:t>工</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28" w:type="dxa"/>
            <w:tcBorders>
              <w:top w:val="single" w:color="auto" w:sz="4" w:space="0"/>
              <w:left w:val="single" w:color="auto" w:sz="4" w:space="0"/>
              <w:bottom w:val="nil"/>
              <w:right w:val="single" w:color="auto" w:sz="4" w:space="0"/>
            </w:tcBorders>
            <w:vAlign w:val="center"/>
          </w:tcPr>
          <w:p>
            <w:pPr>
              <w:pStyle w:val="118"/>
              <w:topLinePunct/>
              <w:spacing w:line="400" w:lineRule="exact"/>
              <w:ind w:firstLine="200" w:firstLineChars="100"/>
              <w:jc w:val="center"/>
              <w:rPr>
                <w:color w:val="000000"/>
                <w:sz w:val="20"/>
                <w:szCs w:val="20"/>
                <w:highlight w:val="none"/>
              </w:rPr>
            </w:pPr>
            <w:r>
              <w:rPr>
                <w:rFonts w:hint="eastAsia"/>
                <w:color w:val="000000"/>
                <w:sz w:val="20"/>
                <w:szCs w:val="20"/>
                <w:highlight w:val="none"/>
              </w:rPr>
              <w:t>经营范围</w:t>
            </w:r>
          </w:p>
        </w:tc>
        <w:tc>
          <w:tcPr>
            <w:tcW w:w="6840" w:type="dxa"/>
            <w:gridSpan w:val="9"/>
            <w:tcBorders>
              <w:top w:val="single" w:color="auto" w:sz="4" w:space="0"/>
              <w:left w:val="single" w:color="auto" w:sz="4" w:space="0"/>
              <w:bottom w:val="nil"/>
              <w:right w:val="single" w:color="auto" w:sz="4" w:space="0"/>
            </w:tcBorders>
            <w:vAlign w:val="center"/>
          </w:tcPr>
          <w:p>
            <w:pPr>
              <w:pStyle w:val="118"/>
              <w:topLinePunct/>
              <w:spacing w:line="400" w:lineRule="exact"/>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bl>
    <w:p>
      <w:pPr>
        <w:pStyle w:val="118"/>
        <w:rPr>
          <w:highlight w:val="none"/>
        </w:rPr>
      </w:pPr>
      <w:r>
        <w:rPr>
          <w:rFonts w:hint="eastAsia"/>
          <w:color w:val="000000"/>
          <w:highlight w:val="none"/>
        </w:rPr>
        <w:t>注</w:t>
      </w:r>
      <w:r>
        <w:rPr>
          <w:color w:val="000000"/>
          <w:highlight w:val="none"/>
        </w:rPr>
        <w:t xml:space="preserve"> </w:t>
      </w:r>
      <w:r>
        <w:rPr>
          <w:rFonts w:hint="eastAsia"/>
          <w:color w:val="000000"/>
          <w:highlight w:val="none"/>
        </w:rPr>
        <w:t>相关材料复印件在“十、原件的复印件”中提供。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法人营业执照、施工企业安全生产许可证、组织机构代码证。</w:t>
      </w:r>
    </w:p>
    <w:p>
      <w:pPr>
        <w:pStyle w:val="119"/>
        <w:outlineLvl w:val="2"/>
        <w:rPr>
          <w:highlight w:val="none"/>
        </w:rPr>
      </w:pPr>
      <w:r>
        <w:rPr>
          <w:highlight w:val="none"/>
        </w:rPr>
        <w:br w:type="page"/>
      </w:r>
      <w:bookmarkStart w:id="640" w:name="_Toc15706"/>
      <w:r>
        <w:rPr>
          <w:rFonts w:ascii="黑体" w:hAnsi="黑体" w:eastAsia="黑体" w:cs="黑体"/>
          <w:b/>
          <w:sz w:val="28"/>
          <w:highlight w:val="none"/>
        </w:rPr>
        <w:t>(二)近3年财务状况表</w:t>
      </w:r>
      <w:bookmarkEnd w:id="640"/>
    </w:p>
    <w:p>
      <w:pPr>
        <w:pStyle w:val="120"/>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w:t>
      </w:r>
      <w:r>
        <w:rPr>
          <w:rFonts w:hint="eastAsia"/>
          <w:color w:val="000000"/>
          <w:highlight w:val="none"/>
          <w:u w:val="single"/>
        </w:rPr>
        <w:t>今</w:t>
      </w:r>
      <w:r>
        <w:rPr>
          <w:rFonts w:hint="eastAsia"/>
          <w:color w:val="000000"/>
          <w:highlight w:val="none"/>
        </w:rPr>
        <w:t>）</w:t>
      </w:r>
    </w:p>
    <w:p>
      <w:pPr>
        <w:pStyle w:val="120"/>
        <w:spacing w:line="400" w:lineRule="exact"/>
        <w:rPr>
          <w:b/>
          <w:color w:val="000000"/>
          <w:highlight w:val="none"/>
        </w:rPr>
      </w:pPr>
      <w:r>
        <w:rPr>
          <w:b/>
          <w:color w:val="000000"/>
          <w:highlight w:val="none"/>
        </w:rPr>
        <w:t>1.</w:t>
      </w:r>
      <w:r>
        <w:rPr>
          <w:rFonts w:hint="eastAsia"/>
          <w:b/>
          <w:color w:val="000000"/>
          <w:highlight w:val="none"/>
        </w:rPr>
        <w:t>财务状况表</w:t>
      </w:r>
    </w:p>
    <w:p>
      <w:pPr>
        <w:pStyle w:val="120"/>
        <w:spacing w:line="400" w:lineRule="exact"/>
        <w:jc w:val="center"/>
        <w:rPr>
          <w:b/>
          <w:color w:val="000000"/>
          <w:highlight w:val="none"/>
        </w:rPr>
      </w:pPr>
      <w:r>
        <w:rPr>
          <w:rFonts w:hint="eastAsia"/>
          <w:b/>
          <w:color w:val="000000"/>
          <w:highlight w:val="none"/>
        </w:rPr>
        <w:t>财务状况表</w:t>
      </w:r>
    </w:p>
    <w:tbl>
      <w:tblPr>
        <w:tblStyle w:val="36"/>
        <w:tblW w:w="0" w:type="auto"/>
        <w:tblInd w:w="39" w:type="dxa"/>
        <w:tblLayout w:type="fixed"/>
        <w:tblCellMar>
          <w:top w:w="0" w:type="dxa"/>
          <w:left w:w="0" w:type="dxa"/>
          <w:bottom w:w="0" w:type="dxa"/>
          <w:right w:w="0" w:type="dxa"/>
        </w:tblCellMar>
      </w:tblPr>
      <w:tblGrid>
        <w:gridCol w:w="2338"/>
        <w:gridCol w:w="1483"/>
        <w:gridCol w:w="1483"/>
        <w:gridCol w:w="1483"/>
        <w:gridCol w:w="1483"/>
      </w:tblGrid>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单位</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一、注册资金</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二、净资产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三、总资产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四、固定资产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五、流动资产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六、流动负债</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七、负债合计</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八、营业收入</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九、净利润</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ascii="宋体"/>
                <w:color w:val="000000"/>
                <w:kern w:val="0"/>
                <w:szCs w:val="21"/>
                <w:highlight w:val="none"/>
              </w:rPr>
              <w:t>……</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bl>
    <w:p>
      <w:pPr>
        <w:pStyle w:val="120"/>
        <w:spacing w:line="400" w:lineRule="exact"/>
        <w:rPr>
          <w:rFonts w:ascii="Times New Roman" w:hAnsi="Times New Roman"/>
          <w:b/>
          <w:color w:val="000000"/>
          <w:highlight w:val="none"/>
        </w:rPr>
      </w:pPr>
    </w:p>
    <w:p>
      <w:pPr>
        <w:pStyle w:val="120"/>
        <w:spacing w:line="400" w:lineRule="exact"/>
        <w:rPr>
          <w:b/>
          <w:color w:val="000000"/>
          <w:highlight w:val="none"/>
        </w:rPr>
      </w:pPr>
      <w:r>
        <w:rPr>
          <w:b/>
          <w:color w:val="000000"/>
          <w:highlight w:val="none"/>
        </w:rPr>
        <w:t>2</w:t>
      </w:r>
      <w:r>
        <w:rPr>
          <w:rFonts w:hint="eastAsia"/>
          <w:b/>
          <w:color w:val="000000"/>
          <w:highlight w:val="none"/>
        </w:rPr>
        <w:t>．拟投人本项目的流动资金函</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 w:val="18"/>
          <w:szCs w:val="18"/>
          <w:highlight w:val="none"/>
        </w:rPr>
        <w:t xml:space="preserve">                    </w:t>
      </w:r>
      <w:r>
        <w:rPr>
          <w:rFonts w:hint="eastAsia" w:ascii="宋体"/>
          <w:color w:val="000000"/>
          <w:kern w:val="0"/>
          <w:szCs w:val="21"/>
          <w:highlight w:val="none"/>
        </w:rPr>
        <w:t xml:space="preserve"> 拟投人本项目的流动资金函（格式）</w:t>
      </w:r>
    </w:p>
    <w:p>
      <w:pPr>
        <w:pStyle w:val="120"/>
        <w:autoSpaceDE w:val="0"/>
        <w:autoSpaceDN w:val="0"/>
        <w:adjustRightInd w:val="0"/>
        <w:ind w:firstLine="210" w:firstLineChars="100"/>
        <w:jc w:val="left"/>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（招标人名称）:</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ind w:firstLine="735" w:firstLineChars="350"/>
        <w:jc w:val="left"/>
        <w:rPr>
          <w:rFonts w:ascii="宋体"/>
          <w:color w:val="000000"/>
          <w:kern w:val="0"/>
          <w:szCs w:val="21"/>
          <w:highlight w:val="none"/>
        </w:rPr>
      </w:pPr>
      <w:r>
        <w:rPr>
          <w:rFonts w:hint="eastAsia" w:ascii="宋体"/>
          <w:color w:val="000000"/>
          <w:kern w:val="0"/>
          <w:szCs w:val="21"/>
          <w:highlight w:val="none"/>
        </w:rPr>
        <w:t>我方拟投人</w:t>
      </w:r>
      <w:r>
        <w:rPr>
          <w:rFonts w:hint="eastAsia" w:ascii="宋体"/>
          <w:color w:val="000000"/>
          <w:kern w:val="0"/>
          <w:szCs w:val="21"/>
          <w:highlight w:val="none"/>
          <w:u w:val="single"/>
        </w:rPr>
        <w:t xml:space="preserve">              </w:t>
      </w:r>
      <w:r>
        <w:rPr>
          <w:rFonts w:hint="eastAsia" w:ascii="宋体"/>
          <w:color w:val="000000"/>
          <w:kern w:val="0"/>
          <w:szCs w:val="21"/>
          <w:highlight w:val="none"/>
        </w:rPr>
        <w:t>（项目名称）</w:t>
      </w:r>
      <w:r>
        <w:rPr>
          <w:rFonts w:hint="eastAsia" w:ascii="宋体"/>
          <w:color w:val="000000"/>
          <w:kern w:val="0"/>
          <w:szCs w:val="21"/>
          <w:highlight w:val="none"/>
          <w:u w:val="single"/>
        </w:rPr>
        <w:t xml:space="preserve">           </w:t>
      </w:r>
      <w:r>
        <w:rPr>
          <w:rFonts w:hint="eastAsia" w:ascii="宋体"/>
          <w:color w:val="000000"/>
          <w:kern w:val="0"/>
          <w:szCs w:val="21"/>
          <w:highlight w:val="none"/>
        </w:rPr>
        <w:t>（标段名称）的流动资金为</w:t>
      </w:r>
      <w:r>
        <w:rPr>
          <w:rFonts w:hint="eastAsia" w:ascii="宋体"/>
          <w:color w:val="000000"/>
          <w:kern w:val="0"/>
          <w:szCs w:val="21"/>
          <w:highlight w:val="none"/>
          <w:u w:val="single"/>
        </w:rPr>
        <w:t xml:space="preserve">        </w:t>
      </w:r>
      <w:r>
        <w:rPr>
          <w:rFonts w:hint="eastAsia" w:ascii="宋体"/>
          <w:color w:val="000000"/>
          <w:kern w:val="0"/>
          <w:szCs w:val="21"/>
          <w:highlight w:val="none"/>
        </w:rPr>
        <w:t>万元，资金来源于</w:t>
      </w:r>
      <w:r>
        <w:rPr>
          <w:rFonts w:hint="eastAsia" w:ascii="宋体"/>
          <w:color w:val="000000"/>
          <w:kern w:val="0"/>
          <w:szCs w:val="21"/>
          <w:highlight w:val="none"/>
          <w:u w:val="single"/>
        </w:rPr>
        <w:t xml:space="preserve">             </w:t>
      </w:r>
      <w:r>
        <w:rPr>
          <w:rFonts w:hint="eastAsia" w:ascii="宋体"/>
          <w:color w:val="000000"/>
          <w:kern w:val="0"/>
          <w:szCs w:val="21"/>
          <w:highlight w:val="none"/>
        </w:rPr>
        <w:t>，资金来源证明文件附后。</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right"/>
        <w:rPr>
          <w:rFonts w:ascii="宋体"/>
          <w:color w:val="000000"/>
          <w:kern w:val="0"/>
          <w:szCs w:val="21"/>
          <w:highlight w:val="none"/>
        </w:rPr>
      </w:pPr>
      <w:r>
        <w:rPr>
          <w:rFonts w:hint="eastAsia" w:ascii="宋体"/>
          <w:color w:val="000000"/>
          <w:kern w:val="0"/>
          <w:szCs w:val="21"/>
          <w:highlight w:val="none"/>
        </w:rPr>
        <w:t>申 请 人：</w:t>
      </w:r>
      <w:r>
        <w:rPr>
          <w:rFonts w:hint="eastAsia" w:ascii="宋体"/>
          <w:color w:val="000000"/>
          <w:kern w:val="0"/>
          <w:szCs w:val="21"/>
          <w:highlight w:val="none"/>
          <w:u w:val="single"/>
        </w:rPr>
        <w:t xml:space="preserve">                        </w:t>
      </w:r>
      <w:r>
        <w:rPr>
          <w:rFonts w:hint="eastAsia" w:ascii="宋体"/>
          <w:color w:val="000000"/>
          <w:kern w:val="0"/>
          <w:szCs w:val="21"/>
          <w:highlight w:val="none"/>
        </w:rPr>
        <w:t>（盖单位章）</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r>
        <w:rPr>
          <w:rFonts w:hint="eastAsia" w:ascii="宋体"/>
          <w:color w:val="000000"/>
          <w:kern w:val="0"/>
          <w:szCs w:val="21"/>
          <w:highlight w:val="none"/>
          <w:u w:val="single"/>
        </w:rPr>
        <w:t xml:space="preserve">         </w:t>
      </w:r>
      <w:r>
        <w:rPr>
          <w:rFonts w:hint="eastAsia" w:ascii="宋体"/>
          <w:color w:val="000000"/>
          <w:kern w:val="0"/>
          <w:szCs w:val="21"/>
          <w:highlight w:val="none"/>
        </w:rPr>
        <w:t>月</w:t>
      </w:r>
      <w:r>
        <w:rPr>
          <w:rFonts w:hint="eastAsia" w:ascii="宋体"/>
          <w:color w:val="000000"/>
          <w:kern w:val="0"/>
          <w:szCs w:val="21"/>
          <w:highlight w:val="none"/>
          <w:u w:val="single"/>
        </w:rPr>
        <w:t xml:space="preserve">          </w:t>
      </w:r>
      <w:r>
        <w:rPr>
          <w:rFonts w:hint="eastAsia" w:ascii="宋体"/>
          <w:color w:val="000000"/>
          <w:kern w:val="0"/>
          <w:szCs w:val="21"/>
          <w:highlight w:val="none"/>
        </w:rPr>
        <w:t>日</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注：相关材料复印件在本章“十、原件的复印件”中提供。资金来源填写银行存款、银行信贷或其它形式。</w:t>
      </w:r>
    </w:p>
    <w:p>
      <w:pPr>
        <w:pStyle w:val="111"/>
        <w:rPr>
          <w:highlight w:val="none"/>
        </w:rPr>
      </w:pPr>
      <w:r>
        <w:rPr>
          <w:highlight w:val="none"/>
        </w:rPr>
        <w:t xml:space="preserve">    备注：本表应附材料如下：</w:t>
      </w:r>
    </w:p>
    <w:p>
      <w:pPr>
        <w:pStyle w:val="90"/>
        <w:rPr>
          <w:highlight w:val="none"/>
        </w:rPr>
      </w:pPr>
      <w:r>
        <w:rPr>
          <w:highlight w:val="none"/>
        </w:rPr>
        <w:t>经会计师事务所或审计机构审计的财务会计报表。</w:t>
      </w:r>
    </w:p>
    <w:p>
      <w:pPr>
        <w:pStyle w:val="121"/>
        <w:outlineLvl w:val="2"/>
        <w:rPr>
          <w:highlight w:val="none"/>
        </w:rPr>
      </w:pPr>
      <w:r>
        <w:rPr>
          <w:highlight w:val="none"/>
        </w:rPr>
        <w:br w:type="page"/>
      </w:r>
      <w:bookmarkStart w:id="641" w:name="_Toc18944"/>
      <w:r>
        <w:rPr>
          <w:rFonts w:ascii="黑体" w:hAnsi="黑体" w:eastAsia="黑体" w:cs="黑体"/>
          <w:b/>
          <w:sz w:val="28"/>
          <w:highlight w:val="none"/>
        </w:rPr>
        <w:t>(三)近</w:t>
      </w:r>
      <w:r>
        <w:rPr>
          <w:rFonts w:hint="eastAsia" w:ascii="黑体" w:hAnsi="黑体" w:eastAsia="黑体" w:cs="黑体"/>
          <w:b/>
          <w:sz w:val="28"/>
          <w:highlight w:val="none"/>
        </w:rPr>
        <w:t>5</w:t>
      </w:r>
      <w:r>
        <w:rPr>
          <w:rFonts w:ascii="黑体" w:hAnsi="黑体" w:eastAsia="黑体" w:cs="黑体"/>
          <w:b/>
          <w:sz w:val="28"/>
          <w:highlight w:val="none"/>
        </w:rPr>
        <w:t>年完成的类似项目情况表</w:t>
      </w:r>
      <w:bookmarkEnd w:id="641"/>
    </w:p>
    <w:p>
      <w:pPr>
        <w:pStyle w:val="122"/>
        <w:topLinePunct/>
        <w:spacing w:line="440" w:lineRule="exact"/>
        <w:jc w:val="center"/>
        <w:rPr>
          <w:color w:val="000000"/>
          <w:szCs w:val="21"/>
          <w:highlight w:val="none"/>
        </w:rPr>
      </w:pPr>
      <w:r>
        <w:rPr>
          <w:rFonts w:hint="eastAsia"/>
          <w:color w:val="000000"/>
          <w:szCs w:val="21"/>
          <w:highlight w:val="none"/>
        </w:rPr>
        <w:t>（近3年指</w:t>
      </w:r>
      <w:r>
        <w:rPr>
          <w:color w:val="000000"/>
          <w:szCs w:val="21"/>
          <w:highlight w:val="none"/>
          <w:u w:val="single"/>
        </w:rPr>
        <w:t xml:space="preserve"> </w:t>
      </w:r>
      <w:r>
        <w:rPr>
          <w:rFonts w:hint="eastAsia"/>
          <w:color w:val="000000"/>
          <w:szCs w:val="21"/>
          <w:highlight w:val="none"/>
          <w:u w:val="single"/>
        </w:rPr>
        <w:t>2019</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u w:val="single"/>
        </w:rPr>
        <w:t>1</w:t>
      </w:r>
      <w:r>
        <w:rPr>
          <w:color w:val="000000"/>
          <w:szCs w:val="21"/>
          <w:highlight w:val="none"/>
          <w:u w:val="single"/>
        </w:rPr>
        <w:t xml:space="preserve">  </w:t>
      </w:r>
      <w:r>
        <w:rPr>
          <w:rFonts w:hint="eastAsia"/>
          <w:color w:val="000000"/>
          <w:szCs w:val="21"/>
          <w:highlight w:val="none"/>
        </w:rPr>
        <w:t>月至</w:t>
      </w:r>
      <w:r>
        <w:rPr>
          <w:rFonts w:hint="eastAsia"/>
          <w:color w:val="000000"/>
          <w:szCs w:val="21"/>
          <w:highlight w:val="none"/>
          <w:u w:val="single"/>
        </w:rPr>
        <w:t>今</w:t>
      </w:r>
      <w:r>
        <w:rPr>
          <w:rFonts w:hint="eastAsia"/>
          <w:color w:val="000000"/>
          <w:szCs w:val="21"/>
          <w:highlight w:val="none"/>
        </w:rPr>
        <w:t>）</w:t>
      </w:r>
    </w:p>
    <w:p>
      <w:pPr>
        <w:pStyle w:val="122"/>
        <w:topLinePunct/>
        <w:spacing w:line="440" w:lineRule="exact"/>
        <w:jc w:val="center"/>
        <w:rPr>
          <w:color w:val="000000"/>
          <w:szCs w:val="21"/>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合同项目所在地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发包人地址</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签约合同价</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开工日期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完工日期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承担的工作</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工程质量</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项目经理</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技术负责人</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监理人和总监理工程师以及电话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备注</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合同项目描述内容至少包括项目概况、本合同在项目中的地位（部位、合同价格所占比例）和合同工程完工验收证</w:t>
            </w:r>
            <w:r>
              <w:rPr>
                <w:rFonts w:hint="eastAsia" w:ascii="Times New Roman" w:hAnsi="Times New Roman" w:cs="Arial"/>
                <w:highlight w:val="none"/>
              </w:rPr>
              <w:t>明或竣工验收报告为准</w:t>
            </w:r>
          </w:p>
        </w:tc>
      </w:tr>
    </w:tbl>
    <w:p>
      <w:pPr>
        <w:pStyle w:val="122"/>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业绩中标通知书、业绩合同协议书、</w:t>
      </w:r>
      <w:r>
        <w:rPr>
          <w:rFonts w:hint="eastAsia"/>
          <w:highlight w:val="none"/>
        </w:rPr>
        <w:t>工程完工验收证明或竣工验收报告为准</w:t>
      </w:r>
    </w:p>
    <w:p>
      <w:pPr>
        <w:pStyle w:val="123"/>
        <w:outlineLvl w:val="2"/>
        <w:rPr>
          <w:highlight w:val="none"/>
        </w:rPr>
      </w:pPr>
      <w:r>
        <w:rPr>
          <w:highlight w:val="none"/>
        </w:rPr>
        <w:br w:type="page"/>
      </w:r>
      <w:bookmarkStart w:id="642" w:name="_Toc3900"/>
      <w:r>
        <w:rPr>
          <w:rFonts w:ascii="黑体" w:hAnsi="黑体" w:eastAsia="黑体" w:cs="黑体"/>
          <w:b/>
          <w:sz w:val="28"/>
          <w:highlight w:val="none"/>
        </w:rPr>
        <w:t>(四)正在施工的和新承接的项目情况表</w:t>
      </w:r>
      <w:bookmarkEnd w:id="642"/>
    </w:p>
    <w:p>
      <w:pPr>
        <w:pStyle w:val="124"/>
        <w:spacing w:line="400" w:lineRule="exact"/>
        <w:rPr>
          <w:color w:val="000000"/>
          <w:szCs w:val="24"/>
          <w:highlight w:val="none"/>
        </w:rPr>
      </w:pPr>
    </w:p>
    <w:tbl>
      <w:tblPr>
        <w:tblStyle w:val="36"/>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7"/>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合同项目所在地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发包人地址</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签约合同价</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开工日期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计划</w:t>
            </w:r>
            <w:r>
              <w:rPr>
                <w:rFonts w:hint="eastAsia" w:ascii="宋体" w:hAnsi="宋体"/>
                <w:color w:val="000000"/>
                <w:sz w:val="24"/>
                <w:highlight w:val="none"/>
              </w:rPr>
              <w:t>完工</w:t>
            </w:r>
            <w:r>
              <w:rPr>
                <w:rFonts w:hint="eastAsia" w:ascii="宋体" w:hAnsi="宋体"/>
                <w:color w:val="000000"/>
                <w:sz w:val="24"/>
                <w:szCs w:val="21"/>
                <w:highlight w:val="none"/>
              </w:rPr>
              <w:t>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承担的工作</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工程质量</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项目经理</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技术负责人</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监理人和总监理工程师以及电话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备注</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合同项目描述内容至少包括项目概况、本合同在项目中的地位（部位、合同价格所占比例）</w:t>
            </w:r>
          </w:p>
        </w:tc>
      </w:tr>
    </w:tbl>
    <w:p>
      <w:pPr>
        <w:pStyle w:val="124"/>
        <w:spacing w:line="400" w:lineRule="exact"/>
        <w:rPr>
          <w:rFonts w:ascii="Times New Roman" w:hAnsi="Times New Roman"/>
          <w:color w:val="000000"/>
          <w:highlight w:val="none"/>
        </w:rPr>
      </w:pPr>
      <w:r>
        <w:rPr>
          <w:rFonts w:hint="eastAsia"/>
          <w:color w:val="000000"/>
          <w:highlight w:val="none"/>
        </w:rPr>
        <w:t>注：相关材料复印件在本章“十、原件的复印件”中提供。</w:t>
      </w:r>
    </w:p>
    <w:p>
      <w:pPr>
        <w:pStyle w:val="125"/>
        <w:outlineLvl w:val="2"/>
        <w:rPr>
          <w:highlight w:val="none"/>
        </w:rPr>
      </w:pPr>
      <w:r>
        <w:rPr>
          <w:highlight w:val="none"/>
        </w:rPr>
        <w:br w:type="page"/>
      </w:r>
      <w:bookmarkStart w:id="643" w:name="_Toc5806"/>
      <w:r>
        <w:rPr>
          <w:rFonts w:ascii="黑体" w:hAnsi="黑体" w:eastAsia="黑体" w:cs="黑体"/>
          <w:b/>
          <w:sz w:val="28"/>
          <w:highlight w:val="none"/>
        </w:rPr>
        <w:t>(五)近3年发生的诉讼及仲裁情况</w:t>
      </w:r>
      <w:bookmarkEnd w:id="643"/>
    </w:p>
    <w:p>
      <w:pPr>
        <w:pStyle w:val="126"/>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月至今）</w:t>
      </w:r>
    </w:p>
    <w:p>
      <w:pPr>
        <w:pStyle w:val="126"/>
        <w:spacing w:line="400" w:lineRule="exact"/>
        <w:rPr>
          <w:color w:val="000000"/>
          <w:highlight w:val="none"/>
        </w:rPr>
      </w:pPr>
    </w:p>
    <w:tbl>
      <w:tblPr>
        <w:tblStyle w:val="36"/>
        <w:tblW w:w="8116"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866"/>
        <w:gridCol w:w="2277"/>
        <w:gridCol w:w="1133"/>
        <w:gridCol w:w="101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序号</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诉讼及仲裁内容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诉讼及仲裁中的地位</w:t>
            </w: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缘由</w:t>
            </w: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结果</w:t>
            </w: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一</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二</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仲裁事项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bl>
    <w:p>
      <w:pPr>
        <w:pStyle w:val="126"/>
        <w:rPr>
          <w:rFonts w:ascii="Arial" w:hAnsi="Arial" w:eastAsia="黑体"/>
          <w:color w:val="000000"/>
          <w:szCs w:val="21"/>
          <w:highlight w:val="none"/>
        </w:rPr>
      </w:pPr>
    </w:p>
    <w:p>
      <w:pPr>
        <w:pStyle w:val="126"/>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27"/>
        <w:outlineLvl w:val="2"/>
        <w:rPr>
          <w:highlight w:val="none"/>
        </w:rPr>
      </w:pPr>
      <w:r>
        <w:rPr>
          <w:highlight w:val="none"/>
        </w:rPr>
        <w:br w:type="page"/>
      </w:r>
      <w:bookmarkStart w:id="644" w:name="_Toc28890"/>
      <w:r>
        <w:rPr>
          <w:rFonts w:ascii="黑体" w:hAnsi="黑体" w:eastAsia="黑体" w:cs="黑体"/>
          <w:b/>
          <w:sz w:val="28"/>
          <w:highlight w:val="none"/>
        </w:rPr>
        <w:t>(六)资格审查自审表</w:t>
      </w:r>
      <w:bookmarkEnd w:id="644"/>
    </w:p>
    <w:p>
      <w:pPr>
        <w:pStyle w:val="128"/>
        <w:outlineLvl w:val="2"/>
        <w:rPr>
          <w:rFonts w:eastAsia="宋体" w:cs="Times New Roman"/>
          <w:color w:val="000000"/>
          <w:sz w:val="21"/>
          <w:szCs w:val="24"/>
          <w:highlight w:val="none"/>
        </w:rPr>
      </w:pPr>
      <w:bookmarkStart w:id="645" w:name="_Toc28415"/>
      <w:r>
        <w:rPr>
          <w:rFonts w:hint="eastAsia"/>
          <w:color w:val="000000"/>
          <w:sz w:val="24"/>
          <w:szCs w:val="24"/>
          <w:highlight w:val="none"/>
        </w:rPr>
        <w:t>（六）、资格审查自审表</w:t>
      </w:r>
      <w:bookmarkEnd w:id="645"/>
    </w:p>
    <w:p>
      <w:pPr>
        <w:pStyle w:val="130"/>
        <w:spacing w:line="400" w:lineRule="exact"/>
        <w:rPr>
          <w:b/>
          <w:color w:val="000000"/>
          <w:highlight w:val="none"/>
        </w:rPr>
      </w:pPr>
    </w:p>
    <w:tbl>
      <w:tblPr>
        <w:tblStyle w:val="36"/>
        <w:tblW w:w="89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140"/>
        <w:gridCol w:w="1260"/>
        <w:gridCol w:w="108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20" w:type="dxa"/>
            <w:vAlign w:val="center"/>
          </w:tcPr>
          <w:p>
            <w:pPr>
              <w:pStyle w:val="130"/>
              <w:topLinePunct/>
              <w:spacing w:line="440" w:lineRule="exact"/>
              <w:jc w:val="center"/>
              <w:rPr>
                <w:color w:val="000000"/>
                <w:szCs w:val="21"/>
                <w:highlight w:val="none"/>
              </w:rPr>
            </w:pPr>
            <w:r>
              <w:rPr>
                <w:rFonts w:hint="eastAsia"/>
                <w:color w:val="000000"/>
                <w:szCs w:val="21"/>
                <w:highlight w:val="none"/>
              </w:rPr>
              <w:t>序号</w:t>
            </w:r>
          </w:p>
        </w:tc>
        <w:tc>
          <w:tcPr>
            <w:tcW w:w="414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审查因素</w:t>
            </w:r>
          </w:p>
        </w:tc>
        <w:tc>
          <w:tcPr>
            <w:tcW w:w="126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审查标准</w:t>
            </w:r>
          </w:p>
        </w:tc>
        <w:tc>
          <w:tcPr>
            <w:tcW w:w="108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审查结果</w:t>
            </w:r>
          </w:p>
        </w:tc>
        <w:tc>
          <w:tcPr>
            <w:tcW w:w="1758" w:type="dxa"/>
            <w:vAlign w:val="center"/>
          </w:tcPr>
          <w:p>
            <w:pPr>
              <w:pStyle w:val="130"/>
              <w:topLinePunct/>
              <w:spacing w:line="440" w:lineRule="exact"/>
              <w:jc w:val="center"/>
              <w:rPr>
                <w:color w:val="000000"/>
                <w:szCs w:val="21"/>
                <w:highlight w:val="none"/>
              </w:rPr>
            </w:pPr>
            <w:r>
              <w:rPr>
                <w:rFonts w:hint="eastAsia"/>
                <w:color w:val="000000"/>
                <w:szCs w:val="21"/>
                <w:highlight w:val="none"/>
              </w:rPr>
              <w:t>引用的证明</w:t>
            </w:r>
          </w:p>
          <w:p>
            <w:pPr>
              <w:pStyle w:val="130"/>
              <w:topLinePunct/>
              <w:spacing w:line="440" w:lineRule="exact"/>
              <w:jc w:val="center"/>
              <w:rPr>
                <w:color w:val="000000"/>
                <w:szCs w:val="21"/>
                <w:highlight w:val="none"/>
              </w:rPr>
            </w:pPr>
            <w:r>
              <w:rPr>
                <w:rFonts w:hint="eastAsia"/>
                <w:color w:val="000000"/>
                <w:szCs w:val="21"/>
                <w:highlight w:val="none"/>
              </w:rPr>
              <w:t>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营业执照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安全生产许可证</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资质证书及等级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财务状况</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类似项目业绩</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信誉</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项目经理资格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联合体协议书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企业主要负责人安全生产考核合格证书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技术负责人资格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委托代理人、安全管理人员（专职安全生产管理人员）、质量管理人员、财务负责人</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color w:val="000000"/>
                <w:szCs w:val="21"/>
                <w:highlight w:val="none"/>
              </w:rPr>
              <w:t>……</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bl>
    <w:p>
      <w:pPr>
        <w:pStyle w:val="130"/>
        <w:rPr>
          <w:color w:val="000000"/>
          <w:highlight w:val="none"/>
        </w:rPr>
      </w:pPr>
    </w:p>
    <w:p>
      <w:pPr>
        <w:pStyle w:val="132"/>
        <w:outlineLvl w:val="1"/>
        <w:rPr>
          <w:highlight w:val="none"/>
        </w:rPr>
      </w:pPr>
      <w:r>
        <w:rPr>
          <w:highlight w:val="none"/>
        </w:rPr>
        <w:br w:type="page"/>
      </w:r>
      <w:bookmarkStart w:id="646" w:name="_Toc29697"/>
      <w:r>
        <w:rPr>
          <w:rFonts w:ascii="黑体" w:hAnsi="黑体" w:eastAsia="黑体" w:cs="黑体"/>
          <w:b/>
          <w:sz w:val="32"/>
          <w:highlight w:val="none"/>
        </w:rPr>
        <w:t>九、原件的复印件</w:t>
      </w:r>
      <w:bookmarkEnd w:id="646"/>
    </w:p>
    <w:p>
      <w:pPr>
        <w:pStyle w:val="133"/>
        <w:jc w:val="center"/>
        <w:rPr>
          <w:rFonts w:ascii="黑体" w:hAnsi="黑体" w:eastAsia="黑体"/>
          <w:b/>
          <w:sz w:val="30"/>
          <w:szCs w:val="30"/>
          <w:highlight w:val="none"/>
        </w:rPr>
      </w:pPr>
      <w:r>
        <w:rPr>
          <w:rFonts w:hint="eastAsia" w:ascii="黑体" w:hAnsi="黑体" w:eastAsia="黑体"/>
          <w:b/>
          <w:sz w:val="30"/>
          <w:szCs w:val="30"/>
          <w:highlight w:val="none"/>
        </w:rPr>
        <w:t>原件的复印件</w:t>
      </w:r>
    </w:p>
    <w:p>
      <w:pPr>
        <w:pStyle w:val="133"/>
        <w:rPr>
          <w:color w:val="000000"/>
          <w:szCs w:val="24"/>
          <w:highlight w:val="none"/>
        </w:rPr>
      </w:pP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53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序号</w:t>
            </w: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bl>
    <w:p>
      <w:pPr>
        <w:pStyle w:val="134"/>
        <w:outlineLvl w:val="1"/>
        <w:rPr>
          <w:highlight w:val="none"/>
        </w:rPr>
      </w:pPr>
      <w:r>
        <w:rPr>
          <w:highlight w:val="none"/>
        </w:rPr>
        <w:br w:type="page"/>
      </w:r>
      <w:bookmarkStart w:id="647" w:name="_Toc13916"/>
      <w:r>
        <w:rPr>
          <w:rFonts w:ascii="黑体" w:hAnsi="黑体" w:eastAsia="黑体" w:cs="黑体"/>
          <w:b/>
          <w:sz w:val="32"/>
          <w:highlight w:val="none"/>
        </w:rPr>
        <w:t>十、投标人告知承诺书</w:t>
      </w:r>
      <w:bookmarkEnd w:id="647"/>
    </w:p>
    <w:p>
      <w:pPr>
        <w:spacing w:line="580" w:lineRule="exact"/>
        <w:rPr>
          <w:rFonts w:ascii="仿宋_GB2312" w:eastAsia="仿宋_GB2312"/>
          <w:sz w:val="24"/>
          <w:szCs w:val="24"/>
          <w:highlight w:val="none"/>
          <w:u w:val="single"/>
        </w:rPr>
      </w:pPr>
      <w:r>
        <w:rPr>
          <w:rFonts w:hint="eastAsia" w:ascii="仿宋_GB2312" w:eastAsia="仿宋_GB2312"/>
          <w:sz w:val="24"/>
          <w:szCs w:val="24"/>
          <w:highlight w:val="none"/>
          <w:u w:val="single"/>
        </w:rPr>
        <w:t>招标人名称、行政监管部门：</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我单位参与</w:t>
      </w:r>
      <w:r>
        <w:rPr>
          <w:rFonts w:hint="eastAsia" w:ascii="仿宋_GB2312" w:eastAsia="仿宋_GB2312"/>
          <w:sz w:val="24"/>
          <w:szCs w:val="24"/>
          <w:highlight w:val="none"/>
          <w:u w:val="single"/>
        </w:rPr>
        <w:t xml:space="preserve">  （招标项目名称）   </w:t>
      </w:r>
      <w:r>
        <w:rPr>
          <w:rFonts w:hint="eastAsia" w:ascii="仿宋_GB2312" w:eastAsia="仿宋_GB2312"/>
          <w:sz w:val="24"/>
          <w:szCs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一、我单位和我本人遵循公开、公平、公正、诚实守信的原则，依法依规参与本项目投标。</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二、我单位具有参与本次投标的资质和能力，公司运营状况良好，不存在挂靠投标、不“受让、租借、出租、出借”资格或资质证书，无处罚期内的不良行为等。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三、我单位在本项目投标过程中从招标公告/投标邀请书列明的渠道获取招标文件，没有通过其他不正当渠道获取招标文件。</w:t>
      </w:r>
    </w:p>
    <w:p>
      <w:pPr>
        <w:spacing w:line="580" w:lineRule="exact"/>
        <w:rPr>
          <w:rFonts w:ascii="仿宋_GB2312" w:eastAsia="仿宋_GB2312"/>
          <w:sz w:val="24"/>
          <w:szCs w:val="24"/>
          <w:highlight w:val="none"/>
        </w:rPr>
      </w:pPr>
      <w:r>
        <w:rPr>
          <w:rFonts w:hint="eastAsia" w:ascii="仿宋_GB2312" w:eastAsia="仿宋_GB2312"/>
          <w:sz w:val="24"/>
          <w:szCs w:val="24"/>
          <w:highlight w:val="none"/>
        </w:rPr>
        <w:t xml:space="preserve">    四、我单位承诺投标文件由本单位员工独立编制，严格遵守保密义务。所提供的一切投标相关材料都是真实、有效、合法的。</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五、我单位不与其他投标人相互串通投标报价，不恶意压低或抬高投标报价，不排挤其他投标人的公平竞争，不损害招标人或其他投标人的合法权益。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六、我单位不与招标人或招标代理机构串通投标，损害国家利益、社会公共利益或者他人的合法权益;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七、我单位不向招标人或者评标委员会成员行贿以牟取中标，不在开标后进行虚假恶意投诉。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八、我单位和我个人清楚并知晓《中华人民共和国刑法》第二百二十三条“投标人相互串通投标报价，损害招标人或者其他投标人利益，情节严重的，处三年以下有期徒刑或者拘役，并 处或者单处罚金。投标人与招标人串通投标，损害国家、集体、公民的合法利益的，依照前款的规定处罚”的规定。</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九、我单位如在本项目招标投标活动评标工作中存在串通投标、弄虚作假等行为的，本单位及本人自愿承担法律责任，接受相应刑事、纪律和行政处罚以及失信惩戒。</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十、本承诺函由我单位盖章及法定代表（授权委托人）人本人亲自签字确认。</w:t>
      </w: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承诺单位：   </w:t>
      </w:r>
      <w:r>
        <w:rPr>
          <w:rFonts w:ascii="仿宋_GB2312" w:eastAsia="仿宋_GB2312"/>
          <w:sz w:val="24"/>
          <w:szCs w:val="24"/>
          <w:highlight w:val="none"/>
        </w:rPr>
        <w:t xml:space="preserve">  </w:t>
      </w:r>
      <w:r>
        <w:rPr>
          <w:rFonts w:hint="eastAsia" w:ascii="仿宋_GB2312" w:eastAsia="仿宋_GB2312"/>
          <w:sz w:val="24"/>
          <w:szCs w:val="24"/>
          <w:highlight w:val="none"/>
        </w:rPr>
        <w:t>（盖单位公章）</w:t>
      </w:r>
    </w:p>
    <w:p>
      <w:pPr>
        <w:spacing w:line="580" w:lineRule="exact"/>
        <w:rPr>
          <w:rFonts w:ascii="仿宋_GB2312" w:eastAsia="仿宋_GB2312"/>
          <w:sz w:val="24"/>
          <w:szCs w:val="24"/>
          <w:highlight w:val="none"/>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法定代表人（授权委托人）：     </w:t>
      </w:r>
      <w:r>
        <w:rPr>
          <w:rFonts w:ascii="仿宋_GB2312" w:eastAsia="仿宋_GB2312"/>
          <w:sz w:val="24"/>
          <w:szCs w:val="24"/>
          <w:highlight w:val="none"/>
        </w:rPr>
        <w:t xml:space="preserve">   </w:t>
      </w:r>
      <w:r>
        <w:rPr>
          <w:rFonts w:hint="eastAsia" w:ascii="仿宋_GB2312" w:eastAsia="仿宋_GB2312"/>
          <w:sz w:val="24"/>
          <w:szCs w:val="24"/>
          <w:highlight w:val="none"/>
        </w:rPr>
        <w:t>（签字）</w:t>
      </w:r>
    </w:p>
    <w:p>
      <w:pPr>
        <w:spacing w:line="580" w:lineRule="exact"/>
        <w:rPr>
          <w:rFonts w:ascii="仿宋_GB2312" w:eastAsia="仿宋_GB2312"/>
          <w:sz w:val="24"/>
          <w:szCs w:val="24"/>
          <w:highlight w:val="none"/>
        </w:rPr>
      </w:pPr>
    </w:p>
    <w:p>
      <w:pPr>
        <w:spacing w:line="580" w:lineRule="exact"/>
        <w:rPr>
          <w:rFonts w:ascii="仿宋_GB2312" w:eastAsia="仿宋_GB2312"/>
          <w:sz w:val="24"/>
          <w:szCs w:val="24"/>
          <w:highlight w:val="none"/>
        </w:rPr>
      </w:pPr>
    </w:p>
    <w:p>
      <w:pPr>
        <w:spacing w:line="580" w:lineRule="exact"/>
        <w:ind w:right="640"/>
        <w:jc w:val="right"/>
        <w:rPr>
          <w:rFonts w:ascii="仿宋_GB2312" w:eastAsia="仿宋_GB2312"/>
          <w:sz w:val="24"/>
          <w:szCs w:val="24"/>
          <w:highlight w:val="none"/>
        </w:rPr>
      </w:pPr>
      <w:r>
        <w:rPr>
          <w:rFonts w:hint="eastAsia" w:ascii="仿宋_GB2312" w:eastAsia="仿宋_GB2312"/>
          <w:sz w:val="24"/>
          <w:szCs w:val="24"/>
          <w:highlight w:val="none"/>
        </w:rPr>
        <w:t xml:space="preserve">承诺时间： </w:t>
      </w:r>
      <w:r>
        <w:rPr>
          <w:rFonts w:ascii="仿宋_GB2312" w:eastAsia="仿宋_GB2312"/>
          <w:sz w:val="24"/>
          <w:szCs w:val="24"/>
          <w:highlight w:val="none"/>
        </w:rPr>
        <w:t xml:space="preserve">   </w:t>
      </w:r>
      <w:r>
        <w:rPr>
          <w:rFonts w:hint="eastAsia" w:ascii="仿宋_GB2312" w:eastAsia="仿宋_GB2312"/>
          <w:sz w:val="24"/>
          <w:szCs w:val="24"/>
          <w:highlight w:val="none"/>
        </w:rPr>
        <w:t xml:space="preserve">年  </w:t>
      </w:r>
      <w:r>
        <w:rPr>
          <w:rFonts w:ascii="仿宋_GB2312" w:eastAsia="仿宋_GB2312"/>
          <w:sz w:val="24"/>
          <w:szCs w:val="24"/>
          <w:highlight w:val="none"/>
        </w:rPr>
        <w:t xml:space="preserve">  </w:t>
      </w:r>
      <w:r>
        <w:rPr>
          <w:rFonts w:hint="eastAsia" w:ascii="仿宋_GB2312" w:eastAsia="仿宋_GB2312"/>
          <w:sz w:val="24"/>
          <w:szCs w:val="24"/>
          <w:highlight w:val="none"/>
        </w:rPr>
        <w:t>月  日</w:t>
      </w:r>
    </w:p>
    <w:p>
      <w:pPr>
        <w:pStyle w:val="135"/>
        <w:spacing w:line="560" w:lineRule="exact"/>
        <w:rPr>
          <w:rFonts w:eastAsia="仿宋_GB2312"/>
          <w:sz w:val="24"/>
          <w:szCs w:val="24"/>
          <w:highlight w:val="none"/>
        </w:rPr>
      </w:pPr>
    </w:p>
    <w:p>
      <w:pPr>
        <w:pStyle w:val="135"/>
        <w:spacing w:line="560" w:lineRule="exact"/>
        <w:rPr>
          <w:rFonts w:eastAsia="仿宋_GB2312"/>
          <w:sz w:val="24"/>
          <w:szCs w:val="24"/>
          <w:highlight w:val="none"/>
        </w:rPr>
      </w:pPr>
    </w:p>
    <w:p>
      <w:pPr>
        <w:pStyle w:val="135"/>
        <w:spacing w:line="480" w:lineRule="auto"/>
        <w:rPr>
          <w:rFonts w:ascii="宋体" w:hAnsi="宋体" w:cs="宋体"/>
          <w:szCs w:val="24"/>
          <w:highlight w:val="none"/>
        </w:rPr>
      </w:pPr>
    </w:p>
    <w:p>
      <w:pPr>
        <w:pStyle w:val="136"/>
        <w:outlineLvl w:val="1"/>
        <w:rPr>
          <w:highlight w:val="none"/>
        </w:rPr>
      </w:pPr>
      <w:r>
        <w:rPr>
          <w:highlight w:val="none"/>
        </w:rPr>
        <w:br w:type="page"/>
      </w:r>
    </w:p>
    <w:p>
      <w:pPr>
        <w:pStyle w:val="137"/>
        <w:outlineLvl w:val="2"/>
        <w:rPr>
          <w:highlight w:val="none"/>
        </w:rPr>
      </w:pPr>
    </w:p>
    <w:p>
      <w:pPr>
        <w:pStyle w:val="48"/>
        <w:jc w:val="center"/>
        <w:rPr>
          <w:rFonts w:ascii="黑体" w:hAnsi="黑体" w:cs="黑体"/>
          <w:b/>
          <w:sz w:val="32"/>
          <w:szCs w:val="24"/>
          <w:highlight w:val="none"/>
        </w:rPr>
      </w:pPr>
      <w:r>
        <w:rPr>
          <w:rFonts w:hint="eastAsia"/>
          <w:color w:val="000080"/>
          <w:sz w:val="20"/>
          <w:highlight w:val="none"/>
        </w:rPr>
        <w:t xml:space="preserve"> </w:t>
      </w:r>
      <w:bookmarkEnd w:id="619"/>
      <w:bookmarkStart w:id="648" w:name="_Toc19484"/>
      <w:r>
        <w:rPr>
          <w:rFonts w:hint="eastAsia" w:ascii="黑体" w:hAnsi="黑体" w:cs="黑体"/>
          <w:b/>
          <w:sz w:val="32"/>
          <w:szCs w:val="24"/>
          <w:highlight w:val="none"/>
        </w:rPr>
        <w:t>十一、项目经理无在建项目承诺书</w:t>
      </w:r>
      <w:bookmarkEnd w:id="648"/>
    </w:p>
    <w:p>
      <w:pPr>
        <w:pStyle w:val="33"/>
        <w:spacing w:before="330" w:beforeAutospacing="0" w:after="0" w:afterAutospacing="0"/>
        <w:rPr>
          <w:rFonts w:ascii="宋体" w:hAnsi="宋体" w:cs="宋体"/>
          <w:sz w:val="21"/>
          <w:szCs w:val="21"/>
          <w:highlight w:val="none"/>
          <w:shd w:val="clear" w:color="auto" w:fill="FFFFFF"/>
        </w:rPr>
      </w:pPr>
      <w:r>
        <w:rPr>
          <w:rFonts w:hint="eastAsia" w:ascii="宋体" w:hAnsi="宋体" w:cs="宋体"/>
          <w:sz w:val="21"/>
          <w:szCs w:val="21"/>
          <w:highlight w:val="none"/>
          <w:shd w:val="clear" w:color="auto" w:fill="FFFFFF"/>
        </w:rPr>
        <w:t xml:space="preserve"> </w:t>
      </w:r>
    </w:p>
    <w:p>
      <w:pPr>
        <w:pStyle w:val="33"/>
        <w:spacing w:before="330" w:beforeAutospacing="0" w:after="0" w:afterAutospacing="0"/>
        <w:rPr>
          <w:rFonts w:ascii="宋体" w:hAnsi="宋体" w:cs="宋体"/>
          <w:sz w:val="21"/>
          <w:szCs w:val="21"/>
          <w:highlight w:val="none"/>
          <w:shd w:val="clear" w:color="auto" w:fill="FFFFFF"/>
        </w:rPr>
      </w:pPr>
    </w:p>
    <w:p>
      <w:pPr>
        <w:pStyle w:val="33"/>
        <w:spacing w:before="330" w:beforeAutospacing="0" w:after="0" w:afterAutospacing="0"/>
        <w:rPr>
          <w:rFonts w:ascii="宋体" w:hAnsi="宋体" w:cs="宋体"/>
          <w:sz w:val="21"/>
          <w:szCs w:val="21"/>
          <w:highlight w:val="none"/>
        </w:rPr>
      </w:pPr>
      <w:r>
        <w:rPr>
          <w:rFonts w:hint="eastAsia" w:ascii="宋体" w:hAnsi="宋体" w:cs="宋体"/>
          <w:sz w:val="21"/>
          <w:szCs w:val="21"/>
          <w:highlight w:val="none"/>
          <w:shd w:val="clear" w:color="auto" w:fill="FFFFFF"/>
        </w:rPr>
        <w:t xml:space="preserve"> </w:t>
      </w:r>
      <w:r>
        <w:rPr>
          <w:rFonts w:hint="eastAsia" w:ascii="宋体" w:hAnsi="宋体" w:cs="宋体"/>
          <w:sz w:val="21"/>
          <w:szCs w:val="21"/>
          <w:highlight w:val="none"/>
          <w:u w:val="single"/>
          <w:shd w:val="clear" w:color="auto" w:fill="FFFFFF"/>
        </w:rPr>
        <w:t xml:space="preserve">            （招标人名称）</w:t>
      </w:r>
      <w:r>
        <w:rPr>
          <w:rFonts w:hint="eastAsia" w:ascii="宋体" w:hAnsi="宋体" w:cs="宋体"/>
          <w:sz w:val="21"/>
          <w:szCs w:val="21"/>
          <w:highlight w:val="none"/>
          <w:shd w:val="clear" w:color="auto" w:fill="FFFFFF"/>
        </w:rPr>
        <w:t>：</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shd w:val="clear" w:color="auto" w:fill="FFFFFF"/>
        </w:rPr>
        <w:t>我方在此声明，我方拟派往</w:t>
      </w:r>
      <w:r>
        <w:rPr>
          <w:rFonts w:hint="eastAsia" w:ascii="宋体" w:hAnsi="宋体" w:cs="宋体"/>
          <w:szCs w:val="21"/>
          <w:highlight w:val="none"/>
          <w:u w:val="single"/>
        </w:rPr>
        <w:t xml:space="preserve">               </w:t>
      </w:r>
      <w:r>
        <w:rPr>
          <w:rFonts w:hint="eastAsia" w:ascii="宋体" w:hAnsi="宋体" w:cs="宋体"/>
          <w:szCs w:val="21"/>
          <w:highlight w:val="none"/>
        </w:rPr>
        <w:t>（项目名称）</w:t>
      </w:r>
      <w:r>
        <w:rPr>
          <w:rFonts w:hint="eastAsia" w:ascii="宋体" w:hAnsi="宋体" w:cs="宋体"/>
          <w:szCs w:val="21"/>
          <w:highlight w:val="none"/>
          <w:u w:val="single"/>
        </w:rPr>
        <w:t xml:space="preserve">     </w:t>
      </w:r>
      <w:r>
        <w:rPr>
          <w:rFonts w:hint="eastAsia" w:ascii="宋体" w:hAnsi="宋体" w:cs="宋体"/>
          <w:szCs w:val="21"/>
          <w:highlight w:val="none"/>
        </w:rPr>
        <w:t>标段</w:t>
      </w:r>
      <w:r>
        <w:rPr>
          <w:rFonts w:hint="eastAsia" w:ascii="宋体" w:hAnsi="宋体" w:cs="宋体"/>
          <w:szCs w:val="21"/>
          <w:highlight w:val="none"/>
          <w:shd w:val="clear" w:color="auto" w:fill="FFFFFF"/>
        </w:rPr>
        <w:t>的项目经理</w:t>
      </w:r>
      <w:r>
        <w:rPr>
          <w:rFonts w:hint="eastAsia" w:ascii="宋体" w:hAnsi="宋体" w:cs="宋体"/>
          <w:szCs w:val="21"/>
          <w:highlight w:val="none"/>
          <w:u w:val="single"/>
          <w:shd w:val="clear" w:color="auto" w:fill="FFFFFF"/>
        </w:rPr>
        <w:t>        </w:t>
      </w:r>
      <w:r>
        <w:rPr>
          <w:rFonts w:hint="eastAsia" w:ascii="宋体" w:hAnsi="宋体" w:cs="宋体"/>
          <w:szCs w:val="21"/>
          <w:highlight w:val="none"/>
          <w:shd w:val="clear" w:color="auto" w:fill="FFFFFF"/>
        </w:rPr>
        <w:t>（项目经理姓名）目</w:t>
      </w:r>
      <w:r>
        <w:rPr>
          <w:rFonts w:hint="eastAsia" w:ascii="宋体" w:hAnsi="宋体" w:cs="宋体"/>
          <w:szCs w:val="21"/>
          <w:highlight w:val="none"/>
        </w:rPr>
        <w:t>前没有担任任何在施建设工程项目的项目经理。</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我方保证上述信息的真实和准确，并愿意承担因我方就此弄虚作假所引起的一切法律后果。</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特此承诺</w:t>
      </w:r>
    </w:p>
    <w:p>
      <w:pPr>
        <w:pStyle w:val="33"/>
        <w:spacing w:before="330" w:beforeAutospacing="0" w:after="0" w:afterAutospacing="0"/>
        <w:ind w:firstLine="480"/>
        <w:jc w:val="right"/>
        <w:rPr>
          <w:rFonts w:ascii="宋体" w:hAnsi="宋体" w:cs="宋体"/>
          <w:sz w:val="21"/>
          <w:szCs w:val="21"/>
          <w:highlight w:val="none"/>
          <w:shd w:val="clear" w:color="auto" w:fill="FFFFFF"/>
        </w:rPr>
      </w:pP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投标人：</w:t>
      </w:r>
      <w:r>
        <w:rPr>
          <w:rFonts w:hint="eastAsia" w:ascii="宋体" w:hAnsi="宋体" w:cs="宋体"/>
          <w:sz w:val="21"/>
          <w:szCs w:val="21"/>
          <w:highlight w:val="none"/>
          <w:u w:val="single"/>
          <w:shd w:val="clear" w:color="auto" w:fill="FFFFFF"/>
        </w:rPr>
        <w:t xml:space="preserve">          </w:t>
      </w:r>
      <w:r>
        <w:rPr>
          <w:rFonts w:hint="eastAsia" w:ascii="宋体" w:hAnsi="宋体" w:cs="宋体"/>
          <w:sz w:val="21"/>
          <w:szCs w:val="21"/>
          <w:highlight w:val="none"/>
          <w:shd w:val="clear" w:color="auto" w:fill="FFFFFF"/>
        </w:rPr>
        <w:t>（盖单位章）</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法定代表人或其委托代理人： （签字）</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年  月  日</w:t>
      </w:r>
    </w:p>
    <w:p>
      <w:pPr>
        <w:rPr>
          <w:color w:val="000080"/>
          <w:sz w:val="20"/>
          <w:highlight w:val="none"/>
        </w:rPr>
        <w:sectPr>
          <w:footerReference r:id="rId4" w:type="default"/>
          <w:headerReference r:id="rId3" w:type="even"/>
          <w:footerReference r:id="rId5" w:type="even"/>
          <w:pgSz w:w="11906" w:h="16838"/>
          <w:pgMar w:top="1440" w:right="1797" w:bottom="1440" w:left="1797" w:header="851" w:footer="992" w:gutter="0"/>
          <w:cols w:space="425" w:num="1"/>
          <w:docGrid w:type="lines" w:linePitch="312" w:charSpace="0"/>
        </w:sectPr>
      </w:pPr>
      <w:r>
        <w:rPr>
          <w:highlight w:val="none"/>
        </w:rPr>
        <w:br w:type="page"/>
      </w:r>
    </w:p>
    <w:p>
      <w:pPr>
        <w:numPr>
          <w:ilvl w:val="0"/>
          <w:numId w:val="4"/>
        </w:numPr>
        <w:jc w:val="center"/>
        <w:rPr>
          <w:rFonts w:ascii="黑体" w:hAnsi="黑体" w:eastAsia="黑体" w:cs="黑体"/>
          <w:b/>
          <w:sz w:val="32"/>
          <w:highlight w:val="none"/>
        </w:rPr>
      </w:pPr>
      <w:r>
        <w:rPr>
          <w:rFonts w:ascii="黑体" w:hAnsi="黑体" w:eastAsia="黑体" w:cs="黑体"/>
          <w:b/>
          <w:sz w:val="32"/>
          <w:highlight w:val="none"/>
        </w:rPr>
        <w:t>其他材料</w:t>
      </w:r>
    </w:p>
    <w:p>
      <w:pPr>
        <w:jc w:val="center"/>
        <w:rPr>
          <w:rFonts w:ascii="宋体" w:hAnsi="宋体"/>
          <w:color w:val="000000"/>
          <w:sz w:val="32"/>
          <w:szCs w:val="32"/>
          <w:highlight w:val="none"/>
        </w:rPr>
      </w:pPr>
      <w:r>
        <w:rPr>
          <w:rFonts w:hint="eastAsia" w:ascii="宋体" w:hAnsi="宋体"/>
          <w:color w:val="000000"/>
          <w:sz w:val="32"/>
          <w:szCs w:val="32"/>
          <w:highlight w:val="none"/>
        </w:rPr>
        <w:t>辽宁省水利建设市场主体信用信息表</w:t>
      </w:r>
    </w:p>
    <w:p>
      <w:pPr>
        <w:rPr>
          <w:highlight w:val="none"/>
        </w:rPr>
      </w:pPr>
      <w:r>
        <w:rPr>
          <w:rFonts w:hint="eastAsia"/>
          <w:highlight w:val="none"/>
        </w:rPr>
        <w:drawing>
          <wp:inline distT="0" distB="0" distL="114300" distR="114300">
            <wp:extent cx="5273040" cy="7018020"/>
            <wp:effectExtent l="0" t="0" r="3810" b="11430"/>
            <wp:docPr id="1" name="图片 1" descr="信用动态查询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用动态查询说明"/>
                    <pic:cNvPicPr>
                      <a:picLocks noChangeAspect="1"/>
                    </pic:cNvPicPr>
                  </pic:nvPicPr>
                  <pic:blipFill>
                    <a:blip r:embed="rId9"/>
                    <a:stretch>
                      <a:fillRect/>
                    </a:stretch>
                  </pic:blipFill>
                  <pic:spPr>
                    <a:xfrm>
                      <a:off x="0" y="0"/>
                      <a:ext cx="5273040" cy="7018020"/>
                    </a:xfrm>
                    <a:prstGeom prst="rect">
                      <a:avLst/>
                    </a:prstGeom>
                  </pic:spPr>
                </pic:pic>
              </a:graphicData>
            </a:graphic>
          </wp:inline>
        </w:drawing>
      </w:r>
    </w:p>
    <w:p>
      <w:pPr>
        <w:pStyle w:val="2"/>
        <w:rPr>
          <w:highlight w:val="none"/>
        </w:rPr>
      </w:pPr>
    </w:p>
    <w:p>
      <w:pPr>
        <w:rPr>
          <w:highlight w:val="none"/>
        </w:rPr>
      </w:pPr>
    </w:p>
    <w:p>
      <w:pPr>
        <w:pStyle w:val="2"/>
        <w:rPr>
          <w:b/>
          <w:bCs/>
          <w:i w:val="0"/>
          <w:iCs w:val="0"/>
          <w:sz w:val="21"/>
          <w:szCs w:val="21"/>
          <w:highlight w:val="none"/>
        </w:rPr>
      </w:pPr>
      <w:r>
        <w:rPr>
          <w:rFonts w:hint="eastAsia"/>
          <w:b/>
          <w:bCs/>
          <w:i w:val="0"/>
          <w:iCs w:val="0"/>
          <w:sz w:val="21"/>
          <w:szCs w:val="21"/>
          <w:highlight w:val="none"/>
        </w:rPr>
        <w:t>附2024年3月14日最新动态扣分表</w:t>
      </w:r>
    </w:p>
    <w:p>
      <w:pPr>
        <w:rPr>
          <w:highlight w:val="none"/>
        </w:rPr>
      </w:pPr>
      <w:r>
        <w:rPr>
          <w:highlight w:val="none"/>
        </w:rPr>
        <w:drawing>
          <wp:inline distT="0" distB="0" distL="114300" distR="114300">
            <wp:extent cx="5273675" cy="4589145"/>
            <wp:effectExtent l="0" t="0" r="3175" b="190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10"/>
                    <a:stretch>
                      <a:fillRect/>
                    </a:stretch>
                  </pic:blipFill>
                  <pic:spPr>
                    <a:xfrm>
                      <a:off x="0" y="0"/>
                      <a:ext cx="5273675" cy="4589145"/>
                    </a:xfrm>
                    <a:prstGeom prst="rect">
                      <a:avLst/>
                    </a:prstGeom>
                  </pic:spPr>
                </pic:pic>
              </a:graphicData>
            </a:graphic>
          </wp:inline>
        </w:drawing>
      </w:r>
      <w:r>
        <w:rPr>
          <w:rFonts w:hint="eastAsia"/>
          <w:highlight w:val="none"/>
        </w:rPr>
        <w:drawing>
          <wp:inline distT="0" distB="0" distL="114300" distR="114300">
            <wp:extent cx="4375150" cy="3671570"/>
            <wp:effectExtent l="0" t="0" r="6350" b="508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11"/>
                    <a:stretch>
                      <a:fillRect/>
                    </a:stretch>
                  </pic:blipFill>
                  <pic:spPr>
                    <a:xfrm>
                      <a:off x="0" y="0"/>
                      <a:ext cx="4375150" cy="3671570"/>
                    </a:xfrm>
                    <a:prstGeom prst="rect">
                      <a:avLst/>
                    </a:prstGeom>
                  </pic:spPr>
                </pic:pic>
              </a:graphicData>
            </a:graphic>
          </wp:inline>
        </w:drawing>
      </w:r>
    </w:p>
    <w:p>
      <w:pPr>
        <w:pStyle w:val="2"/>
        <w:rPr>
          <w:highlight w:val="none"/>
        </w:rPr>
      </w:pPr>
      <w:r>
        <w:rPr>
          <w:rFonts w:hint="eastAsia"/>
          <w:highlight w:val="none"/>
        </w:rPr>
        <w:drawing>
          <wp:inline distT="0" distB="0" distL="114300" distR="114300">
            <wp:extent cx="5272405" cy="5151120"/>
            <wp:effectExtent l="0" t="0" r="4445" b="1143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12"/>
                    <a:stretch>
                      <a:fillRect/>
                    </a:stretch>
                  </pic:blipFill>
                  <pic:spPr>
                    <a:xfrm>
                      <a:off x="0" y="0"/>
                      <a:ext cx="5272405" cy="5151120"/>
                    </a:xfrm>
                    <a:prstGeom prst="rect">
                      <a:avLst/>
                    </a:prstGeom>
                  </pic:spPr>
                </pic:pic>
              </a:graphicData>
            </a:graphic>
          </wp:inline>
        </w:drawing>
      </w:r>
      <w:r>
        <w:rPr>
          <w:rFonts w:hint="eastAsia"/>
          <w:highlight w:val="none"/>
        </w:rPr>
        <w:drawing>
          <wp:inline distT="0" distB="0" distL="114300" distR="114300">
            <wp:extent cx="5276850" cy="2540635"/>
            <wp:effectExtent l="0" t="0" r="0" b="1206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a:blip r:embed="rId13"/>
                    <a:stretch>
                      <a:fillRect/>
                    </a:stretch>
                  </pic:blipFill>
                  <pic:spPr>
                    <a:xfrm>
                      <a:off x="0" y="0"/>
                      <a:ext cx="5276850" cy="2540635"/>
                    </a:xfrm>
                    <a:prstGeom prst="rect">
                      <a:avLst/>
                    </a:prstGeom>
                  </pic:spPr>
                </pic:pic>
              </a:graphicData>
            </a:graphic>
          </wp:inline>
        </w:drawing>
      </w:r>
    </w:p>
    <w:p>
      <w:pPr>
        <w:rPr>
          <w:rFonts w:ascii="黑体" w:hAnsi="黑体" w:eastAsia="黑体" w:cs="黑体"/>
          <w:b/>
          <w:sz w:val="32"/>
          <w:highlight w:val="none"/>
        </w:rPr>
      </w:pPr>
      <w:r>
        <w:rPr>
          <w:rFonts w:hint="eastAsia" w:ascii="黑体" w:hAnsi="黑体" w:eastAsia="黑体" w:cs="黑体"/>
          <w:b/>
          <w:sz w:val="32"/>
          <w:highlight w:val="none"/>
        </w:rPr>
        <w:drawing>
          <wp:inline distT="0" distB="0" distL="114300" distR="114300">
            <wp:extent cx="5272405" cy="4441190"/>
            <wp:effectExtent l="0" t="0" r="4445" b="16510"/>
            <wp:docPr id="6"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
                    <pic:cNvPicPr>
                      <a:picLocks noChangeAspect="1"/>
                    </pic:cNvPicPr>
                  </pic:nvPicPr>
                  <pic:blipFill>
                    <a:blip r:embed="rId14"/>
                    <a:stretch>
                      <a:fillRect/>
                    </a:stretch>
                  </pic:blipFill>
                  <pic:spPr>
                    <a:xfrm>
                      <a:off x="0" y="0"/>
                      <a:ext cx="5272405" cy="4441190"/>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8120" cy="2826385"/>
            <wp:effectExtent l="0" t="0" r="17780" b="12065"/>
            <wp:docPr id="7" name="图片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
                    <pic:cNvPicPr>
                      <a:picLocks noChangeAspect="1"/>
                    </pic:cNvPicPr>
                  </pic:nvPicPr>
                  <pic:blipFill>
                    <a:blip r:embed="rId15"/>
                    <a:stretch>
                      <a:fillRect/>
                    </a:stretch>
                  </pic:blipFill>
                  <pic:spPr>
                    <a:xfrm>
                      <a:off x="0" y="0"/>
                      <a:ext cx="5278120" cy="2826385"/>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6850" cy="6308725"/>
            <wp:effectExtent l="0" t="0" r="0" b="15875"/>
            <wp:docPr id="8" name="图片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
                    <pic:cNvPicPr>
                      <a:picLocks noChangeAspect="1"/>
                    </pic:cNvPicPr>
                  </pic:nvPicPr>
                  <pic:blipFill>
                    <a:blip r:embed="rId16"/>
                    <a:stretch>
                      <a:fillRect/>
                    </a:stretch>
                  </pic:blipFill>
                  <pic:spPr>
                    <a:xfrm>
                      <a:off x="0" y="0"/>
                      <a:ext cx="5276850" cy="6308725"/>
                    </a:xfrm>
                    <a:prstGeom prst="rect">
                      <a:avLst/>
                    </a:prstGeom>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path/>
          <v:fill on="f" focussize="0,0"/>
          <v:stroke on="f" weight="0.5pt" joinstyle="miter"/>
          <v:imagedata o:title=""/>
          <o:lock v:ext="edit"/>
          <v:textbox inset="0mm,0mm,0mm,0mm" style="mso-fit-shape-to-text:t;">
            <w:txbxContent>
              <w:p>
                <w:pPr>
                  <w:pStyle w:val="24"/>
                </w:pPr>
                <w:r>
                  <w:fldChar w:fldCharType="begin"/>
                </w:r>
                <w:r>
                  <w:instrText xml:space="preserve"> PAGE  \* MERGEFORMAT </w:instrText>
                </w:r>
                <w:r>
                  <w:fldChar w:fldCharType="separate"/>
                </w:r>
                <w:r>
                  <w:t>97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sz w:val="20"/>
        <w:szCs w:val="20"/>
      </w:rPr>
    </w:pPr>
    <w:r>
      <w:rPr>
        <w:rStyle w:val="41"/>
        <w:sz w:val="20"/>
        <w:szCs w:val="20"/>
      </w:rPr>
      <w:fldChar w:fldCharType="begin"/>
    </w:r>
    <w:r>
      <w:rPr>
        <w:rStyle w:val="41"/>
        <w:sz w:val="20"/>
        <w:szCs w:val="20"/>
        <w:highlight w:val="white"/>
      </w:rPr>
      <w:instrText xml:space="preserve">PAGE  </w:instrText>
    </w:r>
    <w:r>
      <w:rPr>
        <w:rStyle w:val="41"/>
        <w:sz w:val="20"/>
        <w:szCs w:val="20"/>
      </w:rPr>
      <w:fldChar w:fldCharType="end"/>
    </w:r>
  </w:p>
  <w:p>
    <w:pPr>
      <w:pStyle w:val="24"/>
      <w:jc w:val="center"/>
      <w:rPr>
        <w:sz w:val="17"/>
        <w:szCs w:val="17"/>
      </w:rPr>
    </w:pPr>
    <w:r>
      <w:rPr>
        <w:rStyle w:val="41"/>
        <w:sz w:val="20"/>
        <w:szCs w:val="20"/>
        <w:highlight w:val="white"/>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17"/>
        <w:szCs w:val="17"/>
      </w:rPr>
    </w:pPr>
    <w:r>
      <w:rPr>
        <w:rFonts w:hint="eastAsia"/>
        <w:sz w:val="17"/>
        <w:szCs w:val="17"/>
        <w:highlight w:val="white"/>
      </w:rPr>
      <w:t>第</w:t>
    </w:r>
    <w:r>
      <w:rPr>
        <w:sz w:val="17"/>
        <w:szCs w:val="17"/>
        <w:highlight w:val="white"/>
      </w:rPr>
      <w:t>6</w:t>
    </w:r>
    <w:r>
      <w:rPr>
        <w:rFonts w:hint="eastAsia"/>
        <w:sz w:val="17"/>
        <w:szCs w:val="17"/>
        <w:highlight w:val="white"/>
      </w:rPr>
      <w:t>章 工程量清单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FC5D1"/>
    <w:multiLevelType w:val="singleLevel"/>
    <w:tmpl w:val="B05FC5D1"/>
    <w:lvl w:ilvl="0" w:tentative="0">
      <w:start w:val="1"/>
      <w:numFmt w:val="decimal"/>
      <w:suff w:val="nothing"/>
      <w:lvlText w:val="%1、"/>
      <w:lvlJc w:val="left"/>
    </w:lvl>
  </w:abstractNum>
  <w:abstractNum w:abstractNumId="1">
    <w:nsid w:val="C9D47727"/>
    <w:multiLevelType w:val="singleLevel"/>
    <w:tmpl w:val="C9D47727"/>
    <w:lvl w:ilvl="0" w:tentative="0">
      <w:start w:val="2024"/>
      <w:numFmt w:val="decimal"/>
      <w:suff w:val="space"/>
      <w:lvlText w:val="%1-"/>
      <w:lvlJc w:val="left"/>
    </w:lvl>
  </w:abstractNum>
  <w:abstractNum w:abstractNumId="2">
    <w:nsid w:val="0BEC7F99"/>
    <w:multiLevelType w:val="multilevel"/>
    <w:tmpl w:val="0BEC7F99"/>
    <w:lvl w:ilvl="0" w:tentative="0">
      <w:start w:val="1"/>
      <w:numFmt w:val="japaneseCounting"/>
      <w:lvlText w:val="第%1章"/>
      <w:lvlJc w:val="left"/>
      <w:pPr>
        <w:ind w:left="1090" w:hanging="10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D7F724"/>
    <w:multiLevelType w:val="singleLevel"/>
    <w:tmpl w:val="78D7F724"/>
    <w:lvl w:ilvl="0" w:tentative="0">
      <w:start w:val="12"/>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U5MzdlODM2Y2RmNDhhMmUxNzAwMzczMDhjNWQyZDUifQ=="/>
  </w:docVars>
  <w:rsids>
    <w:rsidRoot w:val="007B6761"/>
    <w:rsid w:val="0009075B"/>
    <w:rsid w:val="001113BD"/>
    <w:rsid w:val="00180A84"/>
    <w:rsid w:val="001A110B"/>
    <w:rsid w:val="00265123"/>
    <w:rsid w:val="002E0DA8"/>
    <w:rsid w:val="003435F4"/>
    <w:rsid w:val="0048188E"/>
    <w:rsid w:val="00577280"/>
    <w:rsid w:val="00611E2B"/>
    <w:rsid w:val="00642CE3"/>
    <w:rsid w:val="007B6761"/>
    <w:rsid w:val="00992AC2"/>
    <w:rsid w:val="00A50979"/>
    <w:rsid w:val="00A72960"/>
    <w:rsid w:val="00BA3ECF"/>
    <w:rsid w:val="00C85617"/>
    <w:rsid w:val="00CE4D81"/>
    <w:rsid w:val="00DC0F8D"/>
    <w:rsid w:val="00F578FF"/>
    <w:rsid w:val="00F646D0"/>
    <w:rsid w:val="012651AE"/>
    <w:rsid w:val="017A22D5"/>
    <w:rsid w:val="01C419B3"/>
    <w:rsid w:val="01EB25E0"/>
    <w:rsid w:val="023615AF"/>
    <w:rsid w:val="02C848FD"/>
    <w:rsid w:val="034F3EC1"/>
    <w:rsid w:val="03621012"/>
    <w:rsid w:val="04096F7B"/>
    <w:rsid w:val="050E45DD"/>
    <w:rsid w:val="051B5827"/>
    <w:rsid w:val="059D7FF1"/>
    <w:rsid w:val="071D3588"/>
    <w:rsid w:val="07A04665"/>
    <w:rsid w:val="07DB63FB"/>
    <w:rsid w:val="083245C7"/>
    <w:rsid w:val="087F780C"/>
    <w:rsid w:val="0AB408B9"/>
    <w:rsid w:val="0AC61BE1"/>
    <w:rsid w:val="0B4712E4"/>
    <w:rsid w:val="0BE01EF1"/>
    <w:rsid w:val="0BEB6F66"/>
    <w:rsid w:val="0C0D3381"/>
    <w:rsid w:val="0C747355"/>
    <w:rsid w:val="0CFC504F"/>
    <w:rsid w:val="0D496672"/>
    <w:rsid w:val="0D714F5D"/>
    <w:rsid w:val="0DF56D87"/>
    <w:rsid w:val="0ED4462A"/>
    <w:rsid w:val="0EE77A81"/>
    <w:rsid w:val="0F5616AC"/>
    <w:rsid w:val="102962AF"/>
    <w:rsid w:val="106F460A"/>
    <w:rsid w:val="108D4A90"/>
    <w:rsid w:val="1116563F"/>
    <w:rsid w:val="11B5604C"/>
    <w:rsid w:val="11C71CC7"/>
    <w:rsid w:val="123F1DBA"/>
    <w:rsid w:val="12723B3F"/>
    <w:rsid w:val="1292638E"/>
    <w:rsid w:val="1338413A"/>
    <w:rsid w:val="134D72B7"/>
    <w:rsid w:val="13EA4220"/>
    <w:rsid w:val="14595878"/>
    <w:rsid w:val="14F41582"/>
    <w:rsid w:val="152E30D5"/>
    <w:rsid w:val="154A2B4A"/>
    <w:rsid w:val="158021E4"/>
    <w:rsid w:val="15A9411A"/>
    <w:rsid w:val="15C41A43"/>
    <w:rsid w:val="162D4764"/>
    <w:rsid w:val="16622331"/>
    <w:rsid w:val="1815198E"/>
    <w:rsid w:val="181F06C4"/>
    <w:rsid w:val="18C179CD"/>
    <w:rsid w:val="19377449"/>
    <w:rsid w:val="196E7882"/>
    <w:rsid w:val="19C22B27"/>
    <w:rsid w:val="1A042A8F"/>
    <w:rsid w:val="1A4E0666"/>
    <w:rsid w:val="1D7E5E8C"/>
    <w:rsid w:val="1DF63C75"/>
    <w:rsid w:val="1E2C6FA1"/>
    <w:rsid w:val="1E4875EE"/>
    <w:rsid w:val="1FBA662C"/>
    <w:rsid w:val="20254CE5"/>
    <w:rsid w:val="204A3B16"/>
    <w:rsid w:val="21596E8E"/>
    <w:rsid w:val="215B0293"/>
    <w:rsid w:val="21634FF1"/>
    <w:rsid w:val="21974D92"/>
    <w:rsid w:val="21D31C35"/>
    <w:rsid w:val="21E464DA"/>
    <w:rsid w:val="22B6537E"/>
    <w:rsid w:val="231A009B"/>
    <w:rsid w:val="23747613"/>
    <w:rsid w:val="23E135E9"/>
    <w:rsid w:val="2513335E"/>
    <w:rsid w:val="25FD4E92"/>
    <w:rsid w:val="26003694"/>
    <w:rsid w:val="261D5E19"/>
    <w:rsid w:val="266B4AD5"/>
    <w:rsid w:val="26AF70B6"/>
    <w:rsid w:val="26EF1BA9"/>
    <w:rsid w:val="271E423C"/>
    <w:rsid w:val="27FC5131"/>
    <w:rsid w:val="28126853"/>
    <w:rsid w:val="2B6E186C"/>
    <w:rsid w:val="2D581D3E"/>
    <w:rsid w:val="2D6C3F53"/>
    <w:rsid w:val="2DDD3731"/>
    <w:rsid w:val="2E34595E"/>
    <w:rsid w:val="2EB675FD"/>
    <w:rsid w:val="2ED0291F"/>
    <w:rsid w:val="2FD6780D"/>
    <w:rsid w:val="309612E7"/>
    <w:rsid w:val="30F235D8"/>
    <w:rsid w:val="317A3629"/>
    <w:rsid w:val="31862C08"/>
    <w:rsid w:val="3218450F"/>
    <w:rsid w:val="324E451E"/>
    <w:rsid w:val="326428CF"/>
    <w:rsid w:val="3277593D"/>
    <w:rsid w:val="33156290"/>
    <w:rsid w:val="346C69DA"/>
    <w:rsid w:val="34BD5946"/>
    <w:rsid w:val="34DC160D"/>
    <w:rsid w:val="35FC2BBF"/>
    <w:rsid w:val="36647DD9"/>
    <w:rsid w:val="36751884"/>
    <w:rsid w:val="36F6488E"/>
    <w:rsid w:val="37460AB5"/>
    <w:rsid w:val="378400EB"/>
    <w:rsid w:val="378F245F"/>
    <w:rsid w:val="379D3D8C"/>
    <w:rsid w:val="388B5174"/>
    <w:rsid w:val="388C7A51"/>
    <w:rsid w:val="38DB607F"/>
    <w:rsid w:val="38FC0CD5"/>
    <w:rsid w:val="391A4FFC"/>
    <w:rsid w:val="399D78B3"/>
    <w:rsid w:val="3A313FD8"/>
    <w:rsid w:val="3A5B4F58"/>
    <w:rsid w:val="3B637FD8"/>
    <w:rsid w:val="3BB439AE"/>
    <w:rsid w:val="3BB52F69"/>
    <w:rsid w:val="3C135F1D"/>
    <w:rsid w:val="3CB46720"/>
    <w:rsid w:val="3D700511"/>
    <w:rsid w:val="3E341126"/>
    <w:rsid w:val="3E5B4F04"/>
    <w:rsid w:val="3E691381"/>
    <w:rsid w:val="3F277CDA"/>
    <w:rsid w:val="3FBD3256"/>
    <w:rsid w:val="40B825E9"/>
    <w:rsid w:val="40BF7252"/>
    <w:rsid w:val="41EB2DE7"/>
    <w:rsid w:val="42044303"/>
    <w:rsid w:val="431467C7"/>
    <w:rsid w:val="436C64C7"/>
    <w:rsid w:val="43CE0061"/>
    <w:rsid w:val="43E43907"/>
    <w:rsid w:val="44721B3F"/>
    <w:rsid w:val="454E1262"/>
    <w:rsid w:val="45D7167C"/>
    <w:rsid w:val="46C71DA3"/>
    <w:rsid w:val="46C85B55"/>
    <w:rsid w:val="46CA0775"/>
    <w:rsid w:val="47465120"/>
    <w:rsid w:val="47790B31"/>
    <w:rsid w:val="48605F4B"/>
    <w:rsid w:val="49BE02BB"/>
    <w:rsid w:val="49FB423D"/>
    <w:rsid w:val="4AC15124"/>
    <w:rsid w:val="4B01704F"/>
    <w:rsid w:val="4C433BB8"/>
    <w:rsid w:val="4E092CA1"/>
    <w:rsid w:val="4E0C11E4"/>
    <w:rsid w:val="4E5746CE"/>
    <w:rsid w:val="4EEA2AD2"/>
    <w:rsid w:val="507773FC"/>
    <w:rsid w:val="507B00A0"/>
    <w:rsid w:val="51330FBE"/>
    <w:rsid w:val="518014CC"/>
    <w:rsid w:val="51A67D87"/>
    <w:rsid w:val="51E629BD"/>
    <w:rsid w:val="51F53C68"/>
    <w:rsid w:val="51FB0B52"/>
    <w:rsid w:val="52467BA6"/>
    <w:rsid w:val="524B2632"/>
    <w:rsid w:val="526B2619"/>
    <w:rsid w:val="54414F42"/>
    <w:rsid w:val="54B83D48"/>
    <w:rsid w:val="55290311"/>
    <w:rsid w:val="5543596A"/>
    <w:rsid w:val="55E72A54"/>
    <w:rsid w:val="56750C1A"/>
    <w:rsid w:val="576505D8"/>
    <w:rsid w:val="59070F4D"/>
    <w:rsid w:val="59BC506B"/>
    <w:rsid w:val="59E94766"/>
    <w:rsid w:val="5A387D96"/>
    <w:rsid w:val="5A925980"/>
    <w:rsid w:val="5AA03158"/>
    <w:rsid w:val="5AC71355"/>
    <w:rsid w:val="5AE12FDB"/>
    <w:rsid w:val="5B5C1BC2"/>
    <w:rsid w:val="5B6F6839"/>
    <w:rsid w:val="5BE517EC"/>
    <w:rsid w:val="5CD1308B"/>
    <w:rsid w:val="5D046CC3"/>
    <w:rsid w:val="5D2B2C34"/>
    <w:rsid w:val="5E0250EF"/>
    <w:rsid w:val="5E0A5EAD"/>
    <w:rsid w:val="5F5D39BD"/>
    <w:rsid w:val="5FC804E7"/>
    <w:rsid w:val="5FE22FDD"/>
    <w:rsid w:val="605602F3"/>
    <w:rsid w:val="60E56EBF"/>
    <w:rsid w:val="610C6769"/>
    <w:rsid w:val="61767A86"/>
    <w:rsid w:val="6224410D"/>
    <w:rsid w:val="623A7551"/>
    <w:rsid w:val="625234F5"/>
    <w:rsid w:val="62C531E2"/>
    <w:rsid w:val="633330CC"/>
    <w:rsid w:val="63E94CAF"/>
    <w:rsid w:val="649410BE"/>
    <w:rsid w:val="64CD14D9"/>
    <w:rsid w:val="650C52CC"/>
    <w:rsid w:val="6617720A"/>
    <w:rsid w:val="66602AFD"/>
    <w:rsid w:val="66A6332B"/>
    <w:rsid w:val="66AC1B17"/>
    <w:rsid w:val="66BF39A8"/>
    <w:rsid w:val="67264120"/>
    <w:rsid w:val="673F1D93"/>
    <w:rsid w:val="67515045"/>
    <w:rsid w:val="67E86039"/>
    <w:rsid w:val="67F05B91"/>
    <w:rsid w:val="67F325A0"/>
    <w:rsid w:val="689B5C8E"/>
    <w:rsid w:val="68D37D11"/>
    <w:rsid w:val="6A5D6D0A"/>
    <w:rsid w:val="6B5D34D5"/>
    <w:rsid w:val="6C1A059A"/>
    <w:rsid w:val="6C4E01EF"/>
    <w:rsid w:val="6C8066EF"/>
    <w:rsid w:val="6C8A5FC6"/>
    <w:rsid w:val="6E0472B5"/>
    <w:rsid w:val="6E274D51"/>
    <w:rsid w:val="70CB1296"/>
    <w:rsid w:val="715220E5"/>
    <w:rsid w:val="74AA27A7"/>
    <w:rsid w:val="764C43BE"/>
    <w:rsid w:val="76EC5B4A"/>
    <w:rsid w:val="776B6BD0"/>
    <w:rsid w:val="77790485"/>
    <w:rsid w:val="77933457"/>
    <w:rsid w:val="77936D8F"/>
    <w:rsid w:val="78522C2F"/>
    <w:rsid w:val="786F3158"/>
    <w:rsid w:val="786F4218"/>
    <w:rsid w:val="78F97F66"/>
    <w:rsid w:val="7B0E1773"/>
    <w:rsid w:val="7BD65048"/>
    <w:rsid w:val="7C5533D1"/>
    <w:rsid w:val="7CE7227B"/>
    <w:rsid w:val="7D146DE8"/>
    <w:rsid w:val="7D6364D3"/>
    <w:rsid w:val="7D8546D2"/>
    <w:rsid w:val="7D9677FD"/>
    <w:rsid w:val="7DDD73B7"/>
    <w:rsid w:val="7E6B28C4"/>
    <w:rsid w:val="7EAB1087"/>
    <w:rsid w:val="7F2809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4"/>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120" w:after="120" w:line="400" w:lineRule="exact"/>
      <w:jc w:val="left"/>
      <w:outlineLvl w:val="2"/>
    </w:pPr>
    <w:rPr>
      <w:rFonts w:ascii="宋体"/>
      <w:b/>
      <w:bCs/>
      <w:color w:val="FF0000"/>
      <w:sz w:val="24"/>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0">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39"/>
    <w:pPr>
      <w:ind w:left="420"/>
      <w:jc w:val="left"/>
    </w:pPr>
    <w:rPr>
      <w:rFonts w:cs="Calibri"/>
      <w:i/>
      <w:iCs/>
      <w:sz w:val="20"/>
      <w:szCs w:val="20"/>
    </w:rPr>
  </w:style>
  <w:style w:type="paragraph" w:styleId="11">
    <w:name w:val="toc 7"/>
    <w:basedOn w:val="1"/>
    <w:next w:val="1"/>
    <w:autoRedefine/>
    <w:qFormat/>
    <w:uiPriority w:val="0"/>
    <w:pPr>
      <w:ind w:left="1260"/>
      <w:jc w:val="left"/>
    </w:pPr>
    <w:rPr>
      <w:rFonts w:cs="Calibri"/>
      <w:sz w:val="18"/>
      <w:szCs w:val="18"/>
    </w:rPr>
  </w:style>
  <w:style w:type="paragraph" w:styleId="12">
    <w:name w:val="Normal Indent"/>
    <w:basedOn w:val="1"/>
    <w:autoRedefine/>
    <w:qFormat/>
    <w:uiPriority w:val="0"/>
    <w:pPr>
      <w:ind w:firstLine="420" w:firstLineChars="200"/>
    </w:pPr>
  </w:style>
  <w:style w:type="paragraph" w:styleId="13">
    <w:name w:val="Document Map"/>
    <w:basedOn w:val="1"/>
    <w:autoRedefine/>
    <w:semiHidden/>
    <w:qFormat/>
    <w:uiPriority w:val="0"/>
    <w:pPr>
      <w:shd w:val="clear" w:color="auto" w:fill="000080"/>
    </w:pPr>
  </w:style>
  <w:style w:type="paragraph" w:styleId="14">
    <w:name w:val="annotation text"/>
    <w:basedOn w:val="1"/>
    <w:autoRedefine/>
    <w:qFormat/>
    <w:uiPriority w:val="0"/>
    <w:pPr>
      <w:jc w:val="left"/>
    </w:pPr>
  </w:style>
  <w:style w:type="paragraph" w:styleId="15">
    <w:name w:val="Body Text 3"/>
    <w:basedOn w:val="1"/>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qFormat/>
    <w:uiPriority w:val="0"/>
    <w:pPr>
      <w:ind w:left="840"/>
      <w:jc w:val="left"/>
    </w:pPr>
    <w:rPr>
      <w:rFonts w:cs="Calibri"/>
      <w:sz w:val="18"/>
      <w:szCs w:val="18"/>
    </w:rPr>
  </w:style>
  <w:style w:type="paragraph" w:styleId="19">
    <w:name w:val="Plain Text"/>
    <w:basedOn w:val="1"/>
    <w:autoRedefine/>
    <w:qFormat/>
    <w:uiPriority w:val="0"/>
    <w:rPr>
      <w:rFonts w:ascii="Courier New" w:hAnsi="Courier New"/>
      <w:szCs w:val="20"/>
    </w:rPr>
  </w:style>
  <w:style w:type="paragraph" w:styleId="20">
    <w:name w:val="toc 8"/>
    <w:basedOn w:val="1"/>
    <w:next w:val="1"/>
    <w:autoRedefine/>
    <w:qFormat/>
    <w:uiPriority w:val="0"/>
    <w:pPr>
      <w:ind w:left="1470"/>
      <w:jc w:val="left"/>
    </w:pPr>
    <w:rPr>
      <w:rFonts w:cs="Calibri"/>
      <w:sz w:val="18"/>
      <w:szCs w:val="18"/>
    </w:rPr>
  </w:style>
  <w:style w:type="paragraph" w:styleId="21">
    <w:name w:val="Date"/>
    <w:basedOn w:val="1"/>
    <w:next w:val="1"/>
    <w:autoRedefine/>
    <w:qFormat/>
    <w:uiPriority w:val="0"/>
    <w:rPr>
      <w:sz w:val="24"/>
      <w:szCs w:val="20"/>
    </w:rPr>
  </w:style>
  <w:style w:type="paragraph" w:styleId="22">
    <w:name w:val="Body Text Indent 2"/>
    <w:basedOn w:val="1"/>
    <w:autoRedefine/>
    <w:qFormat/>
    <w:uiPriority w:val="0"/>
    <w:pPr>
      <w:spacing w:after="120" w:line="480" w:lineRule="auto"/>
      <w:ind w:left="420" w:leftChars="200"/>
    </w:pPr>
  </w:style>
  <w:style w:type="paragraph" w:styleId="23">
    <w:name w:val="Balloon Text"/>
    <w:basedOn w:val="1"/>
    <w:autoRedefine/>
    <w:semiHidden/>
    <w:qFormat/>
    <w:uiPriority w:val="0"/>
    <w:rPr>
      <w:sz w:val="18"/>
      <w:szCs w:val="18"/>
    </w:rPr>
  </w:style>
  <w:style w:type="paragraph" w:styleId="24">
    <w:name w:val="footer"/>
    <w:basedOn w:val="1"/>
    <w:autoRedefine/>
    <w:qFormat/>
    <w:uiPriority w:val="0"/>
    <w:pPr>
      <w:tabs>
        <w:tab w:val="center" w:pos="4153"/>
        <w:tab w:val="right" w:pos="8306"/>
      </w:tabs>
      <w:snapToGrid w:val="0"/>
      <w:jc w:val="left"/>
    </w:pPr>
    <w:rPr>
      <w:sz w:val="18"/>
      <w:szCs w:val="18"/>
    </w:rPr>
  </w:style>
  <w:style w:type="paragraph" w:styleId="2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qFormat/>
    <w:uiPriority w:val="39"/>
    <w:pPr>
      <w:spacing w:before="120" w:after="120"/>
      <w:jc w:val="left"/>
    </w:pPr>
    <w:rPr>
      <w:rFonts w:cs="Calibri"/>
      <w:b/>
      <w:bCs/>
      <w:caps/>
      <w:sz w:val="20"/>
      <w:szCs w:val="20"/>
    </w:rPr>
  </w:style>
  <w:style w:type="paragraph" w:styleId="27">
    <w:name w:val="toc 4"/>
    <w:basedOn w:val="1"/>
    <w:next w:val="1"/>
    <w:autoRedefine/>
    <w:qFormat/>
    <w:uiPriority w:val="0"/>
    <w:pPr>
      <w:ind w:left="630"/>
      <w:jc w:val="left"/>
    </w:pPr>
    <w:rPr>
      <w:rFonts w:cs="Calibri"/>
      <w:sz w:val="18"/>
      <w:szCs w:val="18"/>
    </w:rPr>
  </w:style>
  <w:style w:type="paragraph" w:styleId="28">
    <w:name w:val="toc 6"/>
    <w:basedOn w:val="1"/>
    <w:next w:val="1"/>
    <w:autoRedefine/>
    <w:qFormat/>
    <w:uiPriority w:val="0"/>
    <w:pPr>
      <w:ind w:left="1050"/>
      <w:jc w:val="left"/>
    </w:pPr>
    <w:rPr>
      <w:rFonts w:cs="Calibri"/>
      <w:sz w:val="18"/>
      <w:szCs w:val="18"/>
    </w:rPr>
  </w:style>
  <w:style w:type="paragraph" w:styleId="29">
    <w:name w:val="Body Text Indent 3"/>
    <w:basedOn w:val="1"/>
    <w:autoRedefine/>
    <w:qFormat/>
    <w:uiPriority w:val="0"/>
    <w:pPr>
      <w:spacing w:after="120"/>
      <w:ind w:left="420" w:leftChars="200"/>
    </w:pPr>
    <w:rPr>
      <w:sz w:val="16"/>
      <w:szCs w:val="16"/>
    </w:rPr>
  </w:style>
  <w:style w:type="paragraph" w:styleId="30">
    <w:name w:val="toc 2"/>
    <w:basedOn w:val="1"/>
    <w:next w:val="1"/>
    <w:autoRedefine/>
    <w:qFormat/>
    <w:uiPriority w:val="39"/>
    <w:pPr>
      <w:ind w:left="210"/>
      <w:jc w:val="left"/>
    </w:pPr>
    <w:rPr>
      <w:rFonts w:cs="Calibri"/>
      <w:smallCaps/>
      <w:sz w:val="20"/>
      <w:szCs w:val="20"/>
    </w:rPr>
  </w:style>
  <w:style w:type="paragraph" w:styleId="31">
    <w:name w:val="toc 9"/>
    <w:basedOn w:val="1"/>
    <w:next w:val="1"/>
    <w:autoRedefine/>
    <w:qFormat/>
    <w:uiPriority w:val="0"/>
    <w:pPr>
      <w:ind w:left="1680"/>
      <w:jc w:val="left"/>
    </w:pPr>
    <w:rPr>
      <w:rFonts w:cs="Calibri"/>
      <w:sz w:val="18"/>
      <w:szCs w:val="18"/>
    </w:rPr>
  </w:style>
  <w:style w:type="paragraph" w:styleId="32">
    <w:name w:val="Body Text 2"/>
    <w:basedOn w:val="1"/>
    <w:autoRedefine/>
    <w:qFormat/>
    <w:uiPriority w:val="0"/>
    <w:pPr>
      <w:spacing w:after="120" w:line="480" w:lineRule="auto"/>
    </w:pPr>
  </w:style>
  <w:style w:type="paragraph" w:styleId="33">
    <w:name w:val="Normal (Web)"/>
    <w:basedOn w:val="1"/>
    <w:autoRedefine/>
    <w:qFormat/>
    <w:uiPriority w:val="0"/>
    <w:pPr>
      <w:widowControl/>
      <w:spacing w:before="100" w:beforeAutospacing="1" w:after="100" w:afterAutospacing="1"/>
      <w:jc w:val="left"/>
    </w:pPr>
    <w:rPr>
      <w:kern w:val="0"/>
      <w:sz w:val="24"/>
    </w:rPr>
  </w:style>
  <w:style w:type="paragraph" w:styleId="34">
    <w:name w:val="index 1"/>
    <w:basedOn w:val="1"/>
    <w:next w:val="1"/>
    <w:autoRedefine/>
    <w:semiHidden/>
    <w:qFormat/>
    <w:uiPriority w:val="0"/>
    <w:pPr>
      <w:spacing w:line="220" w:lineRule="exact"/>
      <w:jc w:val="center"/>
    </w:pPr>
    <w:rPr>
      <w:rFonts w:ascii="仿宋_GB2312" w:eastAsia="仿宋_GB2312"/>
      <w:szCs w:val="21"/>
    </w:rPr>
  </w:style>
  <w:style w:type="paragraph" w:styleId="35">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Theme"/>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Professional"/>
    <w:basedOn w:val="3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41">
    <w:name w:val="page number"/>
    <w:autoRedefine/>
    <w:qFormat/>
    <w:uiPriority w:val="0"/>
    <w:rPr>
      <w:rFonts w:ascii="Arial" w:hAnsi="Arial" w:eastAsia="黑体"/>
      <w:kern w:val="2"/>
      <w:sz w:val="21"/>
      <w:szCs w:val="21"/>
      <w:lang w:val="en-US" w:eastAsia="zh-CN" w:bidi="ar-SA"/>
    </w:rPr>
  </w:style>
  <w:style w:type="character" w:styleId="42">
    <w:name w:val="FollowedHyperlink"/>
    <w:autoRedefine/>
    <w:qFormat/>
    <w:uiPriority w:val="0"/>
    <w:rPr>
      <w:rFonts w:ascii="Arial" w:hAnsi="Arial" w:eastAsia="黑体"/>
      <w:color w:val="800080"/>
      <w:kern w:val="2"/>
      <w:sz w:val="21"/>
      <w:szCs w:val="21"/>
      <w:u w:val="single"/>
      <w:lang w:val="en-US" w:eastAsia="zh-CN" w:bidi="ar-SA"/>
    </w:rPr>
  </w:style>
  <w:style w:type="character" w:styleId="43">
    <w:name w:val="Hyperlink"/>
    <w:autoRedefine/>
    <w:qFormat/>
    <w:uiPriority w:val="99"/>
    <w:rPr>
      <w:rFonts w:ascii="Arial" w:hAnsi="Arial" w:eastAsia="黑体"/>
      <w:color w:val="0000FF"/>
      <w:kern w:val="2"/>
      <w:sz w:val="21"/>
      <w:szCs w:val="21"/>
      <w:u w:val="single"/>
      <w:lang w:val="en-US" w:eastAsia="zh-CN" w:bidi="ar-SA"/>
    </w:rPr>
  </w:style>
  <w:style w:type="character" w:customStyle="1" w:styleId="44">
    <w:name w:val="标题 1 Char"/>
    <w:link w:val="3"/>
    <w:autoRedefine/>
    <w:qFormat/>
    <w:uiPriority w:val="0"/>
    <w:rPr>
      <w:rFonts w:eastAsia="宋体"/>
      <w:b/>
      <w:bCs/>
      <w:kern w:val="44"/>
      <w:sz w:val="44"/>
      <w:szCs w:val="44"/>
      <w:lang w:val="en-US" w:eastAsia="zh-CN" w:bidi="ar-SA"/>
    </w:rPr>
  </w:style>
  <w:style w:type="character" w:customStyle="1" w:styleId="45">
    <w:name w:val="标题 2 Char"/>
    <w:link w:val="4"/>
    <w:autoRedefine/>
    <w:qFormat/>
    <w:uiPriority w:val="0"/>
    <w:rPr>
      <w:rFonts w:ascii="Arial" w:hAnsi="Arial" w:eastAsia="黑体"/>
      <w:b/>
      <w:bCs/>
      <w:kern w:val="2"/>
      <w:sz w:val="32"/>
      <w:szCs w:val="32"/>
      <w:lang w:val="en-US" w:eastAsia="zh-CN" w:bidi="ar-SA"/>
    </w:rPr>
  </w:style>
  <w:style w:type="paragraph" w:customStyle="1" w:styleId="46">
    <w:name w:val="标题2"/>
    <w:basedOn w:val="4"/>
    <w:next w:val="1"/>
    <w:autoRedefine/>
    <w:qFormat/>
    <w:uiPriority w:val="0"/>
    <w:pPr>
      <w:snapToGrid w:val="0"/>
      <w:spacing w:before="120" w:after="120" w:line="240" w:lineRule="auto"/>
      <w:jc w:val="left"/>
    </w:pPr>
    <w:rPr>
      <w:b w:val="0"/>
      <w:bCs w:val="0"/>
      <w:sz w:val="21"/>
      <w:szCs w:val="21"/>
    </w:rPr>
  </w:style>
  <w:style w:type="paragraph" w:customStyle="1" w:styleId="47">
    <w:name w:val="样式 标题 3 + (中文) 黑体 小四 非加粗 段前: 7.8 磅 段后: 0 磅 行距: 固定值 20 磅"/>
    <w:basedOn w:val="5"/>
    <w:autoRedefine/>
    <w:qFormat/>
    <w:uiPriority w:val="0"/>
    <w:pPr>
      <w:spacing w:before="0" w:after="0"/>
    </w:pPr>
    <w:rPr>
      <w:rFonts w:eastAsia="黑体" w:cs="宋体"/>
      <w:b w:val="0"/>
      <w:bCs w:val="0"/>
      <w:szCs w:val="20"/>
    </w:rPr>
  </w:style>
  <w:style w:type="paragraph" w:customStyle="1" w:styleId="48">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49">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50">
    <w:name w:val="1"/>
    <w:basedOn w:val="1"/>
    <w:autoRedefine/>
    <w:qFormat/>
    <w:uiPriority w:val="0"/>
  </w:style>
  <w:style w:type="character" w:customStyle="1" w:styleId="51">
    <w:name w:val="font161"/>
    <w:autoRedefine/>
    <w:qFormat/>
    <w:uiPriority w:val="0"/>
    <w:rPr>
      <w:rFonts w:ascii="Arial" w:hAnsi="Arial" w:eastAsia="黑体"/>
      <w:b/>
      <w:bCs/>
      <w:kern w:val="2"/>
      <w:sz w:val="32"/>
      <w:szCs w:val="32"/>
      <w:lang w:val="en-US" w:eastAsia="zh-CN" w:bidi="ar-SA"/>
    </w:rPr>
  </w:style>
  <w:style w:type="paragraph" w:customStyle="1" w:styleId="5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3">
    <w:name w:val="表格"/>
    <w:basedOn w:val="1"/>
    <w:autoRedefine/>
    <w:qFormat/>
    <w:uiPriority w:val="0"/>
    <w:pPr>
      <w:jc w:val="center"/>
      <w:textAlignment w:val="center"/>
    </w:pPr>
    <w:rPr>
      <w:rFonts w:ascii="华文细黑" w:hAnsi="华文细黑"/>
      <w:kern w:val="0"/>
      <w:szCs w:val="20"/>
    </w:rPr>
  </w:style>
  <w:style w:type="paragraph" w:customStyle="1" w:styleId="54">
    <w:name w:val="表格文字"/>
    <w:basedOn w:val="1"/>
    <w:autoRedefine/>
    <w:qFormat/>
    <w:uiPriority w:val="0"/>
    <w:pPr>
      <w:adjustRightInd w:val="0"/>
      <w:spacing w:line="420" w:lineRule="atLeast"/>
      <w:jc w:val="left"/>
      <w:textAlignment w:val="baseline"/>
    </w:pPr>
    <w:rPr>
      <w:kern w:val="0"/>
      <w:szCs w:val="20"/>
    </w:rPr>
  </w:style>
  <w:style w:type="paragraph" w:customStyle="1" w:styleId="55">
    <w:name w:val="xl47"/>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56">
    <w:name w:val="font5"/>
    <w:basedOn w:val="1"/>
    <w:link w:val="57"/>
    <w:autoRedefine/>
    <w:qFormat/>
    <w:uiPriority w:val="0"/>
    <w:pPr>
      <w:widowControl/>
      <w:spacing w:before="100" w:beforeAutospacing="1" w:after="100" w:afterAutospacing="1"/>
      <w:jc w:val="left"/>
    </w:pPr>
    <w:rPr>
      <w:rFonts w:ascii="宋体" w:hAnsi="宋体"/>
      <w:kern w:val="0"/>
      <w:sz w:val="24"/>
    </w:rPr>
  </w:style>
  <w:style w:type="character" w:customStyle="1" w:styleId="57">
    <w:name w:val="font5 Char"/>
    <w:link w:val="56"/>
    <w:autoRedefine/>
    <w:qFormat/>
    <w:uiPriority w:val="0"/>
    <w:rPr>
      <w:rFonts w:ascii="宋体" w:hAnsi="宋体" w:eastAsia="宋体"/>
      <w:sz w:val="24"/>
      <w:szCs w:val="24"/>
      <w:lang w:val="en-US" w:eastAsia="zh-CN" w:bidi="ar-SA"/>
    </w:rPr>
  </w:style>
  <w:style w:type="paragraph" w:customStyle="1" w:styleId="58">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59">
    <w:name w:val="xl3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60">
    <w:name w:val="表格2"/>
    <w:basedOn w:val="1"/>
    <w:autoRedefine/>
    <w:qFormat/>
    <w:uiPriority w:val="0"/>
    <w:pPr>
      <w:adjustRightInd w:val="0"/>
      <w:spacing w:before="60" w:after="60"/>
      <w:jc w:val="center"/>
    </w:pPr>
    <w:rPr>
      <w:rFonts w:ascii="宋体"/>
      <w:color w:val="000000"/>
      <w:kern w:val="0"/>
      <w:sz w:val="24"/>
      <w:szCs w:val="20"/>
    </w:rPr>
  </w:style>
  <w:style w:type="paragraph" w:customStyle="1" w:styleId="6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62">
    <w:name w:val="Char"/>
    <w:basedOn w:val="1"/>
    <w:autoRedefine/>
    <w:qFormat/>
    <w:uiPriority w:val="0"/>
    <w:pPr>
      <w:snapToGrid w:val="0"/>
      <w:spacing w:line="360" w:lineRule="auto"/>
      <w:ind w:firstLine="200" w:firstLineChars="200"/>
    </w:pPr>
    <w:rPr>
      <w:rFonts w:ascii="Arial" w:hAnsi="Arial" w:eastAsia="黑体"/>
      <w:szCs w:val="21"/>
    </w:rPr>
  </w:style>
  <w:style w:type="paragraph" w:customStyle="1" w:styleId="63">
    <w:name w:val="Normal_0"/>
    <w:autoRedefine/>
    <w:qFormat/>
    <w:uiPriority w:val="0"/>
    <w:pPr>
      <w:widowControl w:val="0"/>
      <w:jc w:val="both"/>
    </w:pPr>
    <w:rPr>
      <w:rFonts w:ascii="Calibri" w:hAnsi="Calibri" w:eastAsia="Calibri" w:cs="Times New Roman"/>
      <w:szCs w:val="24"/>
      <w:lang w:val="en-US" w:eastAsia="zh-CN" w:bidi="ar-SA"/>
    </w:rPr>
  </w:style>
  <w:style w:type="paragraph" w:customStyle="1" w:styleId="64">
    <w:name w:val="正文文本1"/>
    <w:basedOn w:val="63"/>
    <w:link w:val="65"/>
    <w:autoRedefine/>
    <w:qFormat/>
    <w:uiPriority w:val="0"/>
    <w:pPr>
      <w:spacing w:after="120"/>
    </w:pPr>
  </w:style>
  <w:style w:type="character" w:customStyle="1" w:styleId="65">
    <w:name w:val="正文文本 Char"/>
    <w:basedOn w:val="40"/>
    <w:link w:val="64"/>
    <w:autoRedefine/>
    <w:qFormat/>
    <w:uiPriority w:val="0"/>
    <w:rPr>
      <w:rFonts w:ascii="Calibri" w:hAnsi="Calibri" w:eastAsia="Calibri" w:cs="Times New Roman"/>
      <w:szCs w:val="24"/>
    </w:rPr>
  </w:style>
  <w:style w:type="character" w:customStyle="1" w:styleId="66">
    <w:name w:val="超链接1"/>
    <w:autoRedefine/>
    <w:qFormat/>
    <w:uiPriority w:val="0"/>
    <w:rPr>
      <w:rFonts w:ascii="Arial" w:hAnsi="Arial" w:eastAsia="黑体" w:cs="Times New Roman"/>
      <w:color w:val="0000FF"/>
      <w:kern w:val="2"/>
      <w:sz w:val="21"/>
      <w:szCs w:val="21"/>
      <w:u w:val="single"/>
      <w:lang w:val="en-US" w:eastAsia="zh-CN" w:bidi="ar-SA"/>
    </w:rPr>
  </w:style>
  <w:style w:type="paragraph" w:customStyle="1" w:styleId="67">
    <w:name w:val="Normal_1"/>
    <w:autoRedefine/>
    <w:qFormat/>
    <w:uiPriority w:val="0"/>
    <w:pPr>
      <w:widowControl w:val="0"/>
      <w:jc w:val="both"/>
    </w:pPr>
    <w:rPr>
      <w:rFonts w:ascii="Calibri" w:hAnsi="Calibri" w:eastAsia="Calibri" w:cs="Times New Roman"/>
      <w:szCs w:val="24"/>
      <w:lang w:val="en-US" w:eastAsia="zh-CN" w:bidi="ar-SA"/>
    </w:rPr>
  </w:style>
  <w:style w:type="paragraph" w:customStyle="1" w:styleId="68">
    <w:name w:val="Body Text_0"/>
    <w:basedOn w:val="67"/>
    <w:link w:val="69"/>
    <w:autoRedefine/>
    <w:qFormat/>
    <w:uiPriority w:val="0"/>
    <w:pPr>
      <w:spacing w:after="120"/>
    </w:pPr>
    <w:rPr>
      <w:rFonts w:ascii="Times New Roman" w:hAnsi="Times New Roman" w:eastAsia="宋体"/>
    </w:rPr>
  </w:style>
  <w:style w:type="character" w:customStyle="1" w:styleId="69">
    <w:name w:val="正文文本 Char_0"/>
    <w:basedOn w:val="40"/>
    <w:link w:val="68"/>
    <w:autoRedefine/>
    <w:qFormat/>
    <w:uiPriority w:val="0"/>
    <w:rPr>
      <w:rFonts w:ascii="Times New Roman" w:hAnsi="Times New Roman" w:eastAsia="宋体" w:cs="Times New Roman"/>
      <w:szCs w:val="24"/>
    </w:rPr>
  </w:style>
  <w:style w:type="paragraph" w:customStyle="1" w:styleId="70">
    <w:name w:val="Heading 2"/>
    <w:basedOn w:val="67"/>
    <w:next w:val="67"/>
    <w:link w:val="71"/>
    <w:autoRedefine/>
    <w:qFormat/>
    <w:uiPriority w:val="0"/>
    <w:pPr>
      <w:keepNext/>
      <w:keepLines/>
      <w:spacing w:before="260" w:after="260" w:line="416" w:lineRule="auto"/>
      <w:outlineLvl w:val="1"/>
    </w:pPr>
    <w:rPr>
      <w:rFonts w:ascii="Arial" w:hAnsi="Arial" w:eastAsia="黑体"/>
      <w:b/>
      <w:bCs/>
      <w:sz w:val="32"/>
      <w:szCs w:val="32"/>
    </w:rPr>
  </w:style>
  <w:style w:type="character" w:customStyle="1" w:styleId="71">
    <w:name w:val="标题 2 Char_0"/>
    <w:basedOn w:val="40"/>
    <w:link w:val="70"/>
    <w:autoRedefine/>
    <w:qFormat/>
    <w:uiPriority w:val="0"/>
    <w:rPr>
      <w:rFonts w:ascii="Arial" w:hAnsi="Arial" w:eastAsia="黑体" w:cs="Times New Roman"/>
      <w:b/>
      <w:bCs/>
      <w:sz w:val="32"/>
      <w:szCs w:val="32"/>
    </w:rPr>
  </w:style>
  <w:style w:type="paragraph" w:customStyle="1" w:styleId="72">
    <w:name w:val="Heading 4"/>
    <w:basedOn w:val="67"/>
    <w:next w:val="67"/>
    <w:link w:val="73"/>
    <w:autoRedefine/>
    <w:qFormat/>
    <w:uiPriority w:val="0"/>
    <w:pPr>
      <w:keepNext/>
      <w:keepLines/>
      <w:spacing w:before="280" w:after="290" w:line="376" w:lineRule="auto"/>
      <w:outlineLvl w:val="3"/>
    </w:pPr>
    <w:rPr>
      <w:rFonts w:ascii="Arial" w:hAnsi="Arial" w:eastAsia="黑体"/>
      <w:b/>
      <w:bCs/>
      <w:sz w:val="28"/>
      <w:szCs w:val="28"/>
    </w:rPr>
  </w:style>
  <w:style w:type="character" w:customStyle="1" w:styleId="73">
    <w:name w:val="标题 4 Char"/>
    <w:basedOn w:val="40"/>
    <w:link w:val="72"/>
    <w:autoRedefine/>
    <w:qFormat/>
    <w:uiPriority w:val="0"/>
    <w:rPr>
      <w:rFonts w:ascii="Arial" w:hAnsi="Arial" w:eastAsia="黑体" w:cs="Times New Roman"/>
      <w:b/>
      <w:bCs/>
      <w:sz w:val="28"/>
      <w:szCs w:val="28"/>
    </w:rPr>
  </w:style>
  <w:style w:type="paragraph" w:customStyle="1" w:styleId="74">
    <w:name w:val="正文文本缩进 21"/>
    <w:basedOn w:val="67"/>
    <w:link w:val="75"/>
    <w:autoRedefine/>
    <w:qFormat/>
    <w:uiPriority w:val="0"/>
    <w:pPr>
      <w:spacing w:after="120" w:line="480" w:lineRule="auto"/>
      <w:ind w:left="420" w:leftChars="200"/>
    </w:pPr>
    <w:rPr>
      <w:rFonts w:ascii="Times New Roman" w:hAnsi="Times New Roman" w:eastAsia="宋体"/>
    </w:rPr>
  </w:style>
  <w:style w:type="character" w:customStyle="1" w:styleId="75">
    <w:name w:val="正文文本缩进 2 Char"/>
    <w:basedOn w:val="40"/>
    <w:link w:val="74"/>
    <w:autoRedefine/>
    <w:qFormat/>
    <w:uiPriority w:val="0"/>
    <w:rPr>
      <w:rFonts w:ascii="Times New Roman" w:hAnsi="Times New Roman" w:eastAsia="宋体" w:cs="Times New Roman"/>
      <w:szCs w:val="24"/>
    </w:rPr>
  </w:style>
  <w:style w:type="paragraph" w:customStyle="1" w:styleId="76">
    <w:name w:val="Heading 3"/>
    <w:basedOn w:val="67"/>
    <w:next w:val="67"/>
    <w:link w:val="77"/>
    <w:autoRedefine/>
    <w:qFormat/>
    <w:uiPriority w:val="0"/>
    <w:pPr>
      <w:keepNext/>
      <w:keepLines/>
      <w:spacing w:before="120" w:after="120" w:line="400" w:lineRule="exact"/>
      <w:jc w:val="left"/>
      <w:outlineLvl w:val="2"/>
    </w:pPr>
    <w:rPr>
      <w:rFonts w:ascii="宋体" w:hAnsi="Times New Roman" w:eastAsia="宋体"/>
      <w:b/>
      <w:bCs/>
      <w:color w:val="FF0000"/>
      <w:sz w:val="24"/>
    </w:rPr>
  </w:style>
  <w:style w:type="character" w:customStyle="1" w:styleId="77">
    <w:name w:val="标题 3 Char"/>
    <w:basedOn w:val="40"/>
    <w:link w:val="76"/>
    <w:autoRedefine/>
    <w:qFormat/>
    <w:uiPriority w:val="0"/>
    <w:rPr>
      <w:rFonts w:ascii="宋体" w:hAnsi="Times New Roman" w:eastAsia="宋体" w:cs="Times New Roman"/>
      <w:b/>
      <w:bCs/>
      <w:color w:val="FF0000"/>
      <w:sz w:val="24"/>
      <w:szCs w:val="24"/>
    </w:rPr>
  </w:style>
  <w:style w:type="paragraph" w:customStyle="1" w:styleId="78">
    <w:name w:val="样式 标题 3 + (中文) 黑体 小四 非加粗 段前: 7.8 磅 段后: 0 磅 行距: 固定值 20 磅_0"/>
    <w:basedOn w:val="76"/>
    <w:autoRedefine/>
    <w:qFormat/>
    <w:uiPriority w:val="0"/>
    <w:pPr>
      <w:spacing w:before="0" w:after="0"/>
    </w:pPr>
    <w:rPr>
      <w:rFonts w:eastAsia="黑体" w:cs="宋体"/>
      <w:b w:val="0"/>
      <w:bCs w:val="0"/>
      <w:szCs w:val="20"/>
    </w:rPr>
  </w:style>
  <w:style w:type="paragraph" w:customStyle="1" w:styleId="79">
    <w:name w:val="Heading 1"/>
    <w:basedOn w:val="80"/>
    <w:next w:val="80"/>
    <w:link w:val="81"/>
    <w:autoRedefine/>
    <w:qFormat/>
    <w:uiPriority w:val="0"/>
    <w:pPr>
      <w:keepNext/>
      <w:keepLines/>
      <w:spacing w:before="340" w:after="330" w:line="578" w:lineRule="auto"/>
      <w:outlineLvl w:val="0"/>
    </w:pPr>
    <w:rPr>
      <w:b/>
      <w:bCs/>
      <w:kern w:val="44"/>
      <w:sz w:val="44"/>
      <w:szCs w:val="44"/>
    </w:rPr>
  </w:style>
  <w:style w:type="paragraph" w:customStyle="1" w:styleId="80">
    <w:name w:val="Normal_2"/>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81">
    <w:name w:val="标题 1 Char_0"/>
    <w:basedOn w:val="40"/>
    <w:link w:val="79"/>
    <w:autoRedefine/>
    <w:qFormat/>
    <w:uiPriority w:val="0"/>
    <w:rPr>
      <w:rFonts w:ascii="Times New Roman" w:hAnsi="Times New Roman" w:eastAsia="宋体" w:cs="Times New Roman"/>
      <w:b/>
      <w:bCs/>
      <w:kern w:val="44"/>
      <w:sz w:val="44"/>
      <w:szCs w:val="44"/>
    </w:rPr>
  </w:style>
  <w:style w:type="paragraph" w:customStyle="1" w:styleId="82">
    <w:name w:val="Body Text_1"/>
    <w:basedOn w:val="80"/>
    <w:link w:val="83"/>
    <w:autoRedefine/>
    <w:qFormat/>
    <w:uiPriority w:val="0"/>
    <w:pPr>
      <w:spacing w:after="120"/>
    </w:pPr>
  </w:style>
  <w:style w:type="character" w:customStyle="1" w:styleId="83">
    <w:name w:val="正文文本 Char_1"/>
    <w:basedOn w:val="40"/>
    <w:link w:val="82"/>
    <w:autoRedefine/>
    <w:qFormat/>
    <w:uiPriority w:val="0"/>
    <w:rPr>
      <w:rFonts w:ascii="Times New Roman" w:hAnsi="Times New Roman" w:eastAsia="宋体" w:cs="Times New Roman"/>
      <w:szCs w:val="24"/>
    </w:rPr>
  </w:style>
  <w:style w:type="paragraph" w:customStyle="1" w:styleId="84">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85">
    <w:name w:val="Normal_4"/>
    <w:autoRedefine/>
    <w:qFormat/>
    <w:uiPriority w:val="0"/>
    <w:rPr>
      <w:rFonts w:ascii="Times New Roman" w:hAnsi="Times New Roman" w:eastAsia="Times New Roman" w:cs="Times New Roman"/>
      <w:sz w:val="24"/>
      <w:szCs w:val="24"/>
      <w:lang w:val="en-US" w:eastAsia="zh-CN" w:bidi="ar-SA"/>
    </w:rPr>
  </w:style>
  <w:style w:type="paragraph" w:customStyle="1" w:styleId="86">
    <w:name w:val="Normal_5"/>
    <w:autoRedefine/>
    <w:qFormat/>
    <w:uiPriority w:val="0"/>
    <w:rPr>
      <w:rFonts w:ascii="Times New Roman" w:hAnsi="Times New Roman" w:eastAsia="Times New Roman" w:cs="Times New Roman"/>
      <w:sz w:val="24"/>
      <w:szCs w:val="24"/>
      <w:lang w:val="en-US" w:eastAsia="zh-CN" w:bidi="ar-SA"/>
    </w:rPr>
  </w:style>
  <w:style w:type="paragraph" w:customStyle="1" w:styleId="87">
    <w:name w:val="Normal_6"/>
    <w:autoRedefine/>
    <w:qFormat/>
    <w:uiPriority w:val="0"/>
    <w:rPr>
      <w:rFonts w:ascii="Times New Roman" w:hAnsi="Times New Roman" w:eastAsia="Times New Roman" w:cs="Times New Roman"/>
      <w:sz w:val="24"/>
      <w:szCs w:val="24"/>
      <w:lang w:val="en-US" w:eastAsia="zh-CN" w:bidi="ar-SA"/>
    </w:rPr>
  </w:style>
  <w:style w:type="paragraph" w:customStyle="1" w:styleId="88">
    <w:name w:val="Normal_7"/>
    <w:autoRedefine/>
    <w:qFormat/>
    <w:uiPriority w:val="0"/>
    <w:rPr>
      <w:rFonts w:ascii="Times New Roman" w:hAnsi="Times New Roman" w:eastAsia="Times New Roman" w:cs="Times New Roman"/>
      <w:sz w:val="24"/>
      <w:szCs w:val="24"/>
      <w:lang w:val="en-US" w:eastAsia="zh-CN" w:bidi="ar-SA"/>
    </w:rPr>
  </w:style>
  <w:style w:type="paragraph" w:customStyle="1" w:styleId="89">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Normal_0_0"/>
    <w:autoRedefine/>
    <w:qFormat/>
    <w:uiPriority w:val="0"/>
    <w:rPr>
      <w:rFonts w:ascii="Times New Roman" w:hAnsi="Times New Roman" w:eastAsia="Times New Roman" w:cs="Times New Roman"/>
      <w:sz w:val="24"/>
      <w:szCs w:val="24"/>
      <w:lang w:val="en-US" w:eastAsia="zh-CN" w:bidi="ar-SA"/>
    </w:rPr>
  </w:style>
  <w:style w:type="paragraph" w:customStyle="1" w:styleId="91">
    <w:name w:val="Heading 2_0"/>
    <w:basedOn w:val="92"/>
    <w:next w:val="92"/>
    <w:link w:val="93"/>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92">
    <w:name w:val="Normal_1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标题 2 Char_1"/>
    <w:link w:val="91"/>
    <w:autoRedefine/>
    <w:qFormat/>
    <w:uiPriority w:val="0"/>
    <w:rPr>
      <w:rFonts w:ascii="Arial" w:hAnsi="Arial" w:eastAsia="黑体"/>
      <w:b/>
      <w:bCs/>
      <w:kern w:val="2"/>
      <w:sz w:val="32"/>
      <w:szCs w:val="32"/>
    </w:rPr>
  </w:style>
  <w:style w:type="paragraph" w:customStyle="1" w:styleId="94">
    <w:name w:val="样式 标题 3 + (中文) 黑体 小四 非加粗 段前: 7.8 磅 段后: 0 磅 行距: 固定值 20 磅_1"/>
    <w:basedOn w:val="95"/>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95">
    <w:name w:val="Heading 3_0"/>
    <w:basedOn w:val="92"/>
    <w:next w:val="92"/>
    <w:link w:val="96"/>
    <w:autoRedefine/>
    <w:semiHidden/>
    <w:unhideWhenUsed/>
    <w:qFormat/>
    <w:uiPriority w:val="9"/>
    <w:pPr>
      <w:keepNext/>
      <w:keepLines/>
      <w:spacing w:before="260" w:after="260" w:line="416" w:lineRule="auto"/>
      <w:outlineLvl w:val="2"/>
    </w:pPr>
    <w:rPr>
      <w:b/>
      <w:bCs/>
      <w:sz w:val="32"/>
      <w:szCs w:val="32"/>
    </w:rPr>
  </w:style>
  <w:style w:type="character" w:customStyle="1" w:styleId="96">
    <w:name w:val="标题 3 Char_0"/>
    <w:link w:val="95"/>
    <w:autoRedefine/>
    <w:semiHidden/>
    <w:qFormat/>
    <w:uiPriority w:val="9"/>
    <w:rPr>
      <w:b/>
      <w:bCs/>
      <w:kern w:val="2"/>
      <w:sz w:val="32"/>
      <w:szCs w:val="32"/>
    </w:rPr>
  </w:style>
  <w:style w:type="paragraph" w:customStyle="1" w:styleId="97">
    <w:name w:val="Normal_2_0"/>
    <w:autoRedefine/>
    <w:qFormat/>
    <w:uiPriority w:val="0"/>
    <w:rPr>
      <w:rFonts w:ascii="Times New Roman" w:hAnsi="Times New Roman" w:eastAsia="Times New Roman" w:cs="Times New Roman"/>
      <w:sz w:val="24"/>
      <w:szCs w:val="24"/>
      <w:lang w:val="en-US" w:eastAsia="zh-CN" w:bidi="ar-SA"/>
    </w:rPr>
  </w:style>
  <w:style w:type="paragraph" w:customStyle="1" w:styleId="98">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Normal_3_0"/>
    <w:autoRedefine/>
    <w:qFormat/>
    <w:uiPriority w:val="0"/>
    <w:rPr>
      <w:rFonts w:ascii="Times New Roman" w:hAnsi="Times New Roman" w:eastAsia="Times New Roman" w:cs="Times New Roman"/>
      <w:sz w:val="24"/>
      <w:szCs w:val="24"/>
      <w:lang w:val="en-US" w:eastAsia="zh-CN" w:bidi="ar-SA"/>
    </w:rPr>
  </w:style>
  <w:style w:type="paragraph" w:customStyle="1" w:styleId="100">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Normal_4_0"/>
    <w:autoRedefine/>
    <w:qFormat/>
    <w:uiPriority w:val="0"/>
    <w:rPr>
      <w:rFonts w:ascii="Times New Roman" w:hAnsi="Times New Roman" w:eastAsia="Times New Roman" w:cs="Times New Roman"/>
      <w:sz w:val="24"/>
      <w:szCs w:val="24"/>
      <w:lang w:val="en-US" w:eastAsia="zh-CN" w:bidi="ar-SA"/>
    </w:rPr>
  </w:style>
  <w:style w:type="paragraph" w:customStyle="1" w:styleId="10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5_0"/>
    <w:autoRedefine/>
    <w:qFormat/>
    <w:uiPriority w:val="0"/>
    <w:rPr>
      <w:rFonts w:ascii="Times New Roman" w:hAnsi="Times New Roman" w:eastAsia="Times New Roman" w:cs="Times New Roman"/>
      <w:sz w:val="24"/>
      <w:szCs w:val="24"/>
      <w:lang w:val="en-US" w:eastAsia="zh-CN" w:bidi="ar-SA"/>
    </w:rPr>
  </w:style>
  <w:style w:type="paragraph" w:customStyle="1" w:styleId="104">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样式 标题 3 + (中文) 黑体 小四 非加粗 段前: 7.8 磅 段后: 0 磅 行距: 固定值 20 磅_0_0"/>
    <w:basedOn w:val="106"/>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106">
    <w:name w:val="标题 3_0"/>
    <w:basedOn w:val="104"/>
    <w:next w:val="104"/>
    <w:link w:val="107"/>
    <w:autoRedefine/>
    <w:semiHidden/>
    <w:unhideWhenUsed/>
    <w:qFormat/>
    <w:uiPriority w:val="9"/>
    <w:pPr>
      <w:keepNext/>
      <w:keepLines/>
      <w:spacing w:before="260" w:after="260" w:line="416" w:lineRule="auto"/>
      <w:outlineLvl w:val="2"/>
    </w:pPr>
    <w:rPr>
      <w:b/>
      <w:bCs/>
      <w:sz w:val="32"/>
      <w:szCs w:val="32"/>
    </w:rPr>
  </w:style>
  <w:style w:type="character" w:customStyle="1" w:styleId="107">
    <w:name w:val="标题 3 Char_0_0"/>
    <w:link w:val="106"/>
    <w:autoRedefine/>
    <w:semiHidden/>
    <w:qFormat/>
    <w:uiPriority w:val="9"/>
    <w:rPr>
      <w:b/>
      <w:bCs/>
      <w:kern w:val="2"/>
      <w:sz w:val="32"/>
      <w:szCs w:val="32"/>
    </w:rPr>
  </w:style>
  <w:style w:type="paragraph" w:customStyle="1" w:styleId="108">
    <w:name w:val="Normal_6_0"/>
    <w:autoRedefine/>
    <w:qFormat/>
    <w:uiPriority w:val="0"/>
    <w:rPr>
      <w:rFonts w:ascii="Times New Roman" w:hAnsi="Times New Roman" w:eastAsia="Times New Roman" w:cs="Times New Roman"/>
      <w:sz w:val="24"/>
      <w:szCs w:val="24"/>
      <w:lang w:val="en-US" w:eastAsia="zh-CN" w:bidi="ar-SA"/>
    </w:rPr>
  </w:style>
  <w:style w:type="paragraph" w:customStyle="1" w:styleId="109">
    <w:name w:val="Normal_7_0"/>
    <w:autoRedefine/>
    <w:qFormat/>
    <w:uiPriority w:val="0"/>
    <w:rPr>
      <w:rFonts w:ascii="Times New Roman" w:hAnsi="Times New Roman" w:eastAsia="Times New Roman" w:cs="Times New Roman"/>
      <w:sz w:val="24"/>
      <w:szCs w:val="24"/>
      <w:lang w:val="en-US" w:eastAsia="zh-CN" w:bidi="ar-SA"/>
    </w:rPr>
  </w:style>
  <w:style w:type="paragraph" w:customStyle="1" w:styleId="11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23"/>
    <w:autoRedefine/>
    <w:qFormat/>
    <w:uiPriority w:val="0"/>
    <w:rPr>
      <w:rFonts w:ascii="Times New Roman" w:hAnsi="Times New Roman" w:eastAsia="Times New Roman" w:cs="Times New Roman"/>
      <w:sz w:val="24"/>
      <w:szCs w:val="24"/>
      <w:lang w:val="en-US" w:eastAsia="zh-CN" w:bidi="ar-SA"/>
    </w:rPr>
  </w:style>
  <w:style w:type="paragraph" w:customStyle="1" w:styleId="112">
    <w:name w:val="Normal_8"/>
    <w:autoRedefine/>
    <w:qFormat/>
    <w:uiPriority w:val="0"/>
    <w:rPr>
      <w:rFonts w:ascii="Times New Roman" w:hAnsi="Times New Roman" w:eastAsia="Times New Roman" w:cs="Times New Roman"/>
      <w:sz w:val="24"/>
      <w:szCs w:val="24"/>
      <w:lang w:val="en-US" w:eastAsia="zh-CN" w:bidi="ar-SA"/>
    </w:rPr>
  </w:style>
  <w:style w:type="paragraph" w:customStyle="1" w:styleId="113">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Normal_9"/>
    <w:autoRedefine/>
    <w:qFormat/>
    <w:uiPriority w:val="0"/>
    <w:rPr>
      <w:rFonts w:ascii="Times New Roman" w:hAnsi="Times New Roman" w:eastAsia="Times New Roman" w:cs="Times New Roman"/>
      <w:sz w:val="24"/>
      <w:szCs w:val="24"/>
      <w:lang w:val="en-US" w:eastAsia="zh-CN" w:bidi="ar-SA"/>
    </w:rPr>
  </w:style>
  <w:style w:type="paragraph" w:customStyle="1" w:styleId="115">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Normal_10"/>
    <w:autoRedefine/>
    <w:qFormat/>
    <w:uiPriority w:val="0"/>
    <w:rPr>
      <w:rFonts w:ascii="Times New Roman" w:hAnsi="Times New Roman" w:eastAsia="Times New Roman" w:cs="Times New Roman"/>
      <w:sz w:val="24"/>
      <w:szCs w:val="24"/>
      <w:lang w:val="en-US" w:eastAsia="zh-CN" w:bidi="ar-SA"/>
    </w:rPr>
  </w:style>
  <w:style w:type="paragraph" w:customStyle="1" w:styleId="117">
    <w:name w:val="Normal_11"/>
    <w:autoRedefine/>
    <w:qFormat/>
    <w:uiPriority w:val="0"/>
    <w:rPr>
      <w:rFonts w:ascii="Times New Roman" w:hAnsi="Times New Roman" w:eastAsia="Times New Roman" w:cs="Times New Roman"/>
      <w:sz w:val="24"/>
      <w:szCs w:val="24"/>
      <w:lang w:val="en-US" w:eastAsia="zh-CN" w:bidi="ar-SA"/>
    </w:rPr>
  </w:style>
  <w:style w:type="paragraph" w:customStyle="1" w:styleId="118">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2"/>
    <w:autoRedefine/>
    <w:qFormat/>
    <w:uiPriority w:val="0"/>
    <w:rPr>
      <w:rFonts w:ascii="Times New Roman" w:hAnsi="Times New Roman" w:eastAsia="Times New Roman" w:cs="Times New Roman"/>
      <w:sz w:val="24"/>
      <w:szCs w:val="24"/>
      <w:lang w:val="en-US" w:eastAsia="zh-CN" w:bidi="ar-SA"/>
    </w:rPr>
  </w:style>
  <w:style w:type="paragraph" w:customStyle="1" w:styleId="12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Normal_13"/>
    <w:autoRedefine/>
    <w:qFormat/>
    <w:uiPriority w:val="0"/>
    <w:rPr>
      <w:rFonts w:ascii="Times New Roman" w:hAnsi="Times New Roman" w:eastAsia="Times New Roman" w:cs="Times New Roman"/>
      <w:sz w:val="24"/>
      <w:szCs w:val="24"/>
      <w:lang w:val="en-US" w:eastAsia="zh-CN" w:bidi="ar-SA"/>
    </w:rPr>
  </w:style>
  <w:style w:type="paragraph" w:customStyle="1" w:styleId="122">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14"/>
    <w:autoRedefine/>
    <w:qFormat/>
    <w:uiPriority w:val="0"/>
    <w:rPr>
      <w:rFonts w:ascii="Times New Roman" w:hAnsi="Times New Roman" w:eastAsia="Times New Roman" w:cs="Times New Roman"/>
      <w:sz w:val="24"/>
      <w:szCs w:val="24"/>
      <w:lang w:val="en-US" w:eastAsia="zh-CN" w:bidi="ar-SA"/>
    </w:rPr>
  </w:style>
  <w:style w:type="paragraph" w:customStyle="1" w:styleId="124">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Normal_16"/>
    <w:autoRedefine/>
    <w:qFormat/>
    <w:uiPriority w:val="0"/>
    <w:rPr>
      <w:rFonts w:ascii="Times New Roman" w:hAnsi="Times New Roman" w:eastAsia="Times New Roman" w:cs="Times New Roman"/>
      <w:sz w:val="24"/>
      <w:szCs w:val="24"/>
      <w:lang w:val="en-US" w:eastAsia="zh-CN" w:bidi="ar-SA"/>
    </w:rPr>
  </w:style>
  <w:style w:type="paragraph" w:customStyle="1" w:styleId="126">
    <w:name w:val="Normal_1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128">
    <w:name w:val="样式 标题 2 + Times New Roman 四号 非加粗 段前: 5 磅 段后: 0 磅 行距: 固定值 20..._0"/>
    <w:basedOn w:val="129"/>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29">
    <w:name w:val="标题 2_0"/>
    <w:basedOn w:val="130"/>
    <w:next w:val="130"/>
    <w:link w:val="131"/>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customStyle="1" w:styleId="130">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1">
    <w:name w:val="标题 2 Char_0_0"/>
    <w:link w:val="129"/>
    <w:autoRedefine/>
    <w:semiHidden/>
    <w:qFormat/>
    <w:uiPriority w:val="9"/>
    <w:rPr>
      <w:rFonts w:ascii="Cambria" w:hAnsi="Cambria" w:eastAsia="宋体" w:cs="Times New Roman"/>
      <w:b/>
      <w:bCs/>
      <w:sz w:val="32"/>
      <w:szCs w:val="32"/>
    </w:rPr>
  </w:style>
  <w:style w:type="paragraph" w:customStyle="1" w:styleId="132">
    <w:name w:val="Normal_19"/>
    <w:autoRedefine/>
    <w:qFormat/>
    <w:uiPriority w:val="0"/>
    <w:rPr>
      <w:rFonts w:ascii="Times New Roman" w:hAnsi="Times New Roman" w:eastAsia="Times New Roman" w:cs="Times New Roman"/>
      <w:sz w:val="24"/>
      <w:szCs w:val="24"/>
      <w:lang w:val="en-US" w:eastAsia="zh-CN" w:bidi="ar-SA"/>
    </w:rPr>
  </w:style>
  <w:style w:type="paragraph" w:customStyle="1" w:styleId="133">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
    <w:name w:val="Normal_20"/>
    <w:autoRedefine/>
    <w:qFormat/>
    <w:uiPriority w:val="0"/>
    <w:rPr>
      <w:rFonts w:ascii="Times New Roman" w:hAnsi="Times New Roman" w:eastAsia="Times New Roman" w:cs="Times New Roman"/>
      <w:sz w:val="24"/>
      <w:szCs w:val="24"/>
      <w:lang w:val="en-US" w:eastAsia="zh-CN" w:bidi="ar-SA"/>
    </w:rPr>
  </w:style>
  <w:style w:type="paragraph" w:customStyle="1" w:styleId="135">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Normal_21"/>
    <w:autoRedefine/>
    <w:qFormat/>
    <w:uiPriority w:val="0"/>
    <w:rPr>
      <w:rFonts w:ascii="Times New Roman" w:hAnsi="Times New Roman" w:eastAsia="Times New Roman" w:cs="Times New Roman"/>
      <w:sz w:val="24"/>
      <w:szCs w:val="24"/>
      <w:lang w:val="en-US" w:eastAsia="zh-CN" w:bidi="ar-SA"/>
    </w:rPr>
  </w:style>
  <w:style w:type="paragraph" w:customStyle="1" w:styleId="137">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38">
    <w:name w:val="Normal_24"/>
    <w:autoRedefine/>
    <w:qFormat/>
    <w:uiPriority w:val="0"/>
    <w:rPr>
      <w:rFonts w:ascii="Times New Roman" w:hAnsi="Times New Roman" w:eastAsia="Times New Roman" w:cs="Times New Roman"/>
      <w:sz w:val="24"/>
      <w:szCs w:val="24"/>
      <w:lang w:val="en-US" w:eastAsia="zh-CN" w:bidi="ar-SA"/>
    </w:rPr>
  </w:style>
  <w:style w:type="paragraph" w:customStyle="1" w:styleId="139">
    <w:name w:val="Table Text"/>
    <w:basedOn w:val="1"/>
    <w:autoRedefine/>
    <w:semiHidden/>
    <w:qFormat/>
    <w:uiPriority w:val="0"/>
    <w:rPr>
      <w:rFonts w:ascii="宋体" w:hAnsi="宋体" w:cs="宋体"/>
      <w:szCs w:val="21"/>
      <w:lang w:eastAsia="en-US"/>
    </w:rPr>
  </w:style>
  <w:style w:type="table" w:customStyle="1" w:styleId="140">
    <w:name w:val="Table Normal"/>
    <w:autoRedefine/>
    <w:semiHidden/>
    <w:unhideWhenUsed/>
    <w:qFormat/>
    <w:uiPriority w:val="0"/>
    <w:tblPr>
      <w:tblCellMar>
        <w:top w:w="0" w:type="dxa"/>
        <w:left w:w="0" w:type="dxa"/>
        <w:bottom w:w="0" w:type="dxa"/>
        <w:right w:w="0" w:type="dxa"/>
      </w:tblCellMar>
    </w:tblPr>
  </w:style>
  <w:style w:type="paragraph" w:customStyle="1" w:styleId="1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2">
    <w:name w:val="List Paragraph"/>
    <w:basedOn w:val="1"/>
    <w:autoRedefine/>
    <w:qFormat/>
    <w:uiPriority w:val="34"/>
    <w:pPr>
      <w:ind w:firstLine="420" w:firstLineChars="200"/>
    </w:pPr>
  </w:style>
  <w:style w:type="paragraph" w:customStyle="1" w:styleId="143">
    <w:name w:val="Body text|1"/>
    <w:basedOn w:val="1"/>
    <w:autoRedefine/>
    <w:qFormat/>
    <w:uiPriority w:val="0"/>
    <w:pPr>
      <w:spacing w:line="343" w:lineRule="auto"/>
      <w:ind w:firstLine="400"/>
    </w:pPr>
    <w:rPr>
      <w:rFonts w:ascii="宋体" w:hAnsi="宋体" w:cs="宋体"/>
      <w:sz w:val="20"/>
      <w:szCs w:val="20"/>
      <w:lang w:val="zh-TW" w:eastAsia="zh-TW" w:bidi="zh-TW"/>
    </w:rPr>
  </w:style>
  <w:style w:type="paragraph" w:customStyle="1" w:styleId="144">
    <w:name w:val="Footer_0"/>
    <w:basedOn w:val="67"/>
    <w:autoRedefine/>
    <w:unhideWhenUsed/>
    <w:qFormat/>
    <w:uiPriority w:val="99"/>
    <w:pPr>
      <w:tabs>
        <w:tab w:val="center" w:pos="4153"/>
        <w:tab w:val="right" w:pos="8306"/>
      </w:tabs>
      <w:snapToGrid w:val="0"/>
      <w:jc w:val="left"/>
    </w:pPr>
    <w:rPr>
      <w:sz w:val="18"/>
      <w:szCs w:val="18"/>
    </w:rPr>
  </w:style>
  <w:style w:type="paragraph" w:customStyle="1" w:styleId="145">
    <w:name w:val="p0"/>
    <w:basedOn w:val="1"/>
    <w:autoRedefine/>
    <w:qFormat/>
    <w:uiPriority w:val="0"/>
    <w:pPr>
      <w:widowControl/>
    </w:pPr>
    <w:rPr>
      <w:szCs w:val="21"/>
    </w:rPr>
  </w:style>
  <w:style w:type="paragraph" w:customStyle="1" w:styleId="146">
    <w:name w:val="(1)"/>
    <w:basedOn w:val="1"/>
    <w:next w:val="1"/>
    <w:autoRedefine/>
    <w:qFormat/>
    <w:uiPriority w:val="0"/>
    <w:pPr>
      <w:tabs>
        <w:tab w:val="left" w:pos="780"/>
      </w:tabs>
      <w:ind w:left="780" w:leftChars="200" w:hanging="360" w:hanging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BE039E-D1D0-43E3-85E8-23C4314C79F0}">
  <ds:schemaRefs/>
</ds:datastoreItem>
</file>

<file path=docProps/app.xml><?xml version="1.0" encoding="utf-8"?>
<Properties xmlns="http://schemas.openxmlformats.org/officeDocument/2006/extended-properties" xmlns:vt="http://schemas.openxmlformats.org/officeDocument/2006/docPropsVTypes">
  <Template>Normal</Template>
  <Company>安徽安兆工程技术咨询服务中心</Company>
  <Pages>160</Pages>
  <Words>16165</Words>
  <Characters>92143</Characters>
  <Lines>767</Lines>
  <Paragraphs>216</Paragraphs>
  <TotalTime>1</TotalTime>
  <ScaleCrop>false</ScaleCrop>
  <LinksUpToDate>false</LinksUpToDate>
  <CharactersWithSpaces>108092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2023-09-26T05:49:00Z</dcterms:created>
  <dc:creator>j</dc:creator>
  <cp:lastModifiedBy>WPS_1700618138</cp:lastModifiedBy>
  <cp:lastPrinted>2113-01-01T00:00:00Z</cp:lastPrinted>
  <dcterms:modified xsi:type="dcterms:W3CDTF">2024-04-17T01:08:19Z</dcterms:modified>
  <dc:title>水利水电工程标准施工招标文件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FFF460A24CDF4030ADA920A20D3E2B93_13</vt:lpwstr>
  </property>
</Properties>
</file>