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highlight w:val="none"/>
        </w:rPr>
      </w:pPr>
      <w:bookmarkStart w:id="0" w:name="EB6b76363171624fdb85a678cc78a350d3"/>
      <w:bookmarkEnd w:id="0"/>
      <w:bookmarkStart w:id="1" w:name="EB6eb5aff867f840fba3e2b725f87e3bab"/>
      <w:bookmarkEnd w:id="1"/>
    </w:p>
    <w:p>
      <w:pPr>
        <w:spacing w:line="400" w:lineRule="exact"/>
        <w:jc w:val="center"/>
        <w:rPr>
          <w:rFonts w:ascii="黑体" w:eastAsia="黑体"/>
          <w:color w:val="000000"/>
          <w:sz w:val="27"/>
          <w:szCs w:val="27"/>
          <w:highlight w:val="none"/>
          <w:u w:val="single"/>
        </w:rPr>
      </w:pPr>
    </w:p>
    <w:p>
      <w:pPr>
        <w:spacing w:line="400" w:lineRule="exact"/>
        <w:jc w:val="center"/>
        <w:rPr>
          <w:rFonts w:ascii="黑体" w:eastAsia="黑体"/>
          <w:color w:val="000000"/>
          <w:sz w:val="27"/>
          <w:szCs w:val="27"/>
          <w:highlight w:val="none"/>
          <w:u w:val="single"/>
        </w:rPr>
      </w:pPr>
    </w:p>
    <w:p>
      <w:pPr>
        <w:spacing w:line="400" w:lineRule="exact"/>
        <w:jc w:val="center"/>
        <w:rPr>
          <w:rFonts w:ascii="黑体" w:eastAsia="黑体"/>
          <w:sz w:val="27"/>
          <w:szCs w:val="27"/>
          <w:highlight w:val="none"/>
          <w:u w:val="single"/>
        </w:rPr>
      </w:pPr>
    </w:p>
    <w:p>
      <w:pPr>
        <w:spacing w:line="400" w:lineRule="exact"/>
        <w:jc w:val="center"/>
        <w:rPr>
          <w:rFonts w:ascii="黑体" w:eastAsia="黑体"/>
          <w:sz w:val="27"/>
          <w:szCs w:val="27"/>
          <w:highlight w:val="none"/>
        </w:rPr>
      </w:pPr>
      <w:r>
        <w:rPr>
          <w:rFonts w:hint="eastAsia" w:ascii="黑体" w:eastAsia="黑体"/>
          <w:sz w:val="27"/>
          <w:szCs w:val="27"/>
          <w:highlight w:val="none"/>
        </w:rPr>
        <w:t>盖州市2024年大中型水库移民后期扶持规划项目（</w:t>
      </w:r>
      <w:r>
        <w:rPr>
          <w:rFonts w:hint="eastAsia" w:ascii="仿宋_GB2312" w:eastAsia="仿宋_GB2312"/>
          <w:sz w:val="27"/>
          <w:szCs w:val="27"/>
          <w:highlight w:val="none"/>
        </w:rPr>
        <w:t>项目名称</w:t>
      </w:r>
      <w:r>
        <w:rPr>
          <w:rFonts w:hint="eastAsia" w:ascii="黑体" w:eastAsia="黑体"/>
          <w:sz w:val="27"/>
          <w:szCs w:val="27"/>
          <w:highlight w:val="none"/>
        </w:rPr>
        <w:t>）</w:t>
      </w:r>
    </w:p>
    <w:p>
      <w:pPr>
        <w:spacing w:line="400" w:lineRule="exact"/>
        <w:jc w:val="center"/>
        <w:rPr>
          <w:rFonts w:ascii="黑体" w:eastAsia="黑体"/>
          <w:sz w:val="27"/>
          <w:szCs w:val="27"/>
          <w:highlight w:val="none"/>
        </w:rPr>
      </w:pPr>
      <w:r>
        <w:rPr>
          <w:rFonts w:hint="eastAsia" w:ascii="黑体" w:eastAsia="黑体"/>
          <w:sz w:val="27"/>
          <w:szCs w:val="27"/>
          <w:highlight w:val="none"/>
        </w:rPr>
        <w:t>盖州市2024年大中型水库移民后期扶持规划项目（水利工程）施工</w:t>
      </w:r>
      <w:r>
        <w:rPr>
          <w:rFonts w:hint="eastAsia" w:ascii="黑体" w:eastAsia="黑体"/>
          <w:sz w:val="27"/>
          <w:szCs w:val="27"/>
          <w:highlight w:val="none"/>
          <w:lang w:eastAsia="zh-CN"/>
        </w:rPr>
        <w:t>四</w:t>
      </w:r>
      <w:r>
        <w:rPr>
          <w:rFonts w:hint="eastAsia" w:ascii="黑体" w:eastAsia="黑体"/>
          <w:sz w:val="27"/>
          <w:szCs w:val="27"/>
          <w:highlight w:val="none"/>
        </w:rPr>
        <w:t>标段（</w:t>
      </w:r>
      <w:r>
        <w:rPr>
          <w:rFonts w:hint="eastAsia" w:ascii="仿宋_GB2312" w:eastAsia="仿宋_GB2312"/>
          <w:sz w:val="27"/>
          <w:szCs w:val="27"/>
          <w:highlight w:val="none"/>
        </w:rPr>
        <w:t>标段名称</w:t>
      </w:r>
      <w:r>
        <w:rPr>
          <w:rFonts w:hint="eastAsia" w:ascii="黑体" w:eastAsia="黑体"/>
          <w:sz w:val="27"/>
          <w:szCs w:val="27"/>
          <w:highlight w:val="none"/>
        </w:rPr>
        <w:t xml:space="preserve">） </w:t>
      </w:r>
    </w:p>
    <w:p>
      <w:pPr>
        <w:spacing w:line="400" w:lineRule="exact"/>
        <w:rPr>
          <w:sz w:val="27"/>
          <w:szCs w:val="27"/>
          <w:highlight w:val="none"/>
        </w:rPr>
      </w:pPr>
    </w:p>
    <w:p>
      <w:pPr>
        <w:spacing w:line="400" w:lineRule="exact"/>
        <w:rPr>
          <w:sz w:val="27"/>
          <w:szCs w:val="27"/>
          <w:highlight w:val="none"/>
        </w:rPr>
      </w:pPr>
    </w:p>
    <w:p>
      <w:pPr>
        <w:spacing w:line="400" w:lineRule="exact"/>
        <w:jc w:val="center"/>
        <w:rPr>
          <w:rFonts w:ascii="黑体" w:eastAsia="黑体"/>
          <w:sz w:val="42"/>
          <w:szCs w:val="42"/>
          <w:highlight w:val="none"/>
        </w:rPr>
      </w:pPr>
      <w:r>
        <w:rPr>
          <w:rFonts w:hint="eastAsia" w:ascii="黑体" w:eastAsia="黑体"/>
          <w:sz w:val="42"/>
          <w:szCs w:val="42"/>
          <w:highlight w:val="none"/>
        </w:rPr>
        <w:t>招 标 文 件</w:t>
      </w:r>
    </w:p>
    <w:p>
      <w:pPr>
        <w:spacing w:line="400" w:lineRule="exact"/>
        <w:rPr>
          <w:sz w:val="20"/>
          <w:szCs w:val="20"/>
          <w:highlight w:val="none"/>
        </w:rPr>
      </w:pPr>
    </w:p>
    <w:p>
      <w:pPr>
        <w:spacing w:line="400" w:lineRule="exact"/>
        <w:jc w:val="center"/>
        <w:rPr>
          <w:rFonts w:ascii="黑体" w:eastAsia="黑体"/>
          <w:sz w:val="27"/>
          <w:szCs w:val="27"/>
          <w:highlight w:val="none"/>
        </w:rPr>
      </w:pPr>
      <w:r>
        <w:rPr>
          <w:rFonts w:hint="eastAsia" w:ascii="黑体" w:eastAsia="黑体"/>
          <w:sz w:val="27"/>
          <w:szCs w:val="27"/>
          <w:highlight w:val="none"/>
        </w:rPr>
        <w:t>(合同编号:</w:t>
      </w:r>
      <w:r>
        <w:rPr>
          <w:rFonts w:hint="eastAsia" w:ascii="黑体" w:eastAsia="黑体"/>
          <w:sz w:val="27"/>
          <w:szCs w:val="27"/>
          <w:highlight w:val="none"/>
          <w:lang w:val="en-US" w:eastAsia="zh-CN"/>
        </w:rPr>
        <w:t xml:space="preserve">                    </w:t>
      </w:r>
      <w:r>
        <w:rPr>
          <w:rFonts w:hint="eastAsia" w:ascii="黑体" w:eastAsia="黑体"/>
          <w:sz w:val="27"/>
          <w:szCs w:val="27"/>
          <w:highlight w:val="none"/>
        </w:rPr>
        <w:t>)</w:t>
      </w: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r>
        <w:rPr>
          <w:sz w:val="20"/>
          <w:szCs w:val="20"/>
          <w:highlight w:val="none"/>
        </w:rPr>
        <w:t xml:space="preserve"> </w:t>
      </w: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jc w:val="center"/>
        <w:rPr>
          <w:rFonts w:ascii="黑体" w:eastAsia="黑体"/>
          <w:sz w:val="27"/>
          <w:szCs w:val="27"/>
          <w:highlight w:val="none"/>
        </w:rPr>
      </w:pPr>
      <w:r>
        <w:rPr>
          <w:rFonts w:hint="eastAsia" w:ascii="黑体" w:eastAsia="黑体"/>
          <w:sz w:val="27"/>
          <w:szCs w:val="27"/>
          <w:highlight w:val="none"/>
        </w:rPr>
        <w:t>招标人：盖州市水利事务中心（盖单位章）</w:t>
      </w:r>
    </w:p>
    <w:p>
      <w:pPr>
        <w:spacing w:line="400" w:lineRule="exact"/>
        <w:jc w:val="center"/>
        <w:rPr>
          <w:rFonts w:ascii="黑体" w:eastAsia="黑体"/>
          <w:sz w:val="27"/>
          <w:szCs w:val="27"/>
          <w:highlight w:val="none"/>
        </w:rPr>
      </w:pPr>
      <w:r>
        <w:rPr>
          <w:rFonts w:hint="eastAsia" w:ascii="黑体" w:eastAsia="黑体"/>
          <w:sz w:val="27"/>
          <w:szCs w:val="27"/>
          <w:highlight w:val="none"/>
        </w:rPr>
        <w:t>2024年</w:t>
      </w:r>
      <w:r>
        <w:rPr>
          <w:rFonts w:hint="eastAsia" w:ascii="黑体" w:eastAsia="黑体"/>
          <w:sz w:val="27"/>
          <w:szCs w:val="27"/>
          <w:highlight w:val="none"/>
          <w:lang w:val="en-US" w:eastAsia="zh-CN"/>
        </w:rPr>
        <w:t>4</w:t>
      </w:r>
      <w:r>
        <w:rPr>
          <w:rFonts w:hint="eastAsia" w:ascii="黑体" w:eastAsia="黑体"/>
          <w:sz w:val="27"/>
          <w:szCs w:val="27"/>
          <w:highlight w:val="none"/>
        </w:rPr>
        <w:t>月</w:t>
      </w:r>
      <w:r>
        <w:rPr>
          <w:rFonts w:hint="eastAsia" w:ascii="黑体" w:eastAsia="黑体"/>
          <w:sz w:val="27"/>
          <w:szCs w:val="27"/>
          <w:highlight w:val="none"/>
          <w:lang w:val="en-US" w:eastAsia="zh-CN"/>
        </w:rPr>
        <w:t>16</w:t>
      </w:r>
      <w:r>
        <w:rPr>
          <w:rFonts w:hint="eastAsia" w:ascii="黑体" w:eastAsia="黑体"/>
          <w:sz w:val="27"/>
          <w:szCs w:val="27"/>
          <w:highlight w:val="none"/>
        </w:rPr>
        <w:t>日</w:t>
      </w:r>
    </w:p>
    <w:p>
      <w:pPr>
        <w:spacing w:line="400" w:lineRule="exact"/>
        <w:ind w:firstLine="2025" w:firstLineChars="750"/>
        <w:rPr>
          <w:rFonts w:ascii="黑体" w:eastAsia="黑体"/>
          <w:color w:val="000000"/>
          <w:sz w:val="27"/>
          <w:szCs w:val="27"/>
          <w:highlight w:val="none"/>
        </w:rPr>
      </w:pPr>
    </w:p>
    <w:p>
      <w:pPr>
        <w:spacing w:line="400" w:lineRule="exact"/>
        <w:ind w:firstLine="2025" w:firstLineChars="750"/>
        <w:rPr>
          <w:rFonts w:ascii="黑体" w:eastAsia="黑体"/>
          <w:color w:val="000000"/>
          <w:sz w:val="27"/>
          <w:szCs w:val="27"/>
          <w:highlight w:val="none"/>
        </w:rPr>
      </w:pPr>
    </w:p>
    <w:p>
      <w:pPr>
        <w:pStyle w:val="26"/>
        <w:tabs>
          <w:tab w:val="left" w:pos="3990"/>
          <w:tab w:val="center" w:pos="4535"/>
        </w:tabs>
        <w:spacing w:line="400" w:lineRule="exact"/>
        <w:rPr>
          <w:color w:val="000000"/>
          <w:sz w:val="23"/>
          <w:szCs w:val="23"/>
          <w:highlight w:val="none"/>
        </w:rPr>
      </w:pPr>
      <w:r>
        <w:rPr>
          <w:color w:val="000000"/>
          <w:sz w:val="23"/>
          <w:szCs w:val="23"/>
          <w:highlight w:val="none"/>
        </w:rPr>
        <w:tab/>
      </w:r>
    </w:p>
    <w:p>
      <w:pPr>
        <w:rPr>
          <w:highlight w:val="none"/>
        </w:rPr>
      </w:pPr>
      <w:bookmarkStart w:id="2" w:name="EB2deba7ff2b58457faaf5bdb472763dc0"/>
      <w:bookmarkEnd w:id="2"/>
    </w:p>
    <w:p>
      <w:pPr>
        <w:pStyle w:val="3"/>
        <w:spacing w:before="120" w:after="120" w:line="400" w:lineRule="exact"/>
        <w:jc w:val="center"/>
        <w:rPr>
          <w:highlight w:val="none"/>
        </w:rPr>
      </w:pPr>
      <w:r>
        <w:rPr>
          <w:highlight w:val="none"/>
        </w:rPr>
        <w:br w:type="page"/>
      </w:r>
      <w:bookmarkStart w:id="3" w:name="_Toc20022"/>
      <w:r>
        <w:rPr>
          <w:rFonts w:hint="eastAsia" w:ascii="黑体" w:hAnsi="黑体" w:eastAsia="黑体"/>
          <w:b w:val="0"/>
          <w:bCs w:val="0"/>
          <w:color w:val="000000"/>
          <w:sz w:val="31"/>
          <w:szCs w:val="31"/>
          <w:highlight w:val="none"/>
        </w:rPr>
        <w:t>目录</w:t>
      </w:r>
      <w:bookmarkEnd w:id="3"/>
    </w:p>
    <w:p>
      <w:pPr>
        <w:pStyle w:val="26"/>
        <w:tabs>
          <w:tab w:val="right" w:leader="dot" w:pos="8382"/>
        </w:tabs>
      </w:pPr>
      <w:r>
        <w:rPr>
          <w:highlight w:val="none"/>
        </w:rPr>
        <w:fldChar w:fldCharType="begin"/>
      </w:r>
      <w:r>
        <w:rPr>
          <w:highlight w:val="none"/>
        </w:rPr>
        <w:instrText xml:space="preserve"> </w:instrText>
      </w:r>
      <w:r>
        <w:rPr>
          <w:rFonts w:hint="eastAsia"/>
          <w:highlight w:val="none"/>
        </w:rPr>
        <w:instrText xml:space="preserve">TOC \o "1-3" \h \z \u</w:instrText>
      </w:r>
      <w:r>
        <w:rPr>
          <w:highlight w:val="none"/>
        </w:rPr>
        <w:instrText xml:space="preserve"> </w:instrText>
      </w:r>
      <w:r>
        <w:rPr>
          <w:highlight w:val="none"/>
        </w:rPr>
        <w:fldChar w:fldCharType="separate"/>
      </w:r>
      <w:r>
        <w:rPr>
          <w:highlight w:val="none"/>
        </w:rPr>
        <w:fldChar w:fldCharType="begin"/>
      </w:r>
      <w:r>
        <w:rPr>
          <w:highlight w:val="none"/>
        </w:rPr>
        <w:instrText xml:space="preserve"> HYPERLINK \l _Toc20022 </w:instrText>
      </w:r>
      <w:r>
        <w:rPr>
          <w:highlight w:val="none"/>
        </w:rPr>
        <w:fldChar w:fldCharType="separate"/>
      </w:r>
      <w:r>
        <w:rPr>
          <w:rFonts w:hint="eastAsia" w:ascii="黑体" w:hAnsi="黑体" w:eastAsia="黑体"/>
          <w:bCs w:val="0"/>
          <w:szCs w:val="31"/>
          <w:highlight w:val="none"/>
        </w:rPr>
        <w:t>目录</w:t>
      </w:r>
      <w:r>
        <w:tab/>
      </w:r>
      <w:r>
        <w:fldChar w:fldCharType="begin"/>
      </w:r>
      <w:r>
        <w:instrText xml:space="preserve"> PAGEREF _Toc20022 \h </w:instrText>
      </w:r>
      <w:r>
        <w:fldChar w:fldCharType="separate"/>
      </w:r>
      <w:r>
        <w:t>2</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_Toc11806 </w:instrText>
      </w:r>
      <w:r>
        <w:rPr>
          <w:highlight w:val="none"/>
        </w:rPr>
        <w:fldChar w:fldCharType="separate"/>
      </w:r>
      <w:r>
        <w:rPr>
          <w:rFonts w:hint="eastAsia" w:ascii="宋体" w:hAnsi="宋体"/>
          <w:bCs w:val="0"/>
          <w:szCs w:val="31"/>
          <w:highlight w:val="none"/>
        </w:rPr>
        <w:t>第 一 卷</w:t>
      </w:r>
      <w:r>
        <w:tab/>
      </w:r>
      <w:r>
        <w:fldChar w:fldCharType="begin"/>
      </w:r>
      <w:r>
        <w:instrText xml:space="preserve"> PAGEREF _Toc11806 \h </w:instrText>
      </w:r>
      <w:r>
        <w:fldChar w:fldCharType="separate"/>
      </w:r>
      <w:r>
        <w:t>5</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_Toc20287 </w:instrText>
      </w:r>
      <w:r>
        <w:rPr>
          <w:highlight w:val="none"/>
        </w:rPr>
        <w:fldChar w:fldCharType="separate"/>
      </w:r>
      <w:r>
        <w:rPr>
          <w:rFonts w:hint="default" w:ascii="黑体" w:hAnsi="黑体" w:eastAsia="黑体"/>
          <w:bCs w:val="0"/>
          <w:szCs w:val="31"/>
        </w:rPr>
        <w:t xml:space="preserve">第一章 </w:t>
      </w:r>
      <w:r>
        <w:rPr>
          <w:rFonts w:hint="eastAsia" w:ascii="黑体" w:hAnsi="黑体" w:eastAsia="黑体"/>
          <w:bCs w:val="0"/>
          <w:szCs w:val="31"/>
          <w:highlight w:val="none"/>
        </w:rPr>
        <w:t>招标公告（适用于未进行资格预审）</w:t>
      </w:r>
      <w:r>
        <w:tab/>
      </w:r>
      <w:r>
        <w:fldChar w:fldCharType="begin"/>
      </w:r>
      <w:r>
        <w:instrText xml:space="preserve"> PAGEREF _Toc20287 \h </w:instrText>
      </w:r>
      <w:r>
        <w:fldChar w:fldCharType="separate"/>
      </w:r>
      <w:r>
        <w:t>6</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_Toc16449 </w:instrText>
      </w:r>
      <w:r>
        <w:rPr>
          <w:highlight w:val="none"/>
        </w:rPr>
        <w:fldChar w:fldCharType="separate"/>
      </w:r>
      <w:r>
        <w:rPr>
          <w:rFonts w:hint="eastAsia" w:ascii="黑体" w:hAnsi="黑体" w:eastAsia="黑体"/>
          <w:bCs w:val="0"/>
          <w:szCs w:val="31"/>
          <w:highlight w:val="none"/>
        </w:rPr>
        <w:t>第二章 投标人须知</w:t>
      </w:r>
      <w:r>
        <w:tab/>
      </w:r>
      <w:r>
        <w:fldChar w:fldCharType="begin"/>
      </w:r>
      <w:r>
        <w:instrText xml:space="preserve"> PAGEREF _Toc16449 \h </w:instrText>
      </w:r>
      <w:r>
        <w:fldChar w:fldCharType="separate"/>
      </w:r>
      <w:r>
        <w:t>10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_Toc27451 </w:instrText>
      </w:r>
      <w:r>
        <w:rPr>
          <w:highlight w:val="none"/>
        </w:rPr>
        <w:fldChar w:fldCharType="separate"/>
      </w:r>
      <w:r>
        <w:rPr>
          <w:rFonts w:hint="eastAsia"/>
          <w:szCs w:val="27"/>
          <w:highlight w:val="none"/>
        </w:rPr>
        <w:t>1. 总则</w:t>
      </w:r>
      <w:r>
        <w:tab/>
      </w:r>
      <w:r>
        <w:fldChar w:fldCharType="begin"/>
      </w:r>
      <w:r>
        <w:instrText xml:space="preserve"> PAGEREF _Toc27451 \h </w:instrText>
      </w:r>
      <w:r>
        <w:fldChar w:fldCharType="separate"/>
      </w:r>
      <w:r>
        <w:t>15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_Toc16060 </w:instrText>
      </w:r>
      <w:r>
        <w:rPr>
          <w:highlight w:val="none"/>
        </w:rPr>
        <w:fldChar w:fldCharType="separate"/>
      </w:r>
      <w:r>
        <w:rPr>
          <w:rFonts w:hint="eastAsia"/>
          <w:szCs w:val="27"/>
          <w:highlight w:val="none"/>
        </w:rPr>
        <w:t>2. 招标文件</w:t>
      </w:r>
      <w:r>
        <w:tab/>
      </w:r>
      <w:r>
        <w:fldChar w:fldCharType="begin"/>
      </w:r>
      <w:r>
        <w:instrText xml:space="preserve"> PAGEREF _Toc16060 \h </w:instrText>
      </w:r>
      <w:r>
        <w:fldChar w:fldCharType="separate"/>
      </w:r>
      <w:r>
        <w:t>16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_Toc7073 </w:instrText>
      </w:r>
      <w:r>
        <w:rPr>
          <w:highlight w:val="none"/>
        </w:rPr>
        <w:fldChar w:fldCharType="separate"/>
      </w:r>
      <w:r>
        <w:rPr>
          <w:rFonts w:hint="eastAsia"/>
          <w:szCs w:val="27"/>
          <w:highlight w:val="none"/>
        </w:rPr>
        <w:t>3. 投标文件</w:t>
      </w:r>
      <w:r>
        <w:tab/>
      </w:r>
      <w:r>
        <w:fldChar w:fldCharType="begin"/>
      </w:r>
      <w:r>
        <w:instrText xml:space="preserve"> PAGEREF _Toc7073 \h </w:instrText>
      </w:r>
      <w:r>
        <w:fldChar w:fldCharType="separate"/>
      </w:r>
      <w:r>
        <w:t>16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_Toc16554 </w:instrText>
      </w:r>
      <w:r>
        <w:rPr>
          <w:highlight w:val="none"/>
        </w:rPr>
        <w:fldChar w:fldCharType="separate"/>
      </w:r>
      <w:r>
        <w:rPr>
          <w:rFonts w:hint="eastAsia"/>
          <w:szCs w:val="27"/>
          <w:highlight w:val="none"/>
        </w:rPr>
        <w:t>4. 投标</w:t>
      </w:r>
      <w:r>
        <w:tab/>
      </w:r>
      <w:r>
        <w:fldChar w:fldCharType="begin"/>
      </w:r>
      <w:r>
        <w:instrText xml:space="preserve"> PAGEREF _Toc16554 \h </w:instrText>
      </w:r>
      <w:r>
        <w:fldChar w:fldCharType="separate"/>
      </w:r>
      <w:r>
        <w:t>18</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_Toc6292 </w:instrText>
      </w:r>
      <w:r>
        <w:rPr>
          <w:highlight w:val="none"/>
        </w:rPr>
        <w:fldChar w:fldCharType="separate"/>
      </w:r>
      <w:r>
        <w:rPr>
          <w:rFonts w:hint="eastAsia"/>
          <w:szCs w:val="27"/>
          <w:highlight w:val="none"/>
        </w:rPr>
        <w:t>5. 开标</w:t>
      </w:r>
      <w:r>
        <w:tab/>
      </w:r>
      <w:r>
        <w:fldChar w:fldCharType="begin"/>
      </w:r>
      <w:r>
        <w:instrText xml:space="preserve"> PAGEREF _Toc6292 \h </w:instrText>
      </w:r>
      <w:r>
        <w:fldChar w:fldCharType="separate"/>
      </w:r>
      <w:r>
        <w:t>19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_Toc3383 </w:instrText>
      </w:r>
      <w:r>
        <w:rPr>
          <w:highlight w:val="none"/>
        </w:rPr>
        <w:fldChar w:fldCharType="separate"/>
      </w:r>
      <w:r>
        <w:rPr>
          <w:rFonts w:hint="eastAsia"/>
          <w:szCs w:val="27"/>
          <w:highlight w:val="none"/>
        </w:rPr>
        <w:t>6. 评标</w:t>
      </w:r>
      <w:r>
        <w:tab/>
      </w:r>
      <w:r>
        <w:fldChar w:fldCharType="begin"/>
      </w:r>
      <w:r>
        <w:instrText xml:space="preserve"> PAGEREF _Toc3383 \h </w:instrText>
      </w:r>
      <w:r>
        <w:fldChar w:fldCharType="separate"/>
      </w:r>
      <w:r>
        <w:t>19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_Toc1504 </w:instrText>
      </w:r>
      <w:r>
        <w:rPr>
          <w:highlight w:val="none"/>
        </w:rPr>
        <w:fldChar w:fldCharType="separate"/>
      </w:r>
      <w:r>
        <w:rPr>
          <w:rFonts w:hint="eastAsia"/>
          <w:szCs w:val="27"/>
          <w:highlight w:val="none"/>
        </w:rPr>
        <w:t>7. 合同授予</w:t>
      </w:r>
      <w:r>
        <w:tab/>
      </w:r>
      <w:r>
        <w:fldChar w:fldCharType="begin"/>
      </w:r>
      <w:r>
        <w:instrText xml:space="preserve"> PAGEREF _Toc1504 \h </w:instrText>
      </w:r>
      <w:r>
        <w:fldChar w:fldCharType="separate"/>
      </w:r>
      <w:r>
        <w:t>20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_Toc29981 </w:instrText>
      </w:r>
      <w:r>
        <w:rPr>
          <w:highlight w:val="none"/>
        </w:rPr>
        <w:fldChar w:fldCharType="separate"/>
      </w:r>
      <w:r>
        <w:rPr>
          <w:rFonts w:hint="eastAsia"/>
          <w:szCs w:val="27"/>
          <w:highlight w:val="none"/>
        </w:rPr>
        <w:t>8. 重新招标或经批准不招标</w:t>
      </w:r>
      <w:r>
        <w:tab/>
      </w:r>
      <w:r>
        <w:fldChar w:fldCharType="begin"/>
      </w:r>
      <w:r>
        <w:instrText xml:space="preserve"> PAGEREF _Toc29981 \h </w:instrText>
      </w:r>
      <w:r>
        <w:fldChar w:fldCharType="separate"/>
      </w:r>
      <w:r>
        <w:t>20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_Toc17643 </w:instrText>
      </w:r>
      <w:r>
        <w:rPr>
          <w:highlight w:val="none"/>
        </w:rPr>
        <w:fldChar w:fldCharType="separate"/>
      </w:r>
      <w:r>
        <w:rPr>
          <w:rFonts w:hint="eastAsia"/>
          <w:szCs w:val="27"/>
          <w:highlight w:val="none"/>
        </w:rPr>
        <w:t>9. 纪律和监督</w:t>
      </w:r>
      <w:r>
        <w:tab/>
      </w:r>
      <w:r>
        <w:fldChar w:fldCharType="begin"/>
      </w:r>
      <w:r>
        <w:instrText xml:space="preserve"> PAGEREF _Toc17643 \h </w:instrText>
      </w:r>
      <w:r>
        <w:fldChar w:fldCharType="separate"/>
      </w:r>
      <w:r>
        <w:t>21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_Toc16735 </w:instrText>
      </w:r>
      <w:r>
        <w:rPr>
          <w:highlight w:val="none"/>
        </w:rPr>
        <w:fldChar w:fldCharType="separate"/>
      </w:r>
      <w:r>
        <w:rPr>
          <w:rFonts w:hint="eastAsia"/>
          <w:szCs w:val="27"/>
          <w:highlight w:val="none"/>
        </w:rPr>
        <w:t>10需要补充的其他内容</w:t>
      </w:r>
      <w:r>
        <w:tab/>
      </w:r>
      <w:r>
        <w:fldChar w:fldCharType="begin"/>
      </w:r>
      <w:r>
        <w:instrText xml:space="preserve"> PAGEREF _Toc16735 \h </w:instrText>
      </w:r>
      <w:r>
        <w:fldChar w:fldCharType="separate"/>
      </w:r>
      <w:r>
        <w:t>22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_Toc31516 </w:instrText>
      </w:r>
      <w:r>
        <w:rPr>
          <w:highlight w:val="none"/>
        </w:rPr>
        <w:fldChar w:fldCharType="separate"/>
      </w:r>
      <w:r>
        <w:rPr>
          <w:rFonts w:hint="eastAsia"/>
          <w:szCs w:val="27"/>
          <w:highlight w:val="none"/>
        </w:rPr>
        <w:t>附表一：招标文件澄清申请函（格式）</w:t>
      </w:r>
      <w:r>
        <w:tab/>
      </w:r>
      <w:r>
        <w:fldChar w:fldCharType="begin"/>
      </w:r>
      <w:r>
        <w:instrText xml:space="preserve"> PAGEREF _Toc31516 \h </w:instrText>
      </w:r>
      <w:r>
        <w:fldChar w:fldCharType="separate"/>
      </w:r>
      <w:r>
        <w:t>23</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_Toc10377 </w:instrText>
      </w:r>
      <w:r>
        <w:rPr>
          <w:highlight w:val="none"/>
        </w:rPr>
        <w:fldChar w:fldCharType="separate"/>
      </w:r>
      <w:r>
        <w:rPr>
          <w:rFonts w:hint="eastAsia"/>
          <w:szCs w:val="27"/>
          <w:highlight w:val="none"/>
        </w:rPr>
        <w:t>附表二：招标文件澄清通知（格式）</w:t>
      </w:r>
      <w:r>
        <w:tab/>
      </w:r>
      <w:r>
        <w:fldChar w:fldCharType="begin"/>
      </w:r>
      <w:r>
        <w:instrText xml:space="preserve"> PAGEREF _Toc10377 \h </w:instrText>
      </w:r>
      <w:r>
        <w:fldChar w:fldCharType="separate"/>
      </w:r>
      <w:r>
        <w:t>24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_Toc6276 </w:instrText>
      </w:r>
      <w:r>
        <w:rPr>
          <w:highlight w:val="none"/>
        </w:rPr>
        <w:fldChar w:fldCharType="separate"/>
      </w:r>
      <w:r>
        <w:rPr>
          <w:rFonts w:hint="eastAsia"/>
          <w:szCs w:val="27"/>
          <w:highlight w:val="none"/>
        </w:rPr>
        <w:t>附表三：招标文件修改通知（格式）</w:t>
      </w:r>
      <w:r>
        <w:tab/>
      </w:r>
      <w:r>
        <w:fldChar w:fldCharType="begin"/>
      </w:r>
      <w:r>
        <w:instrText xml:space="preserve"> PAGEREF _Toc6276 \h </w:instrText>
      </w:r>
      <w:r>
        <w:fldChar w:fldCharType="separate"/>
      </w:r>
      <w:r>
        <w:t>25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_Toc1852 </w:instrText>
      </w:r>
      <w:r>
        <w:rPr>
          <w:highlight w:val="none"/>
        </w:rPr>
        <w:fldChar w:fldCharType="separate"/>
      </w:r>
      <w:r>
        <w:rPr>
          <w:rFonts w:hint="eastAsia"/>
          <w:szCs w:val="27"/>
          <w:highlight w:val="none"/>
        </w:rPr>
        <w:t>附表四：招标文件澄清通知、修改通知确认函（格式）</w:t>
      </w:r>
      <w:r>
        <w:tab/>
      </w:r>
      <w:r>
        <w:fldChar w:fldCharType="begin"/>
      </w:r>
      <w:r>
        <w:instrText xml:space="preserve"> PAGEREF _Toc1852 \h </w:instrText>
      </w:r>
      <w:r>
        <w:fldChar w:fldCharType="separate"/>
      </w:r>
      <w:r>
        <w:t>26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_Toc18640 </w:instrText>
      </w:r>
      <w:r>
        <w:rPr>
          <w:highlight w:val="none"/>
        </w:rPr>
        <w:fldChar w:fldCharType="separate"/>
      </w:r>
      <w:r>
        <w:rPr>
          <w:rFonts w:hint="eastAsia"/>
          <w:szCs w:val="27"/>
          <w:highlight w:val="none"/>
        </w:rPr>
        <w:t>附表五：开标记录表（格式）</w:t>
      </w:r>
      <w:r>
        <w:tab/>
      </w:r>
      <w:r>
        <w:fldChar w:fldCharType="begin"/>
      </w:r>
      <w:r>
        <w:instrText xml:space="preserve"> PAGEREF _Toc18640 \h </w:instrText>
      </w:r>
      <w:r>
        <w:fldChar w:fldCharType="separate"/>
      </w:r>
      <w:r>
        <w:t>27</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_Toc15823 </w:instrText>
      </w:r>
      <w:r>
        <w:rPr>
          <w:highlight w:val="none"/>
        </w:rPr>
        <w:fldChar w:fldCharType="separate"/>
      </w:r>
      <w:r>
        <w:rPr>
          <w:rFonts w:hint="eastAsia"/>
          <w:szCs w:val="27"/>
          <w:highlight w:val="none"/>
        </w:rPr>
        <w:t>附表六：中标通知书（格式）</w:t>
      </w:r>
      <w:r>
        <w:tab/>
      </w:r>
      <w:r>
        <w:fldChar w:fldCharType="begin"/>
      </w:r>
      <w:r>
        <w:instrText xml:space="preserve"> PAGEREF _Toc15823 \h </w:instrText>
      </w:r>
      <w:r>
        <w:fldChar w:fldCharType="separate"/>
      </w:r>
      <w:r>
        <w:t>28</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_Toc18637 </w:instrText>
      </w:r>
      <w:r>
        <w:rPr>
          <w:highlight w:val="none"/>
        </w:rPr>
        <w:fldChar w:fldCharType="separate"/>
      </w:r>
      <w:r>
        <w:rPr>
          <w:rFonts w:hint="eastAsia"/>
          <w:szCs w:val="27"/>
          <w:highlight w:val="none"/>
        </w:rPr>
        <w:t>附表七：中标结果通知书（格式）</w:t>
      </w:r>
      <w:r>
        <w:tab/>
      </w:r>
      <w:r>
        <w:fldChar w:fldCharType="begin"/>
      </w:r>
      <w:r>
        <w:instrText xml:space="preserve"> PAGEREF _Toc18637 \h </w:instrText>
      </w:r>
      <w:r>
        <w:fldChar w:fldCharType="separate"/>
      </w:r>
      <w:r>
        <w:t>29</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_Toc25679 </w:instrText>
      </w:r>
      <w:r>
        <w:rPr>
          <w:highlight w:val="none"/>
        </w:rPr>
        <w:fldChar w:fldCharType="separate"/>
      </w:r>
      <w:r>
        <w:rPr>
          <w:rFonts w:hint="eastAsia" w:ascii="黑体" w:hAnsi="黑体" w:eastAsia="黑体"/>
          <w:bCs w:val="0"/>
          <w:szCs w:val="31"/>
          <w:highlight w:val="none"/>
        </w:rPr>
        <w:t>第三章 评标办法（综合评估法）</w:t>
      </w:r>
      <w:r>
        <w:tab/>
      </w:r>
      <w:r>
        <w:fldChar w:fldCharType="begin"/>
      </w:r>
      <w:r>
        <w:instrText xml:space="preserve"> PAGEREF _Toc25679 \h </w:instrText>
      </w:r>
      <w:r>
        <w:fldChar w:fldCharType="separate"/>
      </w:r>
      <w:r>
        <w:t>30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_Toc11525 </w:instrText>
      </w:r>
      <w:r>
        <w:rPr>
          <w:highlight w:val="none"/>
        </w:rPr>
        <w:fldChar w:fldCharType="separate"/>
      </w:r>
      <w:r>
        <w:rPr>
          <w:rFonts w:hint="eastAsia"/>
          <w:szCs w:val="27"/>
          <w:highlight w:val="none"/>
        </w:rPr>
        <w:t>评标办法前附表</w:t>
      </w:r>
      <w:r>
        <w:tab/>
      </w:r>
      <w:r>
        <w:fldChar w:fldCharType="begin"/>
      </w:r>
      <w:r>
        <w:instrText xml:space="preserve"> PAGEREF _Toc11525 \h </w:instrText>
      </w:r>
      <w:r>
        <w:fldChar w:fldCharType="separate"/>
      </w:r>
      <w:r>
        <w:t>30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_Toc20260 </w:instrText>
      </w:r>
      <w:r>
        <w:rPr>
          <w:highlight w:val="none"/>
        </w:rPr>
        <w:fldChar w:fldCharType="separate"/>
      </w:r>
      <w:r>
        <w:rPr>
          <w:rFonts w:hint="eastAsia"/>
          <w:szCs w:val="27"/>
          <w:highlight w:val="none"/>
        </w:rPr>
        <w:t>1. 评标方法</w:t>
      </w:r>
      <w:r>
        <w:tab/>
      </w:r>
      <w:r>
        <w:fldChar w:fldCharType="begin"/>
      </w:r>
      <w:r>
        <w:instrText xml:space="preserve"> PAGEREF _Toc20260 \h </w:instrText>
      </w:r>
      <w:r>
        <w:fldChar w:fldCharType="separate"/>
      </w:r>
      <w:r>
        <w:t>34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_Toc18999 </w:instrText>
      </w:r>
      <w:r>
        <w:rPr>
          <w:highlight w:val="none"/>
        </w:rPr>
        <w:fldChar w:fldCharType="separate"/>
      </w:r>
      <w:r>
        <w:rPr>
          <w:rFonts w:hint="eastAsia"/>
          <w:szCs w:val="27"/>
          <w:highlight w:val="none"/>
        </w:rPr>
        <w:t>2. 评审标准</w:t>
      </w:r>
      <w:r>
        <w:tab/>
      </w:r>
      <w:r>
        <w:fldChar w:fldCharType="begin"/>
      </w:r>
      <w:r>
        <w:instrText xml:space="preserve"> PAGEREF _Toc18999 \h </w:instrText>
      </w:r>
      <w:r>
        <w:fldChar w:fldCharType="separate"/>
      </w:r>
      <w:r>
        <w:t>34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_Toc14021 </w:instrText>
      </w:r>
      <w:r>
        <w:rPr>
          <w:highlight w:val="none"/>
        </w:rPr>
        <w:fldChar w:fldCharType="separate"/>
      </w:r>
      <w:r>
        <w:rPr>
          <w:rFonts w:hint="eastAsia"/>
          <w:szCs w:val="27"/>
          <w:highlight w:val="none"/>
        </w:rPr>
        <w:t>3. 评标程序</w:t>
      </w:r>
      <w:r>
        <w:tab/>
      </w:r>
      <w:r>
        <w:fldChar w:fldCharType="begin"/>
      </w:r>
      <w:r>
        <w:instrText xml:space="preserve"> PAGEREF _Toc14021 \h </w:instrText>
      </w:r>
      <w:r>
        <w:fldChar w:fldCharType="separate"/>
      </w:r>
      <w:r>
        <w:t>34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_Toc23734 </w:instrText>
      </w:r>
      <w:r>
        <w:rPr>
          <w:highlight w:val="none"/>
        </w:rPr>
        <w:fldChar w:fldCharType="separate"/>
      </w:r>
      <w:r>
        <w:rPr>
          <w:rFonts w:hint="eastAsia" w:ascii="宋体" w:hAnsi="宋体" w:eastAsia="宋体"/>
          <w:szCs w:val="23"/>
          <w:highlight w:val="none"/>
        </w:rPr>
        <w:t>4. 评标办法其他说明</w:t>
      </w:r>
      <w:r>
        <w:tab/>
      </w:r>
      <w:r>
        <w:fldChar w:fldCharType="begin"/>
      </w:r>
      <w:r>
        <w:instrText xml:space="preserve"> PAGEREF _Toc23734 \h </w:instrText>
      </w:r>
      <w:r>
        <w:fldChar w:fldCharType="separate"/>
      </w:r>
      <w:r>
        <w:t>35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_Toc21573 </w:instrText>
      </w:r>
      <w:r>
        <w:rPr>
          <w:highlight w:val="none"/>
        </w:rPr>
        <w:fldChar w:fldCharType="separate"/>
      </w:r>
      <w:r>
        <w:rPr>
          <w:szCs w:val="27"/>
          <w:highlight w:val="none"/>
        </w:rPr>
        <w:t>附表</w:t>
      </w:r>
      <w:r>
        <w:rPr>
          <w:rFonts w:hint="eastAsia"/>
          <w:szCs w:val="27"/>
          <w:highlight w:val="none"/>
        </w:rPr>
        <w:t>一</w:t>
      </w:r>
      <w:r>
        <w:rPr>
          <w:szCs w:val="27"/>
          <w:highlight w:val="none"/>
        </w:rPr>
        <w:t>：</w:t>
      </w:r>
      <w:r>
        <w:rPr>
          <w:rFonts w:hint="eastAsia"/>
          <w:szCs w:val="27"/>
          <w:highlight w:val="none"/>
        </w:rPr>
        <w:t>投标文件</w:t>
      </w:r>
      <w:r>
        <w:rPr>
          <w:szCs w:val="27"/>
          <w:highlight w:val="none"/>
        </w:rPr>
        <w:t>澄清通知</w:t>
      </w:r>
      <w:r>
        <w:rPr>
          <w:rFonts w:hint="eastAsia"/>
          <w:szCs w:val="27"/>
          <w:highlight w:val="none"/>
        </w:rPr>
        <w:t>（格式）</w:t>
      </w:r>
      <w:r>
        <w:tab/>
      </w:r>
      <w:r>
        <w:fldChar w:fldCharType="begin"/>
      </w:r>
      <w:r>
        <w:instrText xml:space="preserve"> PAGEREF _Toc21573 \h </w:instrText>
      </w:r>
      <w:r>
        <w:fldChar w:fldCharType="separate"/>
      </w:r>
      <w:r>
        <w:t>36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_Toc8676 </w:instrText>
      </w:r>
      <w:r>
        <w:rPr>
          <w:highlight w:val="none"/>
        </w:rPr>
        <w:fldChar w:fldCharType="separate"/>
      </w:r>
      <w:r>
        <w:rPr>
          <w:rFonts w:hint="eastAsia"/>
          <w:szCs w:val="27"/>
          <w:highlight w:val="none"/>
        </w:rPr>
        <w:t>附表二：投标文件澄清函（格式）</w:t>
      </w:r>
      <w:r>
        <w:tab/>
      </w:r>
      <w:r>
        <w:fldChar w:fldCharType="begin"/>
      </w:r>
      <w:r>
        <w:instrText xml:space="preserve"> PAGEREF _Toc8676 \h </w:instrText>
      </w:r>
      <w:r>
        <w:fldChar w:fldCharType="separate"/>
      </w:r>
      <w:r>
        <w:t>37</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_Toc2771 </w:instrText>
      </w:r>
      <w:r>
        <w:rPr>
          <w:highlight w:val="none"/>
        </w:rPr>
        <w:fldChar w:fldCharType="separate"/>
      </w:r>
      <w:r>
        <w:rPr>
          <w:rFonts w:hint="eastAsia" w:ascii="黑体" w:hAnsi="黑体" w:eastAsia="黑体"/>
          <w:bCs w:val="0"/>
          <w:szCs w:val="31"/>
          <w:highlight w:val="none"/>
        </w:rPr>
        <w:t>第四章 合同条款及格式</w:t>
      </w:r>
      <w:r>
        <w:tab/>
      </w:r>
      <w:r>
        <w:fldChar w:fldCharType="begin"/>
      </w:r>
      <w:r>
        <w:instrText xml:space="preserve"> PAGEREF _Toc2771 \h </w:instrText>
      </w:r>
      <w:r>
        <w:fldChar w:fldCharType="separate"/>
      </w:r>
      <w:r>
        <w:t>38</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_Toc20114 </w:instrText>
      </w:r>
      <w:r>
        <w:rPr>
          <w:highlight w:val="none"/>
        </w:rPr>
        <w:fldChar w:fldCharType="separate"/>
      </w:r>
      <w:r>
        <w:rPr>
          <w:szCs w:val="40"/>
          <w:highlight w:val="none"/>
        </w:rPr>
        <w:t>第1节  通用合同条款</w:t>
      </w:r>
      <w:r>
        <w:tab/>
      </w:r>
      <w:r>
        <w:fldChar w:fldCharType="begin"/>
      </w:r>
      <w:r>
        <w:instrText xml:space="preserve"> PAGEREF _Toc20114 \h </w:instrText>
      </w:r>
      <w:r>
        <w:fldChar w:fldCharType="separate"/>
      </w:r>
      <w:r>
        <w:t>38</w:t>
      </w:r>
      <w:r>
        <w:fldChar w:fldCharType="end"/>
      </w:r>
      <w:r>
        <w:rPr>
          <w:highlight w:val="none"/>
        </w:rPr>
        <w:fldChar w:fldCharType="end"/>
      </w:r>
    </w:p>
    <w:p>
      <w:pPr>
        <w:pStyle w:val="2"/>
        <w:tabs>
          <w:tab w:val="right" w:leader="dot" w:pos="8382"/>
        </w:tabs>
        <w:ind w:left="0" w:leftChars="0" w:firstLine="200" w:firstLineChars="100"/>
        <w:rPr>
          <w:i w:val="0"/>
          <w:iCs w:val="0"/>
        </w:rPr>
      </w:pPr>
      <w:r>
        <w:rPr>
          <w:i w:val="0"/>
          <w:iCs w:val="0"/>
          <w:highlight w:val="none"/>
        </w:rPr>
        <w:fldChar w:fldCharType="begin"/>
      </w:r>
      <w:r>
        <w:rPr>
          <w:i w:val="0"/>
          <w:iCs w:val="0"/>
          <w:highlight w:val="none"/>
        </w:rPr>
        <w:instrText xml:space="preserve"> HYPERLINK \l _Toc21886 </w:instrText>
      </w:r>
      <w:r>
        <w:rPr>
          <w:i w:val="0"/>
          <w:iCs w:val="0"/>
          <w:highlight w:val="none"/>
        </w:rPr>
        <w:fldChar w:fldCharType="separate"/>
      </w:r>
      <w:r>
        <w:rPr>
          <w:rFonts w:ascii="Times New Roman" w:hAnsi="Times New Roman"/>
          <w:i w:val="0"/>
          <w:iCs w:val="0"/>
          <w:szCs w:val="21"/>
          <w:highlight w:val="none"/>
        </w:rPr>
        <w:t>第2节  专用合同条款</w:t>
      </w:r>
      <w:r>
        <w:rPr>
          <w:i w:val="0"/>
          <w:iCs w:val="0"/>
        </w:rPr>
        <w:tab/>
      </w:r>
      <w:r>
        <w:rPr>
          <w:i w:val="0"/>
          <w:iCs w:val="0"/>
        </w:rPr>
        <w:fldChar w:fldCharType="begin"/>
      </w:r>
      <w:r>
        <w:rPr>
          <w:i w:val="0"/>
          <w:iCs w:val="0"/>
        </w:rPr>
        <w:instrText xml:space="preserve"> PAGEREF _Toc21886 \h </w:instrText>
      </w:r>
      <w:r>
        <w:rPr>
          <w:i w:val="0"/>
          <w:iCs w:val="0"/>
        </w:rPr>
        <w:fldChar w:fldCharType="separate"/>
      </w:r>
      <w:r>
        <w:rPr>
          <w:i w:val="0"/>
          <w:iCs w:val="0"/>
        </w:rPr>
        <w:t>82</w:t>
      </w:r>
      <w:r>
        <w:rPr>
          <w:i w:val="0"/>
          <w:iCs w:val="0"/>
        </w:rPr>
        <w:fldChar w:fldCharType="end"/>
      </w:r>
      <w:r>
        <w:rPr>
          <w:i w:val="0"/>
          <w:iCs w:val="0"/>
          <w:highlight w:val="none"/>
        </w:rPr>
        <w:fldChar w:fldCharType="end"/>
      </w:r>
    </w:p>
    <w:p>
      <w:pPr>
        <w:pStyle w:val="30"/>
        <w:tabs>
          <w:tab w:val="right" w:leader="dot" w:pos="8382"/>
        </w:tabs>
      </w:pPr>
      <w:r>
        <w:rPr>
          <w:highlight w:val="none"/>
        </w:rPr>
        <w:fldChar w:fldCharType="begin"/>
      </w:r>
      <w:r>
        <w:rPr>
          <w:highlight w:val="none"/>
        </w:rPr>
        <w:instrText xml:space="preserve"> HYPERLINK \l _Toc1206 </w:instrText>
      </w:r>
      <w:r>
        <w:rPr>
          <w:highlight w:val="none"/>
        </w:rPr>
        <w:fldChar w:fldCharType="separate"/>
      </w:r>
      <w:r>
        <w:rPr>
          <w:szCs w:val="36"/>
          <w:highlight w:val="none"/>
        </w:rPr>
        <w:t>第3节  合同附件格式</w:t>
      </w:r>
      <w:r>
        <w:tab/>
      </w:r>
      <w:r>
        <w:fldChar w:fldCharType="begin"/>
      </w:r>
      <w:r>
        <w:instrText xml:space="preserve"> PAGEREF _Toc1206 \h </w:instrText>
      </w:r>
      <w:r>
        <w:fldChar w:fldCharType="separate"/>
      </w:r>
      <w:r>
        <w:t>88</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_Toc98 </w:instrText>
      </w:r>
      <w:r>
        <w:rPr>
          <w:highlight w:val="none"/>
        </w:rPr>
        <w:fldChar w:fldCharType="separate"/>
      </w:r>
      <w:r>
        <w:rPr>
          <w:szCs w:val="36"/>
          <w:highlight w:val="none"/>
        </w:rPr>
        <w:t>第五章 工程量清单</w:t>
      </w:r>
      <w:r>
        <w:tab/>
      </w:r>
      <w:r>
        <w:fldChar w:fldCharType="begin"/>
      </w:r>
      <w:r>
        <w:instrText xml:space="preserve"> PAGEREF _Toc98 \h </w:instrText>
      </w:r>
      <w:r>
        <w:fldChar w:fldCharType="separate"/>
      </w:r>
      <w:r>
        <w:t>91</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_Toc22567 </w:instrText>
      </w:r>
      <w:r>
        <w:rPr>
          <w:highlight w:val="none"/>
        </w:rPr>
        <w:fldChar w:fldCharType="separate"/>
      </w:r>
      <w:r>
        <w:rPr>
          <w:spacing w:val="40"/>
          <w:szCs w:val="52"/>
          <w:highlight w:val="none"/>
        </w:rPr>
        <w:t>第二卷</w:t>
      </w:r>
      <w:r>
        <w:tab/>
      </w:r>
      <w:r>
        <w:fldChar w:fldCharType="begin"/>
      </w:r>
      <w:r>
        <w:instrText xml:space="preserve"> PAGEREF _Toc22567 \h </w:instrText>
      </w:r>
      <w:r>
        <w:fldChar w:fldCharType="separate"/>
      </w:r>
      <w:r>
        <w:t>92</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_Toc880 </w:instrText>
      </w:r>
      <w:r>
        <w:rPr>
          <w:highlight w:val="none"/>
        </w:rPr>
        <w:fldChar w:fldCharType="separate"/>
      </w:r>
      <w:r>
        <w:rPr>
          <w:highlight w:val="none"/>
        </w:rPr>
        <w:t>第六章  图纸（招标图纸）</w:t>
      </w:r>
      <w:r>
        <w:tab/>
      </w:r>
      <w:r>
        <w:fldChar w:fldCharType="begin"/>
      </w:r>
      <w:r>
        <w:instrText xml:space="preserve"> PAGEREF _Toc880 \h </w:instrText>
      </w:r>
      <w:r>
        <w:fldChar w:fldCharType="separate"/>
      </w:r>
      <w:r>
        <w:t>93</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_Toc28923 </w:instrText>
      </w:r>
      <w:r>
        <w:rPr>
          <w:highlight w:val="none"/>
        </w:rPr>
        <w:fldChar w:fldCharType="separate"/>
      </w:r>
      <w:r>
        <w:rPr>
          <w:rFonts w:hint="eastAsia"/>
          <w:bCs w:val="0"/>
          <w:highlight w:val="none"/>
        </w:rPr>
        <w:t>1.</w:t>
      </w:r>
      <w:r>
        <w:rPr>
          <w:bCs w:val="0"/>
          <w:highlight w:val="none"/>
        </w:rPr>
        <w:t>招标图纸目录</w:t>
      </w:r>
      <w:r>
        <w:tab/>
      </w:r>
      <w:r>
        <w:fldChar w:fldCharType="begin"/>
      </w:r>
      <w:r>
        <w:instrText xml:space="preserve"> PAGEREF _Toc28923 \h </w:instrText>
      </w:r>
      <w:r>
        <w:fldChar w:fldCharType="separate"/>
      </w:r>
      <w:r>
        <w:t>93</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_Toc1171 </w:instrText>
      </w:r>
      <w:r>
        <w:rPr>
          <w:highlight w:val="none"/>
        </w:rPr>
        <w:fldChar w:fldCharType="separate"/>
      </w:r>
      <w:r>
        <w:rPr>
          <w:rFonts w:hint="eastAsia"/>
          <w:highlight w:val="none"/>
        </w:rPr>
        <w:t>2.</w:t>
      </w:r>
      <w:r>
        <w:rPr>
          <w:highlight w:val="none"/>
        </w:rPr>
        <w:t>招标图纸</w:t>
      </w:r>
      <w:r>
        <w:rPr>
          <w:rFonts w:hint="eastAsia"/>
          <w:highlight w:val="none"/>
        </w:rPr>
        <w:t>及其他资料</w:t>
      </w:r>
      <w:r>
        <w:rPr>
          <w:highlight w:val="none"/>
        </w:rPr>
        <w:t>在电子交易系统下载。</w:t>
      </w:r>
      <w:r>
        <w:tab/>
      </w:r>
      <w:r>
        <w:fldChar w:fldCharType="begin"/>
      </w:r>
      <w:r>
        <w:instrText xml:space="preserve"> PAGEREF _Toc1171 \h </w:instrText>
      </w:r>
      <w:r>
        <w:fldChar w:fldCharType="separate"/>
      </w:r>
      <w:r>
        <w:t>93</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_Toc30163 </w:instrText>
      </w:r>
      <w:r>
        <w:rPr>
          <w:highlight w:val="none"/>
        </w:rPr>
        <w:fldChar w:fldCharType="separate"/>
      </w:r>
      <w:r>
        <w:rPr>
          <w:rFonts w:hint="eastAsia" w:ascii="宋体" w:hAnsi="宋体"/>
          <w:bCs w:val="0"/>
          <w:szCs w:val="48"/>
          <w:highlight w:val="none"/>
        </w:rPr>
        <w:t>第 二 卷</w:t>
      </w:r>
      <w:r>
        <w:tab/>
      </w:r>
      <w:r>
        <w:fldChar w:fldCharType="begin"/>
      </w:r>
      <w:r>
        <w:instrText xml:space="preserve"> PAGEREF _Toc30163 \h </w:instrText>
      </w:r>
      <w:r>
        <w:fldChar w:fldCharType="separate"/>
      </w:r>
      <w:r>
        <w:t>94</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_Toc7150 </w:instrText>
      </w:r>
      <w:r>
        <w:rPr>
          <w:highlight w:val="none"/>
        </w:rPr>
        <w:fldChar w:fldCharType="separate"/>
      </w:r>
      <w:r>
        <w:rPr>
          <w:rFonts w:hint="eastAsia" w:ascii="黑体" w:hAnsi="黑体" w:eastAsia="黑体"/>
          <w:bCs w:val="0"/>
          <w:szCs w:val="31"/>
          <w:highlight w:val="none"/>
        </w:rPr>
        <w:t>第六章 技术标准和要求（合同技术条款）</w:t>
      </w:r>
      <w:r>
        <w:tab/>
      </w:r>
      <w:r>
        <w:fldChar w:fldCharType="begin"/>
      </w:r>
      <w:r>
        <w:instrText xml:space="preserve"> PAGEREF _Toc7150 \h </w:instrText>
      </w:r>
      <w:r>
        <w:fldChar w:fldCharType="separate"/>
      </w:r>
      <w:r>
        <w:t>95</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_Toc570 </w:instrText>
      </w:r>
      <w:r>
        <w:rPr>
          <w:highlight w:val="none"/>
        </w:rPr>
        <w:fldChar w:fldCharType="separate"/>
      </w:r>
      <w:r>
        <w:rPr>
          <w:rFonts w:hint="eastAsia" w:ascii="宋体" w:hAnsi="宋体"/>
          <w:bCs w:val="0"/>
          <w:szCs w:val="31"/>
          <w:highlight w:val="none"/>
        </w:rPr>
        <w:t>第 三 卷</w:t>
      </w:r>
      <w:r>
        <w:tab/>
      </w:r>
      <w:r>
        <w:fldChar w:fldCharType="begin"/>
      </w:r>
      <w:r>
        <w:instrText xml:space="preserve"> PAGEREF _Toc570 \h </w:instrText>
      </w:r>
      <w:r>
        <w:fldChar w:fldCharType="separate"/>
      </w:r>
      <w:r>
        <w:t>122</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_Toc13040 </w:instrText>
      </w:r>
      <w:r>
        <w:rPr>
          <w:highlight w:val="none"/>
        </w:rPr>
        <w:fldChar w:fldCharType="separate"/>
      </w:r>
      <w:r>
        <w:rPr>
          <w:rFonts w:hint="eastAsia" w:ascii="黑体" w:hAnsi="黑体" w:eastAsia="黑体"/>
          <w:bCs w:val="0"/>
          <w:szCs w:val="31"/>
          <w:highlight w:val="none"/>
        </w:rPr>
        <w:t>第七章  投标文件格式</w:t>
      </w:r>
      <w:r>
        <w:tab/>
      </w:r>
      <w:r>
        <w:fldChar w:fldCharType="begin"/>
      </w:r>
      <w:r>
        <w:instrText xml:space="preserve"> PAGEREF _Toc13040 \h </w:instrText>
      </w:r>
      <w:r>
        <w:fldChar w:fldCharType="separate"/>
      </w:r>
      <w:r>
        <w:t>123</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_Toc28078 </w:instrText>
      </w:r>
      <w:r>
        <w:rPr>
          <w:highlight w:val="none"/>
        </w:rPr>
        <w:fldChar w:fldCharType="separate"/>
      </w:r>
      <w:r>
        <w:rPr>
          <w:rFonts w:hint="eastAsia" w:ascii="Times New Roman" w:hAnsi="Times New Roman"/>
          <w:szCs w:val="21"/>
          <w:highlight w:val="none"/>
        </w:rPr>
        <w:t>评标要素索引表</w:t>
      </w:r>
      <w:r>
        <w:tab/>
      </w:r>
      <w:r>
        <w:fldChar w:fldCharType="begin"/>
      </w:r>
      <w:r>
        <w:instrText xml:space="preserve"> PAGEREF _Toc28078 \h </w:instrText>
      </w:r>
      <w:r>
        <w:fldChar w:fldCharType="separate"/>
      </w:r>
      <w:r>
        <w:t>124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_Toc12223 </w:instrText>
      </w:r>
      <w:r>
        <w:rPr>
          <w:highlight w:val="none"/>
        </w:rPr>
        <w:fldChar w:fldCharType="separate"/>
      </w:r>
      <w:r>
        <w:rPr>
          <w:rFonts w:ascii="黑体" w:hAnsi="黑体" w:eastAsia="黑体" w:cs="黑体"/>
          <w:highlight w:val="none"/>
        </w:rPr>
        <w:t>一、投标函及投标函附录</w:t>
      </w:r>
      <w:r>
        <w:tab/>
      </w:r>
      <w:r>
        <w:fldChar w:fldCharType="begin"/>
      </w:r>
      <w:r>
        <w:instrText xml:space="preserve"> PAGEREF _Toc12223 \h </w:instrText>
      </w:r>
      <w:r>
        <w:fldChar w:fldCharType="separate"/>
      </w:r>
      <w:r>
        <w:t>127</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_Toc18393 </w:instrText>
      </w:r>
      <w:r>
        <w:rPr>
          <w:highlight w:val="none"/>
        </w:rPr>
        <w:fldChar w:fldCharType="separate"/>
      </w:r>
      <w:r>
        <w:rPr>
          <w:rFonts w:ascii="Times New Roman" w:hAnsi="Times New Roman"/>
          <w:szCs w:val="30"/>
          <w:highlight w:val="none"/>
        </w:rPr>
        <w:t>一、投标函及投标函附录</w:t>
      </w:r>
      <w:r>
        <w:tab/>
      </w:r>
      <w:r>
        <w:fldChar w:fldCharType="begin"/>
      </w:r>
      <w:r>
        <w:instrText xml:space="preserve"> PAGEREF _Toc18393 \h </w:instrText>
      </w:r>
      <w:r>
        <w:fldChar w:fldCharType="separate"/>
      </w:r>
      <w:r>
        <w:t>127</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_Toc1299 </w:instrText>
      </w:r>
      <w:r>
        <w:rPr>
          <w:highlight w:val="none"/>
        </w:rPr>
        <w:fldChar w:fldCharType="separate"/>
      </w:r>
      <w:r>
        <w:rPr>
          <w:rFonts w:hint="eastAsia"/>
          <w:highlight w:val="none"/>
        </w:rPr>
        <w:t>（一）投标函</w:t>
      </w:r>
      <w:r>
        <w:tab/>
      </w:r>
      <w:r>
        <w:fldChar w:fldCharType="begin"/>
      </w:r>
      <w:r>
        <w:instrText xml:space="preserve"> PAGEREF _Toc1299 \h </w:instrText>
      </w:r>
      <w:r>
        <w:fldChar w:fldCharType="separate"/>
      </w:r>
      <w:r>
        <w:t>127</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_Toc7038 </w:instrText>
      </w:r>
      <w:r>
        <w:rPr>
          <w:highlight w:val="none"/>
        </w:rPr>
        <w:fldChar w:fldCharType="separate"/>
      </w:r>
      <w:r>
        <w:rPr>
          <w:rFonts w:hint="eastAsia"/>
          <w:highlight w:val="none"/>
        </w:rPr>
        <w:t>（二）投标函附录</w:t>
      </w:r>
      <w:r>
        <w:tab/>
      </w:r>
      <w:r>
        <w:fldChar w:fldCharType="begin"/>
      </w:r>
      <w:r>
        <w:instrText xml:space="preserve"> PAGEREF _Toc7038 \h </w:instrText>
      </w:r>
      <w:r>
        <w:fldChar w:fldCharType="separate"/>
      </w:r>
      <w:r>
        <w:t>128</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_Toc4581 </w:instrText>
      </w:r>
      <w:r>
        <w:rPr>
          <w:highlight w:val="none"/>
        </w:rPr>
        <w:fldChar w:fldCharType="separate"/>
      </w:r>
      <w:r>
        <w:rPr>
          <w:rFonts w:ascii="黑体" w:hAnsi="黑体" w:eastAsia="黑体" w:cs="黑体"/>
          <w:highlight w:val="none"/>
        </w:rPr>
        <w:t>二、法定代表人身份证明及授权委托书</w:t>
      </w:r>
      <w:r>
        <w:tab/>
      </w:r>
      <w:r>
        <w:fldChar w:fldCharType="begin"/>
      </w:r>
      <w:r>
        <w:instrText xml:space="preserve"> PAGEREF _Toc4581 \h </w:instrText>
      </w:r>
      <w:r>
        <w:fldChar w:fldCharType="separate"/>
      </w:r>
      <w:r>
        <w:t>129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_Toc21994 </w:instrText>
      </w:r>
      <w:r>
        <w:rPr>
          <w:highlight w:val="none"/>
        </w:rPr>
        <w:fldChar w:fldCharType="separate"/>
      </w:r>
      <w:r>
        <w:rPr>
          <w:rFonts w:ascii="黑体" w:hAnsi="黑体" w:eastAsia="黑体" w:cs="黑体"/>
          <w:highlight w:val="none"/>
        </w:rPr>
        <w:t>三、投标保证金</w:t>
      </w:r>
      <w:r>
        <w:tab/>
      </w:r>
      <w:r>
        <w:fldChar w:fldCharType="begin"/>
      </w:r>
      <w:r>
        <w:instrText xml:space="preserve"> PAGEREF _Toc21994 \h </w:instrText>
      </w:r>
      <w:r>
        <w:fldChar w:fldCharType="separate"/>
      </w:r>
      <w:r>
        <w:t>131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_Toc22428 </w:instrText>
      </w:r>
      <w:r>
        <w:rPr>
          <w:highlight w:val="none"/>
        </w:rPr>
        <w:fldChar w:fldCharType="separate"/>
      </w:r>
      <w:r>
        <w:rPr>
          <w:rFonts w:ascii="黑体" w:hAnsi="黑体" w:eastAsia="黑体" w:cs="黑体"/>
          <w:highlight w:val="none"/>
        </w:rPr>
        <w:t>四、已标价工程量清单</w:t>
      </w:r>
      <w:r>
        <w:tab/>
      </w:r>
      <w:r>
        <w:fldChar w:fldCharType="begin"/>
      </w:r>
      <w:r>
        <w:instrText xml:space="preserve"> PAGEREF _Toc22428 \h </w:instrText>
      </w:r>
      <w:r>
        <w:fldChar w:fldCharType="separate"/>
      </w:r>
      <w:r>
        <w:t>132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_Toc24306 </w:instrText>
      </w:r>
      <w:r>
        <w:rPr>
          <w:highlight w:val="none"/>
        </w:rPr>
        <w:fldChar w:fldCharType="separate"/>
      </w:r>
      <w:r>
        <w:rPr>
          <w:rFonts w:ascii="黑体" w:hAnsi="黑体" w:eastAsia="黑体" w:cs="黑体"/>
          <w:highlight w:val="none"/>
        </w:rPr>
        <w:t>五、施工组织设计</w:t>
      </w:r>
      <w:r>
        <w:tab/>
      </w:r>
      <w:r>
        <w:fldChar w:fldCharType="begin"/>
      </w:r>
      <w:r>
        <w:instrText xml:space="preserve"> PAGEREF _Toc24306 \h </w:instrText>
      </w:r>
      <w:r>
        <w:fldChar w:fldCharType="separate"/>
      </w:r>
      <w:r>
        <w:t>133</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_Toc672 </w:instrText>
      </w:r>
      <w:r>
        <w:rPr>
          <w:highlight w:val="none"/>
        </w:rPr>
        <w:fldChar w:fldCharType="separate"/>
      </w:r>
      <w:r>
        <w:rPr>
          <w:rFonts w:hint="eastAsia"/>
          <w:highlight w:val="none"/>
        </w:rPr>
        <w:t>附表一：拟投入本标段的主要施工设备表</w:t>
      </w:r>
      <w:r>
        <w:tab/>
      </w:r>
      <w:r>
        <w:fldChar w:fldCharType="begin"/>
      </w:r>
      <w:r>
        <w:instrText xml:space="preserve"> PAGEREF _Toc672 \h </w:instrText>
      </w:r>
      <w:r>
        <w:fldChar w:fldCharType="separate"/>
      </w:r>
      <w:r>
        <w:t>135</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_Toc3512 </w:instrText>
      </w:r>
      <w:r>
        <w:rPr>
          <w:highlight w:val="none"/>
        </w:rPr>
        <w:fldChar w:fldCharType="separate"/>
      </w:r>
      <w:r>
        <w:rPr>
          <w:rFonts w:hint="eastAsia"/>
          <w:highlight w:val="none"/>
        </w:rPr>
        <w:t>附表二：拟投入本标段的试验和检测仪器设备表</w:t>
      </w:r>
      <w:r>
        <w:tab/>
      </w:r>
      <w:r>
        <w:fldChar w:fldCharType="begin"/>
      </w:r>
      <w:r>
        <w:instrText xml:space="preserve"> PAGEREF _Toc3512 \h </w:instrText>
      </w:r>
      <w:r>
        <w:fldChar w:fldCharType="separate"/>
      </w:r>
      <w:r>
        <w:t>136</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_Toc24694 </w:instrText>
      </w:r>
      <w:r>
        <w:rPr>
          <w:highlight w:val="none"/>
        </w:rPr>
        <w:fldChar w:fldCharType="separate"/>
      </w:r>
      <w:r>
        <w:rPr>
          <w:rFonts w:hint="eastAsia"/>
          <w:highlight w:val="none"/>
        </w:rPr>
        <w:t>附表三：拟投入本标段的劳动力计划表</w:t>
      </w:r>
      <w:r>
        <w:tab/>
      </w:r>
      <w:r>
        <w:fldChar w:fldCharType="begin"/>
      </w:r>
      <w:r>
        <w:instrText xml:space="preserve"> PAGEREF _Toc24694 \h </w:instrText>
      </w:r>
      <w:r>
        <w:fldChar w:fldCharType="separate"/>
      </w:r>
      <w:r>
        <w:t>137</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_Toc18647 </w:instrText>
      </w:r>
      <w:r>
        <w:rPr>
          <w:highlight w:val="none"/>
        </w:rPr>
        <w:fldChar w:fldCharType="separate"/>
      </w:r>
      <w:r>
        <w:rPr>
          <w:rFonts w:hint="eastAsia"/>
          <w:highlight w:val="none"/>
        </w:rPr>
        <w:t>附表四：计划开工日期、完工日期和施工进度网络图</w:t>
      </w:r>
      <w:r>
        <w:tab/>
      </w:r>
      <w:r>
        <w:fldChar w:fldCharType="begin"/>
      </w:r>
      <w:r>
        <w:instrText xml:space="preserve"> PAGEREF _Toc18647 \h </w:instrText>
      </w:r>
      <w:r>
        <w:fldChar w:fldCharType="separate"/>
      </w:r>
      <w:r>
        <w:t>138</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_Toc30678 </w:instrText>
      </w:r>
      <w:r>
        <w:rPr>
          <w:highlight w:val="none"/>
        </w:rPr>
        <w:fldChar w:fldCharType="separate"/>
      </w:r>
      <w:r>
        <w:rPr>
          <w:rFonts w:hint="eastAsia"/>
          <w:highlight w:val="none"/>
        </w:rPr>
        <w:t>附表五：施工总平面图</w:t>
      </w:r>
      <w:r>
        <w:tab/>
      </w:r>
      <w:r>
        <w:fldChar w:fldCharType="begin"/>
      </w:r>
      <w:r>
        <w:instrText xml:space="preserve"> PAGEREF _Toc30678 \h </w:instrText>
      </w:r>
      <w:r>
        <w:fldChar w:fldCharType="separate"/>
      </w:r>
      <w:r>
        <w:t>139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_Toc21664 </w:instrText>
      </w:r>
      <w:r>
        <w:rPr>
          <w:highlight w:val="none"/>
        </w:rPr>
        <w:fldChar w:fldCharType="separate"/>
      </w:r>
      <w:r>
        <w:rPr>
          <w:rFonts w:hint="eastAsia"/>
          <w:highlight w:val="none"/>
        </w:rPr>
        <w:t>附表六：临时用地表</w:t>
      </w:r>
      <w:r>
        <w:tab/>
      </w:r>
      <w:r>
        <w:fldChar w:fldCharType="begin"/>
      </w:r>
      <w:r>
        <w:instrText xml:space="preserve"> PAGEREF _Toc21664 \h </w:instrText>
      </w:r>
      <w:r>
        <w:fldChar w:fldCharType="separate"/>
      </w:r>
      <w:r>
        <w:t>140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_Toc23132 </w:instrText>
      </w:r>
      <w:r>
        <w:rPr>
          <w:highlight w:val="none"/>
        </w:rPr>
        <w:fldChar w:fldCharType="separate"/>
      </w:r>
      <w:r>
        <w:rPr>
          <w:rFonts w:ascii="黑体" w:hAnsi="黑体" w:eastAsia="黑体" w:cs="黑体"/>
          <w:highlight w:val="none"/>
        </w:rPr>
        <w:t>六、项目管理机构</w:t>
      </w:r>
      <w:r>
        <w:tab/>
      </w:r>
      <w:r>
        <w:fldChar w:fldCharType="begin"/>
      </w:r>
      <w:r>
        <w:instrText xml:space="preserve"> PAGEREF _Toc23132 \h </w:instrText>
      </w:r>
      <w:r>
        <w:fldChar w:fldCharType="separate"/>
      </w:r>
      <w:r>
        <w:t>141</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_Toc10382 </w:instrText>
      </w:r>
      <w:r>
        <w:rPr>
          <w:highlight w:val="none"/>
        </w:rPr>
        <w:fldChar w:fldCharType="separate"/>
      </w:r>
      <w:r>
        <w:rPr>
          <w:rFonts w:ascii="黑体" w:hAnsi="黑体" w:eastAsia="黑体" w:cs="黑体"/>
          <w:highlight w:val="none"/>
        </w:rPr>
        <w:t>(一)项目管理机构组成表</w:t>
      </w:r>
      <w:r>
        <w:tab/>
      </w:r>
      <w:r>
        <w:fldChar w:fldCharType="begin"/>
      </w:r>
      <w:r>
        <w:instrText xml:space="preserve"> PAGEREF _Toc10382 \h </w:instrText>
      </w:r>
      <w:r>
        <w:fldChar w:fldCharType="separate"/>
      </w:r>
      <w:r>
        <w:t>141</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_Toc17592 </w:instrText>
      </w:r>
      <w:r>
        <w:rPr>
          <w:highlight w:val="none"/>
        </w:rPr>
        <w:fldChar w:fldCharType="separate"/>
      </w:r>
      <w:r>
        <w:rPr>
          <w:rFonts w:ascii="黑体" w:hAnsi="黑体" w:eastAsia="黑体" w:cs="黑体"/>
          <w:highlight w:val="none"/>
        </w:rPr>
        <w:t>(二)主要人员简历表</w:t>
      </w:r>
      <w:r>
        <w:tab/>
      </w:r>
      <w:r>
        <w:fldChar w:fldCharType="begin"/>
      </w:r>
      <w:r>
        <w:instrText xml:space="preserve"> PAGEREF _Toc17592 \h </w:instrText>
      </w:r>
      <w:r>
        <w:fldChar w:fldCharType="separate"/>
      </w:r>
      <w:r>
        <w:t>142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_Toc11555 </w:instrText>
      </w:r>
      <w:r>
        <w:rPr>
          <w:highlight w:val="none"/>
        </w:rPr>
        <w:fldChar w:fldCharType="separate"/>
      </w:r>
      <w:r>
        <w:rPr>
          <w:rFonts w:ascii="黑体" w:hAnsi="黑体" w:eastAsia="黑体" w:cs="黑体"/>
          <w:highlight w:val="none"/>
        </w:rPr>
        <w:t>七、拟分包项目情况表</w:t>
      </w:r>
      <w:r>
        <w:tab/>
      </w:r>
      <w:r>
        <w:fldChar w:fldCharType="begin"/>
      </w:r>
      <w:r>
        <w:instrText xml:space="preserve"> PAGEREF _Toc11555 \h </w:instrText>
      </w:r>
      <w:r>
        <w:fldChar w:fldCharType="separate"/>
      </w:r>
      <w:r>
        <w:t>143</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_Toc2459 </w:instrText>
      </w:r>
      <w:r>
        <w:rPr>
          <w:highlight w:val="none"/>
        </w:rPr>
        <w:fldChar w:fldCharType="separate"/>
      </w:r>
      <w:r>
        <w:rPr>
          <w:rFonts w:ascii="黑体" w:hAnsi="黑体" w:eastAsia="黑体" w:cs="黑体"/>
          <w:highlight w:val="none"/>
        </w:rPr>
        <w:t>八、资格审查资料</w:t>
      </w:r>
      <w:r>
        <w:tab/>
      </w:r>
      <w:r>
        <w:fldChar w:fldCharType="begin"/>
      </w:r>
      <w:r>
        <w:instrText xml:space="preserve"> PAGEREF _Toc2459 \h </w:instrText>
      </w:r>
      <w:r>
        <w:fldChar w:fldCharType="separate"/>
      </w:r>
      <w:r>
        <w:t>144</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_Toc3518 </w:instrText>
      </w:r>
      <w:r>
        <w:rPr>
          <w:highlight w:val="none"/>
        </w:rPr>
        <w:fldChar w:fldCharType="separate"/>
      </w:r>
      <w:r>
        <w:rPr>
          <w:rFonts w:ascii="黑体" w:hAnsi="黑体" w:eastAsia="黑体" w:cs="黑体"/>
          <w:highlight w:val="none"/>
        </w:rPr>
        <w:t>(一)投标人基本情况表</w:t>
      </w:r>
      <w:r>
        <w:tab/>
      </w:r>
      <w:r>
        <w:fldChar w:fldCharType="begin"/>
      </w:r>
      <w:r>
        <w:instrText xml:space="preserve"> PAGEREF _Toc3518 \h </w:instrText>
      </w:r>
      <w:r>
        <w:fldChar w:fldCharType="separate"/>
      </w:r>
      <w:r>
        <w:t>144</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_Toc25763 </w:instrText>
      </w:r>
      <w:r>
        <w:rPr>
          <w:highlight w:val="none"/>
        </w:rPr>
        <w:fldChar w:fldCharType="separate"/>
      </w:r>
      <w:r>
        <w:rPr>
          <w:rFonts w:ascii="黑体" w:hAnsi="黑体" w:eastAsia="黑体" w:cs="黑体"/>
          <w:highlight w:val="none"/>
        </w:rPr>
        <w:t>(二)近3年财务状况表</w:t>
      </w:r>
      <w:r>
        <w:tab/>
      </w:r>
      <w:r>
        <w:fldChar w:fldCharType="begin"/>
      </w:r>
      <w:r>
        <w:instrText xml:space="preserve"> PAGEREF _Toc25763 \h </w:instrText>
      </w:r>
      <w:r>
        <w:fldChar w:fldCharType="separate"/>
      </w:r>
      <w:r>
        <w:t>145</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_Toc26169 </w:instrText>
      </w:r>
      <w:r>
        <w:rPr>
          <w:highlight w:val="none"/>
        </w:rPr>
        <w:fldChar w:fldCharType="separate"/>
      </w:r>
      <w:r>
        <w:rPr>
          <w:rFonts w:ascii="黑体" w:hAnsi="黑体" w:eastAsia="黑体" w:cs="黑体"/>
          <w:highlight w:val="none"/>
        </w:rPr>
        <w:t>(三)近</w:t>
      </w:r>
      <w:r>
        <w:rPr>
          <w:rFonts w:hint="eastAsia" w:ascii="黑体" w:hAnsi="黑体" w:eastAsia="黑体" w:cs="黑体"/>
          <w:highlight w:val="none"/>
        </w:rPr>
        <w:t>5</w:t>
      </w:r>
      <w:r>
        <w:rPr>
          <w:rFonts w:ascii="黑体" w:hAnsi="黑体" w:eastAsia="黑体" w:cs="黑体"/>
          <w:highlight w:val="none"/>
        </w:rPr>
        <w:t>年完成的类似项目情况表</w:t>
      </w:r>
      <w:r>
        <w:tab/>
      </w:r>
      <w:r>
        <w:fldChar w:fldCharType="begin"/>
      </w:r>
      <w:r>
        <w:instrText xml:space="preserve"> PAGEREF _Toc26169 \h </w:instrText>
      </w:r>
      <w:r>
        <w:fldChar w:fldCharType="separate"/>
      </w:r>
      <w:r>
        <w:t>146</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_Toc32281 </w:instrText>
      </w:r>
      <w:r>
        <w:rPr>
          <w:highlight w:val="none"/>
        </w:rPr>
        <w:fldChar w:fldCharType="separate"/>
      </w:r>
      <w:r>
        <w:rPr>
          <w:rFonts w:ascii="黑体" w:hAnsi="黑体" w:eastAsia="黑体" w:cs="黑体"/>
          <w:highlight w:val="none"/>
        </w:rPr>
        <w:t>(四)正在施工的和新承接的项目情况表</w:t>
      </w:r>
      <w:r>
        <w:tab/>
      </w:r>
      <w:r>
        <w:fldChar w:fldCharType="begin"/>
      </w:r>
      <w:r>
        <w:instrText xml:space="preserve"> PAGEREF _Toc32281 \h </w:instrText>
      </w:r>
      <w:r>
        <w:fldChar w:fldCharType="separate"/>
      </w:r>
      <w:r>
        <w:t>147</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_Toc4678 </w:instrText>
      </w:r>
      <w:r>
        <w:rPr>
          <w:highlight w:val="none"/>
        </w:rPr>
        <w:fldChar w:fldCharType="separate"/>
      </w:r>
      <w:r>
        <w:rPr>
          <w:rFonts w:ascii="黑体" w:hAnsi="黑体" w:eastAsia="黑体" w:cs="黑体"/>
          <w:highlight w:val="none"/>
        </w:rPr>
        <w:t>(五)近3年发生的诉讼及仲裁情况</w:t>
      </w:r>
      <w:r>
        <w:tab/>
      </w:r>
      <w:r>
        <w:fldChar w:fldCharType="begin"/>
      </w:r>
      <w:r>
        <w:instrText xml:space="preserve"> PAGEREF _Toc4678 \h </w:instrText>
      </w:r>
      <w:r>
        <w:fldChar w:fldCharType="separate"/>
      </w:r>
      <w:r>
        <w:t>148</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_Toc27972 </w:instrText>
      </w:r>
      <w:r>
        <w:rPr>
          <w:highlight w:val="none"/>
        </w:rPr>
        <w:fldChar w:fldCharType="separate"/>
      </w:r>
      <w:r>
        <w:rPr>
          <w:rFonts w:ascii="黑体" w:hAnsi="黑体" w:eastAsia="黑体" w:cs="黑体"/>
          <w:highlight w:val="none"/>
        </w:rPr>
        <w:t>(六)资格审查自审表</w:t>
      </w:r>
      <w:r>
        <w:tab/>
      </w:r>
      <w:r>
        <w:fldChar w:fldCharType="begin"/>
      </w:r>
      <w:r>
        <w:instrText xml:space="preserve"> PAGEREF _Toc27972 \h </w:instrText>
      </w:r>
      <w:r>
        <w:fldChar w:fldCharType="separate"/>
      </w:r>
      <w:r>
        <w:t>149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_Toc21735 </w:instrText>
      </w:r>
      <w:r>
        <w:rPr>
          <w:highlight w:val="none"/>
        </w:rPr>
        <w:fldChar w:fldCharType="separate"/>
      </w:r>
      <w:r>
        <w:rPr>
          <w:rFonts w:hint="eastAsia"/>
          <w:szCs w:val="24"/>
          <w:highlight w:val="none"/>
        </w:rPr>
        <w:t>（六）、资格审查自审表</w:t>
      </w:r>
      <w:r>
        <w:tab/>
      </w:r>
      <w:r>
        <w:fldChar w:fldCharType="begin"/>
      </w:r>
      <w:r>
        <w:instrText xml:space="preserve"> PAGEREF _Toc21735 \h </w:instrText>
      </w:r>
      <w:r>
        <w:fldChar w:fldCharType="separate"/>
      </w:r>
      <w:r>
        <w:t>149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_Toc13974 </w:instrText>
      </w:r>
      <w:r>
        <w:rPr>
          <w:highlight w:val="none"/>
        </w:rPr>
        <w:fldChar w:fldCharType="separate"/>
      </w:r>
      <w:r>
        <w:rPr>
          <w:rFonts w:ascii="黑体" w:hAnsi="黑体" w:eastAsia="黑体" w:cs="黑体"/>
          <w:highlight w:val="none"/>
        </w:rPr>
        <w:t>九、原件的复印件</w:t>
      </w:r>
      <w:r>
        <w:tab/>
      </w:r>
      <w:r>
        <w:fldChar w:fldCharType="begin"/>
      </w:r>
      <w:r>
        <w:instrText xml:space="preserve"> PAGEREF _Toc13974 \h </w:instrText>
      </w:r>
      <w:r>
        <w:fldChar w:fldCharType="separate"/>
      </w:r>
      <w:r>
        <w:t>150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_Toc118 </w:instrText>
      </w:r>
      <w:r>
        <w:rPr>
          <w:highlight w:val="none"/>
        </w:rPr>
        <w:fldChar w:fldCharType="separate"/>
      </w:r>
      <w:r>
        <w:rPr>
          <w:rFonts w:ascii="黑体" w:hAnsi="黑体" w:eastAsia="黑体" w:cs="黑体"/>
          <w:highlight w:val="none"/>
        </w:rPr>
        <w:t>十、投标人告知承诺书</w:t>
      </w:r>
      <w:r>
        <w:tab/>
      </w:r>
      <w:r>
        <w:fldChar w:fldCharType="begin"/>
      </w:r>
      <w:r>
        <w:instrText xml:space="preserve"> PAGEREF _Toc118 \h </w:instrText>
      </w:r>
      <w:r>
        <w:fldChar w:fldCharType="separate"/>
      </w:r>
      <w:r>
        <w:t>151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_Toc27648 </w:instrText>
      </w:r>
      <w:r>
        <w:rPr>
          <w:highlight w:val="none"/>
        </w:rPr>
        <w:fldChar w:fldCharType="separate"/>
      </w:r>
      <w:r>
        <w:rPr>
          <w:rFonts w:hint="eastAsia" w:ascii="黑体" w:hAnsi="黑体" w:cs="黑体"/>
          <w:szCs w:val="24"/>
          <w:highlight w:val="none"/>
        </w:rPr>
        <w:t>十一、项目经理无在建项目承诺书</w:t>
      </w:r>
      <w:r>
        <w:tab/>
      </w:r>
      <w:r>
        <w:fldChar w:fldCharType="begin"/>
      </w:r>
      <w:r>
        <w:instrText xml:space="preserve"> PAGEREF _Toc27648 \h </w:instrText>
      </w:r>
      <w:r>
        <w:fldChar w:fldCharType="separate"/>
      </w:r>
      <w:r>
        <w:t>153</w:t>
      </w:r>
      <w:r>
        <w:fldChar w:fldCharType="end"/>
      </w:r>
      <w:r>
        <w:rPr>
          <w:highlight w:val="none"/>
        </w:rPr>
        <w:fldChar w:fldCharType="end"/>
      </w:r>
    </w:p>
    <w:p>
      <w:pPr>
        <w:jc w:val="center"/>
        <w:rPr>
          <w:highlight w:val="none"/>
        </w:rPr>
      </w:pPr>
      <w:r>
        <w:rPr>
          <w:highlight w:val="none"/>
        </w:rPr>
        <w:fldChar w:fldCharType="end"/>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color w:val="000080"/>
          <w:sz w:val="20"/>
          <w:highlight w:val="none"/>
        </w:rPr>
      </w:pPr>
      <w:r>
        <w:rPr>
          <w:highlight w:val="none"/>
        </w:rPr>
        <w:br w:type="page"/>
      </w: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rPr>
          <w:highlight w:val="none"/>
        </w:rPr>
      </w:pPr>
    </w:p>
    <w:p>
      <w:pPr>
        <w:rPr>
          <w:highlight w:val="none"/>
        </w:rPr>
      </w:pPr>
    </w:p>
    <w:p>
      <w:pPr>
        <w:rPr>
          <w:highlight w:val="none"/>
        </w:rPr>
      </w:pPr>
    </w:p>
    <w:p>
      <w:pPr>
        <w:pStyle w:val="3"/>
        <w:spacing w:before="120" w:after="120" w:line="400" w:lineRule="exact"/>
        <w:jc w:val="center"/>
        <w:rPr>
          <w:rFonts w:ascii="宋体" w:hAnsi="宋体"/>
          <w:bCs w:val="0"/>
          <w:color w:val="000000"/>
          <w:sz w:val="51"/>
          <w:szCs w:val="31"/>
          <w:highlight w:val="none"/>
        </w:rPr>
      </w:pPr>
      <w:bookmarkStart w:id="4" w:name="_Toc49869946"/>
      <w:bookmarkStart w:id="5" w:name="_Toc11806"/>
      <w:r>
        <w:rPr>
          <w:rFonts w:hint="eastAsia" w:ascii="宋体" w:hAnsi="宋体"/>
          <w:bCs w:val="0"/>
          <w:color w:val="000000"/>
          <w:sz w:val="51"/>
          <w:szCs w:val="31"/>
          <w:highlight w:val="none"/>
        </w:rPr>
        <w:t>第 一 卷</w:t>
      </w:r>
      <w:bookmarkEnd w:id="4"/>
      <w:bookmarkEnd w:id="5"/>
    </w:p>
    <w:p>
      <w:pPr>
        <w:rPr>
          <w:color w:val="000080"/>
          <w:sz w:val="20"/>
          <w:highlight w:val="none"/>
        </w:rPr>
      </w:pPr>
      <w:r>
        <w:rPr>
          <w:highlight w:val="none"/>
        </w:rPr>
        <w:br w:type="page"/>
      </w:r>
    </w:p>
    <w:p>
      <w:pPr>
        <w:pStyle w:val="3"/>
        <w:numPr>
          <w:ilvl w:val="0"/>
          <w:numId w:val="1"/>
        </w:numPr>
        <w:spacing w:before="120" w:after="120" w:line="400" w:lineRule="exact"/>
        <w:jc w:val="center"/>
        <w:rPr>
          <w:rFonts w:ascii="黑体" w:hAnsi="黑体" w:eastAsia="黑体"/>
          <w:bCs w:val="0"/>
          <w:color w:val="000000"/>
          <w:sz w:val="31"/>
          <w:szCs w:val="31"/>
          <w:highlight w:val="none"/>
        </w:rPr>
      </w:pPr>
      <w:bookmarkStart w:id="6" w:name="_Toc49869947"/>
      <w:bookmarkStart w:id="7" w:name="_Toc20287"/>
      <w:r>
        <w:rPr>
          <w:rFonts w:hint="eastAsia" w:ascii="黑体" w:hAnsi="黑体" w:eastAsia="黑体"/>
          <w:bCs w:val="0"/>
          <w:color w:val="000000"/>
          <w:sz w:val="31"/>
          <w:szCs w:val="31"/>
          <w:highlight w:val="none"/>
        </w:rPr>
        <w:t>招标公告（适用于未进行资格预审）</w:t>
      </w:r>
      <w:bookmarkEnd w:id="6"/>
      <w:bookmarkEnd w:id="7"/>
    </w:p>
    <w:p>
      <w:pPr>
        <w:rPr>
          <w:highlight w:val="none"/>
        </w:rPr>
      </w:pPr>
      <w:bookmarkStart w:id="8" w:name="EB60acb842f7b54cdeabe6df15a9c28e15"/>
    </w:p>
    <w:bookmarkEnd w:id="8"/>
    <w:p>
      <w:pPr>
        <w:spacing w:line="490" w:lineRule="exact"/>
        <w:jc w:val="center"/>
        <w:rPr>
          <w:sz w:val="36"/>
          <w:szCs w:val="36"/>
          <w:highlight w:val="none"/>
          <w:u w:val="single"/>
        </w:rPr>
      </w:pPr>
      <w:r>
        <w:rPr>
          <w:rFonts w:hint="eastAsia"/>
          <w:sz w:val="36"/>
          <w:szCs w:val="36"/>
          <w:highlight w:val="none"/>
        </w:rPr>
        <w:t>盖州市2024年大中型水库移民后期扶持规划项目</w:t>
      </w:r>
    </w:p>
    <w:p>
      <w:pPr>
        <w:snapToGrid w:val="0"/>
        <w:spacing w:line="490" w:lineRule="exact"/>
        <w:jc w:val="center"/>
        <w:rPr>
          <w:b/>
          <w:bCs/>
          <w:spacing w:val="21"/>
          <w:kern w:val="0"/>
          <w:sz w:val="36"/>
          <w:szCs w:val="36"/>
          <w:highlight w:val="none"/>
        </w:rPr>
      </w:pPr>
      <w:r>
        <w:rPr>
          <w:sz w:val="36"/>
          <w:szCs w:val="36"/>
          <w:highlight w:val="none"/>
        </w:rPr>
        <w:t>招标公告</w:t>
      </w:r>
    </w:p>
    <w:tbl>
      <w:tblPr>
        <w:tblStyle w:val="140"/>
        <w:tblW w:w="878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6"/>
        <w:gridCol w:w="2336"/>
        <w:gridCol w:w="304"/>
        <w:gridCol w:w="315"/>
        <w:gridCol w:w="1526"/>
        <w:gridCol w:w="140"/>
        <w:gridCol w:w="152"/>
        <w:gridCol w:w="2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626" w:type="dxa"/>
            <w:tcBorders>
              <w:top w:val="single" w:color="000000" w:sz="6" w:space="0"/>
              <w:left w:val="single" w:color="000000" w:sz="6" w:space="0"/>
            </w:tcBorders>
            <w:vAlign w:val="center"/>
          </w:tcPr>
          <w:p>
            <w:pPr>
              <w:pStyle w:val="139"/>
              <w:spacing w:before="60" w:line="250" w:lineRule="auto"/>
              <w:ind w:left="644" w:right="208" w:hanging="432"/>
              <w:rPr>
                <w:sz w:val="18"/>
                <w:szCs w:val="18"/>
                <w:lang w:eastAsia="zh-CN"/>
              </w:rPr>
            </w:pPr>
            <w:r>
              <w:rPr>
                <w:spacing w:val="-2"/>
                <w:sz w:val="18"/>
                <w:szCs w:val="18"/>
              </w:rPr>
              <w:t>项目</w:t>
            </w:r>
            <w:r>
              <w:rPr>
                <w:rFonts w:hint="eastAsia"/>
                <w:spacing w:val="-2"/>
                <w:sz w:val="18"/>
                <w:szCs w:val="18"/>
                <w:lang w:eastAsia="zh-CN"/>
              </w:rPr>
              <w:t>地址</w:t>
            </w:r>
          </w:p>
        </w:tc>
        <w:tc>
          <w:tcPr>
            <w:tcW w:w="2955" w:type="dxa"/>
            <w:gridSpan w:val="3"/>
            <w:tcBorders>
              <w:top w:val="single" w:color="000000" w:sz="6" w:space="0"/>
            </w:tcBorders>
            <w:vAlign w:val="center"/>
          </w:tcPr>
          <w:p>
            <w:pPr>
              <w:pStyle w:val="139"/>
              <w:spacing w:before="216" w:line="220" w:lineRule="auto"/>
              <w:ind w:left="615"/>
              <w:rPr>
                <w:sz w:val="18"/>
                <w:szCs w:val="18"/>
              </w:rPr>
            </w:pPr>
            <w:r>
              <w:rPr>
                <w:spacing w:val="-2"/>
                <w:sz w:val="18"/>
                <w:szCs w:val="18"/>
              </w:rPr>
              <w:t>辽宁省营口市盖州市</w:t>
            </w:r>
          </w:p>
        </w:tc>
        <w:tc>
          <w:tcPr>
            <w:tcW w:w="1526" w:type="dxa"/>
            <w:tcBorders>
              <w:top w:val="single" w:color="000000" w:sz="6" w:space="0"/>
            </w:tcBorders>
            <w:vAlign w:val="center"/>
          </w:tcPr>
          <w:p>
            <w:pPr>
              <w:pStyle w:val="139"/>
              <w:spacing w:before="216" w:line="221" w:lineRule="auto"/>
              <w:ind w:left="243"/>
              <w:rPr>
                <w:sz w:val="18"/>
                <w:szCs w:val="18"/>
              </w:rPr>
            </w:pPr>
            <w:r>
              <w:rPr>
                <w:spacing w:val="-2"/>
                <w:sz w:val="18"/>
                <w:szCs w:val="18"/>
              </w:rPr>
              <w:t>招标人名称</w:t>
            </w:r>
          </w:p>
        </w:tc>
        <w:tc>
          <w:tcPr>
            <w:tcW w:w="2682" w:type="dxa"/>
            <w:gridSpan w:val="3"/>
            <w:tcBorders>
              <w:top w:val="single" w:color="000000" w:sz="6" w:space="0"/>
              <w:right w:val="single" w:color="000000" w:sz="6" w:space="0"/>
            </w:tcBorders>
            <w:vAlign w:val="center"/>
          </w:tcPr>
          <w:p>
            <w:pPr>
              <w:pStyle w:val="139"/>
              <w:spacing w:before="61" w:line="247" w:lineRule="auto"/>
              <w:ind w:left="800" w:right="152" w:hanging="631"/>
              <w:rPr>
                <w:sz w:val="18"/>
                <w:szCs w:val="18"/>
                <w:lang w:eastAsia="zh-CN"/>
              </w:rPr>
            </w:pPr>
            <w:r>
              <w:rPr>
                <w:rFonts w:hint="eastAsia"/>
                <w:spacing w:val="-1"/>
                <w:sz w:val="18"/>
                <w:szCs w:val="18"/>
                <w:lang w:eastAsia="zh-CN"/>
              </w:rPr>
              <w:t>盖州市水利事务中心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208" w:line="221" w:lineRule="auto"/>
              <w:ind w:left="318"/>
              <w:rPr>
                <w:sz w:val="18"/>
                <w:szCs w:val="18"/>
              </w:rPr>
            </w:pPr>
            <w:r>
              <w:rPr>
                <w:spacing w:val="-3"/>
                <w:sz w:val="18"/>
                <w:szCs w:val="18"/>
              </w:rPr>
              <w:t>项目名称</w:t>
            </w:r>
          </w:p>
        </w:tc>
        <w:tc>
          <w:tcPr>
            <w:tcW w:w="2955" w:type="dxa"/>
            <w:gridSpan w:val="3"/>
            <w:vAlign w:val="center"/>
          </w:tcPr>
          <w:p>
            <w:pPr>
              <w:pStyle w:val="139"/>
              <w:spacing w:before="52" w:line="247" w:lineRule="auto"/>
              <w:ind w:left="1149" w:right="133" w:hanging="1008"/>
              <w:rPr>
                <w:sz w:val="18"/>
                <w:szCs w:val="18"/>
                <w:lang w:eastAsia="zh-CN"/>
              </w:rPr>
            </w:pPr>
            <w:r>
              <w:rPr>
                <w:rFonts w:hint="eastAsia"/>
                <w:sz w:val="18"/>
                <w:szCs w:val="18"/>
                <w:lang w:eastAsia="zh-CN"/>
              </w:rPr>
              <w:t>盖州市2024年大中型水库移民后期扶持规划项目</w:t>
            </w:r>
          </w:p>
        </w:tc>
        <w:tc>
          <w:tcPr>
            <w:tcW w:w="1526" w:type="dxa"/>
            <w:vAlign w:val="center"/>
          </w:tcPr>
          <w:p>
            <w:pPr>
              <w:pStyle w:val="139"/>
              <w:spacing w:before="207" w:line="221" w:lineRule="auto"/>
              <w:ind w:left="351"/>
              <w:rPr>
                <w:sz w:val="18"/>
                <w:szCs w:val="18"/>
              </w:rPr>
            </w:pPr>
            <w:r>
              <w:rPr>
                <w:spacing w:val="-3"/>
                <w:sz w:val="18"/>
                <w:szCs w:val="18"/>
              </w:rPr>
              <w:t>项目编号</w:t>
            </w:r>
          </w:p>
        </w:tc>
        <w:tc>
          <w:tcPr>
            <w:tcW w:w="2682" w:type="dxa"/>
            <w:gridSpan w:val="3"/>
            <w:tcBorders>
              <w:right w:val="single" w:color="000000" w:sz="6" w:space="0"/>
            </w:tcBorders>
            <w:vAlign w:val="center"/>
          </w:tcPr>
          <w:p>
            <w:pPr>
              <w:pStyle w:val="139"/>
              <w:spacing w:before="242" w:line="183" w:lineRule="auto"/>
              <w:rPr>
                <w:sz w:val="18"/>
                <w:szCs w:val="18"/>
              </w:rPr>
            </w:pPr>
            <w:r>
              <w:rPr>
                <w:rFonts w:hint="eastAsia" w:ascii="仿宋_GB2312" w:eastAsia="仿宋_GB2312"/>
                <w:sz w:val="18"/>
                <w:szCs w:val="18"/>
                <w:lang w:eastAsia="zh-CN"/>
              </w:rPr>
              <w:t>202421080022965498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196" w:line="221" w:lineRule="auto"/>
              <w:rPr>
                <w:sz w:val="18"/>
                <w:szCs w:val="18"/>
                <w:lang w:eastAsia="zh-CN"/>
              </w:rPr>
            </w:pPr>
            <w:r>
              <w:rPr>
                <w:spacing w:val="-4"/>
                <w:sz w:val="18"/>
                <w:szCs w:val="18"/>
              </w:rPr>
              <w:t>资金来源</w:t>
            </w:r>
            <w:r>
              <w:rPr>
                <w:rFonts w:hint="eastAsia"/>
                <w:spacing w:val="-4"/>
                <w:sz w:val="18"/>
                <w:szCs w:val="18"/>
                <w:lang w:eastAsia="zh-CN"/>
              </w:rPr>
              <w:t>及比例</w:t>
            </w:r>
          </w:p>
        </w:tc>
        <w:tc>
          <w:tcPr>
            <w:tcW w:w="2955" w:type="dxa"/>
            <w:gridSpan w:val="3"/>
            <w:vAlign w:val="center"/>
          </w:tcPr>
          <w:p>
            <w:pPr>
              <w:pStyle w:val="139"/>
              <w:spacing w:before="196" w:line="221" w:lineRule="auto"/>
              <w:ind w:left="905"/>
              <w:rPr>
                <w:sz w:val="18"/>
                <w:szCs w:val="18"/>
              </w:rPr>
            </w:pPr>
            <w:r>
              <w:rPr>
                <w:rFonts w:hint="eastAsia"/>
                <w:spacing w:val="-5"/>
                <w:sz w:val="18"/>
                <w:szCs w:val="18"/>
                <w:lang w:eastAsia="zh-CN"/>
              </w:rPr>
              <w:t>中央</w:t>
            </w:r>
            <w:r>
              <w:rPr>
                <w:spacing w:val="-5"/>
                <w:sz w:val="18"/>
                <w:szCs w:val="18"/>
              </w:rPr>
              <w:t>资金</w:t>
            </w:r>
            <w:r>
              <w:rPr>
                <w:spacing w:val="-23"/>
                <w:sz w:val="18"/>
                <w:szCs w:val="18"/>
              </w:rPr>
              <w:t xml:space="preserve"> </w:t>
            </w:r>
            <w:r>
              <w:rPr>
                <w:spacing w:val="-5"/>
                <w:sz w:val="18"/>
                <w:szCs w:val="18"/>
              </w:rPr>
              <w:t>100%</w:t>
            </w:r>
          </w:p>
        </w:tc>
        <w:tc>
          <w:tcPr>
            <w:tcW w:w="1526" w:type="dxa"/>
            <w:vAlign w:val="center"/>
          </w:tcPr>
          <w:p>
            <w:pPr>
              <w:pStyle w:val="139"/>
              <w:spacing w:before="197" w:line="221" w:lineRule="auto"/>
              <w:ind w:left="348"/>
              <w:rPr>
                <w:sz w:val="18"/>
                <w:szCs w:val="18"/>
              </w:rPr>
            </w:pPr>
            <w:r>
              <w:rPr>
                <w:spacing w:val="-2"/>
                <w:sz w:val="18"/>
                <w:szCs w:val="18"/>
              </w:rPr>
              <w:t>招标方式</w:t>
            </w:r>
          </w:p>
        </w:tc>
        <w:tc>
          <w:tcPr>
            <w:tcW w:w="2682" w:type="dxa"/>
            <w:gridSpan w:val="3"/>
            <w:tcBorders>
              <w:right w:val="single" w:color="000000" w:sz="6" w:space="0"/>
            </w:tcBorders>
            <w:vAlign w:val="center"/>
          </w:tcPr>
          <w:p>
            <w:pPr>
              <w:pStyle w:val="139"/>
              <w:spacing w:before="197" w:line="221" w:lineRule="auto"/>
              <w:ind w:left="803"/>
              <w:rPr>
                <w:sz w:val="18"/>
                <w:szCs w:val="18"/>
              </w:rPr>
            </w:pPr>
            <w:r>
              <w:rPr>
                <w:spacing w:val="-3"/>
                <w:sz w:val="18"/>
                <w:szCs w:val="18"/>
              </w:rPr>
              <w:t>公开招标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208" w:line="221" w:lineRule="auto"/>
              <w:ind w:left="212"/>
              <w:rPr>
                <w:sz w:val="18"/>
                <w:szCs w:val="18"/>
              </w:rPr>
            </w:pPr>
            <w:r>
              <w:rPr>
                <w:spacing w:val="-2"/>
                <w:sz w:val="18"/>
                <w:szCs w:val="18"/>
              </w:rPr>
              <w:t>项目总投资</w:t>
            </w:r>
          </w:p>
        </w:tc>
        <w:tc>
          <w:tcPr>
            <w:tcW w:w="2955" w:type="dxa"/>
            <w:gridSpan w:val="3"/>
            <w:vAlign w:val="center"/>
          </w:tcPr>
          <w:p>
            <w:pPr>
              <w:pStyle w:val="139"/>
              <w:spacing w:before="208" w:line="221" w:lineRule="auto"/>
              <w:ind w:left="1062"/>
              <w:rPr>
                <w:sz w:val="18"/>
                <w:szCs w:val="18"/>
              </w:rPr>
            </w:pPr>
            <w:r>
              <w:rPr>
                <w:rFonts w:hint="eastAsia"/>
                <w:spacing w:val="-33"/>
                <w:sz w:val="18"/>
                <w:szCs w:val="18"/>
                <w:lang w:eastAsia="zh-CN"/>
              </w:rPr>
              <w:t>1533</w:t>
            </w:r>
            <w:r>
              <w:rPr>
                <w:spacing w:val="-3"/>
                <w:sz w:val="18"/>
                <w:szCs w:val="18"/>
              </w:rPr>
              <w:t>万元</w:t>
            </w:r>
          </w:p>
        </w:tc>
        <w:tc>
          <w:tcPr>
            <w:tcW w:w="1526" w:type="dxa"/>
            <w:vAlign w:val="center"/>
          </w:tcPr>
          <w:p>
            <w:pPr>
              <w:pStyle w:val="139"/>
              <w:spacing w:before="51" w:line="249" w:lineRule="auto"/>
              <w:ind w:left="661" w:right="127" w:hanging="522"/>
              <w:rPr>
                <w:sz w:val="18"/>
                <w:szCs w:val="18"/>
              </w:rPr>
            </w:pPr>
            <w:r>
              <w:rPr>
                <w:spacing w:val="-15"/>
                <w:sz w:val="18"/>
                <w:szCs w:val="18"/>
              </w:rPr>
              <w:t>标段（包）</w:t>
            </w:r>
            <w:r>
              <w:rPr>
                <w:spacing w:val="-23"/>
                <w:sz w:val="18"/>
                <w:szCs w:val="18"/>
              </w:rPr>
              <w:t xml:space="preserve"> </w:t>
            </w:r>
            <w:r>
              <w:rPr>
                <w:spacing w:val="-15"/>
                <w:sz w:val="18"/>
                <w:szCs w:val="18"/>
              </w:rPr>
              <w:t>数</w:t>
            </w:r>
            <w:r>
              <w:rPr>
                <w:sz w:val="18"/>
                <w:szCs w:val="18"/>
              </w:rPr>
              <w:t xml:space="preserve"> 量</w:t>
            </w:r>
          </w:p>
        </w:tc>
        <w:tc>
          <w:tcPr>
            <w:tcW w:w="2682" w:type="dxa"/>
            <w:gridSpan w:val="3"/>
            <w:tcBorders>
              <w:right w:val="single" w:color="000000" w:sz="6" w:space="0"/>
            </w:tcBorders>
            <w:vAlign w:val="center"/>
          </w:tcPr>
          <w:p>
            <w:pPr>
              <w:pStyle w:val="139"/>
              <w:spacing w:before="242" w:line="183" w:lineRule="auto"/>
              <w:ind w:left="1180"/>
              <w:rPr>
                <w:sz w:val="18"/>
                <w:szCs w:val="18"/>
                <w:lang w:eastAsia="zh-CN"/>
              </w:rPr>
            </w:pPr>
            <w:r>
              <w:rPr>
                <w:rFonts w:hint="eastAsia"/>
                <w:sz w:val="18"/>
                <w:szCs w:val="18"/>
                <w:lang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4" w:hRule="atLeast"/>
        </w:trPr>
        <w:tc>
          <w:tcPr>
            <w:tcW w:w="1626" w:type="dxa"/>
            <w:tcBorders>
              <w:left w:val="single" w:color="000000" w:sz="6" w:space="0"/>
            </w:tcBorders>
            <w:vAlign w:val="center"/>
          </w:tcPr>
          <w:p>
            <w:pPr>
              <w:spacing w:line="256" w:lineRule="auto"/>
              <w:rPr>
                <w:rFonts w:ascii="Arial"/>
                <w:sz w:val="18"/>
                <w:szCs w:val="18"/>
              </w:rPr>
            </w:pPr>
          </w:p>
          <w:p>
            <w:pPr>
              <w:spacing w:line="256" w:lineRule="auto"/>
              <w:rPr>
                <w:rFonts w:ascii="Arial"/>
                <w:sz w:val="18"/>
                <w:szCs w:val="18"/>
              </w:rPr>
            </w:pPr>
          </w:p>
          <w:p>
            <w:pPr>
              <w:pStyle w:val="139"/>
              <w:spacing w:before="68" w:line="221" w:lineRule="auto"/>
              <w:ind w:left="318"/>
              <w:rPr>
                <w:sz w:val="18"/>
                <w:szCs w:val="18"/>
              </w:rPr>
            </w:pPr>
            <w:r>
              <w:rPr>
                <w:spacing w:val="-3"/>
                <w:sz w:val="18"/>
                <w:szCs w:val="18"/>
              </w:rPr>
              <w:t>项目规模</w:t>
            </w:r>
          </w:p>
        </w:tc>
        <w:tc>
          <w:tcPr>
            <w:tcW w:w="7163" w:type="dxa"/>
            <w:gridSpan w:val="7"/>
            <w:tcBorders>
              <w:right w:val="single" w:color="000000" w:sz="6" w:space="0"/>
            </w:tcBorders>
            <w:vAlign w:val="center"/>
          </w:tcPr>
          <w:p>
            <w:pPr>
              <w:pStyle w:val="139"/>
              <w:spacing w:line="220" w:lineRule="auto"/>
              <w:ind w:left="129"/>
              <w:rPr>
                <w:sz w:val="18"/>
                <w:szCs w:val="18"/>
                <w:lang w:eastAsia="zh-CN"/>
              </w:rPr>
            </w:pPr>
            <w:r>
              <w:rPr>
                <w:rFonts w:hint="eastAsia"/>
                <w:sz w:val="18"/>
                <w:szCs w:val="18"/>
                <w:lang w:eastAsia="zh-CN"/>
              </w:rPr>
              <w:t xml:space="preserve"> 盖州市2024年大中型水库移民后期扶持规划项目（道路工程）涉及万福镇、高屯镇、梁屯镇等9个镇、办事处17个村，共修建混凝土道路306条，道路全长29031m，道路面积86912平方米；广场1处，面积633平方米，配套户外健身器材20套。</w:t>
            </w:r>
          </w:p>
          <w:p>
            <w:pPr>
              <w:pStyle w:val="139"/>
              <w:spacing w:line="220" w:lineRule="auto"/>
              <w:ind w:left="129"/>
              <w:rPr>
                <w:sz w:val="18"/>
                <w:szCs w:val="18"/>
                <w:lang w:eastAsia="zh-CN"/>
              </w:rPr>
            </w:pPr>
            <w:r>
              <w:rPr>
                <w:rFonts w:hint="eastAsia"/>
                <w:sz w:val="18"/>
                <w:szCs w:val="18"/>
                <w:lang w:eastAsia="zh-CN"/>
              </w:rPr>
              <w:t>盖州市2024年大中型水库移民后期扶持规划项目（水利工程）涉及什字街镇鹰嘴石村河道治理工程右岸固滨笼挡墙护岸500m，万福镇洪屯村河道治理工程河道护岸1547m，什字街镇于屯村河道治理工程什字街河于屯村段河道右岸绿滨垫护岸1394m，新建截潜坝1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789" w:type="dxa"/>
            <w:gridSpan w:val="8"/>
            <w:tcBorders>
              <w:left w:val="single" w:color="000000" w:sz="6" w:space="0"/>
              <w:right w:val="single" w:color="000000" w:sz="6" w:space="0"/>
            </w:tcBorders>
            <w:vAlign w:val="center"/>
          </w:tcPr>
          <w:p>
            <w:pPr>
              <w:pStyle w:val="139"/>
              <w:spacing w:line="220" w:lineRule="auto"/>
              <w:ind w:left="129"/>
              <w:jc w:val="center"/>
              <w:rPr>
                <w:sz w:val="18"/>
                <w:szCs w:val="18"/>
                <w:lang w:eastAsia="zh-CN"/>
              </w:rPr>
            </w:pPr>
            <w:r>
              <w:rPr>
                <w:rFonts w:hint="eastAsia"/>
                <w:sz w:val="18"/>
                <w:szCs w:val="18"/>
                <w:lang w:eastAsia="zh-CN"/>
              </w:rPr>
              <w:t>一标段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6" w:line="247" w:lineRule="auto"/>
              <w:ind w:left="627" w:right="107" w:hanging="516"/>
              <w:rPr>
                <w:sz w:val="18"/>
                <w:szCs w:val="18"/>
              </w:rPr>
            </w:pPr>
            <w:r>
              <w:rPr>
                <w:spacing w:val="-3"/>
                <w:sz w:val="18"/>
                <w:szCs w:val="18"/>
              </w:rPr>
              <w:t>标段（包）名</w:t>
            </w:r>
            <w:r>
              <w:rPr>
                <w:sz w:val="18"/>
                <w:szCs w:val="18"/>
              </w:rPr>
              <w:t xml:space="preserve"> 称</w:t>
            </w:r>
          </w:p>
        </w:tc>
        <w:tc>
          <w:tcPr>
            <w:tcW w:w="2955" w:type="dxa"/>
            <w:gridSpan w:val="3"/>
            <w:vAlign w:val="center"/>
          </w:tcPr>
          <w:p>
            <w:pPr>
              <w:pStyle w:val="139"/>
              <w:spacing w:before="56" w:line="247" w:lineRule="auto"/>
              <w:ind w:left="414" w:right="133" w:hanging="273"/>
              <w:rPr>
                <w:sz w:val="18"/>
                <w:szCs w:val="18"/>
                <w:lang w:eastAsia="zh-CN"/>
              </w:rPr>
            </w:pPr>
            <w:r>
              <w:rPr>
                <w:rFonts w:hint="eastAsia"/>
                <w:sz w:val="18"/>
                <w:szCs w:val="18"/>
                <w:lang w:eastAsia="zh-CN"/>
              </w:rPr>
              <w:t>盖州市2024年大中型水库移民后期扶持规划项目（道路工程）施工一标段</w:t>
            </w:r>
          </w:p>
        </w:tc>
        <w:tc>
          <w:tcPr>
            <w:tcW w:w="1526" w:type="dxa"/>
            <w:vAlign w:val="center"/>
          </w:tcPr>
          <w:p>
            <w:pPr>
              <w:pStyle w:val="139"/>
              <w:spacing w:before="56" w:line="247" w:lineRule="auto"/>
              <w:ind w:left="666" w:right="127" w:hanging="527"/>
              <w:rPr>
                <w:sz w:val="18"/>
                <w:szCs w:val="18"/>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682" w:type="dxa"/>
            <w:gridSpan w:val="3"/>
            <w:tcBorders>
              <w:right w:val="single" w:color="000000" w:sz="6" w:space="0"/>
            </w:tcBorders>
            <w:vAlign w:val="center"/>
          </w:tcPr>
          <w:p>
            <w:pPr>
              <w:pStyle w:val="139"/>
              <w:spacing w:before="245" w:line="183" w:lineRule="auto"/>
              <w:ind w:left="117"/>
              <w:rPr>
                <w:sz w:val="18"/>
                <w:szCs w:val="18"/>
              </w:rPr>
            </w:pPr>
            <w:r>
              <w:rPr>
                <w:rFonts w:hint="eastAsia"/>
                <w:sz w:val="18"/>
                <w:szCs w:val="18"/>
                <w:lang w:eastAsia="zh-CN"/>
              </w:rPr>
              <w:t>202421080022965498001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6" w:type="dxa"/>
            <w:tcBorders>
              <w:left w:val="single" w:color="000000" w:sz="6" w:space="0"/>
            </w:tcBorders>
            <w:vAlign w:val="center"/>
          </w:tcPr>
          <w:p>
            <w:pPr>
              <w:pStyle w:val="139"/>
              <w:spacing w:before="57" w:line="247" w:lineRule="auto"/>
              <w:ind w:left="629" w:right="107" w:hanging="518"/>
              <w:rPr>
                <w:sz w:val="18"/>
                <w:szCs w:val="18"/>
              </w:rPr>
            </w:pPr>
            <w:r>
              <w:rPr>
                <w:spacing w:val="-3"/>
                <w:sz w:val="18"/>
                <w:szCs w:val="18"/>
              </w:rPr>
              <w:t>标段（包）性</w:t>
            </w:r>
            <w:r>
              <w:rPr>
                <w:sz w:val="18"/>
                <w:szCs w:val="18"/>
              </w:rPr>
              <w:t xml:space="preserve"> 质</w:t>
            </w:r>
          </w:p>
        </w:tc>
        <w:tc>
          <w:tcPr>
            <w:tcW w:w="2955" w:type="dxa"/>
            <w:gridSpan w:val="3"/>
            <w:vAlign w:val="center"/>
          </w:tcPr>
          <w:p>
            <w:pPr>
              <w:pStyle w:val="139"/>
              <w:spacing w:before="212" w:line="220" w:lineRule="auto"/>
              <w:ind w:left="510"/>
              <w:rPr>
                <w:sz w:val="18"/>
                <w:szCs w:val="18"/>
                <w:lang w:eastAsia="zh-CN"/>
              </w:rPr>
            </w:pPr>
            <w:r>
              <w:rPr>
                <w:spacing w:val="-1"/>
                <w:sz w:val="18"/>
                <w:szCs w:val="18"/>
                <w:lang w:eastAsia="zh-CN"/>
              </w:rPr>
              <w:t>非依法必须招标的项目</w:t>
            </w:r>
          </w:p>
        </w:tc>
        <w:tc>
          <w:tcPr>
            <w:tcW w:w="1526" w:type="dxa"/>
            <w:vAlign w:val="center"/>
          </w:tcPr>
          <w:p>
            <w:pPr>
              <w:pStyle w:val="139"/>
              <w:spacing w:before="57" w:line="247" w:lineRule="auto"/>
              <w:ind w:left="663" w:right="127" w:hanging="524"/>
              <w:rPr>
                <w:sz w:val="18"/>
                <w:szCs w:val="18"/>
              </w:rPr>
            </w:pPr>
            <w:r>
              <w:rPr>
                <w:spacing w:val="-16"/>
                <w:sz w:val="18"/>
                <w:szCs w:val="18"/>
              </w:rPr>
              <w:t>标段（包） 内</w:t>
            </w:r>
            <w:r>
              <w:rPr>
                <w:sz w:val="18"/>
                <w:szCs w:val="18"/>
              </w:rPr>
              <w:t xml:space="preserve"> 容</w:t>
            </w:r>
          </w:p>
        </w:tc>
        <w:tc>
          <w:tcPr>
            <w:tcW w:w="2682" w:type="dxa"/>
            <w:gridSpan w:val="3"/>
            <w:tcBorders>
              <w:right w:val="single" w:color="000000" w:sz="6" w:space="0"/>
            </w:tcBorders>
            <w:vAlign w:val="center"/>
          </w:tcPr>
          <w:p>
            <w:pPr>
              <w:pStyle w:val="139"/>
              <w:spacing w:before="212" w:line="223" w:lineRule="auto"/>
              <w:ind w:left="1007"/>
              <w:rPr>
                <w:sz w:val="18"/>
                <w:szCs w:val="18"/>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212" w:line="221" w:lineRule="auto"/>
              <w:rPr>
                <w:sz w:val="18"/>
                <w:szCs w:val="18"/>
                <w:lang w:eastAsia="zh-CN"/>
              </w:rPr>
            </w:pPr>
            <w:r>
              <w:rPr>
                <w:rFonts w:hint="eastAsia"/>
                <w:spacing w:val="-4"/>
                <w:sz w:val="18"/>
                <w:szCs w:val="18"/>
                <w:lang w:eastAsia="zh-CN"/>
              </w:rPr>
              <w:t>投标人</w:t>
            </w:r>
            <w:r>
              <w:rPr>
                <w:spacing w:val="-4"/>
                <w:sz w:val="18"/>
                <w:szCs w:val="18"/>
              </w:rPr>
              <w:t>资质</w:t>
            </w:r>
            <w:r>
              <w:rPr>
                <w:rFonts w:hint="eastAsia"/>
                <w:spacing w:val="-4"/>
                <w:sz w:val="18"/>
                <w:szCs w:val="18"/>
                <w:lang w:eastAsia="zh-CN"/>
              </w:rPr>
              <w:t>条件</w:t>
            </w:r>
          </w:p>
        </w:tc>
        <w:tc>
          <w:tcPr>
            <w:tcW w:w="7163" w:type="dxa"/>
            <w:gridSpan w:val="7"/>
            <w:tcBorders>
              <w:right w:val="single" w:color="000000" w:sz="6" w:space="0"/>
            </w:tcBorders>
            <w:vAlign w:val="center"/>
          </w:tcPr>
          <w:p>
            <w:pPr>
              <w:widowControl/>
              <w:rPr>
                <w:sz w:val="18"/>
                <w:szCs w:val="18"/>
              </w:rPr>
            </w:pPr>
            <w:r>
              <w:rPr>
                <w:rFonts w:hint="eastAsia" w:ascii="宋体" w:hAnsi="宋体" w:cs="宋体"/>
                <w:color w:val="000000"/>
                <w:kern w:val="0"/>
                <w:sz w:val="18"/>
                <w:szCs w:val="18"/>
              </w:rPr>
              <w:t>｛（水利水电工程三级及公路工程三级(施工总承包)）或者（水利水电工程三级及市政公用工程三级(施工总承包)）｝及以上资质并具有有效的安全生产许可证。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spacing w:val="-4"/>
                <w:sz w:val="18"/>
                <w:szCs w:val="18"/>
              </w:rPr>
            </w:pPr>
            <w:r>
              <w:rPr>
                <w:rFonts w:hint="eastAsia" w:ascii="宋体" w:hAnsi="宋体" w:cs="宋体"/>
                <w:color w:val="000000"/>
                <w:kern w:val="0"/>
                <w:sz w:val="18"/>
                <w:szCs w:val="18"/>
              </w:rPr>
              <w:t>要求</w:t>
            </w:r>
          </w:p>
        </w:tc>
        <w:tc>
          <w:tcPr>
            <w:tcW w:w="7163" w:type="dxa"/>
            <w:gridSpan w:val="7"/>
            <w:tcBorders>
              <w:right w:val="single" w:color="000000" w:sz="6" w:space="0"/>
            </w:tcBorders>
            <w:vAlign w:val="center"/>
          </w:tcPr>
          <w:p>
            <w:pPr>
              <w:widowControl/>
              <w:rPr>
                <w:rFonts w:ascii="宋体" w:hAnsi="宋体" w:cs="宋体"/>
                <w:color w:val="000000"/>
                <w:kern w:val="0"/>
                <w:sz w:val="18"/>
                <w:szCs w:val="18"/>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626" w:type="dxa"/>
            <w:tcBorders>
              <w:left w:val="single" w:color="000000" w:sz="6" w:space="0"/>
            </w:tcBorders>
            <w:vAlign w:val="center"/>
          </w:tcPr>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rPr>
            </w:pPr>
            <w:r>
              <w:rPr>
                <w:rFonts w:hint="eastAsia"/>
                <w:spacing w:val="-2"/>
                <w:sz w:val="18"/>
                <w:szCs w:val="18"/>
              </w:rPr>
              <w:t>招标范围</w:t>
            </w:r>
          </w:p>
        </w:tc>
        <w:tc>
          <w:tcPr>
            <w:tcW w:w="7163" w:type="dxa"/>
            <w:gridSpan w:val="7"/>
            <w:tcBorders>
              <w:right w:val="single" w:color="000000" w:sz="6" w:space="0"/>
            </w:tcBorders>
            <w:vAlign w:val="center"/>
          </w:tcPr>
          <w:p>
            <w:pPr>
              <w:pStyle w:val="139"/>
              <w:spacing w:line="181" w:lineRule="auto"/>
              <w:ind w:left="113"/>
              <w:rPr>
                <w:sz w:val="18"/>
                <w:szCs w:val="18"/>
                <w:lang w:eastAsia="zh-CN"/>
              </w:rPr>
            </w:pPr>
            <w:r>
              <w:rPr>
                <w:rFonts w:hint="eastAsia"/>
                <w:sz w:val="18"/>
                <w:szCs w:val="18"/>
                <w:lang w:eastAsia="zh-CN"/>
              </w:rPr>
              <w:t>万福镇贵子沟村村路工程、万福镇前徐堡村村路工程、万福镇石岭村村路工程、梁屯镇杨村村路工程、什字街镇什字街村村路工程、什字街镇马屯村村路工程。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2" w:line="247" w:lineRule="auto"/>
              <w:ind w:left="526" w:right="208" w:hanging="315"/>
              <w:rPr>
                <w:sz w:val="18"/>
                <w:szCs w:val="18"/>
              </w:rPr>
            </w:pPr>
            <w:r>
              <w:rPr>
                <w:spacing w:val="-2"/>
                <w:sz w:val="18"/>
                <w:szCs w:val="18"/>
              </w:rPr>
              <w:t>投标保证金</w:t>
            </w:r>
            <w:r>
              <w:rPr>
                <w:spacing w:val="1"/>
                <w:sz w:val="18"/>
                <w:szCs w:val="18"/>
              </w:rPr>
              <w:t xml:space="preserve"> </w:t>
            </w:r>
            <w:r>
              <w:rPr>
                <w:spacing w:val="-2"/>
                <w:sz w:val="18"/>
                <w:szCs w:val="18"/>
              </w:rPr>
              <w:t>金额</w:t>
            </w:r>
          </w:p>
        </w:tc>
        <w:tc>
          <w:tcPr>
            <w:tcW w:w="2955" w:type="dxa"/>
            <w:gridSpan w:val="3"/>
            <w:vAlign w:val="center"/>
          </w:tcPr>
          <w:p>
            <w:pPr>
              <w:pStyle w:val="139"/>
              <w:spacing w:before="208" w:line="221" w:lineRule="auto"/>
              <w:ind w:left="1284"/>
              <w:rPr>
                <w:sz w:val="18"/>
                <w:szCs w:val="18"/>
              </w:rPr>
            </w:pPr>
            <w:r>
              <w:rPr>
                <w:rFonts w:hint="eastAsia"/>
                <w:spacing w:val="-10"/>
                <w:sz w:val="18"/>
                <w:szCs w:val="18"/>
                <w:lang w:eastAsia="zh-CN"/>
              </w:rPr>
              <w:t>3</w:t>
            </w:r>
            <w:r>
              <w:rPr>
                <w:spacing w:val="-39"/>
                <w:sz w:val="18"/>
                <w:szCs w:val="18"/>
              </w:rPr>
              <w:t xml:space="preserve"> </w:t>
            </w:r>
            <w:r>
              <w:rPr>
                <w:spacing w:val="-10"/>
                <w:sz w:val="18"/>
                <w:szCs w:val="18"/>
              </w:rPr>
              <w:t>万元</w:t>
            </w:r>
          </w:p>
        </w:tc>
        <w:tc>
          <w:tcPr>
            <w:tcW w:w="1526" w:type="dxa"/>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682" w:type="dxa"/>
            <w:gridSpan w:val="3"/>
            <w:tcBorders>
              <w:right w:val="single" w:color="000000" w:sz="6" w:space="0"/>
            </w:tcBorders>
            <w:vAlign w:val="center"/>
          </w:tcPr>
          <w:p>
            <w:pPr>
              <w:widowControl/>
              <w:rPr>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955" w:type="dxa"/>
            <w:gridSpan w:val="3"/>
            <w:vAlign w:val="center"/>
          </w:tcPr>
          <w:p>
            <w:pPr>
              <w:pStyle w:val="139"/>
              <w:spacing w:before="195" w:line="221" w:lineRule="auto"/>
              <w:ind w:left="693"/>
              <w:rPr>
                <w:sz w:val="18"/>
                <w:szCs w:val="18"/>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1526" w:type="dxa"/>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682" w:type="dxa"/>
            <w:gridSpan w:val="3"/>
            <w:tcBorders>
              <w:right w:val="single" w:color="000000" w:sz="6" w:space="0"/>
            </w:tcBorders>
            <w:vAlign w:val="center"/>
          </w:tcPr>
          <w:p>
            <w:pPr>
              <w:pStyle w:val="139"/>
              <w:spacing w:before="195" w:line="221" w:lineRule="auto"/>
              <w:ind w:left="405"/>
              <w:rPr>
                <w:sz w:val="18"/>
                <w:szCs w:val="18"/>
              </w:rPr>
            </w:pPr>
            <w:r>
              <w:rPr>
                <w:spacing w:val="-7"/>
                <w:sz w:val="18"/>
                <w:szCs w:val="18"/>
              </w:rPr>
              <w:t>202</w:t>
            </w:r>
            <w:r>
              <w:rPr>
                <w:rFonts w:hint="eastAsia"/>
                <w:spacing w:val="-7"/>
                <w:sz w:val="18"/>
                <w:szCs w:val="18"/>
                <w:lang w:val="en-US" w:eastAsia="zh-CN"/>
              </w:rPr>
              <w:t>4</w:t>
            </w:r>
            <w:r>
              <w:rPr>
                <w:spacing w:val="-7"/>
                <w:sz w:val="18"/>
                <w:szCs w:val="18"/>
              </w:rPr>
              <w:t>年</w:t>
            </w:r>
            <w:r>
              <w:rPr>
                <w:rFonts w:hint="eastAsia"/>
                <w:spacing w:val="-3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51" w:line="221" w:lineRule="auto"/>
              <w:rPr>
                <w:spacing w:val="-2"/>
                <w:sz w:val="18"/>
                <w:szCs w:val="18"/>
              </w:rPr>
            </w:pPr>
            <w:r>
              <w:rPr>
                <w:spacing w:val="-2"/>
                <w:sz w:val="18"/>
                <w:szCs w:val="18"/>
              </w:rPr>
              <w:t>项目负责人</w:t>
            </w:r>
            <w:r>
              <w:rPr>
                <w:spacing w:val="-4"/>
                <w:sz w:val="18"/>
                <w:szCs w:val="18"/>
              </w:rPr>
              <w:t>资格条件</w:t>
            </w:r>
          </w:p>
        </w:tc>
        <w:tc>
          <w:tcPr>
            <w:tcW w:w="7163" w:type="dxa"/>
            <w:gridSpan w:val="7"/>
            <w:tcBorders>
              <w:right w:val="single" w:color="000000" w:sz="6" w:space="0"/>
            </w:tcBorders>
            <w:vAlign w:val="center"/>
          </w:tcPr>
          <w:p>
            <w:pPr>
              <w:pStyle w:val="139"/>
              <w:spacing w:before="195" w:line="221" w:lineRule="auto"/>
              <w:rPr>
                <w:spacing w:val="-7"/>
                <w:sz w:val="18"/>
                <w:szCs w:val="18"/>
                <w:lang w:eastAsia="zh-CN"/>
              </w:rPr>
            </w:pPr>
            <w:r>
              <w:rPr>
                <w:rFonts w:hint="eastAsia"/>
                <w:color w:val="000000"/>
                <w:kern w:val="0"/>
                <w:sz w:val="18"/>
                <w:szCs w:val="18"/>
                <w:lang w:eastAsia="zh-CN"/>
              </w:rPr>
              <w:t>（[二级注册建造师·水利水电工程及以上]或者[二级注册建造师·公路工程及以上]或者[二级注册建造师·市政公用工程及以上]）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rFonts w:hint="eastAsia"/>
                <w:spacing w:val="-9"/>
                <w:sz w:val="18"/>
                <w:szCs w:val="18"/>
                <w:lang w:eastAsia="zh-CN"/>
              </w:rPr>
              <w:t>）</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51" w:line="221" w:lineRule="auto"/>
              <w:rPr>
                <w:spacing w:val="-2"/>
                <w:sz w:val="18"/>
                <w:szCs w:val="18"/>
              </w:rPr>
            </w:pPr>
            <w:r>
              <w:rPr>
                <w:spacing w:val="-2"/>
                <w:sz w:val="18"/>
                <w:szCs w:val="18"/>
              </w:rPr>
              <w:t>合同估算价</w:t>
            </w:r>
          </w:p>
        </w:tc>
        <w:tc>
          <w:tcPr>
            <w:tcW w:w="2336" w:type="dxa"/>
            <w:tcBorders>
              <w:right w:val="single" w:color="000000" w:sz="6" w:space="0"/>
            </w:tcBorders>
            <w:vAlign w:val="center"/>
          </w:tcPr>
          <w:p>
            <w:pPr>
              <w:pStyle w:val="139"/>
              <w:spacing w:before="195" w:line="221" w:lineRule="auto"/>
              <w:rPr>
                <w:color w:val="000000"/>
                <w:kern w:val="0"/>
                <w:sz w:val="18"/>
                <w:szCs w:val="18"/>
                <w:lang w:eastAsia="zh-CN"/>
              </w:rPr>
            </w:pPr>
            <w:r>
              <w:rPr>
                <w:rFonts w:hint="eastAsia"/>
                <w:spacing w:val="-6"/>
                <w:sz w:val="18"/>
                <w:szCs w:val="18"/>
                <w:lang w:eastAsia="zh-CN"/>
              </w:rPr>
              <w:t>341.23</w:t>
            </w:r>
            <w:r>
              <w:rPr>
                <w:spacing w:val="-39"/>
                <w:sz w:val="18"/>
                <w:szCs w:val="18"/>
              </w:rPr>
              <w:t xml:space="preserve"> </w:t>
            </w:r>
            <w:r>
              <w:rPr>
                <w:spacing w:val="-6"/>
                <w:sz w:val="18"/>
                <w:szCs w:val="18"/>
              </w:rPr>
              <w:t>万元</w:t>
            </w:r>
          </w:p>
        </w:tc>
        <w:tc>
          <w:tcPr>
            <w:tcW w:w="2285" w:type="dxa"/>
            <w:gridSpan w:val="4"/>
            <w:tcBorders>
              <w:right w:val="single" w:color="000000" w:sz="6" w:space="0"/>
            </w:tcBorders>
            <w:vAlign w:val="center"/>
          </w:tcPr>
          <w:p>
            <w:pPr>
              <w:pStyle w:val="139"/>
              <w:spacing w:before="195" w:line="221" w:lineRule="auto"/>
              <w:rPr>
                <w:color w:val="000000"/>
                <w:kern w:val="0"/>
                <w:sz w:val="18"/>
                <w:szCs w:val="18"/>
                <w:lang w:eastAsia="zh-CN"/>
              </w:rPr>
            </w:pPr>
            <w:r>
              <w:rPr>
                <w:rFonts w:hint="eastAsia"/>
                <w:color w:val="000000"/>
                <w:kern w:val="0"/>
                <w:sz w:val="18"/>
                <w:szCs w:val="18"/>
                <w:lang w:eastAsia="zh-CN"/>
              </w:rPr>
              <w:t>标段（包）文件售价</w:t>
            </w:r>
          </w:p>
        </w:tc>
        <w:tc>
          <w:tcPr>
            <w:tcW w:w="2542" w:type="dxa"/>
            <w:gridSpan w:val="2"/>
            <w:tcBorders>
              <w:right w:val="single" w:color="000000" w:sz="6" w:space="0"/>
            </w:tcBorders>
            <w:vAlign w:val="center"/>
          </w:tcPr>
          <w:p>
            <w:pPr>
              <w:pStyle w:val="139"/>
              <w:spacing w:before="195" w:line="221" w:lineRule="auto"/>
              <w:rPr>
                <w:color w:val="000000"/>
                <w:kern w:val="0"/>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6" w:type="dxa"/>
            <w:tcBorders>
              <w:left w:val="single" w:color="000000" w:sz="6" w:space="0"/>
            </w:tcBorders>
            <w:vAlign w:val="center"/>
          </w:tcPr>
          <w:p>
            <w:pPr>
              <w:pStyle w:val="139"/>
              <w:spacing w:before="52" w:line="248" w:lineRule="auto"/>
              <w:ind w:left="420" w:right="107" w:hanging="309"/>
              <w:rPr>
                <w:sz w:val="18"/>
                <w:szCs w:val="18"/>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right w:val="single" w:color="000000" w:sz="6" w:space="0"/>
            </w:tcBorders>
            <w:vAlign w:val="center"/>
          </w:tcPr>
          <w:p>
            <w:pPr>
              <w:pStyle w:val="139"/>
              <w:spacing w:before="207" w:line="221" w:lineRule="auto"/>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789" w:type="dxa"/>
            <w:gridSpan w:val="8"/>
            <w:tcBorders>
              <w:left w:val="single" w:color="000000" w:sz="6" w:space="0"/>
              <w:right w:val="single" w:color="000000" w:sz="6" w:space="0"/>
            </w:tcBorders>
            <w:vAlign w:val="center"/>
          </w:tcPr>
          <w:p>
            <w:pPr>
              <w:pStyle w:val="139"/>
              <w:spacing w:before="52" w:line="247" w:lineRule="auto"/>
              <w:ind w:left="210" w:right="109" w:hanging="59"/>
              <w:jc w:val="center"/>
              <w:rPr>
                <w:sz w:val="18"/>
                <w:szCs w:val="18"/>
                <w:lang w:eastAsia="zh-CN"/>
              </w:rPr>
            </w:pPr>
            <w:r>
              <w:rPr>
                <w:rFonts w:hint="eastAsia"/>
                <w:sz w:val="18"/>
                <w:szCs w:val="18"/>
                <w:lang w:eastAsia="zh-CN"/>
              </w:rPr>
              <w:t>二标段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6" w:line="247" w:lineRule="auto"/>
              <w:ind w:left="627" w:right="107" w:hanging="516"/>
              <w:rPr>
                <w:sz w:val="18"/>
                <w:szCs w:val="18"/>
              </w:rPr>
            </w:pPr>
            <w:r>
              <w:rPr>
                <w:spacing w:val="-3"/>
                <w:sz w:val="18"/>
                <w:szCs w:val="18"/>
              </w:rPr>
              <w:t>标段（包）名</w:t>
            </w:r>
            <w:r>
              <w:rPr>
                <w:sz w:val="18"/>
                <w:szCs w:val="18"/>
              </w:rPr>
              <w:t xml:space="preserve"> 称</w:t>
            </w:r>
          </w:p>
        </w:tc>
        <w:tc>
          <w:tcPr>
            <w:tcW w:w="2336" w:type="dxa"/>
            <w:tcBorders>
              <w:right w:val="single" w:color="000000" w:sz="6" w:space="0"/>
            </w:tcBorders>
            <w:vAlign w:val="center"/>
          </w:tcPr>
          <w:p>
            <w:pPr>
              <w:pStyle w:val="139"/>
              <w:spacing w:before="56" w:line="247" w:lineRule="auto"/>
              <w:ind w:left="414" w:right="133" w:hanging="273"/>
              <w:rPr>
                <w:sz w:val="18"/>
                <w:szCs w:val="18"/>
                <w:lang w:eastAsia="zh-CN"/>
              </w:rPr>
            </w:pPr>
            <w:r>
              <w:rPr>
                <w:rFonts w:hint="eastAsia"/>
                <w:sz w:val="18"/>
                <w:szCs w:val="18"/>
                <w:lang w:eastAsia="zh-CN"/>
              </w:rPr>
              <w:t>盖州市2024年大中型水库移民后期扶持规划项目（道路工程）施工二标段</w:t>
            </w:r>
          </w:p>
        </w:tc>
        <w:tc>
          <w:tcPr>
            <w:tcW w:w="2285" w:type="dxa"/>
            <w:gridSpan w:val="4"/>
            <w:tcBorders>
              <w:right w:val="single" w:color="000000" w:sz="6" w:space="0"/>
            </w:tcBorders>
            <w:vAlign w:val="center"/>
          </w:tcPr>
          <w:p>
            <w:pPr>
              <w:pStyle w:val="139"/>
              <w:spacing w:before="56" w:line="247" w:lineRule="auto"/>
              <w:ind w:left="666" w:right="127" w:hanging="527"/>
              <w:rPr>
                <w:sz w:val="18"/>
                <w:szCs w:val="18"/>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542" w:type="dxa"/>
            <w:gridSpan w:val="2"/>
            <w:tcBorders>
              <w:right w:val="single" w:color="000000" w:sz="6" w:space="0"/>
            </w:tcBorders>
            <w:vAlign w:val="center"/>
          </w:tcPr>
          <w:p>
            <w:pPr>
              <w:pStyle w:val="139"/>
              <w:spacing w:before="245" w:line="183" w:lineRule="auto"/>
              <w:ind w:left="117"/>
              <w:rPr>
                <w:sz w:val="18"/>
                <w:szCs w:val="18"/>
              </w:rPr>
            </w:pPr>
            <w:r>
              <w:rPr>
                <w:rFonts w:hint="eastAsia"/>
                <w:sz w:val="18"/>
                <w:szCs w:val="18"/>
                <w:lang w:eastAsia="zh-CN"/>
              </w:rPr>
              <w:t>202421080022965498002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7" w:line="247" w:lineRule="auto"/>
              <w:ind w:left="629" w:right="107" w:hanging="518"/>
              <w:rPr>
                <w:sz w:val="18"/>
                <w:szCs w:val="18"/>
              </w:rPr>
            </w:pPr>
            <w:r>
              <w:rPr>
                <w:spacing w:val="-3"/>
                <w:sz w:val="18"/>
                <w:szCs w:val="18"/>
              </w:rPr>
              <w:t>标段（包）性</w:t>
            </w:r>
            <w:r>
              <w:rPr>
                <w:sz w:val="18"/>
                <w:szCs w:val="18"/>
              </w:rPr>
              <w:t xml:space="preserve"> 质</w:t>
            </w:r>
          </w:p>
        </w:tc>
        <w:tc>
          <w:tcPr>
            <w:tcW w:w="2336" w:type="dxa"/>
            <w:tcBorders>
              <w:right w:val="single" w:color="000000" w:sz="6" w:space="0"/>
            </w:tcBorders>
            <w:vAlign w:val="center"/>
          </w:tcPr>
          <w:p>
            <w:pPr>
              <w:pStyle w:val="139"/>
              <w:spacing w:before="212" w:line="220" w:lineRule="auto"/>
              <w:ind w:left="510"/>
              <w:rPr>
                <w:sz w:val="18"/>
                <w:szCs w:val="18"/>
                <w:lang w:eastAsia="zh-CN"/>
              </w:rPr>
            </w:pPr>
            <w:r>
              <w:rPr>
                <w:spacing w:val="-1"/>
                <w:sz w:val="18"/>
                <w:szCs w:val="18"/>
                <w:lang w:eastAsia="zh-CN"/>
              </w:rPr>
              <w:t>非依法必须招标的项目</w:t>
            </w:r>
          </w:p>
        </w:tc>
        <w:tc>
          <w:tcPr>
            <w:tcW w:w="2285" w:type="dxa"/>
            <w:gridSpan w:val="4"/>
            <w:tcBorders>
              <w:right w:val="single" w:color="000000" w:sz="6" w:space="0"/>
            </w:tcBorders>
            <w:vAlign w:val="center"/>
          </w:tcPr>
          <w:p>
            <w:pPr>
              <w:pStyle w:val="139"/>
              <w:spacing w:before="57" w:line="247" w:lineRule="auto"/>
              <w:ind w:left="663" w:right="127" w:hanging="524"/>
              <w:rPr>
                <w:sz w:val="18"/>
                <w:szCs w:val="18"/>
              </w:rPr>
            </w:pPr>
            <w:r>
              <w:rPr>
                <w:spacing w:val="-16"/>
                <w:sz w:val="18"/>
                <w:szCs w:val="18"/>
              </w:rPr>
              <w:t>标段（包） 内</w:t>
            </w:r>
            <w:r>
              <w:rPr>
                <w:sz w:val="18"/>
                <w:szCs w:val="18"/>
              </w:rPr>
              <w:t xml:space="preserve"> 容</w:t>
            </w:r>
          </w:p>
        </w:tc>
        <w:tc>
          <w:tcPr>
            <w:tcW w:w="2542" w:type="dxa"/>
            <w:gridSpan w:val="2"/>
            <w:tcBorders>
              <w:right w:val="single" w:color="000000" w:sz="6" w:space="0"/>
            </w:tcBorders>
            <w:vAlign w:val="center"/>
          </w:tcPr>
          <w:p>
            <w:pPr>
              <w:pStyle w:val="139"/>
              <w:spacing w:before="212" w:line="223" w:lineRule="auto"/>
              <w:ind w:left="1007"/>
              <w:rPr>
                <w:sz w:val="18"/>
                <w:szCs w:val="18"/>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｛（水利水电工程三级及公路工程三级(施工总承包)）或者（水利水电工程三级及市政公用工程三级(施工总承包)）｝及以上资质并具有有效的安全生产许可证。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sz w:val="18"/>
                <w:szCs w:val="18"/>
              </w:rPr>
            </w:pPr>
            <w:r>
              <w:rPr>
                <w:rFonts w:hint="eastAsia" w:ascii="宋体" w:hAnsi="宋体" w:cs="宋体"/>
                <w:color w:val="000000"/>
                <w:kern w:val="0"/>
                <w:sz w:val="18"/>
                <w:szCs w:val="18"/>
              </w:rPr>
              <w:t>要求</w:t>
            </w:r>
          </w:p>
        </w:tc>
        <w:tc>
          <w:tcPr>
            <w:tcW w:w="7163" w:type="dxa"/>
            <w:gridSpan w:val="7"/>
            <w:tcBorders>
              <w:right w:val="single" w:color="000000" w:sz="6" w:space="0"/>
            </w:tcBorders>
            <w:vAlign w:val="center"/>
          </w:tcPr>
          <w:p>
            <w:pPr>
              <w:widowControl/>
              <w:rPr>
                <w:sz w:val="18"/>
                <w:szCs w:val="18"/>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spacing w:line="272" w:lineRule="auto"/>
              <w:rPr>
                <w:rFonts w:ascii="Arial"/>
                <w:sz w:val="18"/>
                <w:szCs w:val="18"/>
              </w:rPr>
            </w:pPr>
          </w:p>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rPr>
            </w:pPr>
            <w:r>
              <w:rPr>
                <w:rFonts w:hint="eastAsia"/>
                <w:spacing w:val="-2"/>
                <w:sz w:val="18"/>
                <w:szCs w:val="18"/>
              </w:rPr>
              <w:t>招标范围</w:t>
            </w:r>
          </w:p>
        </w:tc>
        <w:tc>
          <w:tcPr>
            <w:tcW w:w="7163" w:type="dxa"/>
            <w:gridSpan w:val="7"/>
            <w:tcBorders>
              <w:right w:val="single" w:color="000000" w:sz="6" w:space="0"/>
            </w:tcBorders>
            <w:vAlign w:val="center"/>
          </w:tcPr>
          <w:p>
            <w:pPr>
              <w:pStyle w:val="139"/>
              <w:spacing w:line="181" w:lineRule="auto"/>
              <w:ind w:left="113"/>
              <w:rPr>
                <w:sz w:val="18"/>
                <w:szCs w:val="18"/>
                <w:lang w:eastAsia="zh-CN"/>
              </w:rPr>
            </w:pPr>
          </w:p>
          <w:p>
            <w:pPr>
              <w:pStyle w:val="139"/>
              <w:spacing w:line="181" w:lineRule="auto"/>
              <w:ind w:left="113"/>
              <w:rPr>
                <w:sz w:val="18"/>
                <w:szCs w:val="18"/>
                <w:lang w:eastAsia="zh-CN"/>
              </w:rPr>
            </w:pPr>
            <w:r>
              <w:rPr>
                <w:rFonts w:hint="eastAsia"/>
                <w:sz w:val="18"/>
                <w:szCs w:val="18"/>
                <w:lang w:eastAsia="zh-CN"/>
              </w:rPr>
              <w:t>高屯镇大胡峪村村路工程、高屯镇和美村村路工程、卧龙泉镇卧龙泉村村路工程、团山街道办事处任屯村村路工程、团山街道办事处李漠洛村村路工程、</w:t>
            </w:r>
          </w:p>
          <w:p>
            <w:pPr>
              <w:pStyle w:val="139"/>
              <w:spacing w:line="181" w:lineRule="auto"/>
              <w:ind w:left="113"/>
              <w:rPr>
                <w:sz w:val="18"/>
                <w:szCs w:val="18"/>
                <w:lang w:eastAsia="zh-CN"/>
              </w:rPr>
            </w:pPr>
            <w:r>
              <w:rPr>
                <w:rFonts w:hint="eastAsia"/>
                <w:sz w:val="18"/>
                <w:szCs w:val="18"/>
                <w:lang w:eastAsia="zh-CN"/>
              </w:rPr>
              <w:t>九寨镇赵丁屯村村路工程。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2" w:line="247" w:lineRule="auto"/>
              <w:ind w:left="526" w:right="208" w:hanging="315"/>
              <w:rPr>
                <w:sz w:val="18"/>
                <w:szCs w:val="18"/>
              </w:rPr>
            </w:pPr>
            <w:r>
              <w:rPr>
                <w:spacing w:val="-2"/>
                <w:sz w:val="18"/>
                <w:szCs w:val="18"/>
              </w:rPr>
              <w:t>投标保证金</w:t>
            </w:r>
            <w:r>
              <w:rPr>
                <w:spacing w:val="1"/>
                <w:sz w:val="18"/>
                <w:szCs w:val="18"/>
              </w:rPr>
              <w:t xml:space="preserve"> </w:t>
            </w:r>
            <w:r>
              <w:rPr>
                <w:spacing w:val="-2"/>
                <w:sz w:val="18"/>
                <w:szCs w:val="18"/>
              </w:rPr>
              <w:t>金额</w:t>
            </w:r>
          </w:p>
        </w:tc>
        <w:tc>
          <w:tcPr>
            <w:tcW w:w="2336" w:type="dxa"/>
            <w:tcBorders>
              <w:right w:val="single" w:color="000000" w:sz="6" w:space="0"/>
            </w:tcBorders>
            <w:vAlign w:val="center"/>
          </w:tcPr>
          <w:p>
            <w:pPr>
              <w:pStyle w:val="139"/>
              <w:spacing w:before="208" w:line="221" w:lineRule="auto"/>
              <w:ind w:left="1284"/>
              <w:rPr>
                <w:sz w:val="18"/>
                <w:szCs w:val="18"/>
              </w:rPr>
            </w:pPr>
            <w:r>
              <w:rPr>
                <w:rFonts w:hint="eastAsia"/>
                <w:spacing w:val="-10"/>
                <w:sz w:val="18"/>
                <w:szCs w:val="18"/>
                <w:lang w:eastAsia="zh-CN"/>
              </w:rPr>
              <w:t>3</w:t>
            </w:r>
            <w:r>
              <w:rPr>
                <w:spacing w:val="-39"/>
                <w:sz w:val="18"/>
                <w:szCs w:val="18"/>
              </w:rPr>
              <w:t xml:space="preserve"> </w:t>
            </w:r>
            <w:r>
              <w:rPr>
                <w:rFonts w:hint="eastAsia"/>
                <w:spacing w:val="-39"/>
                <w:sz w:val="18"/>
                <w:szCs w:val="18"/>
                <w:lang w:eastAsia="zh-CN"/>
              </w:rPr>
              <w:t>.5</w:t>
            </w:r>
            <w:r>
              <w:rPr>
                <w:spacing w:val="-10"/>
                <w:sz w:val="18"/>
                <w:szCs w:val="18"/>
              </w:rPr>
              <w:t>万元</w:t>
            </w:r>
          </w:p>
        </w:tc>
        <w:tc>
          <w:tcPr>
            <w:tcW w:w="2285" w:type="dxa"/>
            <w:gridSpan w:val="4"/>
            <w:tcBorders>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542" w:type="dxa"/>
            <w:gridSpan w:val="2"/>
            <w:tcBorders>
              <w:right w:val="single" w:color="000000" w:sz="6" w:space="0"/>
            </w:tcBorders>
            <w:vAlign w:val="center"/>
          </w:tcPr>
          <w:p>
            <w:pPr>
              <w:widowControl/>
              <w:rPr>
                <w:rFonts w:ascii="Times New Roman" w:hAnsi="Times New Roman"/>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336" w:type="dxa"/>
            <w:tcBorders>
              <w:right w:val="single" w:color="000000" w:sz="6" w:space="0"/>
            </w:tcBorders>
            <w:vAlign w:val="center"/>
          </w:tcPr>
          <w:p>
            <w:pPr>
              <w:pStyle w:val="139"/>
              <w:spacing w:before="195" w:line="221" w:lineRule="auto"/>
              <w:ind w:left="693"/>
              <w:rPr>
                <w:sz w:val="18"/>
                <w:szCs w:val="18"/>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eastAsia="zh-CN"/>
              </w:rPr>
              <w:t xml:space="preserve"> </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2285" w:type="dxa"/>
            <w:gridSpan w:val="4"/>
            <w:tcBorders>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542" w:type="dxa"/>
            <w:gridSpan w:val="2"/>
            <w:tcBorders>
              <w:right w:val="single" w:color="000000" w:sz="6" w:space="0"/>
            </w:tcBorders>
            <w:vAlign w:val="center"/>
          </w:tcPr>
          <w:p>
            <w:pPr>
              <w:pStyle w:val="139"/>
              <w:spacing w:before="195" w:line="221" w:lineRule="auto"/>
              <w:ind w:left="405"/>
              <w:rPr>
                <w:sz w:val="18"/>
                <w:szCs w:val="18"/>
              </w:rPr>
            </w:pPr>
            <w:r>
              <w:rPr>
                <w:spacing w:val="-7"/>
                <w:sz w:val="18"/>
                <w:szCs w:val="18"/>
              </w:rPr>
              <w:t>202</w:t>
            </w:r>
            <w:r>
              <w:rPr>
                <w:rFonts w:hint="eastAsia"/>
                <w:spacing w:val="-7"/>
                <w:sz w:val="18"/>
                <w:szCs w:val="18"/>
                <w:lang w:val="en-US" w:eastAsia="zh-CN"/>
              </w:rPr>
              <w:t>4</w:t>
            </w:r>
            <w:r>
              <w:rPr>
                <w:spacing w:val="-43"/>
                <w:sz w:val="18"/>
                <w:szCs w:val="18"/>
              </w:rPr>
              <w:t xml:space="preserve"> </w:t>
            </w:r>
            <w:r>
              <w:rPr>
                <w:spacing w:val="-7"/>
                <w:sz w:val="18"/>
                <w:szCs w:val="18"/>
              </w:rPr>
              <w:t>年</w:t>
            </w:r>
            <w:r>
              <w:rPr>
                <w:spacing w:val="-39"/>
                <w:sz w:val="18"/>
                <w:szCs w:val="18"/>
              </w:rPr>
              <w:t xml:space="preserve"> </w:t>
            </w:r>
            <w:r>
              <w:rPr>
                <w:rFonts w:hint="eastAsia"/>
                <w:spacing w:val="-39"/>
                <w:sz w:val="18"/>
                <w:szCs w:val="18"/>
                <w:lang w:val="en-US" w:eastAsia="zh-CN"/>
              </w:rPr>
              <w:t>/</w:t>
            </w:r>
            <w:r>
              <w:rPr>
                <w:spacing w:val="-7"/>
                <w:sz w:val="18"/>
                <w:szCs w:val="18"/>
              </w:rPr>
              <w:t>月</w:t>
            </w:r>
            <w:r>
              <w:rPr>
                <w:spacing w:val="-29"/>
                <w:sz w:val="18"/>
                <w:szCs w:val="18"/>
              </w:rPr>
              <w:t xml:space="preserve"> </w:t>
            </w:r>
            <w:r>
              <w:rPr>
                <w:rFonts w:hint="eastAsia"/>
                <w:spacing w:val="-7"/>
                <w:sz w:val="18"/>
                <w:szCs w:val="18"/>
                <w:lang w:val="en-US" w:eastAsia="zh-CN"/>
              </w:rPr>
              <w:t>/</w:t>
            </w:r>
            <w:r>
              <w:rPr>
                <w:spacing w:val="-7"/>
                <w:sz w:val="18"/>
                <w:szCs w:val="18"/>
              </w:rPr>
              <w:t xml:space="preserve">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1" w:line="221" w:lineRule="auto"/>
              <w:rPr>
                <w:spacing w:val="-2"/>
                <w:sz w:val="18"/>
                <w:szCs w:val="18"/>
              </w:rPr>
            </w:pPr>
            <w:r>
              <w:rPr>
                <w:spacing w:val="-2"/>
                <w:sz w:val="18"/>
                <w:szCs w:val="18"/>
              </w:rPr>
              <w:t>项目负责人</w:t>
            </w:r>
            <w:r>
              <w:rPr>
                <w:spacing w:val="-4"/>
                <w:sz w:val="18"/>
                <w:szCs w:val="18"/>
              </w:rPr>
              <w:t>资格条件</w:t>
            </w:r>
          </w:p>
        </w:tc>
        <w:tc>
          <w:tcPr>
            <w:tcW w:w="7163" w:type="dxa"/>
            <w:gridSpan w:val="7"/>
            <w:tcBorders>
              <w:right w:val="single" w:color="000000" w:sz="6" w:space="0"/>
            </w:tcBorders>
            <w:vAlign w:val="center"/>
          </w:tcPr>
          <w:p>
            <w:pPr>
              <w:pStyle w:val="139"/>
              <w:spacing w:before="195" w:line="221" w:lineRule="auto"/>
              <w:rPr>
                <w:spacing w:val="-7"/>
                <w:sz w:val="18"/>
                <w:szCs w:val="18"/>
                <w:lang w:eastAsia="zh-CN"/>
              </w:rPr>
            </w:pPr>
            <w:r>
              <w:rPr>
                <w:rFonts w:hint="eastAsia"/>
                <w:color w:val="000000"/>
                <w:kern w:val="0"/>
                <w:sz w:val="18"/>
                <w:szCs w:val="18"/>
                <w:lang w:eastAsia="zh-CN"/>
              </w:rPr>
              <w:t>（[二级注册建造师·水利水电工程及以上]或者[二级注册建造师·公路工程及以上]或者[二级注册建造师·市政公用工程及以上]）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rFonts w:hint="eastAsia"/>
                <w:spacing w:val="-9"/>
                <w:sz w:val="18"/>
                <w:szCs w:val="18"/>
                <w:lang w:eastAsia="zh-CN"/>
              </w:rPr>
              <w:t>）</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1" w:line="221" w:lineRule="auto"/>
              <w:rPr>
                <w:sz w:val="18"/>
                <w:szCs w:val="18"/>
              </w:rPr>
            </w:pPr>
            <w:r>
              <w:rPr>
                <w:spacing w:val="-2"/>
                <w:sz w:val="18"/>
                <w:szCs w:val="18"/>
              </w:rPr>
              <w:t>合同估算价</w:t>
            </w:r>
          </w:p>
        </w:tc>
        <w:tc>
          <w:tcPr>
            <w:tcW w:w="2640" w:type="dxa"/>
            <w:gridSpan w:val="2"/>
            <w:tcBorders>
              <w:right w:val="single" w:color="000000" w:sz="6" w:space="0"/>
            </w:tcBorders>
            <w:vAlign w:val="center"/>
          </w:tcPr>
          <w:p>
            <w:pPr>
              <w:pStyle w:val="139"/>
              <w:spacing w:before="195" w:line="221" w:lineRule="auto"/>
              <w:rPr>
                <w:sz w:val="18"/>
                <w:szCs w:val="18"/>
              </w:rPr>
            </w:pPr>
            <w:r>
              <w:rPr>
                <w:rFonts w:hint="eastAsia"/>
                <w:spacing w:val="-6"/>
                <w:sz w:val="18"/>
                <w:szCs w:val="18"/>
                <w:lang w:eastAsia="zh-CN"/>
              </w:rPr>
              <w:t>378.28</w:t>
            </w:r>
            <w:r>
              <w:rPr>
                <w:spacing w:val="-39"/>
                <w:sz w:val="18"/>
                <w:szCs w:val="18"/>
              </w:rPr>
              <w:t xml:space="preserve"> </w:t>
            </w:r>
            <w:r>
              <w:rPr>
                <w:spacing w:val="-6"/>
                <w:sz w:val="18"/>
                <w:szCs w:val="18"/>
              </w:rPr>
              <w:t>万元</w:t>
            </w:r>
          </w:p>
        </w:tc>
        <w:tc>
          <w:tcPr>
            <w:tcW w:w="2133" w:type="dxa"/>
            <w:gridSpan w:val="4"/>
            <w:tcBorders>
              <w:left w:val="single" w:color="000000" w:sz="6" w:space="0"/>
            </w:tcBorders>
            <w:vAlign w:val="center"/>
          </w:tcPr>
          <w:p>
            <w:pPr>
              <w:pStyle w:val="139"/>
              <w:spacing w:before="195" w:line="221" w:lineRule="auto"/>
              <w:rPr>
                <w:sz w:val="18"/>
                <w:szCs w:val="18"/>
              </w:rPr>
            </w:pPr>
            <w:r>
              <w:rPr>
                <w:rFonts w:hint="eastAsia"/>
                <w:color w:val="000000"/>
                <w:kern w:val="0"/>
                <w:sz w:val="18"/>
                <w:szCs w:val="18"/>
                <w:lang w:eastAsia="zh-CN"/>
              </w:rPr>
              <w:t>标段（包）文件售价</w:t>
            </w:r>
          </w:p>
        </w:tc>
        <w:tc>
          <w:tcPr>
            <w:tcW w:w="2390" w:type="dxa"/>
            <w:tcBorders>
              <w:left w:val="single" w:color="000000" w:sz="6" w:space="0"/>
            </w:tcBorders>
            <w:vAlign w:val="center"/>
          </w:tcPr>
          <w:p>
            <w:pPr>
              <w:pStyle w:val="139"/>
              <w:spacing w:before="195" w:line="221" w:lineRule="auto"/>
              <w:rPr>
                <w:sz w:val="18"/>
                <w:szCs w:val="18"/>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2" w:line="248" w:lineRule="auto"/>
              <w:ind w:left="420" w:right="107" w:hanging="309"/>
              <w:rPr>
                <w:sz w:val="18"/>
                <w:szCs w:val="18"/>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right w:val="single" w:color="000000" w:sz="6" w:space="0"/>
            </w:tcBorders>
            <w:vAlign w:val="center"/>
          </w:tcPr>
          <w:p>
            <w:pPr>
              <w:pStyle w:val="139"/>
              <w:spacing w:before="207" w:line="221" w:lineRule="auto"/>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789" w:type="dxa"/>
            <w:gridSpan w:val="8"/>
            <w:tcBorders>
              <w:left w:val="single" w:color="000000" w:sz="6" w:space="0"/>
              <w:right w:val="single" w:color="000000" w:sz="6" w:space="0"/>
            </w:tcBorders>
            <w:vAlign w:val="center"/>
          </w:tcPr>
          <w:p>
            <w:pPr>
              <w:pStyle w:val="139"/>
              <w:spacing w:before="199" w:line="221" w:lineRule="auto"/>
              <w:ind w:left="3154" w:firstLine="720" w:firstLineChars="400"/>
              <w:rPr>
                <w:sz w:val="18"/>
                <w:szCs w:val="18"/>
                <w:lang w:eastAsia="zh-CN"/>
              </w:rPr>
            </w:pPr>
            <w:r>
              <w:rPr>
                <w:rFonts w:hint="eastAsia"/>
                <w:sz w:val="18"/>
                <w:szCs w:val="18"/>
                <w:lang w:eastAsia="zh-CN"/>
              </w:rPr>
              <w:t>三标段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6" w:line="247" w:lineRule="auto"/>
              <w:ind w:left="627" w:right="107" w:hanging="516"/>
              <w:rPr>
                <w:sz w:val="18"/>
                <w:szCs w:val="18"/>
                <w:lang w:eastAsia="zh-CN"/>
              </w:rPr>
            </w:pPr>
            <w:r>
              <w:rPr>
                <w:spacing w:val="-3"/>
                <w:sz w:val="18"/>
                <w:szCs w:val="18"/>
              </w:rPr>
              <w:t>标段（包）名</w:t>
            </w:r>
            <w:r>
              <w:rPr>
                <w:sz w:val="18"/>
                <w:szCs w:val="18"/>
              </w:rPr>
              <w:t xml:space="preserve"> 称</w:t>
            </w:r>
          </w:p>
        </w:tc>
        <w:tc>
          <w:tcPr>
            <w:tcW w:w="2640" w:type="dxa"/>
            <w:gridSpan w:val="2"/>
            <w:tcBorders>
              <w:left w:val="single" w:color="000000" w:sz="6" w:space="0"/>
              <w:right w:val="single" w:color="000000" w:sz="6" w:space="0"/>
            </w:tcBorders>
            <w:vAlign w:val="center"/>
          </w:tcPr>
          <w:p>
            <w:pPr>
              <w:pStyle w:val="139"/>
              <w:spacing w:before="56" w:line="247" w:lineRule="auto"/>
              <w:ind w:left="14" w:right="133" w:hanging="14"/>
              <w:rPr>
                <w:sz w:val="18"/>
                <w:szCs w:val="18"/>
                <w:lang w:eastAsia="zh-CN"/>
              </w:rPr>
            </w:pPr>
            <w:r>
              <w:rPr>
                <w:rFonts w:hint="eastAsia"/>
                <w:sz w:val="18"/>
                <w:szCs w:val="18"/>
                <w:lang w:eastAsia="zh-CN"/>
              </w:rPr>
              <w:t>盖州市2024年大中型水库移民后期扶持规划项目（道路工程）施工三标段</w:t>
            </w:r>
          </w:p>
        </w:tc>
        <w:tc>
          <w:tcPr>
            <w:tcW w:w="2133" w:type="dxa"/>
            <w:gridSpan w:val="4"/>
            <w:tcBorders>
              <w:left w:val="single" w:color="000000" w:sz="6" w:space="0"/>
              <w:right w:val="single" w:color="000000" w:sz="6" w:space="0"/>
            </w:tcBorders>
            <w:vAlign w:val="center"/>
          </w:tcPr>
          <w:p>
            <w:pPr>
              <w:pStyle w:val="139"/>
              <w:spacing w:before="56" w:line="247" w:lineRule="auto"/>
              <w:ind w:left="666" w:right="127" w:hanging="527"/>
              <w:rPr>
                <w:sz w:val="18"/>
                <w:szCs w:val="18"/>
                <w:lang w:eastAsia="zh-CN"/>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390" w:type="dxa"/>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202421080022965498003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z w:val="18"/>
                <w:szCs w:val="18"/>
                <w:lang w:eastAsia="zh-CN"/>
              </w:rPr>
            </w:pPr>
            <w:r>
              <w:rPr>
                <w:spacing w:val="-3"/>
                <w:sz w:val="18"/>
                <w:szCs w:val="18"/>
              </w:rPr>
              <w:t>标段（包）性</w:t>
            </w:r>
            <w:r>
              <w:rPr>
                <w:sz w:val="18"/>
                <w:szCs w:val="18"/>
              </w:rPr>
              <w:t xml:space="preserve"> 质</w:t>
            </w:r>
          </w:p>
        </w:tc>
        <w:tc>
          <w:tcPr>
            <w:tcW w:w="2640" w:type="dxa"/>
            <w:gridSpan w:val="2"/>
            <w:tcBorders>
              <w:left w:val="single" w:color="000000" w:sz="6" w:space="0"/>
              <w:right w:val="single" w:color="000000" w:sz="6" w:space="0"/>
            </w:tcBorders>
            <w:vAlign w:val="center"/>
          </w:tcPr>
          <w:p>
            <w:pPr>
              <w:pStyle w:val="139"/>
              <w:spacing w:before="212" w:line="220" w:lineRule="auto"/>
              <w:rPr>
                <w:sz w:val="18"/>
                <w:szCs w:val="18"/>
                <w:lang w:eastAsia="zh-CN"/>
              </w:rPr>
            </w:pPr>
            <w:r>
              <w:rPr>
                <w:spacing w:val="-1"/>
                <w:sz w:val="18"/>
                <w:szCs w:val="18"/>
                <w:lang w:eastAsia="zh-CN"/>
              </w:rPr>
              <w:t>非依法必须招标的项目</w:t>
            </w:r>
          </w:p>
        </w:tc>
        <w:tc>
          <w:tcPr>
            <w:tcW w:w="2133" w:type="dxa"/>
            <w:gridSpan w:val="4"/>
            <w:tcBorders>
              <w:left w:val="single" w:color="000000" w:sz="6" w:space="0"/>
              <w:right w:val="single" w:color="000000" w:sz="6" w:space="0"/>
            </w:tcBorders>
            <w:vAlign w:val="center"/>
          </w:tcPr>
          <w:p>
            <w:pPr>
              <w:pStyle w:val="139"/>
              <w:spacing w:before="57" w:line="247" w:lineRule="auto"/>
              <w:ind w:left="663" w:right="127" w:hanging="524"/>
              <w:rPr>
                <w:sz w:val="18"/>
                <w:szCs w:val="18"/>
                <w:lang w:eastAsia="zh-CN"/>
              </w:rPr>
            </w:pPr>
            <w:r>
              <w:rPr>
                <w:spacing w:val="-16"/>
                <w:sz w:val="18"/>
                <w:szCs w:val="18"/>
              </w:rPr>
              <w:t>标段（包） 内</w:t>
            </w:r>
            <w:r>
              <w:rPr>
                <w:sz w:val="18"/>
                <w:szCs w:val="18"/>
              </w:rPr>
              <w:t xml:space="preserve"> 容</w:t>
            </w:r>
          </w:p>
        </w:tc>
        <w:tc>
          <w:tcPr>
            <w:tcW w:w="2390" w:type="dxa"/>
            <w:tcBorders>
              <w:left w:val="single" w:color="000000" w:sz="6" w:space="0"/>
              <w:right w:val="single" w:color="000000" w:sz="6" w:space="0"/>
            </w:tcBorders>
            <w:vAlign w:val="center"/>
          </w:tcPr>
          <w:p>
            <w:pPr>
              <w:pStyle w:val="139"/>
              <w:spacing w:before="212" w:line="223" w:lineRule="auto"/>
              <w:ind w:left="1007"/>
              <w:rPr>
                <w:sz w:val="18"/>
                <w:szCs w:val="18"/>
                <w:lang w:eastAsia="zh-CN"/>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left w:val="single" w:color="000000" w:sz="6" w:space="0"/>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｛（水利水电工程三级及公路工程三级(施工总承包)）或者（水利水电工程三级及市政公用工程三级(施工总承包)）｝及以上资质并具有有效的安全生产许可证。</w:t>
            </w:r>
            <w:bookmarkStart w:id="649" w:name="_GoBack"/>
            <w:bookmarkEnd w:id="649"/>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rFonts w:ascii="Times New Roman" w:hAnsi="Times New Roman"/>
                <w:sz w:val="18"/>
                <w:szCs w:val="18"/>
              </w:rPr>
            </w:pPr>
            <w:r>
              <w:rPr>
                <w:rFonts w:hint="eastAsia" w:ascii="宋体" w:hAnsi="宋体" w:cs="宋体"/>
                <w:color w:val="000000"/>
                <w:kern w:val="0"/>
                <w:sz w:val="18"/>
                <w:szCs w:val="18"/>
              </w:rPr>
              <w:t>要求</w:t>
            </w:r>
          </w:p>
        </w:tc>
        <w:tc>
          <w:tcPr>
            <w:tcW w:w="7163" w:type="dxa"/>
            <w:gridSpan w:val="7"/>
            <w:tcBorders>
              <w:left w:val="single" w:color="000000" w:sz="6" w:space="0"/>
              <w:right w:val="single" w:color="000000" w:sz="6" w:space="0"/>
            </w:tcBorders>
            <w:vAlign w:val="center"/>
          </w:tcPr>
          <w:p>
            <w:pPr>
              <w:pStyle w:val="139"/>
              <w:spacing w:before="199" w:line="221" w:lineRule="auto"/>
              <w:ind w:left="3154"/>
              <w:rPr>
                <w:sz w:val="18"/>
                <w:szCs w:val="18"/>
                <w:lang w:eastAsia="zh-CN"/>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spacing w:line="272" w:lineRule="auto"/>
              <w:rPr>
                <w:rFonts w:ascii="Arial"/>
                <w:sz w:val="18"/>
                <w:szCs w:val="18"/>
              </w:rPr>
            </w:pPr>
          </w:p>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lang w:eastAsia="zh-CN"/>
              </w:rPr>
            </w:pPr>
            <w:r>
              <w:rPr>
                <w:rFonts w:hint="eastAsia"/>
                <w:spacing w:val="-2"/>
                <w:sz w:val="18"/>
                <w:szCs w:val="18"/>
              </w:rPr>
              <w:t>招标范围</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太阳升街道办事处光荣村村路工程、东城街道办事处路西村村路工程、东城街道办事处古台子村村路工程、东城街道办事处张郎寨村村路工程、东城街道办事处胡屯村村路工程.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7" w:lineRule="auto"/>
              <w:ind w:left="526" w:right="208" w:hanging="315"/>
              <w:rPr>
                <w:sz w:val="18"/>
                <w:szCs w:val="18"/>
                <w:lang w:eastAsia="zh-CN"/>
              </w:rPr>
            </w:pPr>
            <w:r>
              <w:rPr>
                <w:spacing w:val="-2"/>
                <w:sz w:val="18"/>
                <w:szCs w:val="18"/>
              </w:rPr>
              <w:t>投标保证金</w:t>
            </w:r>
            <w:r>
              <w:rPr>
                <w:spacing w:val="1"/>
                <w:sz w:val="18"/>
                <w:szCs w:val="18"/>
              </w:rPr>
              <w:t xml:space="preserve"> </w:t>
            </w:r>
            <w:r>
              <w:rPr>
                <w:spacing w:val="-2"/>
                <w:sz w:val="18"/>
                <w:szCs w:val="18"/>
              </w:rPr>
              <w:t>金额</w:t>
            </w:r>
          </w:p>
        </w:tc>
        <w:tc>
          <w:tcPr>
            <w:tcW w:w="2640" w:type="dxa"/>
            <w:gridSpan w:val="2"/>
            <w:tcBorders>
              <w:left w:val="single" w:color="000000" w:sz="6" w:space="0"/>
              <w:right w:val="single" w:color="000000" w:sz="6" w:space="0"/>
            </w:tcBorders>
            <w:vAlign w:val="center"/>
          </w:tcPr>
          <w:p>
            <w:pPr>
              <w:pStyle w:val="139"/>
              <w:spacing w:before="208" w:line="221" w:lineRule="auto"/>
              <w:ind w:left="1284"/>
              <w:rPr>
                <w:sz w:val="18"/>
                <w:szCs w:val="18"/>
                <w:lang w:eastAsia="zh-CN"/>
              </w:rPr>
            </w:pPr>
            <w:r>
              <w:rPr>
                <w:rFonts w:hint="eastAsia"/>
                <w:spacing w:val="-10"/>
                <w:sz w:val="18"/>
                <w:szCs w:val="18"/>
                <w:lang w:eastAsia="zh-CN"/>
              </w:rPr>
              <w:t>2</w:t>
            </w:r>
            <w:r>
              <w:rPr>
                <w:spacing w:val="-39"/>
                <w:sz w:val="18"/>
                <w:szCs w:val="18"/>
              </w:rPr>
              <w:t xml:space="preserve"> </w:t>
            </w:r>
            <w:r>
              <w:rPr>
                <w:spacing w:val="-10"/>
                <w:sz w:val="18"/>
                <w:szCs w:val="18"/>
              </w:rPr>
              <w:t>万元</w:t>
            </w:r>
          </w:p>
        </w:tc>
        <w:tc>
          <w:tcPr>
            <w:tcW w:w="2133" w:type="dxa"/>
            <w:gridSpan w:val="4"/>
            <w:tcBorders>
              <w:left w:val="single" w:color="000000" w:sz="6" w:space="0"/>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390" w:type="dxa"/>
            <w:tcBorders>
              <w:left w:val="single" w:color="000000" w:sz="6" w:space="0"/>
              <w:right w:val="single" w:color="000000" w:sz="6" w:space="0"/>
            </w:tcBorders>
            <w:vAlign w:val="center"/>
          </w:tcPr>
          <w:p>
            <w:pPr>
              <w:widowControl/>
              <w:rPr>
                <w:rFonts w:ascii="Times New Roman" w:hAnsi="Times New Roman"/>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640" w:type="dxa"/>
            <w:gridSpan w:val="2"/>
            <w:tcBorders>
              <w:left w:val="single" w:color="000000" w:sz="6" w:space="0"/>
              <w:right w:val="single" w:color="000000" w:sz="6" w:space="0"/>
            </w:tcBorders>
            <w:vAlign w:val="center"/>
          </w:tcPr>
          <w:p>
            <w:pPr>
              <w:pStyle w:val="139"/>
              <w:spacing w:before="195" w:line="221" w:lineRule="auto"/>
              <w:ind w:left="693"/>
              <w:rPr>
                <w:sz w:val="18"/>
                <w:szCs w:val="18"/>
                <w:lang w:eastAsia="zh-CN"/>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390" w:type="dxa"/>
            <w:tcBorders>
              <w:left w:val="single" w:color="000000" w:sz="6" w:space="0"/>
              <w:right w:val="single" w:color="000000" w:sz="6" w:space="0"/>
            </w:tcBorders>
            <w:vAlign w:val="center"/>
          </w:tcPr>
          <w:p>
            <w:pPr>
              <w:pStyle w:val="139"/>
              <w:spacing w:before="195" w:line="221" w:lineRule="auto"/>
              <w:ind w:left="405"/>
              <w:rPr>
                <w:sz w:val="18"/>
                <w:szCs w:val="18"/>
                <w:lang w:eastAsia="zh-CN"/>
              </w:rPr>
            </w:pPr>
            <w:r>
              <w:rPr>
                <w:spacing w:val="-7"/>
                <w:sz w:val="18"/>
                <w:szCs w:val="18"/>
              </w:rPr>
              <w:t>202</w:t>
            </w:r>
            <w:r>
              <w:rPr>
                <w:rFonts w:hint="eastAsia"/>
                <w:spacing w:val="-7"/>
                <w:sz w:val="18"/>
                <w:szCs w:val="18"/>
                <w:lang w:val="en-US" w:eastAsia="zh-CN"/>
              </w:rPr>
              <w:t>4</w:t>
            </w:r>
            <w:r>
              <w:rPr>
                <w:spacing w:val="-7"/>
                <w:sz w:val="18"/>
                <w:szCs w:val="18"/>
              </w:rPr>
              <w:t>年</w:t>
            </w:r>
            <w:r>
              <w:rPr>
                <w:rFonts w:hint="eastAsia"/>
                <w:spacing w:val="-3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pacing w:val="-2"/>
                <w:sz w:val="18"/>
                <w:szCs w:val="18"/>
                <w:lang w:eastAsia="zh-CN"/>
              </w:rPr>
            </w:pPr>
            <w:r>
              <w:rPr>
                <w:spacing w:val="-2"/>
                <w:sz w:val="18"/>
                <w:szCs w:val="18"/>
              </w:rPr>
              <w:t>项目负责人</w:t>
            </w:r>
            <w:r>
              <w:rPr>
                <w:spacing w:val="-4"/>
                <w:sz w:val="18"/>
                <w:szCs w:val="18"/>
              </w:rPr>
              <w:t>资格条件</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color w:val="000000"/>
                <w:kern w:val="0"/>
                <w:sz w:val="18"/>
                <w:szCs w:val="18"/>
                <w:lang w:eastAsia="zh-CN"/>
              </w:rPr>
              <w:t>（[二级注册建造师·水利水电工程及以上]或者[二级注册建造师·公路工程及以上]或者[二级注册建造师·市政公用工程及以上]）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rFonts w:hint="eastAsia"/>
                <w:spacing w:val="-9"/>
                <w:sz w:val="18"/>
                <w:szCs w:val="18"/>
                <w:lang w:eastAsia="zh-CN"/>
              </w:rPr>
              <w:t>）</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合同估算价</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6"/>
                <w:sz w:val="18"/>
                <w:szCs w:val="18"/>
                <w:lang w:eastAsia="zh-CN"/>
              </w:rPr>
              <w:t>217.16</w:t>
            </w:r>
            <w:r>
              <w:rPr>
                <w:spacing w:val="-39"/>
                <w:sz w:val="18"/>
                <w:szCs w:val="18"/>
              </w:rPr>
              <w:t xml:space="preserve"> </w:t>
            </w:r>
            <w:r>
              <w:rPr>
                <w:spacing w:val="-6"/>
                <w:sz w:val="18"/>
                <w:szCs w:val="18"/>
              </w:rPr>
              <w:t>万元</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标段（包）文件售价</w:t>
            </w:r>
          </w:p>
        </w:tc>
        <w:tc>
          <w:tcPr>
            <w:tcW w:w="2390" w:type="dxa"/>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8" w:lineRule="auto"/>
              <w:ind w:left="420" w:right="107" w:hanging="309"/>
              <w:rPr>
                <w:sz w:val="18"/>
                <w:szCs w:val="18"/>
                <w:lang w:eastAsia="zh-CN"/>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789" w:type="dxa"/>
            <w:gridSpan w:val="8"/>
            <w:tcBorders>
              <w:left w:val="single" w:color="000000" w:sz="6" w:space="0"/>
              <w:right w:val="single" w:color="000000" w:sz="6" w:space="0"/>
            </w:tcBorders>
            <w:vAlign w:val="center"/>
          </w:tcPr>
          <w:p>
            <w:pPr>
              <w:pStyle w:val="139"/>
              <w:spacing w:before="199" w:line="221" w:lineRule="auto"/>
              <w:ind w:left="3154" w:firstLine="720" w:firstLineChars="400"/>
              <w:rPr>
                <w:sz w:val="18"/>
                <w:szCs w:val="18"/>
                <w:lang w:eastAsia="zh-CN"/>
              </w:rPr>
            </w:pPr>
            <w:r>
              <w:rPr>
                <w:rFonts w:hint="eastAsia"/>
                <w:sz w:val="18"/>
                <w:szCs w:val="18"/>
                <w:lang w:eastAsia="zh-CN"/>
              </w:rPr>
              <w:t>四标段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6" w:line="247" w:lineRule="auto"/>
              <w:ind w:left="627" w:right="107" w:hanging="516"/>
              <w:rPr>
                <w:sz w:val="18"/>
                <w:szCs w:val="18"/>
                <w:lang w:eastAsia="zh-CN"/>
              </w:rPr>
            </w:pPr>
            <w:r>
              <w:rPr>
                <w:spacing w:val="-3"/>
                <w:sz w:val="18"/>
                <w:szCs w:val="18"/>
              </w:rPr>
              <w:t>标段（包）名</w:t>
            </w:r>
            <w:r>
              <w:rPr>
                <w:sz w:val="18"/>
                <w:szCs w:val="18"/>
              </w:rPr>
              <w:t xml:space="preserve"> 称</w:t>
            </w:r>
          </w:p>
        </w:tc>
        <w:tc>
          <w:tcPr>
            <w:tcW w:w="2640" w:type="dxa"/>
            <w:gridSpan w:val="2"/>
            <w:tcBorders>
              <w:left w:val="single" w:color="000000" w:sz="6" w:space="0"/>
              <w:right w:val="single" w:color="000000" w:sz="6" w:space="0"/>
            </w:tcBorders>
            <w:vAlign w:val="center"/>
          </w:tcPr>
          <w:p>
            <w:pPr>
              <w:pStyle w:val="139"/>
              <w:spacing w:before="56" w:line="247" w:lineRule="auto"/>
              <w:ind w:left="14" w:right="133" w:hanging="14"/>
              <w:rPr>
                <w:sz w:val="18"/>
                <w:szCs w:val="18"/>
                <w:lang w:eastAsia="zh-CN"/>
              </w:rPr>
            </w:pPr>
            <w:r>
              <w:rPr>
                <w:rFonts w:hint="eastAsia"/>
                <w:sz w:val="18"/>
                <w:szCs w:val="18"/>
                <w:lang w:eastAsia="zh-CN"/>
              </w:rPr>
              <w:t>盖州市2024年大中型水库移民后期扶持规划项目（水利工程）施工四标段</w:t>
            </w:r>
          </w:p>
        </w:tc>
        <w:tc>
          <w:tcPr>
            <w:tcW w:w="2133" w:type="dxa"/>
            <w:gridSpan w:val="4"/>
            <w:tcBorders>
              <w:left w:val="single" w:color="000000" w:sz="6" w:space="0"/>
              <w:right w:val="single" w:color="000000" w:sz="6" w:space="0"/>
            </w:tcBorders>
            <w:vAlign w:val="center"/>
          </w:tcPr>
          <w:p>
            <w:pPr>
              <w:pStyle w:val="139"/>
              <w:spacing w:before="56" w:line="247" w:lineRule="auto"/>
              <w:ind w:left="666" w:right="127" w:hanging="527"/>
              <w:rPr>
                <w:sz w:val="18"/>
                <w:szCs w:val="18"/>
                <w:lang w:eastAsia="zh-CN"/>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390" w:type="dxa"/>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202421080022965498004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z w:val="18"/>
                <w:szCs w:val="18"/>
                <w:lang w:eastAsia="zh-CN"/>
              </w:rPr>
            </w:pPr>
            <w:r>
              <w:rPr>
                <w:spacing w:val="-3"/>
                <w:sz w:val="18"/>
                <w:szCs w:val="18"/>
              </w:rPr>
              <w:t>标段（包）性</w:t>
            </w:r>
            <w:r>
              <w:rPr>
                <w:sz w:val="18"/>
                <w:szCs w:val="18"/>
              </w:rPr>
              <w:t xml:space="preserve"> 质</w:t>
            </w:r>
          </w:p>
        </w:tc>
        <w:tc>
          <w:tcPr>
            <w:tcW w:w="2640" w:type="dxa"/>
            <w:gridSpan w:val="2"/>
            <w:tcBorders>
              <w:left w:val="single" w:color="000000" w:sz="6" w:space="0"/>
              <w:right w:val="single" w:color="000000" w:sz="6" w:space="0"/>
            </w:tcBorders>
            <w:vAlign w:val="center"/>
          </w:tcPr>
          <w:p>
            <w:pPr>
              <w:pStyle w:val="139"/>
              <w:spacing w:before="212" w:line="220" w:lineRule="auto"/>
              <w:rPr>
                <w:sz w:val="18"/>
                <w:szCs w:val="18"/>
                <w:lang w:eastAsia="zh-CN"/>
              </w:rPr>
            </w:pPr>
            <w:r>
              <w:rPr>
                <w:spacing w:val="-1"/>
                <w:sz w:val="18"/>
                <w:szCs w:val="18"/>
                <w:lang w:eastAsia="zh-CN"/>
              </w:rPr>
              <w:t>非依法必须招标的项目</w:t>
            </w:r>
          </w:p>
        </w:tc>
        <w:tc>
          <w:tcPr>
            <w:tcW w:w="2133" w:type="dxa"/>
            <w:gridSpan w:val="4"/>
            <w:tcBorders>
              <w:left w:val="single" w:color="000000" w:sz="6" w:space="0"/>
              <w:right w:val="single" w:color="000000" w:sz="6" w:space="0"/>
            </w:tcBorders>
            <w:vAlign w:val="center"/>
          </w:tcPr>
          <w:p>
            <w:pPr>
              <w:pStyle w:val="139"/>
              <w:spacing w:before="57" w:line="247" w:lineRule="auto"/>
              <w:ind w:left="663" w:right="127" w:hanging="524"/>
              <w:rPr>
                <w:sz w:val="18"/>
                <w:szCs w:val="18"/>
                <w:lang w:eastAsia="zh-CN"/>
              </w:rPr>
            </w:pPr>
            <w:r>
              <w:rPr>
                <w:spacing w:val="-16"/>
                <w:sz w:val="18"/>
                <w:szCs w:val="18"/>
              </w:rPr>
              <w:t>标段（包） 内</w:t>
            </w:r>
            <w:r>
              <w:rPr>
                <w:sz w:val="18"/>
                <w:szCs w:val="18"/>
              </w:rPr>
              <w:t xml:space="preserve"> 容</w:t>
            </w:r>
          </w:p>
        </w:tc>
        <w:tc>
          <w:tcPr>
            <w:tcW w:w="2390" w:type="dxa"/>
            <w:tcBorders>
              <w:left w:val="single" w:color="000000" w:sz="6" w:space="0"/>
              <w:right w:val="single" w:color="000000" w:sz="6" w:space="0"/>
            </w:tcBorders>
            <w:vAlign w:val="center"/>
          </w:tcPr>
          <w:p>
            <w:pPr>
              <w:pStyle w:val="139"/>
              <w:spacing w:before="212" w:line="223" w:lineRule="auto"/>
              <w:ind w:left="1007"/>
              <w:rPr>
                <w:sz w:val="18"/>
                <w:szCs w:val="18"/>
                <w:lang w:eastAsia="zh-CN"/>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left w:val="single" w:color="000000" w:sz="6" w:space="0"/>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水利水电工程三级及以上资质</w:t>
            </w:r>
            <w:r>
              <w:rPr>
                <w:sz w:val="18"/>
                <w:szCs w:val="18"/>
                <w:lang w:eastAsia="zh-CN"/>
              </w:rPr>
              <w:t>并具有有</w:t>
            </w:r>
            <w:r>
              <w:rPr>
                <w:spacing w:val="-1"/>
                <w:sz w:val="18"/>
                <w:szCs w:val="18"/>
                <w:lang w:eastAsia="zh-CN"/>
              </w:rPr>
              <w:t>效的安全生产许可</w:t>
            </w:r>
            <w:r>
              <w:rPr>
                <w:spacing w:val="-10"/>
                <w:sz w:val="18"/>
                <w:szCs w:val="18"/>
                <w:lang w:eastAsia="zh-CN"/>
              </w:rPr>
              <w:t>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sz w:val="18"/>
                <w:szCs w:val="18"/>
              </w:rPr>
            </w:pPr>
            <w:r>
              <w:rPr>
                <w:rFonts w:hint="eastAsia" w:ascii="宋体" w:hAnsi="宋体" w:cs="宋体"/>
                <w:color w:val="000000"/>
                <w:kern w:val="0"/>
                <w:sz w:val="18"/>
                <w:szCs w:val="18"/>
              </w:rPr>
              <w:t>要求</w:t>
            </w:r>
          </w:p>
        </w:tc>
        <w:tc>
          <w:tcPr>
            <w:tcW w:w="7163" w:type="dxa"/>
            <w:gridSpan w:val="7"/>
            <w:tcBorders>
              <w:left w:val="single" w:color="000000" w:sz="6" w:space="0"/>
              <w:right w:val="single" w:color="000000" w:sz="6" w:space="0"/>
            </w:tcBorders>
            <w:vAlign w:val="center"/>
          </w:tcPr>
          <w:p>
            <w:pPr>
              <w:pStyle w:val="139"/>
              <w:spacing w:before="199" w:line="221" w:lineRule="auto"/>
              <w:ind w:left="3154"/>
              <w:rPr>
                <w:sz w:val="18"/>
                <w:szCs w:val="18"/>
                <w:lang w:eastAsia="zh-CN"/>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lang w:eastAsia="zh-CN"/>
              </w:rPr>
            </w:pPr>
            <w:r>
              <w:rPr>
                <w:rFonts w:hint="eastAsia"/>
                <w:spacing w:val="-2"/>
                <w:sz w:val="18"/>
                <w:szCs w:val="18"/>
              </w:rPr>
              <w:t>招标范围</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万福镇洪屯村河道治理工程河道护岸1547m。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7" w:lineRule="auto"/>
              <w:ind w:left="526" w:right="208" w:hanging="315"/>
              <w:rPr>
                <w:sz w:val="18"/>
                <w:szCs w:val="18"/>
                <w:lang w:eastAsia="zh-CN"/>
              </w:rPr>
            </w:pPr>
            <w:r>
              <w:rPr>
                <w:spacing w:val="-2"/>
                <w:sz w:val="18"/>
                <w:szCs w:val="18"/>
              </w:rPr>
              <w:t>投标保证金</w:t>
            </w:r>
            <w:r>
              <w:rPr>
                <w:spacing w:val="1"/>
                <w:sz w:val="18"/>
                <w:szCs w:val="18"/>
              </w:rPr>
              <w:t xml:space="preserve"> </w:t>
            </w:r>
            <w:r>
              <w:rPr>
                <w:spacing w:val="-2"/>
                <w:sz w:val="18"/>
                <w:szCs w:val="18"/>
              </w:rPr>
              <w:t>金额</w:t>
            </w:r>
          </w:p>
        </w:tc>
        <w:tc>
          <w:tcPr>
            <w:tcW w:w="2640" w:type="dxa"/>
            <w:gridSpan w:val="2"/>
            <w:tcBorders>
              <w:left w:val="single" w:color="000000" w:sz="6" w:space="0"/>
              <w:right w:val="single" w:color="000000" w:sz="6" w:space="0"/>
            </w:tcBorders>
            <w:vAlign w:val="center"/>
          </w:tcPr>
          <w:p>
            <w:pPr>
              <w:pStyle w:val="139"/>
              <w:spacing w:before="208" w:line="221" w:lineRule="auto"/>
              <w:ind w:left="1284"/>
              <w:rPr>
                <w:sz w:val="18"/>
                <w:szCs w:val="18"/>
                <w:lang w:eastAsia="zh-CN"/>
              </w:rPr>
            </w:pPr>
            <w:r>
              <w:rPr>
                <w:rFonts w:hint="eastAsia"/>
                <w:spacing w:val="-10"/>
                <w:sz w:val="18"/>
                <w:szCs w:val="18"/>
                <w:lang w:eastAsia="zh-CN"/>
              </w:rPr>
              <w:t>2</w:t>
            </w:r>
            <w:r>
              <w:rPr>
                <w:spacing w:val="-39"/>
                <w:sz w:val="18"/>
                <w:szCs w:val="18"/>
              </w:rPr>
              <w:t xml:space="preserve"> </w:t>
            </w:r>
            <w:r>
              <w:rPr>
                <w:spacing w:val="-10"/>
                <w:sz w:val="18"/>
                <w:szCs w:val="18"/>
              </w:rPr>
              <w:t>万元</w:t>
            </w:r>
          </w:p>
        </w:tc>
        <w:tc>
          <w:tcPr>
            <w:tcW w:w="2133" w:type="dxa"/>
            <w:gridSpan w:val="4"/>
            <w:tcBorders>
              <w:left w:val="single" w:color="000000" w:sz="6" w:space="0"/>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390"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390" w:type="dxa"/>
            <w:tcBorders>
              <w:left w:val="single" w:color="000000" w:sz="6" w:space="0"/>
              <w:right w:val="single" w:color="000000" w:sz="6" w:space="0"/>
            </w:tcBorders>
            <w:vAlign w:val="center"/>
          </w:tcPr>
          <w:p>
            <w:pPr>
              <w:pStyle w:val="139"/>
              <w:spacing w:before="195" w:line="221" w:lineRule="auto"/>
              <w:ind w:left="405"/>
              <w:rPr>
                <w:sz w:val="18"/>
                <w:szCs w:val="18"/>
                <w:lang w:eastAsia="zh-CN"/>
              </w:rPr>
            </w:pPr>
            <w:r>
              <w:rPr>
                <w:spacing w:val="-7"/>
                <w:sz w:val="18"/>
                <w:szCs w:val="18"/>
              </w:rPr>
              <w:t>202</w:t>
            </w:r>
            <w:r>
              <w:rPr>
                <w:rFonts w:hint="eastAsia"/>
                <w:spacing w:val="-7"/>
                <w:sz w:val="18"/>
                <w:szCs w:val="18"/>
                <w:lang w:val="en-US" w:eastAsia="zh-CN"/>
              </w:rPr>
              <w:t>4</w:t>
            </w:r>
            <w:r>
              <w:rPr>
                <w:spacing w:val="-7"/>
                <w:sz w:val="18"/>
                <w:szCs w:val="18"/>
              </w:rPr>
              <w:t>年</w:t>
            </w:r>
            <w:r>
              <w:rPr>
                <w:rFonts w:hint="eastAsia"/>
                <w:spacing w:val="-39"/>
                <w:sz w:val="18"/>
                <w:szCs w:val="18"/>
                <w:lang w:val="en-US" w:eastAsia="zh-CN"/>
              </w:rPr>
              <w:t>/</w:t>
            </w:r>
            <w:r>
              <w:rPr>
                <w:spacing w:val="-7"/>
                <w:sz w:val="18"/>
                <w:szCs w:val="18"/>
              </w:rPr>
              <w:t>月</w:t>
            </w:r>
            <w:r>
              <w:rPr>
                <w:spacing w:val="-29"/>
                <w:sz w:val="18"/>
                <w:szCs w:val="18"/>
              </w:rPr>
              <w:t xml:space="preserve"> </w:t>
            </w:r>
            <w:r>
              <w:rPr>
                <w:rFonts w:hint="eastAsia"/>
                <w:spacing w:val="-7"/>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项目负责人</w:t>
            </w:r>
            <w:r>
              <w:rPr>
                <w:spacing w:val="-4"/>
                <w:sz w:val="18"/>
                <w:szCs w:val="18"/>
              </w:rPr>
              <w:t>资格条件</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color w:val="000000"/>
                <w:kern w:val="0"/>
                <w:sz w:val="18"/>
                <w:szCs w:val="18"/>
                <w:lang w:eastAsia="zh-CN"/>
              </w:rPr>
              <w:t>[二级注册建造师·水利水电工程及以上]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spacing w:val="-37"/>
                <w:sz w:val="18"/>
                <w:szCs w:val="18"/>
                <w:lang w:eastAsia="zh-CN"/>
              </w:rPr>
              <w:t xml:space="preserve"> </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合同估算价</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6"/>
                <w:sz w:val="18"/>
                <w:szCs w:val="18"/>
                <w:lang w:eastAsia="zh-CN"/>
              </w:rPr>
              <w:t>205.22</w:t>
            </w:r>
            <w:r>
              <w:rPr>
                <w:spacing w:val="-6"/>
                <w:sz w:val="18"/>
                <w:szCs w:val="18"/>
              </w:rPr>
              <w:t>万元</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标段（包）文件售价</w:t>
            </w:r>
          </w:p>
        </w:tc>
        <w:tc>
          <w:tcPr>
            <w:tcW w:w="2390" w:type="dxa"/>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8" w:lineRule="auto"/>
              <w:ind w:left="420" w:right="107" w:hanging="309"/>
              <w:rPr>
                <w:sz w:val="18"/>
                <w:szCs w:val="18"/>
                <w:lang w:eastAsia="zh-CN"/>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789" w:type="dxa"/>
            <w:gridSpan w:val="8"/>
            <w:tcBorders>
              <w:left w:val="single" w:color="000000" w:sz="6" w:space="0"/>
              <w:right w:val="single" w:color="000000" w:sz="6" w:space="0"/>
            </w:tcBorders>
            <w:vAlign w:val="center"/>
          </w:tcPr>
          <w:p>
            <w:pPr>
              <w:pStyle w:val="139"/>
              <w:spacing w:before="245" w:line="183" w:lineRule="auto"/>
              <w:ind w:left="117"/>
              <w:jc w:val="center"/>
              <w:rPr>
                <w:sz w:val="18"/>
                <w:szCs w:val="18"/>
                <w:lang w:eastAsia="zh-CN"/>
              </w:rPr>
            </w:pPr>
            <w:r>
              <w:rPr>
                <w:rFonts w:hint="eastAsia"/>
                <w:sz w:val="18"/>
                <w:szCs w:val="18"/>
                <w:lang w:eastAsia="zh-CN"/>
              </w:rPr>
              <w:t>五标段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6" w:line="247" w:lineRule="auto"/>
              <w:ind w:left="627" w:right="107" w:hanging="516"/>
              <w:rPr>
                <w:sz w:val="18"/>
                <w:szCs w:val="18"/>
                <w:lang w:eastAsia="zh-CN"/>
              </w:rPr>
            </w:pPr>
            <w:r>
              <w:rPr>
                <w:spacing w:val="-3"/>
                <w:sz w:val="18"/>
                <w:szCs w:val="18"/>
              </w:rPr>
              <w:t>标段（包）名</w:t>
            </w:r>
            <w:r>
              <w:rPr>
                <w:sz w:val="18"/>
                <w:szCs w:val="18"/>
              </w:rPr>
              <w:t xml:space="preserve"> 称</w:t>
            </w:r>
          </w:p>
        </w:tc>
        <w:tc>
          <w:tcPr>
            <w:tcW w:w="2640" w:type="dxa"/>
            <w:gridSpan w:val="2"/>
            <w:tcBorders>
              <w:left w:val="single" w:color="000000" w:sz="6" w:space="0"/>
              <w:right w:val="single" w:color="000000" w:sz="6" w:space="0"/>
            </w:tcBorders>
            <w:vAlign w:val="center"/>
          </w:tcPr>
          <w:p>
            <w:pPr>
              <w:pStyle w:val="139"/>
              <w:spacing w:before="56" w:line="247" w:lineRule="auto"/>
              <w:ind w:left="14" w:right="133" w:hanging="14"/>
              <w:rPr>
                <w:sz w:val="18"/>
                <w:szCs w:val="18"/>
                <w:lang w:eastAsia="zh-CN"/>
              </w:rPr>
            </w:pPr>
            <w:r>
              <w:rPr>
                <w:rFonts w:hint="eastAsia"/>
                <w:sz w:val="18"/>
                <w:szCs w:val="18"/>
                <w:lang w:eastAsia="zh-CN"/>
              </w:rPr>
              <w:t>盖州市2024年大中型水库移民后期扶持规划项目（水利工程）施工五标段</w:t>
            </w:r>
          </w:p>
        </w:tc>
        <w:tc>
          <w:tcPr>
            <w:tcW w:w="2133" w:type="dxa"/>
            <w:gridSpan w:val="4"/>
            <w:tcBorders>
              <w:left w:val="single" w:color="000000" w:sz="6" w:space="0"/>
              <w:right w:val="single" w:color="000000" w:sz="6" w:space="0"/>
            </w:tcBorders>
            <w:vAlign w:val="center"/>
          </w:tcPr>
          <w:p>
            <w:pPr>
              <w:pStyle w:val="139"/>
              <w:spacing w:before="56" w:line="247" w:lineRule="auto"/>
              <w:ind w:left="666" w:right="127" w:hanging="527"/>
              <w:rPr>
                <w:sz w:val="18"/>
                <w:szCs w:val="18"/>
                <w:lang w:eastAsia="zh-CN"/>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390" w:type="dxa"/>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202421080022965498005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z w:val="18"/>
                <w:szCs w:val="18"/>
                <w:lang w:eastAsia="zh-CN"/>
              </w:rPr>
            </w:pPr>
            <w:r>
              <w:rPr>
                <w:spacing w:val="-3"/>
                <w:sz w:val="18"/>
                <w:szCs w:val="18"/>
              </w:rPr>
              <w:t>标段（包）性</w:t>
            </w:r>
            <w:r>
              <w:rPr>
                <w:sz w:val="18"/>
                <w:szCs w:val="18"/>
              </w:rPr>
              <w:t xml:space="preserve"> 质</w:t>
            </w:r>
          </w:p>
        </w:tc>
        <w:tc>
          <w:tcPr>
            <w:tcW w:w="2640" w:type="dxa"/>
            <w:gridSpan w:val="2"/>
            <w:tcBorders>
              <w:left w:val="single" w:color="000000" w:sz="6" w:space="0"/>
              <w:right w:val="single" w:color="000000" w:sz="6" w:space="0"/>
            </w:tcBorders>
            <w:vAlign w:val="center"/>
          </w:tcPr>
          <w:p>
            <w:pPr>
              <w:pStyle w:val="139"/>
              <w:spacing w:before="212" w:line="220" w:lineRule="auto"/>
              <w:rPr>
                <w:sz w:val="18"/>
                <w:szCs w:val="18"/>
                <w:lang w:eastAsia="zh-CN"/>
              </w:rPr>
            </w:pPr>
            <w:r>
              <w:rPr>
                <w:spacing w:val="-1"/>
                <w:sz w:val="18"/>
                <w:szCs w:val="18"/>
                <w:lang w:eastAsia="zh-CN"/>
              </w:rPr>
              <w:t>非依法必须招标的项目</w:t>
            </w:r>
          </w:p>
        </w:tc>
        <w:tc>
          <w:tcPr>
            <w:tcW w:w="2133" w:type="dxa"/>
            <w:gridSpan w:val="4"/>
            <w:tcBorders>
              <w:left w:val="single" w:color="000000" w:sz="6" w:space="0"/>
              <w:right w:val="single" w:color="000000" w:sz="6" w:space="0"/>
            </w:tcBorders>
            <w:vAlign w:val="center"/>
          </w:tcPr>
          <w:p>
            <w:pPr>
              <w:pStyle w:val="139"/>
              <w:spacing w:before="57" w:line="247" w:lineRule="auto"/>
              <w:ind w:left="663" w:right="127" w:hanging="524"/>
              <w:rPr>
                <w:sz w:val="18"/>
                <w:szCs w:val="18"/>
                <w:lang w:eastAsia="zh-CN"/>
              </w:rPr>
            </w:pPr>
            <w:r>
              <w:rPr>
                <w:spacing w:val="-16"/>
                <w:sz w:val="18"/>
                <w:szCs w:val="18"/>
              </w:rPr>
              <w:t>标段（包） 内</w:t>
            </w:r>
            <w:r>
              <w:rPr>
                <w:sz w:val="18"/>
                <w:szCs w:val="18"/>
              </w:rPr>
              <w:t xml:space="preserve"> 容</w:t>
            </w:r>
          </w:p>
        </w:tc>
        <w:tc>
          <w:tcPr>
            <w:tcW w:w="2390" w:type="dxa"/>
            <w:tcBorders>
              <w:left w:val="single" w:color="000000" w:sz="6" w:space="0"/>
              <w:right w:val="single" w:color="000000" w:sz="6" w:space="0"/>
            </w:tcBorders>
            <w:vAlign w:val="center"/>
          </w:tcPr>
          <w:p>
            <w:pPr>
              <w:pStyle w:val="139"/>
              <w:spacing w:before="212" w:line="223" w:lineRule="auto"/>
              <w:ind w:left="1007"/>
              <w:rPr>
                <w:sz w:val="18"/>
                <w:szCs w:val="18"/>
                <w:lang w:eastAsia="zh-CN"/>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left w:val="single" w:color="000000" w:sz="6" w:space="0"/>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水利水电工程三级及以上资质</w:t>
            </w:r>
            <w:r>
              <w:rPr>
                <w:sz w:val="18"/>
                <w:szCs w:val="18"/>
                <w:lang w:eastAsia="zh-CN"/>
              </w:rPr>
              <w:t>并具有有</w:t>
            </w:r>
            <w:r>
              <w:rPr>
                <w:spacing w:val="-1"/>
                <w:sz w:val="18"/>
                <w:szCs w:val="18"/>
                <w:lang w:eastAsia="zh-CN"/>
              </w:rPr>
              <w:t>效的安全生产许可</w:t>
            </w:r>
            <w:r>
              <w:rPr>
                <w:spacing w:val="-10"/>
                <w:sz w:val="18"/>
                <w:szCs w:val="18"/>
                <w:lang w:eastAsia="zh-CN"/>
              </w:rPr>
              <w:t>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rFonts w:ascii="Times New Roman" w:hAnsi="Times New Roman"/>
                <w:sz w:val="18"/>
                <w:szCs w:val="18"/>
              </w:rPr>
            </w:pPr>
            <w:r>
              <w:rPr>
                <w:rFonts w:hint="eastAsia" w:ascii="宋体" w:hAnsi="宋体" w:cs="宋体"/>
                <w:color w:val="000000"/>
                <w:kern w:val="0"/>
                <w:sz w:val="18"/>
                <w:szCs w:val="18"/>
              </w:rPr>
              <w:t>要求</w:t>
            </w:r>
          </w:p>
        </w:tc>
        <w:tc>
          <w:tcPr>
            <w:tcW w:w="7163" w:type="dxa"/>
            <w:gridSpan w:val="7"/>
            <w:tcBorders>
              <w:left w:val="single" w:color="000000" w:sz="6" w:space="0"/>
              <w:right w:val="single" w:color="000000" w:sz="6" w:space="0"/>
            </w:tcBorders>
            <w:vAlign w:val="center"/>
          </w:tcPr>
          <w:p>
            <w:pPr>
              <w:pStyle w:val="139"/>
              <w:spacing w:before="199" w:line="221" w:lineRule="auto"/>
              <w:ind w:left="3154"/>
              <w:rPr>
                <w:sz w:val="18"/>
                <w:szCs w:val="18"/>
                <w:lang w:eastAsia="zh-CN"/>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spacing w:line="272" w:lineRule="auto"/>
              <w:rPr>
                <w:rFonts w:ascii="Arial"/>
                <w:sz w:val="18"/>
                <w:szCs w:val="18"/>
              </w:rPr>
            </w:pPr>
          </w:p>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lang w:eastAsia="zh-CN"/>
              </w:rPr>
            </w:pPr>
            <w:r>
              <w:rPr>
                <w:rFonts w:hint="eastAsia"/>
                <w:spacing w:val="-2"/>
                <w:sz w:val="18"/>
                <w:szCs w:val="18"/>
              </w:rPr>
              <w:t>招标范围</w:t>
            </w:r>
          </w:p>
        </w:tc>
        <w:tc>
          <w:tcPr>
            <w:tcW w:w="7163" w:type="dxa"/>
            <w:gridSpan w:val="7"/>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什字街镇鹰嘴石村河道治理工程右岸固滨笼挡墙护岸500m，什字街镇于屯村河道治理工程什字街河于屯村段河道右岸绿滨垫护岸1394m，新建截潜坝1座。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7" w:lineRule="auto"/>
              <w:ind w:left="526" w:right="208" w:hanging="315"/>
              <w:rPr>
                <w:sz w:val="18"/>
                <w:szCs w:val="18"/>
                <w:lang w:eastAsia="zh-CN"/>
              </w:rPr>
            </w:pPr>
            <w:r>
              <w:rPr>
                <w:spacing w:val="-2"/>
                <w:sz w:val="18"/>
                <w:szCs w:val="18"/>
              </w:rPr>
              <w:t>投标保证金</w:t>
            </w:r>
            <w:r>
              <w:rPr>
                <w:spacing w:val="1"/>
                <w:sz w:val="18"/>
                <w:szCs w:val="18"/>
              </w:rPr>
              <w:t xml:space="preserve"> </w:t>
            </w:r>
            <w:r>
              <w:rPr>
                <w:spacing w:val="-2"/>
                <w:sz w:val="18"/>
                <w:szCs w:val="18"/>
              </w:rPr>
              <w:t>金额</w:t>
            </w:r>
          </w:p>
        </w:tc>
        <w:tc>
          <w:tcPr>
            <w:tcW w:w="2640" w:type="dxa"/>
            <w:gridSpan w:val="2"/>
            <w:tcBorders>
              <w:left w:val="single" w:color="000000" w:sz="6" w:space="0"/>
              <w:right w:val="single" w:color="000000" w:sz="6" w:space="0"/>
            </w:tcBorders>
            <w:vAlign w:val="center"/>
          </w:tcPr>
          <w:p>
            <w:pPr>
              <w:pStyle w:val="139"/>
              <w:spacing w:before="208" w:line="221" w:lineRule="auto"/>
              <w:ind w:left="1284"/>
              <w:rPr>
                <w:sz w:val="18"/>
                <w:szCs w:val="18"/>
                <w:lang w:eastAsia="zh-CN"/>
              </w:rPr>
            </w:pPr>
            <w:r>
              <w:rPr>
                <w:rFonts w:hint="eastAsia"/>
                <w:spacing w:val="-10"/>
                <w:sz w:val="18"/>
                <w:szCs w:val="18"/>
                <w:lang w:eastAsia="zh-CN"/>
              </w:rPr>
              <w:t>2.5</w:t>
            </w:r>
            <w:r>
              <w:rPr>
                <w:spacing w:val="-10"/>
                <w:sz w:val="18"/>
                <w:szCs w:val="18"/>
              </w:rPr>
              <w:t>万元</w:t>
            </w:r>
          </w:p>
        </w:tc>
        <w:tc>
          <w:tcPr>
            <w:tcW w:w="2133" w:type="dxa"/>
            <w:gridSpan w:val="4"/>
            <w:tcBorders>
              <w:left w:val="single" w:color="000000" w:sz="6" w:space="0"/>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390" w:type="dxa"/>
            <w:tcBorders>
              <w:left w:val="single" w:color="000000" w:sz="6" w:space="0"/>
              <w:right w:val="single" w:color="000000" w:sz="6" w:space="0"/>
            </w:tcBorders>
            <w:vAlign w:val="center"/>
          </w:tcPr>
          <w:p>
            <w:pPr>
              <w:widowControl/>
              <w:rPr>
                <w:rFonts w:ascii="Times New Roman" w:hAnsi="Times New Roman"/>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eastAsia="zh-CN"/>
              </w:rPr>
              <w:t xml:space="preserve"> </w:t>
            </w:r>
            <w:r>
              <w:rPr>
                <w:rFonts w:hint="eastAsia"/>
                <w:spacing w:val="-29"/>
                <w:sz w:val="18"/>
                <w:szCs w:val="18"/>
                <w:lang w:val="en-US" w:eastAsia="zh-CN"/>
              </w:rPr>
              <w:t>5/</w:t>
            </w:r>
            <w:r>
              <w:rPr>
                <w:spacing w:val="-7"/>
                <w:sz w:val="18"/>
                <w:szCs w:val="18"/>
              </w:rPr>
              <w:t>月</w:t>
            </w:r>
            <w:r>
              <w:rPr>
                <w:spacing w:val="-29"/>
                <w:sz w:val="18"/>
                <w:szCs w:val="18"/>
              </w:rPr>
              <w:t xml:space="preserve"> </w:t>
            </w:r>
            <w:r>
              <w:rPr>
                <w:rFonts w:hint="eastAsia"/>
                <w:spacing w:val="-7"/>
                <w:sz w:val="18"/>
                <w:szCs w:val="18"/>
                <w:lang w:val="en-US" w:eastAsia="zh-CN"/>
              </w:rPr>
              <w:t>/</w:t>
            </w:r>
            <w:r>
              <w:rPr>
                <w:spacing w:val="-7"/>
                <w:sz w:val="18"/>
                <w:szCs w:val="18"/>
              </w:rPr>
              <w:t>日</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390" w:type="dxa"/>
            <w:tcBorders>
              <w:left w:val="single" w:color="000000" w:sz="6" w:space="0"/>
              <w:right w:val="single" w:color="000000" w:sz="6" w:space="0"/>
            </w:tcBorders>
            <w:vAlign w:val="center"/>
          </w:tcPr>
          <w:p>
            <w:pPr>
              <w:pStyle w:val="139"/>
              <w:spacing w:before="195" w:line="221" w:lineRule="auto"/>
              <w:ind w:left="405"/>
              <w:rPr>
                <w:sz w:val="18"/>
                <w:szCs w:val="18"/>
                <w:lang w:eastAsia="zh-CN"/>
              </w:rPr>
            </w:pPr>
            <w:r>
              <w:rPr>
                <w:spacing w:val="-7"/>
                <w:sz w:val="18"/>
                <w:szCs w:val="18"/>
              </w:rPr>
              <w:t>202</w:t>
            </w:r>
            <w:r>
              <w:rPr>
                <w:rFonts w:hint="eastAsia"/>
                <w:spacing w:val="-7"/>
                <w:sz w:val="18"/>
                <w:szCs w:val="18"/>
                <w:lang w:val="en-US" w:eastAsia="zh-CN"/>
              </w:rPr>
              <w:t>4</w:t>
            </w:r>
            <w:r>
              <w:rPr>
                <w:spacing w:val="-7"/>
                <w:sz w:val="18"/>
                <w:szCs w:val="18"/>
              </w:rPr>
              <w:t>年</w:t>
            </w:r>
            <w:r>
              <w:rPr>
                <w:spacing w:val="-39"/>
                <w:sz w:val="18"/>
                <w:szCs w:val="18"/>
              </w:rPr>
              <w:t xml:space="preserve"> </w:t>
            </w:r>
            <w:r>
              <w:rPr>
                <w:rFonts w:hint="eastAsia"/>
                <w:spacing w:val="-7"/>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项目负责人</w:t>
            </w:r>
            <w:r>
              <w:rPr>
                <w:spacing w:val="-4"/>
                <w:sz w:val="18"/>
                <w:szCs w:val="18"/>
              </w:rPr>
              <w:t>资格条件</w:t>
            </w:r>
          </w:p>
        </w:tc>
        <w:tc>
          <w:tcPr>
            <w:tcW w:w="7163" w:type="dxa"/>
            <w:gridSpan w:val="7"/>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color w:val="000000"/>
                <w:kern w:val="0"/>
                <w:sz w:val="18"/>
                <w:szCs w:val="18"/>
                <w:lang w:eastAsia="zh-CN"/>
              </w:rPr>
              <w:t>[二级注册建造师·水利水电工程及以上]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spacing w:val="-37"/>
                <w:sz w:val="18"/>
                <w:szCs w:val="18"/>
                <w:lang w:eastAsia="zh-CN"/>
              </w:rPr>
              <w:t xml:space="preserve"> </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合同估算价</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6"/>
                <w:sz w:val="18"/>
                <w:szCs w:val="18"/>
                <w:lang w:eastAsia="zh-CN"/>
              </w:rPr>
              <w:t>277.59</w:t>
            </w:r>
            <w:r>
              <w:rPr>
                <w:spacing w:val="-39"/>
                <w:sz w:val="18"/>
                <w:szCs w:val="18"/>
              </w:rPr>
              <w:t xml:space="preserve"> </w:t>
            </w:r>
            <w:r>
              <w:rPr>
                <w:spacing w:val="-6"/>
                <w:sz w:val="18"/>
                <w:szCs w:val="18"/>
              </w:rPr>
              <w:t>万元</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标段（包）文件售价</w:t>
            </w:r>
          </w:p>
        </w:tc>
        <w:tc>
          <w:tcPr>
            <w:tcW w:w="2390" w:type="dxa"/>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8" w:lineRule="auto"/>
              <w:ind w:left="420" w:right="107" w:hanging="309"/>
              <w:rPr>
                <w:sz w:val="18"/>
                <w:szCs w:val="18"/>
                <w:lang w:eastAsia="zh-CN"/>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2" w:line="248" w:lineRule="auto"/>
              <w:ind w:left="314" w:right="208" w:hanging="102"/>
              <w:rPr>
                <w:sz w:val="18"/>
                <w:szCs w:val="18"/>
              </w:rPr>
            </w:pPr>
            <w:r>
              <w:rPr>
                <w:spacing w:val="-2"/>
                <w:sz w:val="18"/>
                <w:szCs w:val="18"/>
              </w:rPr>
              <w:t>是否接受联</w:t>
            </w:r>
            <w:r>
              <w:rPr>
                <w:spacing w:val="1"/>
                <w:sz w:val="18"/>
                <w:szCs w:val="18"/>
              </w:rPr>
              <w:t xml:space="preserve"> </w:t>
            </w:r>
            <w:r>
              <w:rPr>
                <w:spacing w:val="-2"/>
                <w:sz w:val="18"/>
                <w:szCs w:val="18"/>
              </w:rPr>
              <w:t>合体投标</w:t>
            </w:r>
          </w:p>
        </w:tc>
        <w:tc>
          <w:tcPr>
            <w:tcW w:w="7163" w:type="dxa"/>
            <w:gridSpan w:val="7"/>
            <w:tcBorders>
              <w:right w:val="single" w:color="000000" w:sz="6" w:space="0"/>
            </w:tcBorders>
            <w:vAlign w:val="center"/>
          </w:tcPr>
          <w:p>
            <w:pPr>
              <w:pStyle w:val="139"/>
              <w:spacing w:before="209" w:line="221" w:lineRule="auto"/>
              <w:ind w:left="2695"/>
              <w:rPr>
                <w:sz w:val="18"/>
                <w:szCs w:val="18"/>
              </w:rPr>
            </w:pPr>
            <w:r>
              <w:rPr>
                <w:spacing w:val="-1"/>
                <w:sz w:val="18"/>
                <w:szCs w:val="18"/>
              </w:rPr>
              <w:t>不接受联合体投标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26" w:type="dxa"/>
            <w:tcBorders>
              <w:left w:val="single" w:color="000000" w:sz="6" w:space="0"/>
            </w:tcBorders>
            <w:vAlign w:val="center"/>
          </w:tcPr>
          <w:p>
            <w:pPr>
              <w:pStyle w:val="139"/>
              <w:spacing w:before="196" w:line="221" w:lineRule="auto"/>
              <w:ind w:left="318"/>
              <w:rPr>
                <w:sz w:val="18"/>
                <w:szCs w:val="18"/>
              </w:rPr>
            </w:pPr>
            <w:r>
              <w:rPr>
                <w:spacing w:val="-3"/>
                <w:sz w:val="18"/>
                <w:szCs w:val="18"/>
              </w:rPr>
              <w:t>是否兼投</w:t>
            </w:r>
          </w:p>
        </w:tc>
        <w:tc>
          <w:tcPr>
            <w:tcW w:w="2955" w:type="dxa"/>
            <w:gridSpan w:val="3"/>
            <w:vAlign w:val="center"/>
          </w:tcPr>
          <w:p>
            <w:pPr>
              <w:pStyle w:val="139"/>
              <w:spacing w:before="197" w:line="221" w:lineRule="auto"/>
              <w:ind w:left="1457"/>
              <w:rPr>
                <w:sz w:val="18"/>
                <w:szCs w:val="18"/>
                <w:lang w:eastAsia="zh-CN"/>
              </w:rPr>
            </w:pPr>
            <w:r>
              <w:rPr>
                <w:rFonts w:hint="eastAsia"/>
                <w:sz w:val="18"/>
                <w:szCs w:val="18"/>
                <w:lang w:eastAsia="zh-CN"/>
              </w:rPr>
              <w:t>是</w:t>
            </w:r>
          </w:p>
        </w:tc>
        <w:tc>
          <w:tcPr>
            <w:tcW w:w="1526" w:type="dxa"/>
            <w:vAlign w:val="center"/>
          </w:tcPr>
          <w:p>
            <w:pPr>
              <w:pStyle w:val="139"/>
              <w:spacing w:before="196" w:line="221" w:lineRule="auto"/>
              <w:ind w:left="351"/>
              <w:rPr>
                <w:sz w:val="18"/>
                <w:szCs w:val="18"/>
              </w:rPr>
            </w:pPr>
            <w:r>
              <w:rPr>
                <w:spacing w:val="-3"/>
                <w:sz w:val="18"/>
                <w:szCs w:val="18"/>
              </w:rPr>
              <w:t>是否兼中</w:t>
            </w:r>
          </w:p>
        </w:tc>
        <w:tc>
          <w:tcPr>
            <w:tcW w:w="2682" w:type="dxa"/>
            <w:gridSpan w:val="3"/>
            <w:tcBorders>
              <w:right w:val="single" w:color="000000" w:sz="6" w:space="0"/>
            </w:tcBorders>
            <w:vAlign w:val="center"/>
          </w:tcPr>
          <w:p>
            <w:pPr>
              <w:pStyle w:val="139"/>
              <w:spacing w:before="197" w:line="221" w:lineRule="auto"/>
              <w:ind w:left="1118"/>
              <w:rPr>
                <w:sz w:val="18"/>
                <w:szCs w:val="18"/>
              </w:rPr>
            </w:pPr>
            <w:r>
              <w:rPr>
                <w:sz w:val="18"/>
                <w:szCs w:val="18"/>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3" w:line="248" w:lineRule="auto"/>
              <w:ind w:left="422" w:right="208" w:hanging="212"/>
              <w:rPr>
                <w:sz w:val="18"/>
                <w:szCs w:val="18"/>
              </w:rPr>
            </w:pPr>
            <w:r>
              <w:rPr>
                <w:spacing w:val="-2"/>
                <w:sz w:val="18"/>
                <w:szCs w:val="18"/>
              </w:rPr>
              <w:t>招标文件获</w:t>
            </w:r>
            <w:r>
              <w:rPr>
                <w:spacing w:val="3"/>
                <w:sz w:val="18"/>
                <w:szCs w:val="18"/>
              </w:rPr>
              <w:t xml:space="preserve"> </w:t>
            </w:r>
            <w:r>
              <w:rPr>
                <w:spacing w:val="-2"/>
                <w:sz w:val="18"/>
                <w:szCs w:val="18"/>
              </w:rPr>
              <w:t>取时间</w:t>
            </w:r>
          </w:p>
        </w:tc>
        <w:tc>
          <w:tcPr>
            <w:tcW w:w="2955" w:type="dxa"/>
            <w:gridSpan w:val="3"/>
            <w:vAlign w:val="center"/>
          </w:tcPr>
          <w:p>
            <w:pPr>
              <w:pStyle w:val="139"/>
              <w:numPr>
                <w:ilvl w:val="0"/>
                <w:numId w:val="2"/>
              </w:numPr>
              <w:spacing w:before="53" w:line="244" w:lineRule="auto"/>
              <w:ind w:left="107" w:right="102" w:firstLine="4"/>
              <w:rPr>
                <w:sz w:val="18"/>
                <w:szCs w:val="18"/>
              </w:rPr>
            </w:pPr>
            <w:r>
              <w:rPr>
                <w:rFonts w:hint="eastAsia"/>
                <w:spacing w:val="-3"/>
                <w:sz w:val="18"/>
                <w:szCs w:val="18"/>
                <w:lang w:eastAsia="zh-CN"/>
              </w:rPr>
              <w:t>4</w:t>
            </w:r>
            <w:r>
              <w:rPr>
                <w:spacing w:val="-3"/>
                <w:sz w:val="18"/>
                <w:szCs w:val="18"/>
              </w:rPr>
              <w:t>-</w:t>
            </w:r>
            <w:r>
              <w:rPr>
                <w:rFonts w:hint="eastAsia"/>
                <w:spacing w:val="-3"/>
                <w:sz w:val="18"/>
                <w:szCs w:val="18"/>
                <w:lang w:eastAsia="zh-CN"/>
              </w:rPr>
              <w:t xml:space="preserve">  </w:t>
            </w:r>
            <w:r>
              <w:rPr>
                <w:spacing w:val="-3"/>
                <w:sz w:val="18"/>
                <w:szCs w:val="18"/>
              </w:rPr>
              <w:t>-</w:t>
            </w:r>
            <w:r>
              <w:rPr>
                <w:spacing w:val="26"/>
                <w:sz w:val="18"/>
                <w:szCs w:val="18"/>
              </w:rPr>
              <w:t xml:space="preserve"> </w:t>
            </w:r>
            <w:r>
              <w:rPr>
                <w:spacing w:val="-3"/>
                <w:sz w:val="18"/>
                <w:szCs w:val="18"/>
              </w:rPr>
              <w:t>13:30 至 202</w:t>
            </w:r>
            <w:r>
              <w:rPr>
                <w:rFonts w:hint="eastAsia"/>
                <w:spacing w:val="-3"/>
                <w:sz w:val="18"/>
                <w:szCs w:val="18"/>
                <w:lang w:eastAsia="zh-CN"/>
              </w:rPr>
              <w:t>4</w:t>
            </w:r>
            <w:r>
              <w:rPr>
                <w:spacing w:val="-3"/>
                <w:sz w:val="18"/>
                <w:szCs w:val="18"/>
              </w:rPr>
              <w:t>-</w:t>
            </w:r>
            <w:r>
              <w:rPr>
                <w:rFonts w:hint="eastAsia"/>
                <w:spacing w:val="-3"/>
                <w:sz w:val="18"/>
                <w:szCs w:val="18"/>
                <w:lang w:eastAsia="zh-CN"/>
              </w:rPr>
              <w:t>4</w:t>
            </w:r>
            <w:r>
              <w:rPr>
                <w:sz w:val="18"/>
                <w:szCs w:val="18"/>
              </w:rPr>
              <w:t xml:space="preserve"> </w:t>
            </w:r>
            <w:r>
              <w:rPr>
                <w:spacing w:val="-4"/>
                <w:sz w:val="18"/>
                <w:szCs w:val="18"/>
              </w:rPr>
              <w:t>-</w:t>
            </w:r>
            <w:r>
              <w:rPr>
                <w:rFonts w:hint="eastAsia"/>
                <w:spacing w:val="-4"/>
                <w:sz w:val="18"/>
                <w:szCs w:val="18"/>
                <w:lang w:eastAsia="zh-CN"/>
              </w:rPr>
              <w:t xml:space="preserve">  </w:t>
            </w:r>
            <w:r>
              <w:rPr>
                <w:spacing w:val="8"/>
                <w:sz w:val="18"/>
                <w:szCs w:val="18"/>
              </w:rPr>
              <w:t xml:space="preserve"> </w:t>
            </w:r>
            <w:r>
              <w:rPr>
                <w:spacing w:val="-4"/>
                <w:sz w:val="18"/>
                <w:szCs w:val="18"/>
              </w:rPr>
              <w:t>-</w:t>
            </w:r>
            <w:r>
              <w:rPr>
                <w:spacing w:val="12"/>
                <w:sz w:val="18"/>
                <w:szCs w:val="18"/>
              </w:rPr>
              <w:t xml:space="preserve">  </w:t>
            </w:r>
            <w:r>
              <w:rPr>
                <w:spacing w:val="-4"/>
                <w:sz w:val="18"/>
                <w:szCs w:val="18"/>
              </w:rPr>
              <w:t>16:00</w:t>
            </w:r>
          </w:p>
        </w:tc>
        <w:tc>
          <w:tcPr>
            <w:tcW w:w="1526" w:type="dxa"/>
            <w:vAlign w:val="center"/>
          </w:tcPr>
          <w:p>
            <w:pPr>
              <w:pStyle w:val="139"/>
              <w:spacing w:before="53" w:line="248" w:lineRule="auto"/>
              <w:ind w:left="559" w:right="127" w:hanging="420"/>
              <w:rPr>
                <w:sz w:val="18"/>
                <w:szCs w:val="18"/>
              </w:rPr>
            </w:pPr>
            <w:r>
              <w:rPr>
                <w:spacing w:val="-2"/>
                <w:sz w:val="18"/>
                <w:szCs w:val="18"/>
              </w:rPr>
              <w:t>招标文件获取</w:t>
            </w:r>
            <w:r>
              <w:rPr>
                <w:spacing w:val="4"/>
                <w:sz w:val="18"/>
                <w:szCs w:val="18"/>
              </w:rPr>
              <w:t xml:space="preserve"> </w:t>
            </w:r>
            <w:r>
              <w:rPr>
                <w:spacing w:val="-2"/>
                <w:sz w:val="18"/>
                <w:szCs w:val="18"/>
              </w:rPr>
              <w:t>方式</w:t>
            </w:r>
          </w:p>
        </w:tc>
        <w:tc>
          <w:tcPr>
            <w:tcW w:w="2682" w:type="dxa"/>
            <w:gridSpan w:val="3"/>
            <w:tcBorders>
              <w:right w:val="single" w:color="000000" w:sz="6" w:space="0"/>
            </w:tcBorders>
            <w:vAlign w:val="center"/>
          </w:tcPr>
          <w:p>
            <w:pPr>
              <w:pStyle w:val="139"/>
              <w:spacing w:before="209" w:line="221" w:lineRule="auto"/>
              <w:ind w:left="813"/>
              <w:rPr>
                <w:sz w:val="18"/>
                <w:szCs w:val="18"/>
              </w:rPr>
            </w:pPr>
            <w:r>
              <w:rPr>
                <w:spacing w:val="-6"/>
                <w:sz w:val="18"/>
                <w:szCs w:val="18"/>
              </w:rPr>
              <w:t>网上获取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6" w:type="dxa"/>
            <w:tcBorders>
              <w:left w:val="single" w:color="000000" w:sz="6" w:space="0"/>
            </w:tcBorders>
            <w:vAlign w:val="center"/>
          </w:tcPr>
          <w:p>
            <w:pPr>
              <w:pStyle w:val="139"/>
              <w:spacing w:before="54" w:line="248" w:lineRule="auto"/>
              <w:ind w:left="422" w:right="208" w:hanging="212"/>
              <w:rPr>
                <w:sz w:val="18"/>
                <w:szCs w:val="18"/>
              </w:rPr>
            </w:pPr>
            <w:r>
              <w:rPr>
                <w:spacing w:val="-2"/>
                <w:sz w:val="18"/>
                <w:szCs w:val="18"/>
              </w:rPr>
              <w:t>招标文件获</w:t>
            </w:r>
            <w:r>
              <w:rPr>
                <w:spacing w:val="3"/>
                <w:sz w:val="18"/>
                <w:szCs w:val="18"/>
              </w:rPr>
              <w:t xml:space="preserve"> </w:t>
            </w:r>
            <w:r>
              <w:rPr>
                <w:spacing w:val="-2"/>
                <w:sz w:val="18"/>
                <w:szCs w:val="18"/>
              </w:rPr>
              <w:t>取地址</w:t>
            </w:r>
          </w:p>
        </w:tc>
        <w:tc>
          <w:tcPr>
            <w:tcW w:w="7163" w:type="dxa"/>
            <w:gridSpan w:val="7"/>
            <w:tcBorders>
              <w:right w:val="single" w:color="000000" w:sz="6" w:space="0"/>
            </w:tcBorders>
            <w:vAlign w:val="center"/>
          </w:tcPr>
          <w:p>
            <w:pPr>
              <w:widowControl/>
              <w:rPr>
                <w:sz w:val="18"/>
                <w:szCs w:val="18"/>
              </w:rPr>
            </w:pPr>
            <w:r>
              <w:rPr>
                <w:rFonts w:hint="eastAsia" w:ascii="宋体" w:hAnsi="宋体" w:cs="宋体"/>
                <w:color w:val="000000"/>
                <w:kern w:val="0"/>
                <w:sz w:val="18"/>
                <w:szCs w:val="18"/>
              </w:rPr>
              <w:t xml:space="preserve">在“辽宁省公共资源交易一张网电子化平台（https://www.lnsggzy.com/EpointSSO/login/oauth2login）”上自行下载招标文件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3" w:line="248" w:lineRule="auto"/>
              <w:ind w:left="212" w:right="208" w:hanging="1"/>
              <w:rPr>
                <w:sz w:val="18"/>
                <w:szCs w:val="18"/>
                <w:lang w:eastAsia="zh-CN"/>
              </w:rPr>
            </w:pPr>
            <w:r>
              <w:rPr>
                <w:spacing w:val="-2"/>
                <w:sz w:val="18"/>
                <w:szCs w:val="18"/>
                <w:lang w:eastAsia="zh-CN"/>
              </w:rPr>
              <w:t>投标文件递</w:t>
            </w:r>
            <w:r>
              <w:rPr>
                <w:spacing w:val="1"/>
                <w:sz w:val="18"/>
                <w:szCs w:val="18"/>
                <w:lang w:eastAsia="zh-CN"/>
              </w:rPr>
              <w:t xml:space="preserve"> </w:t>
            </w:r>
            <w:r>
              <w:rPr>
                <w:spacing w:val="-2"/>
                <w:sz w:val="18"/>
                <w:szCs w:val="18"/>
                <w:lang w:eastAsia="zh-CN"/>
              </w:rPr>
              <w:t>交截止时间</w:t>
            </w:r>
          </w:p>
        </w:tc>
        <w:tc>
          <w:tcPr>
            <w:tcW w:w="2955" w:type="dxa"/>
            <w:gridSpan w:val="3"/>
            <w:vAlign w:val="center"/>
          </w:tcPr>
          <w:p>
            <w:pPr>
              <w:pStyle w:val="139"/>
              <w:spacing w:before="245" w:line="182" w:lineRule="auto"/>
              <w:ind w:left="666"/>
              <w:rPr>
                <w:rFonts w:hint="default" w:eastAsia="宋体"/>
                <w:sz w:val="18"/>
                <w:szCs w:val="18"/>
                <w:lang w:val="en-US" w:eastAsia="zh-CN"/>
              </w:rPr>
            </w:pPr>
            <w:r>
              <w:rPr>
                <w:spacing w:val="-2"/>
                <w:sz w:val="18"/>
                <w:szCs w:val="18"/>
              </w:rPr>
              <w:t>202</w:t>
            </w:r>
            <w:r>
              <w:rPr>
                <w:rFonts w:hint="eastAsia"/>
                <w:spacing w:val="-2"/>
                <w:sz w:val="18"/>
                <w:szCs w:val="18"/>
                <w:lang w:eastAsia="zh-CN"/>
              </w:rPr>
              <w:t>4</w:t>
            </w:r>
            <w:r>
              <w:rPr>
                <w:spacing w:val="-2"/>
                <w:sz w:val="18"/>
                <w:szCs w:val="18"/>
              </w:rPr>
              <w:t xml:space="preserve"> -</w:t>
            </w:r>
            <w:r>
              <w:rPr>
                <w:rFonts w:hint="eastAsia"/>
                <w:spacing w:val="-2"/>
                <w:sz w:val="18"/>
                <w:szCs w:val="18"/>
                <w:lang w:eastAsia="zh-CN"/>
              </w:rPr>
              <w:t>5</w:t>
            </w:r>
            <w:r>
              <w:rPr>
                <w:spacing w:val="-2"/>
                <w:sz w:val="18"/>
                <w:szCs w:val="18"/>
              </w:rPr>
              <w:t>-</w:t>
            </w:r>
            <w:r>
              <w:rPr>
                <w:rFonts w:hint="eastAsia"/>
                <w:spacing w:val="-2"/>
                <w:sz w:val="18"/>
                <w:szCs w:val="18"/>
                <w:lang w:eastAsia="zh-CN"/>
              </w:rPr>
              <w:t xml:space="preserve">  </w:t>
            </w:r>
            <w:r>
              <w:rPr>
                <w:spacing w:val="5"/>
                <w:sz w:val="18"/>
                <w:szCs w:val="18"/>
              </w:rPr>
              <w:t xml:space="preserve"> </w:t>
            </w:r>
            <w:r>
              <w:rPr>
                <w:rFonts w:hint="eastAsia"/>
                <w:spacing w:val="5"/>
                <w:sz w:val="18"/>
                <w:szCs w:val="18"/>
                <w:lang w:val="en-US" w:eastAsia="zh-CN"/>
              </w:rPr>
              <w:t>10</w:t>
            </w:r>
            <w:r>
              <w:rPr>
                <w:spacing w:val="-2"/>
                <w:sz w:val="18"/>
                <w:szCs w:val="18"/>
              </w:rPr>
              <w:t>:</w:t>
            </w:r>
            <w:r>
              <w:rPr>
                <w:rFonts w:hint="eastAsia"/>
                <w:spacing w:val="-2"/>
                <w:sz w:val="18"/>
                <w:szCs w:val="18"/>
                <w:lang w:val="en-US" w:eastAsia="zh-CN"/>
              </w:rPr>
              <w:t>00</w:t>
            </w:r>
          </w:p>
        </w:tc>
        <w:tc>
          <w:tcPr>
            <w:tcW w:w="1526" w:type="dxa"/>
            <w:vAlign w:val="center"/>
          </w:tcPr>
          <w:p>
            <w:pPr>
              <w:pStyle w:val="139"/>
              <w:spacing w:before="53" w:line="248" w:lineRule="auto"/>
              <w:ind w:left="559" w:right="127" w:hanging="418"/>
              <w:rPr>
                <w:sz w:val="18"/>
                <w:szCs w:val="18"/>
              </w:rPr>
            </w:pPr>
            <w:r>
              <w:rPr>
                <w:spacing w:val="-2"/>
                <w:sz w:val="18"/>
                <w:szCs w:val="18"/>
              </w:rPr>
              <w:t>投标文件递交</w:t>
            </w:r>
            <w:r>
              <w:rPr>
                <w:spacing w:val="2"/>
                <w:sz w:val="18"/>
                <w:szCs w:val="18"/>
              </w:rPr>
              <w:t xml:space="preserve"> </w:t>
            </w:r>
            <w:r>
              <w:rPr>
                <w:spacing w:val="-2"/>
                <w:sz w:val="18"/>
                <w:szCs w:val="18"/>
              </w:rPr>
              <w:t>方法</w:t>
            </w:r>
          </w:p>
        </w:tc>
        <w:tc>
          <w:tcPr>
            <w:tcW w:w="2682" w:type="dxa"/>
            <w:gridSpan w:val="3"/>
            <w:tcBorders>
              <w:right w:val="single" w:color="000000" w:sz="6" w:space="0"/>
            </w:tcBorders>
            <w:vAlign w:val="center"/>
          </w:tcPr>
          <w:p>
            <w:pPr>
              <w:pStyle w:val="139"/>
              <w:spacing w:before="210" w:line="222" w:lineRule="auto"/>
              <w:ind w:left="813"/>
              <w:rPr>
                <w:sz w:val="18"/>
                <w:szCs w:val="18"/>
              </w:rPr>
            </w:pPr>
            <w:r>
              <w:rPr>
                <w:spacing w:val="-6"/>
                <w:sz w:val="18"/>
                <w:szCs w:val="18"/>
              </w:rPr>
              <w:t>网上递交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626" w:type="dxa"/>
            <w:tcBorders>
              <w:left w:val="single" w:color="000000" w:sz="6" w:space="0"/>
            </w:tcBorders>
            <w:vAlign w:val="center"/>
          </w:tcPr>
          <w:p>
            <w:pPr>
              <w:pStyle w:val="139"/>
              <w:spacing w:before="213" w:line="222" w:lineRule="auto"/>
              <w:ind w:left="315"/>
              <w:rPr>
                <w:sz w:val="18"/>
                <w:szCs w:val="18"/>
              </w:rPr>
            </w:pPr>
            <w:r>
              <w:rPr>
                <w:spacing w:val="-2"/>
                <w:sz w:val="18"/>
                <w:szCs w:val="18"/>
              </w:rPr>
              <w:t>递交地址</w:t>
            </w:r>
          </w:p>
        </w:tc>
        <w:tc>
          <w:tcPr>
            <w:tcW w:w="7163" w:type="dxa"/>
            <w:gridSpan w:val="7"/>
            <w:tcBorders>
              <w:right w:val="single" w:color="000000" w:sz="6" w:space="0"/>
            </w:tcBorders>
            <w:vAlign w:val="center"/>
          </w:tcPr>
          <w:p>
            <w:pPr>
              <w:pStyle w:val="139"/>
              <w:spacing w:before="57" w:line="221" w:lineRule="auto"/>
              <w:ind w:left="1640"/>
              <w:rPr>
                <w:sz w:val="18"/>
                <w:szCs w:val="18"/>
                <w:lang w:eastAsia="zh-CN"/>
              </w:rPr>
            </w:pPr>
            <w:r>
              <w:rPr>
                <w:spacing w:val="-1"/>
                <w:sz w:val="18"/>
                <w:szCs w:val="18"/>
                <w:lang w:eastAsia="zh-CN"/>
              </w:rPr>
              <w:t>在辽宁省公共资源交易一张网电子化平台</w:t>
            </w:r>
          </w:p>
          <w:p>
            <w:pPr>
              <w:pStyle w:val="139"/>
              <w:spacing w:before="61" w:line="221" w:lineRule="auto"/>
              <w:ind w:left="331"/>
              <w:rPr>
                <w:sz w:val="18"/>
                <w:szCs w:val="18"/>
                <w:lang w:eastAsia="zh-CN"/>
              </w:rPr>
            </w:pPr>
            <w:r>
              <w:rPr>
                <w:spacing w:val="-1"/>
                <w:sz w:val="18"/>
                <w:szCs w:val="18"/>
                <w:lang w:eastAsia="zh-CN"/>
              </w:rPr>
              <w:t>（</w:t>
            </w:r>
            <w:r>
              <w:fldChar w:fldCharType="begin"/>
            </w:r>
            <w:r>
              <w:instrText xml:space="preserve"> HYPERLINK "https://www.lnsggzy.com/EpointSSO/login/oauth2login" </w:instrText>
            </w:r>
            <w:r>
              <w:fldChar w:fldCharType="separate"/>
            </w:r>
            <w:r>
              <w:rPr>
                <w:rFonts w:ascii="Calibri" w:hAnsi="Calibri" w:eastAsia="Calibri" w:cs="Calibri"/>
                <w:spacing w:val="-1"/>
                <w:sz w:val="18"/>
                <w:szCs w:val="18"/>
                <w:lang w:eastAsia="zh-CN"/>
              </w:rPr>
              <w:t>https://www.lnsggzy.com/Epoint</w:t>
            </w:r>
            <w:r>
              <w:rPr>
                <w:rFonts w:ascii="Calibri" w:hAnsi="Calibri" w:eastAsia="Calibri" w:cs="Calibri"/>
                <w:spacing w:val="-2"/>
                <w:sz w:val="18"/>
                <w:szCs w:val="18"/>
                <w:lang w:eastAsia="zh-CN"/>
              </w:rPr>
              <w:t>SSO/login/oauth2login</w:t>
            </w:r>
            <w:r>
              <w:rPr>
                <w:rFonts w:ascii="Calibri" w:hAnsi="Calibri" w:eastAsia="Calibri" w:cs="Calibri"/>
                <w:spacing w:val="-2"/>
                <w:sz w:val="18"/>
                <w:szCs w:val="18"/>
                <w:lang w:eastAsia="zh-CN"/>
              </w:rPr>
              <w:fldChar w:fldCharType="end"/>
            </w:r>
            <w:r>
              <w:rPr>
                <w:rFonts w:ascii="Calibri" w:hAnsi="Calibri" w:eastAsia="Calibri" w:cs="Calibri"/>
                <w:spacing w:val="-16"/>
                <w:sz w:val="18"/>
                <w:szCs w:val="18"/>
                <w:lang w:eastAsia="zh-CN"/>
              </w:rPr>
              <w:t xml:space="preserve"> </w:t>
            </w:r>
            <w:r>
              <w:rPr>
                <w:spacing w:val="-2"/>
                <w:sz w:val="18"/>
                <w:szCs w:val="18"/>
                <w:lang w:eastAsia="zh-CN"/>
              </w:rPr>
              <w:t>）递交投标文件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199" w:line="221" w:lineRule="auto"/>
              <w:ind w:left="315"/>
              <w:rPr>
                <w:sz w:val="18"/>
                <w:szCs w:val="18"/>
              </w:rPr>
            </w:pPr>
            <w:r>
              <w:rPr>
                <w:spacing w:val="-2"/>
                <w:sz w:val="18"/>
                <w:szCs w:val="18"/>
              </w:rPr>
              <w:t>开标时间</w:t>
            </w:r>
          </w:p>
        </w:tc>
        <w:tc>
          <w:tcPr>
            <w:tcW w:w="2955" w:type="dxa"/>
            <w:gridSpan w:val="3"/>
            <w:vAlign w:val="center"/>
          </w:tcPr>
          <w:p>
            <w:pPr>
              <w:pStyle w:val="139"/>
              <w:spacing w:before="233" w:line="182" w:lineRule="auto"/>
              <w:ind w:left="743"/>
              <w:rPr>
                <w:rFonts w:hint="default" w:eastAsia="宋体"/>
                <w:sz w:val="18"/>
                <w:szCs w:val="18"/>
                <w:lang w:val="en-US" w:eastAsia="zh-CN"/>
              </w:rPr>
            </w:pPr>
            <w:r>
              <w:rPr>
                <w:spacing w:val="-2"/>
                <w:sz w:val="18"/>
                <w:szCs w:val="18"/>
              </w:rPr>
              <w:t>202</w:t>
            </w:r>
            <w:r>
              <w:rPr>
                <w:rFonts w:hint="eastAsia"/>
                <w:spacing w:val="-2"/>
                <w:sz w:val="18"/>
                <w:szCs w:val="18"/>
                <w:lang w:eastAsia="zh-CN"/>
              </w:rPr>
              <w:t>4</w:t>
            </w:r>
            <w:r>
              <w:rPr>
                <w:spacing w:val="-2"/>
                <w:sz w:val="18"/>
                <w:szCs w:val="18"/>
              </w:rPr>
              <w:t xml:space="preserve"> -</w:t>
            </w:r>
            <w:r>
              <w:rPr>
                <w:rFonts w:hint="eastAsia"/>
                <w:spacing w:val="-2"/>
                <w:sz w:val="18"/>
                <w:szCs w:val="18"/>
                <w:lang w:eastAsia="zh-CN"/>
              </w:rPr>
              <w:t>5</w:t>
            </w:r>
            <w:r>
              <w:rPr>
                <w:spacing w:val="9"/>
                <w:sz w:val="18"/>
                <w:szCs w:val="18"/>
              </w:rPr>
              <w:t xml:space="preserve"> </w:t>
            </w:r>
            <w:r>
              <w:rPr>
                <w:spacing w:val="-2"/>
                <w:sz w:val="18"/>
                <w:szCs w:val="18"/>
              </w:rPr>
              <w:t>-</w:t>
            </w:r>
            <w:r>
              <w:rPr>
                <w:rFonts w:hint="eastAsia"/>
                <w:spacing w:val="-2"/>
                <w:sz w:val="18"/>
                <w:szCs w:val="18"/>
                <w:lang w:eastAsia="zh-CN"/>
              </w:rPr>
              <w:t xml:space="preserve">  </w:t>
            </w:r>
            <w:r>
              <w:rPr>
                <w:spacing w:val="10"/>
                <w:sz w:val="18"/>
                <w:szCs w:val="18"/>
              </w:rPr>
              <w:t xml:space="preserve"> </w:t>
            </w:r>
            <w:r>
              <w:rPr>
                <w:rFonts w:hint="eastAsia"/>
                <w:spacing w:val="-2"/>
                <w:sz w:val="18"/>
                <w:szCs w:val="18"/>
                <w:lang w:val="en-US" w:eastAsia="zh-CN"/>
              </w:rPr>
              <w:t>10</w:t>
            </w:r>
            <w:r>
              <w:rPr>
                <w:spacing w:val="-2"/>
                <w:sz w:val="18"/>
                <w:szCs w:val="18"/>
              </w:rPr>
              <w:t>:</w:t>
            </w:r>
            <w:r>
              <w:rPr>
                <w:rFonts w:hint="eastAsia"/>
                <w:spacing w:val="-2"/>
                <w:sz w:val="18"/>
                <w:szCs w:val="18"/>
                <w:lang w:val="en-US" w:eastAsia="zh-CN"/>
              </w:rPr>
              <w:t>00</w:t>
            </w:r>
          </w:p>
        </w:tc>
        <w:tc>
          <w:tcPr>
            <w:tcW w:w="1526" w:type="dxa"/>
            <w:vAlign w:val="center"/>
          </w:tcPr>
          <w:p>
            <w:pPr>
              <w:pStyle w:val="139"/>
              <w:spacing w:before="199" w:line="221" w:lineRule="auto"/>
              <w:ind w:left="348"/>
              <w:rPr>
                <w:sz w:val="18"/>
                <w:szCs w:val="18"/>
              </w:rPr>
            </w:pPr>
            <w:r>
              <w:rPr>
                <w:spacing w:val="-2"/>
                <w:sz w:val="18"/>
                <w:szCs w:val="18"/>
              </w:rPr>
              <w:t>开标方式</w:t>
            </w:r>
          </w:p>
        </w:tc>
        <w:tc>
          <w:tcPr>
            <w:tcW w:w="2682" w:type="dxa"/>
            <w:gridSpan w:val="3"/>
            <w:tcBorders>
              <w:right w:val="single" w:color="000000" w:sz="6" w:space="0"/>
            </w:tcBorders>
            <w:vAlign w:val="center"/>
          </w:tcPr>
          <w:p>
            <w:pPr>
              <w:pStyle w:val="139"/>
              <w:spacing w:before="198" w:line="221" w:lineRule="auto"/>
              <w:ind w:right="1"/>
              <w:rPr>
                <w:sz w:val="18"/>
                <w:szCs w:val="18"/>
                <w:lang w:eastAsia="zh-CN"/>
              </w:rPr>
            </w:pPr>
            <w:r>
              <w:rPr>
                <w:spacing w:val="-2"/>
                <w:sz w:val="18"/>
                <w:szCs w:val="18"/>
                <w:lang w:eastAsia="zh-CN"/>
              </w:rPr>
              <w:t>远程开标（不见面开标）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1626" w:type="dxa"/>
            <w:tcBorders>
              <w:left w:val="single" w:color="000000" w:sz="6" w:space="0"/>
            </w:tcBorders>
            <w:vAlign w:val="center"/>
          </w:tcPr>
          <w:p>
            <w:pPr>
              <w:spacing w:line="245" w:lineRule="auto"/>
              <w:rPr>
                <w:rFonts w:ascii="Arial"/>
                <w:sz w:val="18"/>
                <w:szCs w:val="18"/>
              </w:rPr>
            </w:pPr>
          </w:p>
          <w:p>
            <w:pPr>
              <w:spacing w:line="245" w:lineRule="auto"/>
              <w:rPr>
                <w:rFonts w:ascii="Arial"/>
                <w:sz w:val="18"/>
                <w:szCs w:val="18"/>
              </w:rPr>
            </w:pPr>
          </w:p>
          <w:p>
            <w:pPr>
              <w:spacing w:line="245" w:lineRule="auto"/>
              <w:rPr>
                <w:rFonts w:ascii="Arial"/>
                <w:sz w:val="18"/>
                <w:szCs w:val="18"/>
              </w:rPr>
            </w:pPr>
          </w:p>
          <w:p>
            <w:pPr>
              <w:spacing w:line="246" w:lineRule="auto"/>
              <w:rPr>
                <w:rFonts w:ascii="Arial"/>
                <w:sz w:val="18"/>
                <w:szCs w:val="18"/>
              </w:rPr>
            </w:pPr>
          </w:p>
          <w:p>
            <w:pPr>
              <w:spacing w:line="246" w:lineRule="auto"/>
              <w:rPr>
                <w:rFonts w:ascii="Arial"/>
                <w:sz w:val="18"/>
                <w:szCs w:val="18"/>
              </w:rPr>
            </w:pPr>
          </w:p>
          <w:p>
            <w:pPr>
              <w:pStyle w:val="139"/>
              <w:spacing w:before="68" w:line="250" w:lineRule="auto"/>
              <w:ind w:left="629" w:right="208" w:hanging="419"/>
              <w:rPr>
                <w:sz w:val="18"/>
                <w:szCs w:val="18"/>
              </w:rPr>
            </w:pPr>
            <w:r>
              <w:rPr>
                <w:spacing w:val="-2"/>
                <w:sz w:val="18"/>
                <w:szCs w:val="18"/>
              </w:rPr>
              <w:t>开标方式描</w:t>
            </w:r>
            <w:r>
              <w:rPr>
                <w:spacing w:val="3"/>
                <w:sz w:val="18"/>
                <w:szCs w:val="18"/>
              </w:rPr>
              <w:t xml:space="preserve"> </w:t>
            </w:r>
            <w:r>
              <w:rPr>
                <w:sz w:val="18"/>
                <w:szCs w:val="18"/>
              </w:rPr>
              <w:t>述</w:t>
            </w:r>
          </w:p>
        </w:tc>
        <w:tc>
          <w:tcPr>
            <w:tcW w:w="7163" w:type="dxa"/>
            <w:gridSpan w:val="7"/>
            <w:tcBorders>
              <w:right w:val="single" w:color="000000" w:sz="6" w:space="0"/>
            </w:tcBorders>
            <w:vAlign w:val="center"/>
          </w:tcPr>
          <w:p>
            <w:pPr>
              <w:pStyle w:val="139"/>
              <w:spacing w:before="54" w:line="261" w:lineRule="auto"/>
              <w:ind w:left="108" w:right="97" w:firstLine="1"/>
              <w:rPr>
                <w:sz w:val="18"/>
                <w:szCs w:val="18"/>
                <w:lang w:eastAsia="zh-CN"/>
              </w:rPr>
            </w:pPr>
            <w:r>
              <w:rPr>
                <w:spacing w:val="-3"/>
                <w:sz w:val="18"/>
                <w:szCs w:val="18"/>
                <w:lang w:eastAsia="zh-CN"/>
              </w:rPr>
              <w:t>本项目以不见面电子开标。电子投标文件在辽宁省公共资源交易一张网电子</w:t>
            </w:r>
            <w:r>
              <w:rPr>
                <w:spacing w:val="9"/>
                <w:sz w:val="18"/>
                <w:szCs w:val="18"/>
                <w:lang w:eastAsia="zh-CN"/>
              </w:rPr>
              <w:t xml:space="preserve"> </w:t>
            </w:r>
            <w:r>
              <w:rPr>
                <w:spacing w:val="-1"/>
                <w:sz w:val="18"/>
                <w:szCs w:val="18"/>
                <w:lang w:eastAsia="zh-CN"/>
              </w:rPr>
              <w:t>化平台（</w:t>
            </w:r>
            <w:r>
              <w:fldChar w:fldCharType="begin"/>
            </w:r>
            <w:r>
              <w:instrText xml:space="preserve"> HYPERLINK "https://www.lnsggzy.com/EpointSSO/login/oauth2login" </w:instrText>
            </w:r>
            <w:r>
              <w:fldChar w:fldCharType="separate"/>
            </w:r>
            <w:r>
              <w:rPr>
                <w:rFonts w:ascii="Calibri" w:hAnsi="Calibri" w:eastAsia="Calibri" w:cs="Calibri"/>
                <w:spacing w:val="-1"/>
                <w:sz w:val="18"/>
                <w:szCs w:val="18"/>
                <w:lang w:eastAsia="zh-CN"/>
              </w:rPr>
              <w:t>https://www.lnsggzy.com/EpointSSO/login/oauth2login</w:t>
            </w:r>
            <w:r>
              <w:rPr>
                <w:rFonts w:ascii="Calibri" w:hAnsi="Calibri" w:eastAsia="Calibri" w:cs="Calibri"/>
                <w:spacing w:val="-1"/>
                <w:sz w:val="18"/>
                <w:szCs w:val="18"/>
                <w:lang w:eastAsia="zh-CN"/>
              </w:rPr>
              <w:fldChar w:fldCharType="end"/>
            </w:r>
            <w:r>
              <w:rPr>
                <w:spacing w:val="-1"/>
                <w:sz w:val="18"/>
                <w:szCs w:val="18"/>
                <w:lang w:eastAsia="zh-CN"/>
              </w:rPr>
              <w:t>）上传投标文</w:t>
            </w:r>
            <w:r>
              <w:rPr>
                <w:spacing w:val="18"/>
                <w:sz w:val="18"/>
                <w:szCs w:val="18"/>
                <w:lang w:eastAsia="zh-CN"/>
              </w:rPr>
              <w:t xml:space="preserve"> </w:t>
            </w:r>
            <w:r>
              <w:rPr>
                <w:spacing w:val="-5"/>
                <w:sz w:val="18"/>
                <w:szCs w:val="18"/>
                <w:lang w:eastAsia="zh-CN"/>
              </w:rPr>
              <w:t>件。开标当日，</w:t>
            </w:r>
            <w:r>
              <w:rPr>
                <w:spacing w:val="-28"/>
                <w:sz w:val="18"/>
                <w:szCs w:val="18"/>
                <w:lang w:eastAsia="zh-CN"/>
              </w:rPr>
              <w:t xml:space="preserve"> </w:t>
            </w:r>
            <w:r>
              <w:rPr>
                <w:spacing w:val="-5"/>
                <w:sz w:val="18"/>
                <w:szCs w:val="18"/>
                <w:lang w:eastAsia="zh-CN"/>
              </w:rPr>
              <w:t>采用不见面交易方式，请按招标文件规定时间登录“辽宁省</w:t>
            </w:r>
            <w:r>
              <w:rPr>
                <w:sz w:val="18"/>
                <w:szCs w:val="18"/>
                <w:lang w:eastAsia="zh-CN"/>
              </w:rPr>
              <w:t xml:space="preserve"> </w:t>
            </w:r>
            <w:r>
              <w:rPr>
                <w:spacing w:val="-1"/>
                <w:sz w:val="18"/>
                <w:szCs w:val="18"/>
                <w:lang w:eastAsia="zh-CN"/>
              </w:rPr>
              <w:t>公共资源不见面交易大厅</w:t>
            </w:r>
          </w:p>
          <w:p>
            <w:pPr>
              <w:pStyle w:val="139"/>
              <w:spacing w:before="63" w:line="265" w:lineRule="auto"/>
              <w:ind w:left="108" w:right="24" w:firstLine="8"/>
              <w:rPr>
                <w:rFonts w:ascii="Calibri" w:hAnsi="Calibri" w:eastAsia="Calibri" w:cs="Calibri"/>
                <w:sz w:val="18"/>
                <w:szCs w:val="18"/>
                <w:lang w:eastAsia="zh-CN"/>
              </w:rPr>
            </w:pPr>
            <w:r>
              <w:fldChar w:fldCharType="begin"/>
            </w:r>
            <w:r>
              <w:instrText xml:space="preserve"> HYPERLINK "https://www.lnsggzy.com/BidOpeningHall/bidhall/dqliaoning/login" </w:instrText>
            </w:r>
            <w:r>
              <w:fldChar w:fldCharType="separate"/>
            </w:r>
            <w:r>
              <w:rPr>
                <w:rFonts w:ascii="Calibri" w:hAnsi="Calibri" w:eastAsia="Calibri" w:cs="Calibri"/>
                <w:spacing w:val="-2"/>
                <w:sz w:val="18"/>
                <w:szCs w:val="18"/>
                <w:lang w:eastAsia="zh-CN"/>
              </w:rPr>
              <w:t>https://www.lnsggzy.com/BidOpeningHall/bidhall/dqliaoning/login</w:t>
            </w:r>
            <w:r>
              <w:rPr>
                <w:rFonts w:ascii="Calibri" w:hAnsi="Calibri" w:eastAsia="Calibri" w:cs="Calibri"/>
                <w:spacing w:val="-2"/>
                <w:sz w:val="18"/>
                <w:szCs w:val="18"/>
                <w:lang w:eastAsia="zh-CN"/>
              </w:rPr>
              <w:fldChar w:fldCharType="end"/>
            </w:r>
            <w:r>
              <w:rPr>
                <w:rFonts w:ascii="Calibri" w:hAnsi="Calibri" w:eastAsia="Calibri" w:cs="Calibri"/>
                <w:spacing w:val="-1"/>
                <w:sz w:val="18"/>
                <w:szCs w:val="18"/>
                <w:lang w:eastAsia="zh-CN"/>
              </w:rPr>
              <w:t xml:space="preserve"> </w:t>
            </w:r>
            <w:r>
              <w:rPr>
                <w:spacing w:val="-2"/>
                <w:sz w:val="18"/>
                <w:szCs w:val="18"/>
                <w:lang w:eastAsia="zh-CN"/>
              </w:rPr>
              <w:t>”进行远程、</w:t>
            </w:r>
            <w:r>
              <w:rPr>
                <w:sz w:val="18"/>
                <w:szCs w:val="18"/>
                <w:lang w:eastAsia="zh-CN"/>
              </w:rPr>
              <w:t xml:space="preserve"> </w:t>
            </w:r>
            <w:r>
              <w:rPr>
                <w:spacing w:val="-7"/>
                <w:sz w:val="18"/>
                <w:szCs w:val="18"/>
                <w:lang w:eastAsia="zh-CN"/>
              </w:rPr>
              <w:t>在线解密，解密时间为</w:t>
            </w:r>
            <w:r>
              <w:rPr>
                <w:spacing w:val="-26"/>
                <w:sz w:val="18"/>
                <w:szCs w:val="18"/>
                <w:lang w:eastAsia="zh-CN"/>
              </w:rPr>
              <w:t xml:space="preserve"> </w:t>
            </w:r>
            <w:r>
              <w:rPr>
                <w:rFonts w:ascii="Calibri" w:hAnsi="Calibri" w:eastAsia="Calibri" w:cs="Calibri"/>
                <w:spacing w:val="-7"/>
                <w:sz w:val="18"/>
                <w:szCs w:val="18"/>
                <w:lang w:eastAsia="zh-CN"/>
              </w:rPr>
              <w:t>30</w:t>
            </w:r>
            <w:r>
              <w:rPr>
                <w:rFonts w:ascii="Calibri" w:hAnsi="Calibri" w:eastAsia="Calibri" w:cs="Calibri"/>
                <w:spacing w:val="15"/>
                <w:w w:val="101"/>
                <w:sz w:val="18"/>
                <w:szCs w:val="18"/>
                <w:lang w:eastAsia="zh-CN"/>
              </w:rPr>
              <w:t xml:space="preserve"> </w:t>
            </w:r>
            <w:r>
              <w:rPr>
                <w:spacing w:val="-7"/>
                <w:sz w:val="18"/>
                <w:szCs w:val="18"/>
                <w:lang w:eastAsia="zh-CN"/>
              </w:rPr>
              <w:t xml:space="preserve">分钟。（因开标系统发生不可抗力产生延误解密时 </w:t>
            </w:r>
            <w:r>
              <w:rPr>
                <w:spacing w:val="-4"/>
                <w:sz w:val="18"/>
                <w:szCs w:val="18"/>
                <w:lang w:eastAsia="zh-CN"/>
              </w:rPr>
              <w:t>间的， 招标人将延长相应的解密时长，其他原因不予延长解密时间</w:t>
            </w:r>
            <w:r>
              <w:rPr>
                <w:spacing w:val="-42"/>
                <w:sz w:val="18"/>
                <w:szCs w:val="18"/>
                <w:lang w:eastAsia="zh-CN"/>
              </w:rPr>
              <w:t>）；</w:t>
            </w:r>
            <w:r>
              <w:rPr>
                <w:spacing w:val="-4"/>
                <w:sz w:val="18"/>
                <w:szCs w:val="18"/>
                <w:lang w:eastAsia="zh-CN"/>
              </w:rPr>
              <w:t>未在</w:t>
            </w:r>
            <w:r>
              <w:rPr>
                <w:sz w:val="18"/>
                <w:szCs w:val="18"/>
                <w:lang w:eastAsia="zh-CN"/>
              </w:rPr>
              <w:t xml:space="preserve">  </w:t>
            </w:r>
            <w:r>
              <w:rPr>
                <w:spacing w:val="-5"/>
                <w:sz w:val="18"/>
                <w:szCs w:val="18"/>
                <w:lang w:eastAsia="zh-CN"/>
              </w:rPr>
              <w:t>规定时间内完成解密的投标人，</w:t>
            </w:r>
            <w:r>
              <w:rPr>
                <w:spacing w:val="-27"/>
                <w:sz w:val="18"/>
                <w:szCs w:val="18"/>
                <w:lang w:eastAsia="zh-CN"/>
              </w:rPr>
              <w:t xml:space="preserve"> </w:t>
            </w:r>
            <w:r>
              <w:rPr>
                <w:spacing w:val="-5"/>
                <w:sz w:val="18"/>
                <w:szCs w:val="18"/>
                <w:lang w:eastAsia="zh-CN"/>
              </w:rPr>
              <w:t>视为放弃本次投标，招标</w:t>
            </w:r>
            <w:r>
              <w:rPr>
                <w:spacing w:val="-6"/>
                <w:sz w:val="18"/>
                <w:szCs w:val="18"/>
                <w:lang w:eastAsia="zh-CN"/>
              </w:rPr>
              <w:t xml:space="preserve">人不再接收。逾期 </w:t>
            </w:r>
            <w:r>
              <w:rPr>
                <w:spacing w:val="-5"/>
                <w:sz w:val="18"/>
                <w:szCs w:val="18"/>
                <w:lang w:eastAsia="zh-CN"/>
              </w:rPr>
              <w:t>递交的或者未按要求递交的投标文件，</w:t>
            </w:r>
            <w:r>
              <w:rPr>
                <w:spacing w:val="-36"/>
                <w:sz w:val="18"/>
                <w:szCs w:val="18"/>
                <w:lang w:eastAsia="zh-CN"/>
              </w:rPr>
              <w:t xml:space="preserve"> </w:t>
            </w:r>
            <w:r>
              <w:rPr>
                <w:spacing w:val="-5"/>
                <w:sz w:val="18"/>
                <w:szCs w:val="18"/>
                <w:lang w:eastAsia="zh-CN"/>
              </w:rPr>
              <w:t xml:space="preserve">将不予受理。辽宁省公共资源交易网 </w:t>
            </w:r>
            <w:r>
              <w:rPr>
                <w:spacing w:val="-2"/>
                <w:sz w:val="18"/>
                <w:szCs w:val="18"/>
                <w:lang w:eastAsia="zh-CN"/>
              </w:rPr>
              <w:t>技术支持电话：</w:t>
            </w:r>
            <w:r>
              <w:rPr>
                <w:spacing w:val="-19"/>
                <w:sz w:val="18"/>
                <w:szCs w:val="18"/>
                <w:lang w:eastAsia="zh-CN"/>
              </w:rPr>
              <w:t xml:space="preserve"> </w:t>
            </w:r>
            <w:r>
              <w:rPr>
                <w:spacing w:val="-2"/>
                <w:sz w:val="18"/>
                <w:szCs w:val="18"/>
                <w:lang w:eastAsia="zh-CN"/>
              </w:rPr>
              <w:t>王工：</w:t>
            </w:r>
            <w:r>
              <w:rPr>
                <w:rFonts w:ascii="Calibri" w:hAnsi="Calibri" w:eastAsia="Calibri" w:cs="Calibri"/>
                <w:spacing w:val="-2"/>
                <w:sz w:val="18"/>
                <w:szCs w:val="18"/>
                <w:lang w:eastAsia="zh-CN"/>
              </w:rPr>
              <w:t>13019466009/024-23447977/024-23447961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626" w:type="dxa"/>
            <w:tcBorders>
              <w:left w:val="single" w:color="000000" w:sz="6" w:space="0"/>
            </w:tcBorders>
            <w:vAlign w:val="center"/>
          </w:tcPr>
          <w:p>
            <w:pPr>
              <w:pStyle w:val="139"/>
              <w:spacing w:before="199" w:line="221" w:lineRule="auto"/>
              <w:ind w:left="313"/>
              <w:rPr>
                <w:sz w:val="18"/>
                <w:szCs w:val="18"/>
              </w:rPr>
            </w:pPr>
            <w:r>
              <w:rPr>
                <w:spacing w:val="-1"/>
                <w:sz w:val="18"/>
                <w:szCs w:val="18"/>
              </w:rPr>
              <w:t>评审办法</w:t>
            </w:r>
          </w:p>
        </w:tc>
        <w:tc>
          <w:tcPr>
            <w:tcW w:w="7163" w:type="dxa"/>
            <w:gridSpan w:val="7"/>
            <w:tcBorders>
              <w:right w:val="single" w:color="000000" w:sz="6" w:space="0"/>
            </w:tcBorders>
            <w:vAlign w:val="center"/>
          </w:tcPr>
          <w:p>
            <w:pPr>
              <w:pStyle w:val="139"/>
              <w:spacing w:before="200" w:line="219" w:lineRule="auto"/>
              <w:ind w:left="3064"/>
              <w:rPr>
                <w:sz w:val="18"/>
                <w:szCs w:val="18"/>
              </w:rPr>
            </w:pPr>
            <w:r>
              <w:rPr>
                <w:spacing w:val="-2"/>
                <w:sz w:val="18"/>
                <w:szCs w:val="18"/>
              </w:rPr>
              <w:t>综合评估法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626" w:type="dxa"/>
            <w:tcBorders>
              <w:left w:val="single" w:color="000000" w:sz="6" w:space="0"/>
            </w:tcBorders>
            <w:vAlign w:val="center"/>
          </w:tcPr>
          <w:p>
            <w:pPr>
              <w:pStyle w:val="139"/>
              <w:spacing w:before="200" w:line="220" w:lineRule="auto"/>
              <w:ind w:left="318"/>
              <w:rPr>
                <w:sz w:val="18"/>
                <w:szCs w:val="18"/>
              </w:rPr>
            </w:pPr>
            <w:r>
              <w:rPr>
                <w:spacing w:val="-3"/>
                <w:sz w:val="18"/>
                <w:szCs w:val="18"/>
              </w:rPr>
              <w:t>发布媒介</w:t>
            </w:r>
          </w:p>
        </w:tc>
        <w:tc>
          <w:tcPr>
            <w:tcW w:w="7163" w:type="dxa"/>
            <w:gridSpan w:val="7"/>
            <w:tcBorders>
              <w:right w:val="single" w:color="000000" w:sz="6" w:space="0"/>
            </w:tcBorders>
            <w:vAlign w:val="center"/>
          </w:tcPr>
          <w:p>
            <w:pPr>
              <w:pStyle w:val="139"/>
              <w:spacing w:before="199" w:line="221" w:lineRule="auto"/>
              <w:ind w:left="114"/>
              <w:rPr>
                <w:sz w:val="18"/>
                <w:szCs w:val="18"/>
                <w:lang w:eastAsia="zh-CN"/>
              </w:rPr>
            </w:pPr>
            <w:r>
              <w:rPr>
                <w:spacing w:val="-3"/>
                <w:sz w:val="18"/>
                <w:szCs w:val="18"/>
                <w:lang w:eastAsia="zh-CN"/>
              </w:rPr>
              <w:t>辽宁省招标投标监管网、辽宁省公共资源交易</w:t>
            </w:r>
            <w:r>
              <w:rPr>
                <w:rFonts w:hint="eastAsia"/>
                <w:spacing w:val="-3"/>
                <w:sz w:val="18"/>
                <w:szCs w:val="18"/>
                <w:lang w:eastAsia="zh-CN"/>
              </w:rPr>
              <w:t>网</w:t>
            </w:r>
            <w:r>
              <w:rPr>
                <w:spacing w:val="-3"/>
                <w:sz w:val="18"/>
                <w:szCs w:val="18"/>
                <w:lang w:eastAsia="zh-CN"/>
              </w:rPr>
              <w:t>、全国公共资源交易平台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1626" w:type="dxa"/>
            <w:tcBorders>
              <w:left w:val="single" w:color="000000" w:sz="6" w:space="0"/>
            </w:tcBorders>
            <w:vAlign w:val="center"/>
          </w:tcPr>
          <w:p>
            <w:pPr>
              <w:spacing w:line="302" w:lineRule="auto"/>
              <w:rPr>
                <w:rFonts w:ascii="Arial"/>
                <w:sz w:val="18"/>
                <w:szCs w:val="18"/>
              </w:rPr>
            </w:pPr>
          </w:p>
          <w:p>
            <w:pPr>
              <w:spacing w:line="302" w:lineRule="auto"/>
              <w:rPr>
                <w:rFonts w:ascii="Arial"/>
                <w:sz w:val="18"/>
                <w:szCs w:val="18"/>
              </w:rPr>
            </w:pPr>
          </w:p>
          <w:p>
            <w:pPr>
              <w:pStyle w:val="139"/>
              <w:spacing w:before="69" w:line="247" w:lineRule="auto"/>
              <w:ind w:left="225" w:right="208" w:hanging="13"/>
              <w:rPr>
                <w:sz w:val="18"/>
                <w:szCs w:val="18"/>
                <w:lang w:eastAsia="zh-CN"/>
              </w:rPr>
            </w:pPr>
            <w:r>
              <w:rPr>
                <w:spacing w:val="-2"/>
                <w:sz w:val="18"/>
                <w:szCs w:val="18"/>
                <w:lang w:eastAsia="zh-CN"/>
              </w:rPr>
              <w:t>关于保证金</w:t>
            </w:r>
            <w:r>
              <w:rPr>
                <w:spacing w:val="1"/>
                <w:sz w:val="18"/>
                <w:szCs w:val="18"/>
                <w:lang w:eastAsia="zh-CN"/>
              </w:rPr>
              <w:t xml:space="preserve"> </w:t>
            </w:r>
            <w:r>
              <w:rPr>
                <w:spacing w:val="-5"/>
                <w:sz w:val="18"/>
                <w:szCs w:val="18"/>
                <w:lang w:eastAsia="zh-CN"/>
              </w:rPr>
              <w:t>的特殊说明</w:t>
            </w:r>
          </w:p>
        </w:tc>
        <w:tc>
          <w:tcPr>
            <w:tcW w:w="7163" w:type="dxa"/>
            <w:gridSpan w:val="7"/>
            <w:tcBorders>
              <w:right w:val="single" w:color="000000" w:sz="6" w:space="0"/>
            </w:tcBorders>
            <w:vAlign w:val="center"/>
          </w:tcPr>
          <w:p>
            <w:pPr>
              <w:pStyle w:val="139"/>
              <w:spacing w:before="53" w:line="265" w:lineRule="auto"/>
              <w:ind w:left="109" w:right="22" w:hanging="1"/>
              <w:rPr>
                <w:sz w:val="18"/>
                <w:szCs w:val="18"/>
                <w:lang w:eastAsia="zh-CN"/>
              </w:rPr>
            </w:pPr>
            <w:r>
              <w:rPr>
                <w:spacing w:val="-3"/>
                <w:sz w:val="18"/>
                <w:szCs w:val="18"/>
                <w:lang w:eastAsia="zh-CN"/>
              </w:rPr>
              <w:t>在监管网发布招标信息的各类项目，</w:t>
            </w:r>
            <w:r>
              <w:rPr>
                <w:spacing w:val="-16"/>
                <w:sz w:val="18"/>
                <w:szCs w:val="18"/>
                <w:lang w:eastAsia="zh-CN"/>
              </w:rPr>
              <w:t xml:space="preserve"> </w:t>
            </w:r>
            <w:r>
              <w:rPr>
                <w:spacing w:val="-3"/>
                <w:sz w:val="18"/>
                <w:szCs w:val="18"/>
                <w:lang w:eastAsia="zh-CN"/>
              </w:rPr>
              <w:t>各招标人</w:t>
            </w:r>
            <w:r>
              <w:rPr>
                <w:rFonts w:ascii="Calibri" w:hAnsi="Calibri" w:eastAsia="Calibri" w:cs="Calibri"/>
                <w:spacing w:val="-3"/>
                <w:sz w:val="18"/>
                <w:szCs w:val="18"/>
                <w:lang w:eastAsia="zh-CN"/>
              </w:rPr>
              <w:t>(</w:t>
            </w:r>
            <w:r>
              <w:rPr>
                <w:spacing w:val="-3"/>
                <w:sz w:val="18"/>
                <w:szCs w:val="18"/>
                <w:lang w:eastAsia="zh-CN"/>
              </w:rPr>
              <w:t>招标代理机构</w:t>
            </w:r>
            <w:r>
              <w:rPr>
                <w:rFonts w:ascii="Calibri" w:hAnsi="Calibri" w:eastAsia="Calibri" w:cs="Calibri"/>
                <w:spacing w:val="-3"/>
                <w:sz w:val="18"/>
                <w:szCs w:val="18"/>
                <w:lang w:eastAsia="zh-CN"/>
              </w:rPr>
              <w:t>)</w:t>
            </w:r>
            <w:r>
              <w:rPr>
                <w:spacing w:val="-3"/>
                <w:sz w:val="18"/>
                <w:szCs w:val="18"/>
                <w:lang w:eastAsia="zh-CN"/>
              </w:rPr>
              <w:t xml:space="preserve">应支持使用电 子保函并在招标文件中予以明确。各投标人可选择缴纳保证金方式和保函办 </w:t>
            </w:r>
            <w:r>
              <w:rPr>
                <w:spacing w:val="-6"/>
                <w:sz w:val="18"/>
                <w:szCs w:val="18"/>
                <w:lang w:eastAsia="zh-CN"/>
              </w:rPr>
              <w:t xml:space="preserve">理模式， 自主选择便企金融服务平台和金融机构。任何单位或个人不得干涉 </w:t>
            </w:r>
            <w:r>
              <w:rPr>
                <w:spacing w:val="-3"/>
                <w:sz w:val="18"/>
                <w:szCs w:val="18"/>
                <w:lang w:eastAsia="zh-CN"/>
              </w:rPr>
              <w:t>投标人缴纳保证金形式，</w:t>
            </w:r>
            <w:r>
              <w:rPr>
                <w:spacing w:val="-9"/>
                <w:sz w:val="18"/>
                <w:szCs w:val="18"/>
                <w:lang w:eastAsia="zh-CN"/>
              </w:rPr>
              <w:t xml:space="preserve"> </w:t>
            </w:r>
            <w:r>
              <w:rPr>
                <w:spacing w:val="-3"/>
                <w:sz w:val="18"/>
                <w:szCs w:val="18"/>
                <w:lang w:eastAsia="zh-CN"/>
              </w:rPr>
              <w:t>不得指定或限定保函办理平台或机构。招标人</w:t>
            </w:r>
            <w:r>
              <w:rPr>
                <w:rFonts w:ascii="Calibri" w:hAnsi="Calibri" w:eastAsia="Calibri" w:cs="Calibri"/>
                <w:spacing w:val="-3"/>
                <w:sz w:val="18"/>
                <w:szCs w:val="18"/>
                <w:lang w:eastAsia="zh-CN"/>
              </w:rPr>
              <w:t>(</w:t>
            </w:r>
            <w:r>
              <w:rPr>
                <w:spacing w:val="-3"/>
                <w:sz w:val="18"/>
                <w:szCs w:val="18"/>
                <w:lang w:eastAsia="zh-CN"/>
              </w:rPr>
              <w:t>招</w:t>
            </w:r>
            <w:r>
              <w:rPr>
                <w:sz w:val="18"/>
                <w:szCs w:val="18"/>
                <w:lang w:eastAsia="zh-CN"/>
              </w:rPr>
              <w:t xml:space="preserve">  </w:t>
            </w:r>
            <w:r>
              <w:rPr>
                <w:spacing w:val="-2"/>
                <w:sz w:val="18"/>
                <w:szCs w:val="18"/>
                <w:lang w:eastAsia="zh-CN"/>
              </w:rPr>
              <w:t>标代理机构</w:t>
            </w:r>
            <w:r>
              <w:rPr>
                <w:rFonts w:ascii="Calibri" w:hAnsi="Calibri" w:eastAsia="Calibri" w:cs="Calibri"/>
                <w:spacing w:val="-2"/>
                <w:sz w:val="18"/>
                <w:szCs w:val="18"/>
                <w:lang w:eastAsia="zh-CN"/>
              </w:rPr>
              <w:t>)</w:t>
            </w:r>
            <w:r>
              <w:rPr>
                <w:spacing w:val="-2"/>
                <w:sz w:val="18"/>
                <w:szCs w:val="18"/>
                <w:lang w:eastAsia="zh-CN"/>
              </w:rPr>
              <w:t>、各地公共资源交易中心均不得排斥任</w:t>
            </w:r>
            <w:r>
              <w:rPr>
                <w:spacing w:val="-3"/>
                <w:sz w:val="18"/>
                <w:szCs w:val="18"/>
                <w:lang w:eastAsia="zh-CN"/>
              </w:rPr>
              <w:t>何符合规定的各类保函。</w:t>
            </w:r>
            <w:r>
              <w:rPr>
                <w:sz w:val="18"/>
                <w:szCs w:val="18"/>
                <w:lang w:eastAsia="zh-CN"/>
              </w:rPr>
              <w:t xml:space="preserve"> 保函办理机构应提供电子化保函验真渠道和保函财务费用支</w:t>
            </w:r>
            <w:r>
              <w:rPr>
                <w:spacing w:val="-1"/>
                <w:sz w:val="18"/>
                <w:szCs w:val="18"/>
                <w:lang w:eastAsia="zh-CN"/>
              </w:rPr>
              <w:t>付信息。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7" w:hRule="atLeast"/>
        </w:trPr>
        <w:tc>
          <w:tcPr>
            <w:tcW w:w="1626" w:type="dxa"/>
            <w:tcBorders>
              <w:left w:val="single" w:color="000000" w:sz="6" w:space="0"/>
            </w:tcBorders>
            <w:vAlign w:val="center"/>
          </w:tcPr>
          <w:p>
            <w:pPr>
              <w:spacing w:line="244" w:lineRule="auto"/>
              <w:rPr>
                <w:rFonts w:ascii="Arial"/>
                <w:sz w:val="18"/>
                <w:szCs w:val="18"/>
              </w:rPr>
            </w:pPr>
          </w:p>
          <w:p>
            <w:pPr>
              <w:spacing w:line="244" w:lineRule="auto"/>
              <w:rPr>
                <w:rFonts w:ascii="Arial"/>
                <w:sz w:val="18"/>
                <w:szCs w:val="18"/>
              </w:rPr>
            </w:pPr>
          </w:p>
          <w:p>
            <w:pPr>
              <w:spacing w:line="244" w:lineRule="auto"/>
              <w:rPr>
                <w:rFonts w:ascii="Arial"/>
                <w:sz w:val="18"/>
                <w:szCs w:val="18"/>
              </w:rPr>
            </w:pPr>
          </w:p>
          <w:p>
            <w:pPr>
              <w:spacing w:line="244" w:lineRule="auto"/>
              <w:rPr>
                <w:rFonts w:ascii="Arial"/>
                <w:sz w:val="18"/>
                <w:szCs w:val="18"/>
              </w:rPr>
            </w:pPr>
          </w:p>
          <w:p>
            <w:pPr>
              <w:pStyle w:val="139"/>
              <w:spacing w:before="68" w:line="248" w:lineRule="auto"/>
              <w:ind w:left="631" w:right="208" w:hanging="421"/>
              <w:rPr>
                <w:sz w:val="18"/>
                <w:szCs w:val="18"/>
              </w:rPr>
            </w:pPr>
            <w:r>
              <w:rPr>
                <w:spacing w:val="-2"/>
                <w:sz w:val="18"/>
                <w:szCs w:val="18"/>
              </w:rPr>
              <w:t>其他公告内</w:t>
            </w:r>
            <w:r>
              <w:rPr>
                <w:spacing w:val="3"/>
                <w:sz w:val="18"/>
                <w:szCs w:val="18"/>
              </w:rPr>
              <w:t xml:space="preserve"> </w:t>
            </w:r>
            <w:r>
              <w:rPr>
                <w:sz w:val="18"/>
                <w:szCs w:val="18"/>
              </w:rPr>
              <w:t>容</w:t>
            </w:r>
          </w:p>
        </w:tc>
        <w:tc>
          <w:tcPr>
            <w:tcW w:w="7163" w:type="dxa"/>
            <w:gridSpan w:val="7"/>
            <w:tcBorders>
              <w:right w:val="single" w:color="000000" w:sz="6" w:space="0"/>
            </w:tcBorders>
            <w:vAlign w:val="center"/>
          </w:tcPr>
          <w:p>
            <w:pPr>
              <w:pStyle w:val="139"/>
              <w:spacing w:before="53" w:line="261" w:lineRule="auto"/>
              <w:ind w:left="108" w:right="97" w:firstLine="10"/>
              <w:rPr>
                <w:sz w:val="18"/>
                <w:szCs w:val="18"/>
                <w:lang w:eastAsia="zh-CN"/>
              </w:rPr>
            </w:pPr>
            <w:r>
              <w:rPr>
                <w:rFonts w:ascii="Calibri" w:hAnsi="Calibri" w:eastAsia="Calibri" w:cs="Calibri"/>
                <w:sz w:val="18"/>
                <w:szCs w:val="18"/>
                <w:lang w:eastAsia="zh-CN"/>
              </w:rPr>
              <w:t>1</w:t>
            </w:r>
            <w:r>
              <w:rPr>
                <w:sz w:val="18"/>
                <w:szCs w:val="18"/>
                <w:lang w:eastAsia="zh-CN"/>
              </w:rPr>
              <w:t>、投标单位授权的委托代理人应具有与投标单位单位签订的经人社部门认</w:t>
            </w:r>
            <w:r>
              <w:rPr>
                <w:spacing w:val="2"/>
                <w:sz w:val="18"/>
                <w:szCs w:val="18"/>
                <w:lang w:eastAsia="zh-CN"/>
              </w:rPr>
              <w:t xml:space="preserve"> </w:t>
            </w:r>
            <w:r>
              <w:rPr>
                <w:spacing w:val="-3"/>
                <w:sz w:val="18"/>
                <w:szCs w:val="18"/>
                <w:lang w:eastAsia="zh-CN"/>
              </w:rPr>
              <w:t>定盖章的劳动合同或社会养老保险证明（若投标单位所在地区的人社部门不</w:t>
            </w:r>
            <w:r>
              <w:rPr>
                <w:spacing w:val="11"/>
                <w:sz w:val="18"/>
                <w:szCs w:val="18"/>
                <w:lang w:eastAsia="zh-CN"/>
              </w:rPr>
              <w:t xml:space="preserve"> </w:t>
            </w:r>
            <w:r>
              <w:rPr>
                <w:spacing w:val="-3"/>
                <w:sz w:val="18"/>
                <w:szCs w:val="18"/>
                <w:lang w:eastAsia="zh-CN"/>
              </w:rPr>
              <w:t>在劳动合同或社保证明原件上盖章，则须提供人社部门官网打印件并经人社</w:t>
            </w:r>
            <w:r>
              <w:rPr>
                <w:spacing w:val="-10"/>
                <w:sz w:val="18"/>
                <w:szCs w:val="18"/>
                <w:lang w:eastAsia="zh-CN"/>
              </w:rPr>
              <w:t>部门官网可查且信息有效）。</w:t>
            </w:r>
          </w:p>
          <w:p>
            <w:pPr>
              <w:pStyle w:val="139"/>
              <w:spacing w:before="62" w:line="256" w:lineRule="auto"/>
              <w:ind w:left="109" w:right="39" w:firstLine="3"/>
              <w:rPr>
                <w:sz w:val="18"/>
                <w:szCs w:val="18"/>
                <w:lang w:eastAsia="zh-CN"/>
              </w:rPr>
            </w:pPr>
            <w:r>
              <w:rPr>
                <w:rFonts w:ascii="Calibri" w:hAnsi="Calibri" w:eastAsia="Calibri" w:cs="Calibri"/>
                <w:sz w:val="18"/>
                <w:szCs w:val="18"/>
                <w:lang w:eastAsia="zh-CN"/>
              </w:rPr>
              <w:t>2</w:t>
            </w:r>
            <w:r>
              <w:rPr>
                <w:sz w:val="18"/>
                <w:szCs w:val="18"/>
                <w:lang w:eastAsia="zh-CN"/>
              </w:rPr>
              <w:t>、对受到有关水行政主管部门作出取消在相应地区投标资格行政处理、或</w:t>
            </w:r>
            <w:r>
              <w:rPr>
                <w:spacing w:val="-1"/>
                <w:sz w:val="18"/>
                <w:szCs w:val="18"/>
                <w:lang w:eastAsia="zh-CN"/>
              </w:rPr>
              <w:t>者被有关部门依法列入严重失信行为主体名单，且在有效期内的市场主体</w:t>
            </w:r>
            <w:r>
              <w:rPr>
                <w:rFonts w:hint="eastAsia"/>
                <w:spacing w:val="-1"/>
                <w:sz w:val="18"/>
                <w:szCs w:val="18"/>
                <w:lang w:eastAsia="zh-CN"/>
              </w:rPr>
              <w:t>，</w:t>
            </w:r>
            <w:r>
              <w:rPr>
                <w:spacing w:val="2"/>
                <w:sz w:val="18"/>
                <w:szCs w:val="18"/>
                <w:lang w:eastAsia="zh-CN"/>
              </w:rPr>
              <w:t xml:space="preserve"> </w:t>
            </w:r>
            <w:r>
              <w:rPr>
                <w:spacing w:val="-4"/>
                <w:sz w:val="18"/>
                <w:szCs w:val="18"/>
                <w:lang w:eastAsia="zh-CN"/>
              </w:rPr>
              <w:t>应当依法禁止或者限制其参与投标。（需附网站查询截图加盖公章）</w:t>
            </w:r>
          </w:p>
          <w:p>
            <w:pPr>
              <w:pStyle w:val="139"/>
              <w:spacing w:before="61" w:line="220" w:lineRule="auto"/>
              <w:ind w:left="111"/>
              <w:rPr>
                <w:spacing w:val="-7"/>
                <w:sz w:val="18"/>
                <w:szCs w:val="18"/>
              </w:rPr>
            </w:pPr>
            <w:r>
              <w:rPr>
                <w:rFonts w:ascii="Calibri" w:hAnsi="Calibri" w:eastAsia="Calibri" w:cs="Calibri"/>
                <w:spacing w:val="-7"/>
                <w:sz w:val="18"/>
                <w:szCs w:val="18"/>
                <w:lang w:eastAsia="zh-CN"/>
              </w:rPr>
              <w:t>3</w:t>
            </w:r>
            <w:r>
              <w:rPr>
                <w:rFonts w:ascii="Calibri" w:hAnsi="Calibri" w:eastAsia="Calibri" w:cs="Calibri"/>
                <w:spacing w:val="-8"/>
                <w:sz w:val="18"/>
                <w:szCs w:val="18"/>
                <w:lang w:eastAsia="zh-CN"/>
              </w:rPr>
              <w:t xml:space="preserve"> </w:t>
            </w:r>
            <w:r>
              <w:rPr>
                <w:spacing w:val="-7"/>
                <w:sz w:val="18"/>
                <w:szCs w:val="18"/>
                <w:lang w:eastAsia="zh-CN"/>
              </w:rPr>
              <w:t>、项目</w:t>
            </w:r>
            <w:r>
              <w:rPr>
                <w:rFonts w:hint="eastAsia"/>
                <w:spacing w:val="-7"/>
                <w:sz w:val="18"/>
                <w:szCs w:val="18"/>
                <w:lang w:eastAsia="zh-CN"/>
              </w:rPr>
              <w:t>负责人（项目经理）</w:t>
            </w:r>
            <w:r>
              <w:rPr>
                <w:spacing w:val="-7"/>
                <w:sz w:val="18"/>
                <w:szCs w:val="18"/>
                <w:lang w:eastAsia="zh-CN"/>
              </w:rPr>
              <w:t>无其他在建工程项目（需提供承诺函。</w:t>
            </w:r>
            <w:r>
              <w:rPr>
                <w:spacing w:val="-7"/>
                <w:sz w:val="18"/>
                <w:szCs w:val="18"/>
              </w:rPr>
              <w:t>）</w:t>
            </w:r>
          </w:p>
          <w:p>
            <w:pPr>
              <w:pStyle w:val="139"/>
              <w:spacing w:before="61" w:line="220" w:lineRule="auto"/>
              <w:ind w:left="111"/>
              <w:rPr>
                <w:spacing w:val="-7"/>
                <w:sz w:val="18"/>
                <w:szCs w:val="18"/>
                <w:lang w:eastAsia="zh-CN"/>
              </w:rPr>
            </w:pPr>
            <w:r>
              <w:rPr>
                <w:rFonts w:hint="eastAsia"/>
                <w:spacing w:val="-7"/>
                <w:sz w:val="18"/>
                <w:szCs w:val="18"/>
                <w:lang w:eastAsia="zh-CN"/>
              </w:rPr>
              <w:t>4、参加辽宁省水利工程电子投标活动的投标人未进入辽宁省水利建设市场主体数据库的，请登陆“辽宁省公共资源交易网”，“首页—公共资源一网交易登陆入口—水利工程交易系统—交易主体注册”，主体数据库信息录入操作方法详见《辽宁省水利建设市场主体数据库信息录入操作手册》( 操作手册下载网站：https://slt.ln.gov.cn/slt/zxpd/tzgg/2023011013315528876/index.shtml)”，及时办理入库手续。具体规定详见《关于开展全省水利建设市场主体数据库信息录入工作的通知》。其他交易平台项目按照各交易平台的要求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26" w:type="dxa"/>
            <w:tcBorders>
              <w:left w:val="single" w:color="000000" w:sz="6" w:space="0"/>
            </w:tcBorders>
            <w:vAlign w:val="center"/>
          </w:tcPr>
          <w:p>
            <w:pPr>
              <w:pStyle w:val="139"/>
              <w:spacing w:before="216" w:line="221" w:lineRule="auto"/>
              <w:ind w:left="315"/>
              <w:rPr>
                <w:sz w:val="18"/>
                <w:szCs w:val="18"/>
              </w:rPr>
            </w:pPr>
            <w:r>
              <w:rPr>
                <w:spacing w:val="-2"/>
                <w:sz w:val="18"/>
                <w:szCs w:val="18"/>
              </w:rPr>
              <w:t>监督部门</w:t>
            </w:r>
          </w:p>
        </w:tc>
        <w:tc>
          <w:tcPr>
            <w:tcW w:w="2955" w:type="dxa"/>
            <w:gridSpan w:val="3"/>
            <w:vAlign w:val="center"/>
          </w:tcPr>
          <w:p>
            <w:pPr>
              <w:pStyle w:val="139"/>
              <w:spacing w:before="217" w:line="220" w:lineRule="auto"/>
              <w:ind w:left="611"/>
              <w:rPr>
                <w:sz w:val="18"/>
                <w:szCs w:val="18"/>
              </w:rPr>
            </w:pPr>
            <w:r>
              <w:rPr>
                <w:spacing w:val="-1"/>
                <w:sz w:val="18"/>
                <w:szCs w:val="18"/>
              </w:rPr>
              <w:t>盖州市发展和改革局</w:t>
            </w:r>
          </w:p>
        </w:tc>
        <w:tc>
          <w:tcPr>
            <w:tcW w:w="1526" w:type="dxa"/>
            <w:vAlign w:val="center"/>
          </w:tcPr>
          <w:p>
            <w:pPr>
              <w:pStyle w:val="139"/>
              <w:spacing w:before="216" w:line="221" w:lineRule="auto"/>
              <w:ind w:left="351"/>
              <w:rPr>
                <w:sz w:val="18"/>
                <w:szCs w:val="18"/>
              </w:rPr>
            </w:pPr>
            <w:r>
              <w:rPr>
                <w:spacing w:val="-3"/>
                <w:sz w:val="18"/>
                <w:szCs w:val="18"/>
              </w:rPr>
              <w:t>项目来源</w:t>
            </w:r>
          </w:p>
        </w:tc>
        <w:tc>
          <w:tcPr>
            <w:tcW w:w="2682" w:type="dxa"/>
            <w:gridSpan w:val="3"/>
            <w:tcBorders>
              <w:right w:val="single" w:color="000000" w:sz="6" w:space="0"/>
            </w:tcBorders>
            <w:vAlign w:val="center"/>
          </w:tcPr>
          <w:p>
            <w:pPr>
              <w:pStyle w:val="139"/>
              <w:spacing w:before="60" w:line="246" w:lineRule="auto"/>
              <w:ind w:left="387" w:right="152" w:hanging="216"/>
              <w:rPr>
                <w:sz w:val="18"/>
                <w:szCs w:val="18"/>
                <w:lang w:eastAsia="zh-CN"/>
              </w:rPr>
            </w:pPr>
            <w:r>
              <w:rPr>
                <w:spacing w:val="-1"/>
                <w:sz w:val="18"/>
                <w:szCs w:val="18"/>
                <w:lang w:eastAsia="zh-CN"/>
              </w:rPr>
              <w:t>非辽宁省投资项目在线</w:t>
            </w:r>
            <w:r>
              <w:rPr>
                <w:sz w:val="18"/>
                <w:szCs w:val="18"/>
                <w:lang w:eastAsia="zh-CN"/>
              </w:rPr>
              <w:t xml:space="preserve"> </w:t>
            </w:r>
            <w:r>
              <w:rPr>
                <w:spacing w:val="-2"/>
                <w:sz w:val="18"/>
                <w:szCs w:val="18"/>
                <w:lang w:eastAsia="zh-CN"/>
              </w:rPr>
              <w:t>审批监管平台项目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626" w:type="dxa"/>
            <w:tcBorders>
              <w:left w:val="single" w:color="000000" w:sz="6" w:space="0"/>
            </w:tcBorders>
            <w:vAlign w:val="center"/>
          </w:tcPr>
          <w:p>
            <w:pPr>
              <w:pStyle w:val="139"/>
              <w:spacing w:before="59" w:line="245" w:lineRule="auto"/>
              <w:ind w:left="530" w:right="208" w:hanging="320"/>
              <w:rPr>
                <w:sz w:val="18"/>
                <w:szCs w:val="18"/>
              </w:rPr>
            </w:pPr>
            <w:r>
              <w:rPr>
                <w:spacing w:val="-2"/>
                <w:sz w:val="18"/>
                <w:szCs w:val="18"/>
              </w:rPr>
              <w:t>监督部门联</w:t>
            </w:r>
            <w:r>
              <w:rPr>
                <w:spacing w:val="3"/>
                <w:sz w:val="18"/>
                <w:szCs w:val="18"/>
              </w:rPr>
              <w:t xml:space="preserve"> </w:t>
            </w:r>
            <w:r>
              <w:rPr>
                <w:spacing w:val="-3"/>
                <w:sz w:val="18"/>
                <w:szCs w:val="18"/>
              </w:rPr>
              <w:t>系人</w:t>
            </w:r>
          </w:p>
        </w:tc>
        <w:tc>
          <w:tcPr>
            <w:tcW w:w="2955" w:type="dxa"/>
            <w:gridSpan w:val="3"/>
            <w:vAlign w:val="center"/>
          </w:tcPr>
          <w:p>
            <w:pPr>
              <w:pStyle w:val="139"/>
              <w:spacing w:before="215" w:line="221" w:lineRule="auto"/>
              <w:ind w:left="1247"/>
              <w:rPr>
                <w:sz w:val="18"/>
                <w:szCs w:val="18"/>
              </w:rPr>
            </w:pPr>
            <w:r>
              <w:rPr>
                <w:rFonts w:hint="eastAsia"/>
                <w:spacing w:val="-3"/>
                <w:sz w:val="18"/>
                <w:szCs w:val="18"/>
                <w:lang w:eastAsia="zh-CN"/>
              </w:rPr>
              <w:t>慕</w:t>
            </w:r>
            <w:r>
              <w:rPr>
                <w:spacing w:val="-3"/>
                <w:sz w:val="18"/>
                <w:szCs w:val="18"/>
              </w:rPr>
              <w:t>先生</w:t>
            </w:r>
          </w:p>
        </w:tc>
        <w:tc>
          <w:tcPr>
            <w:tcW w:w="1526" w:type="dxa"/>
            <w:vAlign w:val="center"/>
          </w:tcPr>
          <w:p>
            <w:pPr>
              <w:pStyle w:val="139"/>
              <w:spacing w:before="215" w:line="221" w:lineRule="auto"/>
              <w:ind w:left="139"/>
              <w:rPr>
                <w:sz w:val="18"/>
                <w:szCs w:val="18"/>
              </w:rPr>
            </w:pPr>
            <w:r>
              <w:rPr>
                <w:spacing w:val="-1"/>
                <w:sz w:val="18"/>
                <w:szCs w:val="18"/>
              </w:rPr>
              <w:t>监督部门电话</w:t>
            </w:r>
          </w:p>
        </w:tc>
        <w:tc>
          <w:tcPr>
            <w:tcW w:w="2682" w:type="dxa"/>
            <w:gridSpan w:val="3"/>
            <w:tcBorders>
              <w:right w:val="single" w:color="000000" w:sz="6" w:space="0"/>
            </w:tcBorders>
            <w:vAlign w:val="center"/>
          </w:tcPr>
          <w:p>
            <w:pPr>
              <w:pStyle w:val="139"/>
              <w:spacing w:before="250" w:line="183" w:lineRule="auto"/>
              <w:ind w:left="589"/>
              <w:rPr>
                <w:sz w:val="18"/>
                <w:szCs w:val="18"/>
              </w:rPr>
            </w:pPr>
            <w:r>
              <w:rPr>
                <w:spacing w:val="-1"/>
                <w:sz w:val="18"/>
                <w:szCs w:val="18"/>
              </w:rPr>
              <w:t>0417-7689191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626" w:type="dxa"/>
            <w:tcBorders>
              <w:left w:val="single" w:color="000000" w:sz="6" w:space="0"/>
            </w:tcBorders>
            <w:vAlign w:val="center"/>
          </w:tcPr>
          <w:p>
            <w:pPr>
              <w:pStyle w:val="139"/>
              <w:spacing w:before="217" w:line="221" w:lineRule="auto"/>
              <w:ind w:left="421"/>
              <w:rPr>
                <w:sz w:val="18"/>
                <w:szCs w:val="18"/>
              </w:rPr>
            </w:pPr>
            <w:r>
              <w:rPr>
                <w:spacing w:val="-2"/>
                <w:sz w:val="18"/>
                <w:szCs w:val="18"/>
              </w:rPr>
              <w:t>招标人</w:t>
            </w:r>
          </w:p>
        </w:tc>
        <w:tc>
          <w:tcPr>
            <w:tcW w:w="2955" w:type="dxa"/>
            <w:gridSpan w:val="3"/>
            <w:vAlign w:val="center"/>
          </w:tcPr>
          <w:p>
            <w:pPr>
              <w:pStyle w:val="139"/>
              <w:spacing w:before="61" w:line="244" w:lineRule="auto"/>
              <w:ind w:left="1454" w:right="186" w:hanging="1263"/>
              <w:rPr>
                <w:sz w:val="18"/>
                <w:szCs w:val="18"/>
                <w:lang w:eastAsia="zh-CN"/>
              </w:rPr>
            </w:pPr>
            <w:r>
              <w:rPr>
                <w:rFonts w:hint="eastAsia"/>
                <w:spacing w:val="-1"/>
                <w:sz w:val="18"/>
                <w:szCs w:val="18"/>
                <w:lang w:eastAsia="zh-CN"/>
              </w:rPr>
              <w:t>盖州市水利事务中心</w:t>
            </w:r>
          </w:p>
        </w:tc>
        <w:tc>
          <w:tcPr>
            <w:tcW w:w="1526" w:type="dxa"/>
            <w:vAlign w:val="center"/>
          </w:tcPr>
          <w:p>
            <w:pPr>
              <w:pStyle w:val="139"/>
              <w:spacing w:before="217" w:line="230" w:lineRule="auto"/>
              <w:ind w:left="558"/>
              <w:rPr>
                <w:sz w:val="18"/>
                <w:szCs w:val="18"/>
              </w:rPr>
            </w:pPr>
            <w:r>
              <w:rPr>
                <w:spacing w:val="-2"/>
                <w:sz w:val="18"/>
                <w:szCs w:val="18"/>
              </w:rPr>
              <w:t>地址</w:t>
            </w:r>
          </w:p>
        </w:tc>
        <w:tc>
          <w:tcPr>
            <w:tcW w:w="2682" w:type="dxa"/>
            <w:gridSpan w:val="3"/>
            <w:tcBorders>
              <w:right w:val="single" w:color="000000" w:sz="6" w:space="0"/>
            </w:tcBorders>
            <w:vAlign w:val="center"/>
          </w:tcPr>
          <w:p>
            <w:pPr>
              <w:pStyle w:val="139"/>
              <w:spacing w:before="217" w:line="220" w:lineRule="auto"/>
              <w:rPr>
                <w:sz w:val="18"/>
                <w:szCs w:val="18"/>
                <w:lang w:eastAsia="zh-CN"/>
              </w:rPr>
            </w:pPr>
            <w:r>
              <w:rPr>
                <w:rFonts w:hint="eastAsia"/>
                <w:spacing w:val="-3"/>
                <w:sz w:val="18"/>
                <w:szCs w:val="18"/>
                <w:lang w:eastAsia="zh-CN"/>
              </w:rPr>
              <w:t>盖州市人民政府新楼（三楼）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26" w:type="dxa"/>
            <w:tcBorders>
              <w:left w:val="single" w:color="000000" w:sz="6" w:space="0"/>
            </w:tcBorders>
            <w:vAlign w:val="center"/>
          </w:tcPr>
          <w:p>
            <w:pPr>
              <w:pStyle w:val="139"/>
              <w:spacing w:before="206" w:line="223" w:lineRule="auto"/>
              <w:ind w:left="421"/>
              <w:rPr>
                <w:sz w:val="18"/>
                <w:szCs w:val="18"/>
              </w:rPr>
            </w:pPr>
            <w:r>
              <w:rPr>
                <w:spacing w:val="-2"/>
                <w:sz w:val="18"/>
                <w:szCs w:val="18"/>
              </w:rPr>
              <w:t>联系人</w:t>
            </w:r>
          </w:p>
        </w:tc>
        <w:tc>
          <w:tcPr>
            <w:tcW w:w="2955" w:type="dxa"/>
            <w:gridSpan w:val="3"/>
            <w:vAlign w:val="center"/>
          </w:tcPr>
          <w:p>
            <w:pPr>
              <w:pStyle w:val="139"/>
              <w:spacing w:before="206" w:line="221" w:lineRule="auto"/>
              <w:ind w:left="1244"/>
              <w:rPr>
                <w:sz w:val="18"/>
                <w:szCs w:val="18"/>
              </w:rPr>
            </w:pPr>
            <w:r>
              <w:rPr>
                <w:rFonts w:hint="eastAsia"/>
                <w:spacing w:val="-2"/>
                <w:sz w:val="18"/>
                <w:szCs w:val="18"/>
                <w:lang w:eastAsia="zh-CN"/>
              </w:rPr>
              <w:t>李</w:t>
            </w:r>
            <w:r>
              <w:rPr>
                <w:spacing w:val="-2"/>
                <w:sz w:val="18"/>
                <w:szCs w:val="18"/>
              </w:rPr>
              <w:t>先生</w:t>
            </w:r>
          </w:p>
        </w:tc>
        <w:tc>
          <w:tcPr>
            <w:tcW w:w="1526" w:type="dxa"/>
            <w:vAlign w:val="center"/>
          </w:tcPr>
          <w:p>
            <w:pPr>
              <w:pStyle w:val="139"/>
              <w:spacing w:before="206" w:line="223" w:lineRule="auto"/>
              <w:ind w:left="583"/>
              <w:rPr>
                <w:sz w:val="18"/>
                <w:szCs w:val="18"/>
              </w:rPr>
            </w:pPr>
            <w:r>
              <w:rPr>
                <w:spacing w:val="-8"/>
                <w:sz w:val="18"/>
                <w:szCs w:val="18"/>
              </w:rPr>
              <w:t>电话</w:t>
            </w:r>
          </w:p>
        </w:tc>
        <w:tc>
          <w:tcPr>
            <w:tcW w:w="2682" w:type="dxa"/>
            <w:gridSpan w:val="3"/>
            <w:tcBorders>
              <w:right w:val="single" w:color="000000" w:sz="6" w:space="0"/>
            </w:tcBorders>
            <w:vAlign w:val="center"/>
          </w:tcPr>
          <w:p>
            <w:pPr>
              <w:pStyle w:val="139"/>
              <w:spacing w:before="241" w:line="183" w:lineRule="auto"/>
              <w:ind w:left="589"/>
              <w:rPr>
                <w:sz w:val="18"/>
                <w:szCs w:val="18"/>
                <w:lang w:eastAsia="zh-CN"/>
              </w:rPr>
            </w:pPr>
            <w:r>
              <w:rPr>
                <w:rFonts w:hint="eastAsia"/>
                <w:spacing w:val="-1"/>
                <w:sz w:val="18"/>
                <w:szCs w:val="18"/>
                <w:lang w:eastAsia="zh-CN"/>
              </w:rPr>
              <w:t xml:space="preserve">0417-7689313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62" w:line="244" w:lineRule="auto"/>
              <w:ind w:left="631" w:right="208" w:hanging="421"/>
              <w:rPr>
                <w:sz w:val="18"/>
                <w:szCs w:val="18"/>
              </w:rPr>
            </w:pPr>
            <w:r>
              <w:rPr>
                <w:spacing w:val="-2"/>
                <w:sz w:val="18"/>
                <w:szCs w:val="18"/>
              </w:rPr>
              <w:t>招标代理机</w:t>
            </w:r>
            <w:r>
              <w:rPr>
                <w:spacing w:val="3"/>
                <w:sz w:val="18"/>
                <w:szCs w:val="18"/>
              </w:rPr>
              <w:t xml:space="preserve"> </w:t>
            </w:r>
            <w:r>
              <w:rPr>
                <w:sz w:val="18"/>
                <w:szCs w:val="18"/>
              </w:rPr>
              <w:t>构</w:t>
            </w:r>
          </w:p>
        </w:tc>
        <w:tc>
          <w:tcPr>
            <w:tcW w:w="2955" w:type="dxa"/>
            <w:gridSpan w:val="3"/>
            <w:vAlign w:val="center"/>
          </w:tcPr>
          <w:p>
            <w:pPr>
              <w:pStyle w:val="139"/>
              <w:spacing w:before="62" w:line="244" w:lineRule="auto"/>
              <w:ind w:left="1354" w:right="186" w:hanging="1143"/>
              <w:rPr>
                <w:sz w:val="18"/>
                <w:szCs w:val="18"/>
                <w:lang w:eastAsia="zh-CN"/>
              </w:rPr>
            </w:pPr>
            <w:r>
              <w:rPr>
                <w:rFonts w:hint="eastAsia"/>
                <w:spacing w:val="-2"/>
                <w:sz w:val="18"/>
                <w:szCs w:val="18"/>
                <w:lang w:eastAsia="zh-CN"/>
              </w:rPr>
              <w:t>辽宁明润工程招投标代理有限公司</w:t>
            </w:r>
          </w:p>
        </w:tc>
        <w:tc>
          <w:tcPr>
            <w:tcW w:w="1526" w:type="dxa"/>
            <w:vAlign w:val="center"/>
          </w:tcPr>
          <w:p>
            <w:pPr>
              <w:pStyle w:val="139"/>
              <w:spacing w:before="219" w:line="230" w:lineRule="auto"/>
              <w:ind w:left="558"/>
              <w:rPr>
                <w:sz w:val="18"/>
                <w:szCs w:val="18"/>
              </w:rPr>
            </w:pPr>
            <w:r>
              <w:rPr>
                <w:spacing w:val="-2"/>
                <w:sz w:val="18"/>
                <w:szCs w:val="18"/>
              </w:rPr>
              <w:t>地址</w:t>
            </w:r>
          </w:p>
        </w:tc>
        <w:tc>
          <w:tcPr>
            <w:tcW w:w="2682" w:type="dxa"/>
            <w:gridSpan w:val="3"/>
            <w:tcBorders>
              <w:right w:val="single" w:color="000000" w:sz="6" w:space="0"/>
            </w:tcBorders>
            <w:vAlign w:val="center"/>
          </w:tcPr>
          <w:p>
            <w:pPr>
              <w:pStyle w:val="139"/>
              <w:spacing w:before="62" w:line="244" w:lineRule="auto"/>
              <w:ind w:left="115" w:right="99" w:firstLine="57"/>
              <w:rPr>
                <w:sz w:val="18"/>
                <w:szCs w:val="18"/>
                <w:lang w:eastAsia="zh-CN"/>
              </w:rPr>
            </w:pPr>
            <w:r>
              <w:rPr>
                <w:rFonts w:hint="eastAsia"/>
                <w:color w:val="000000"/>
                <w:kern w:val="0"/>
                <w:sz w:val="18"/>
                <w:szCs w:val="18"/>
                <w:lang w:eastAsia="zh-CN"/>
              </w:rPr>
              <w:t>辽宁省辽宁省盘锦市兴隆台区润诚苑小区商网0011栋02号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26" w:type="dxa"/>
            <w:tcBorders>
              <w:left w:val="single" w:color="000000" w:sz="6" w:space="0"/>
            </w:tcBorders>
            <w:vAlign w:val="center"/>
          </w:tcPr>
          <w:p>
            <w:pPr>
              <w:pStyle w:val="139"/>
              <w:spacing w:before="208" w:line="223" w:lineRule="auto"/>
              <w:ind w:left="421"/>
              <w:rPr>
                <w:sz w:val="18"/>
                <w:szCs w:val="18"/>
              </w:rPr>
            </w:pPr>
            <w:r>
              <w:rPr>
                <w:spacing w:val="-2"/>
                <w:sz w:val="18"/>
                <w:szCs w:val="18"/>
              </w:rPr>
              <w:t>联系人</w:t>
            </w:r>
          </w:p>
        </w:tc>
        <w:tc>
          <w:tcPr>
            <w:tcW w:w="2955" w:type="dxa"/>
            <w:gridSpan w:val="3"/>
            <w:vAlign w:val="center"/>
          </w:tcPr>
          <w:p>
            <w:pPr>
              <w:pStyle w:val="139"/>
              <w:spacing w:before="208" w:line="221" w:lineRule="auto"/>
              <w:ind w:left="1243"/>
              <w:rPr>
                <w:sz w:val="18"/>
                <w:szCs w:val="18"/>
              </w:rPr>
            </w:pPr>
            <w:r>
              <w:rPr>
                <w:rFonts w:hint="eastAsia"/>
                <w:color w:val="000000"/>
                <w:kern w:val="0"/>
                <w:sz w:val="18"/>
                <w:szCs w:val="18"/>
                <w:lang w:eastAsia="zh-CN"/>
              </w:rPr>
              <w:t>刘女士</w:t>
            </w:r>
          </w:p>
        </w:tc>
        <w:tc>
          <w:tcPr>
            <w:tcW w:w="1526" w:type="dxa"/>
            <w:vAlign w:val="center"/>
          </w:tcPr>
          <w:p>
            <w:pPr>
              <w:pStyle w:val="139"/>
              <w:spacing w:before="208" w:line="223" w:lineRule="auto"/>
              <w:ind w:left="583"/>
              <w:rPr>
                <w:sz w:val="18"/>
                <w:szCs w:val="18"/>
              </w:rPr>
            </w:pPr>
            <w:r>
              <w:rPr>
                <w:spacing w:val="-8"/>
                <w:sz w:val="18"/>
                <w:szCs w:val="18"/>
              </w:rPr>
              <w:t>电话</w:t>
            </w:r>
          </w:p>
        </w:tc>
        <w:tc>
          <w:tcPr>
            <w:tcW w:w="2682" w:type="dxa"/>
            <w:gridSpan w:val="3"/>
            <w:tcBorders>
              <w:right w:val="single" w:color="000000" w:sz="6" w:space="0"/>
            </w:tcBorders>
            <w:vAlign w:val="center"/>
          </w:tcPr>
          <w:p>
            <w:pPr>
              <w:pStyle w:val="139"/>
              <w:spacing w:before="242" w:line="183" w:lineRule="auto"/>
              <w:ind w:left="587"/>
              <w:rPr>
                <w:sz w:val="18"/>
                <w:szCs w:val="18"/>
              </w:rPr>
            </w:pPr>
            <w:r>
              <w:rPr>
                <w:rFonts w:hint="eastAsia"/>
                <w:color w:val="000000"/>
                <w:kern w:val="0"/>
                <w:sz w:val="18"/>
                <w:szCs w:val="18"/>
                <w:lang w:eastAsia="zh-CN"/>
              </w:rPr>
              <w:t>0427-7860222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626" w:type="dxa"/>
            <w:tcBorders>
              <w:left w:val="single" w:color="000000" w:sz="6" w:space="0"/>
              <w:bottom w:val="single" w:color="000000" w:sz="6" w:space="0"/>
            </w:tcBorders>
            <w:vAlign w:val="center"/>
          </w:tcPr>
          <w:p>
            <w:pPr>
              <w:pStyle w:val="139"/>
              <w:spacing w:before="221" w:line="221" w:lineRule="auto"/>
              <w:ind w:left="541"/>
              <w:rPr>
                <w:sz w:val="18"/>
                <w:szCs w:val="18"/>
              </w:rPr>
            </w:pPr>
            <w:r>
              <w:rPr>
                <w:spacing w:val="-6"/>
                <w:sz w:val="18"/>
                <w:szCs w:val="18"/>
              </w:rPr>
              <w:t>邮箱</w:t>
            </w:r>
          </w:p>
        </w:tc>
        <w:tc>
          <w:tcPr>
            <w:tcW w:w="7163" w:type="dxa"/>
            <w:gridSpan w:val="7"/>
            <w:tcBorders>
              <w:bottom w:val="single" w:color="000000" w:sz="6" w:space="0"/>
              <w:right w:val="single" w:color="000000" w:sz="6" w:space="0"/>
            </w:tcBorders>
            <w:vAlign w:val="center"/>
          </w:tcPr>
          <w:p>
            <w:pPr>
              <w:pStyle w:val="139"/>
              <w:spacing w:before="255" w:line="183" w:lineRule="auto"/>
              <w:ind w:left="2691"/>
              <w:rPr>
                <w:sz w:val="18"/>
                <w:szCs w:val="18"/>
              </w:rPr>
            </w:pPr>
            <w:r>
              <w:rPr>
                <w:spacing w:val="-1"/>
                <w:sz w:val="18"/>
                <w:szCs w:val="18"/>
              </w:rPr>
              <w:t>470817129@qq.com</w:t>
            </w:r>
          </w:p>
        </w:tc>
      </w:tr>
    </w:tbl>
    <w:p>
      <w:pPr>
        <w:spacing w:line="400" w:lineRule="exact"/>
        <w:rPr>
          <w:color w:val="000000"/>
          <w:sz w:val="20"/>
          <w:szCs w:val="20"/>
          <w:highlight w:val="none"/>
        </w:rPr>
      </w:pPr>
    </w:p>
    <w:p>
      <w:pPr>
        <w:spacing w:line="400" w:lineRule="exact"/>
        <w:rPr>
          <w:rFonts w:ascii="Arial" w:hAnsi="Arial" w:eastAsia="黑体"/>
          <w:color w:val="000080"/>
          <w:sz w:val="20"/>
          <w:szCs w:val="20"/>
          <w:highlight w:val="none"/>
        </w:rPr>
      </w:pPr>
      <w:bookmarkStart w:id="9" w:name="EB1da8b44805024ba19c6d7d530e4bfca8"/>
      <w:bookmarkEnd w:id="9"/>
    </w:p>
    <w:p>
      <w:pPr>
        <w:spacing w:line="400" w:lineRule="exact"/>
        <w:rPr>
          <w:rFonts w:ascii="Arial" w:hAnsi="Arial" w:eastAsia="黑体"/>
          <w:color w:val="000080"/>
          <w:sz w:val="20"/>
          <w:szCs w:val="20"/>
          <w:highlight w:val="none"/>
        </w:rPr>
      </w:pPr>
    </w:p>
    <w:p>
      <w:pPr>
        <w:rPr>
          <w:highlight w:val="none"/>
        </w:rPr>
      </w:pPr>
      <w:r>
        <w:rPr>
          <w:color w:val="000080"/>
          <w:sz w:val="20"/>
          <w:highlight w:val="none"/>
        </w:rPr>
        <w:br w:type="page"/>
      </w:r>
    </w:p>
    <w:p>
      <w:pPr>
        <w:pStyle w:val="3"/>
        <w:spacing w:before="120" w:after="120" w:line="400" w:lineRule="exact"/>
        <w:jc w:val="center"/>
        <w:rPr>
          <w:rFonts w:ascii="黑体" w:hAnsi="黑体" w:eastAsia="黑体"/>
          <w:bCs w:val="0"/>
          <w:color w:val="000000"/>
          <w:sz w:val="31"/>
          <w:szCs w:val="31"/>
          <w:highlight w:val="none"/>
        </w:rPr>
      </w:pPr>
      <w:bookmarkStart w:id="10" w:name="_Toc16449"/>
      <w:bookmarkStart w:id="11" w:name="_Toc49869966"/>
      <w:r>
        <w:rPr>
          <w:rFonts w:hint="eastAsia" w:ascii="黑体" w:hAnsi="黑体" w:eastAsia="黑体"/>
          <w:bCs w:val="0"/>
          <w:color w:val="000000"/>
          <w:sz w:val="31"/>
          <w:szCs w:val="31"/>
          <w:highlight w:val="none"/>
        </w:rPr>
        <w:t>第二章 投标人须知</w:t>
      </w:r>
      <w:bookmarkEnd w:id="10"/>
      <w:bookmarkEnd w:id="11"/>
    </w:p>
    <w:p>
      <w:pPr>
        <w:rPr>
          <w:highlight w:val="none"/>
        </w:rPr>
      </w:pPr>
      <w:bookmarkStart w:id="12" w:name="EB0c6c65492c334045bcdd1140c921593c"/>
      <w:bookmarkEnd w:id="12"/>
      <w:bookmarkStart w:id="13" w:name="EB795adfd018384f0884e1dea53eaf53c0"/>
      <w:bookmarkEnd w:id="13"/>
    </w:p>
    <w:p>
      <w:pPr>
        <w:spacing w:line="400" w:lineRule="exact"/>
        <w:jc w:val="center"/>
        <w:rPr>
          <w:rFonts w:ascii="黑体" w:hAnsi="黑体" w:eastAsia="黑体"/>
          <w:color w:val="000000"/>
          <w:sz w:val="27"/>
          <w:szCs w:val="27"/>
          <w:highlight w:val="none"/>
        </w:rPr>
      </w:pPr>
      <w:r>
        <w:rPr>
          <w:rFonts w:hint="eastAsia" w:ascii="黑体" w:hAnsi="黑体" w:eastAsia="黑体"/>
          <w:color w:val="000000"/>
          <w:sz w:val="27"/>
          <w:szCs w:val="27"/>
          <w:highlight w:val="none"/>
        </w:rPr>
        <w:t>投标人须知前附表</w:t>
      </w:r>
    </w:p>
    <w:p>
      <w:pPr>
        <w:adjustRightInd w:val="0"/>
        <w:spacing w:line="400" w:lineRule="exact"/>
        <w:textAlignment w:val="baseline"/>
        <w:rPr>
          <w:color w:val="000000"/>
          <w:sz w:val="20"/>
          <w:szCs w:val="20"/>
          <w:highlight w:val="none"/>
        </w:rPr>
      </w:pPr>
    </w:p>
    <w:tbl>
      <w:tblPr>
        <w:tblStyle w:val="36"/>
        <w:tblW w:w="5000" w:type="pct"/>
        <w:tblInd w:w="0" w:type="dxa"/>
        <w:tblLayout w:type="fixed"/>
        <w:tblCellMar>
          <w:top w:w="0" w:type="dxa"/>
          <w:left w:w="108" w:type="dxa"/>
          <w:bottom w:w="0" w:type="dxa"/>
          <w:right w:w="108" w:type="dxa"/>
        </w:tblCellMar>
      </w:tblPr>
      <w:tblGrid>
        <w:gridCol w:w="657"/>
        <w:gridCol w:w="2373"/>
        <w:gridCol w:w="5568"/>
      </w:tblGrid>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color w:val="000000"/>
                <w:szCs w:val="21"/>
                <w:highlight w:val="none"/>
              </w:rPr>
            </w:pPr>
            <w:r>
              <w:rPr>
                <w:b/>
                <w:color w:val="000000"/>
                <w:szCs w:val="21"/>
                <w:highlight w:val="none"/>
              </w:rPr>
              <w:t>条款号</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color w:val="000000"/>
                <w:szCs w:val="21"/>
                <w:highlight w:val="none"/>
              </w:rPr>
            </w:pPr>
            <w:r>
              <w:rPr>
                <w:b/>
                <w:color w:val="000000"/>
                <w:szCs w:val="21"/>
                <w:highlight w:val="none"/>
              </w:rPr>
              <w:t>条  款  名  称</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color w:val="000000"/>
                <w:szCs w:val="21"/>
                <w:highlight w:val="none"/>
              </w:rPr>
            </w:pPr>
            <w:r>
              <w:rPr>
                <w:b/>
                <w:color w:val="000000"/>
                <w:szCs w:val="21"/>
                <w:highlight w:val="none"/>
              </w:rPr>
              <w:t>编  列  内  容</w:t>
            </w:r>
          </w:p>
        </w:tc>
      </w:tr>
      <w:tr>
        <w:tblPrEx>
          <w:tblCellMar>
            <w:top w:w="0" w:type="dxa"/>
            <w:left w:w="108" w:type="dxa"/>
            <w:bottom w:w="0" w:type="dxa"/>
            <w:right w:w="108" w:type="dxa"/>
          </w:tblCellMar>
        </w:tblPrEx>
        <w:trPr>
          <w:trHeight w:val="31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 xml:space="preserve">招标人 </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招标单位：盖州市水利事务中心</w:t>
            </w:r>
          </w:p>
          <w:p>
            <w:pPr>
              <w:spacing w:line="400" w:lineRule="exact"/>
              <w:rPr>
                <w:szCs w:val="21"/>
                <w:highlight w:val="none"/>
              </w:rPr>
            </w:pPr>
            <w:r>
              <w:rPr>
                <w:rFonts w:hint="eastAsia"/>
                <w:szCs w:val="21"/>
                <w:highlight w:val="none"/>
              </w:rPr>
              <w:t>地    址：盖州市市政府东二楼</w:t>
            </w:r>
          </w:p>
          <w:p>
            <w:pPr>
              <w:spacing w:line="400" w:lineRule="exact"/>
              <w:rPr>
                <w:szCs w:val="21"/>
                <w:highlight w:val="none"/>
              </w:rPr>
            </w:pPr>
            <w:r>
              <w:rPr>
                <w:rFonts w:hint="eastAsia"/>
                <w:szCs w:val="21"/>
                <w:highlight w:val="none"/>
              </w:rPr>
              <w:t xml:space="preserve">联 系 人：李先生 </w:t>
            </w:r>
          </w:p>
          <w:p>
            <w:pPr>
              <w:spacing w:line="400" w:lineRule="exact"/>
              <w:rPr>
                <w:szCs w:val="21"/>
                <w:highlight w:val="none"/>
              </w:rPr>
            </w:pPr>
            <w:r>
              <w:rPr>
                <w:rFonts w:hint="eastAsia"/>
                <w:szCs w:val="21"/>
                <w:highlight w:val="none"/>
              </w:rPr>
              <w:t>联系电话：0417-7689309</w:t>
            </w:r>
          </w:p>
        </w:tc>
      </w:tr>
      <w:tr>
        <w:tblPrEx>
          <w:tblCellMar>
            <w:top w:w="0" w:type="dxa"/>
            <w:left w:w="108" w:type="dxa"/>
            <w:bottom w:w="0" w:type="dxa"/>
            <w:right w:w="108" w:type="dxa"/>
          </w:tblCellMar>
        </w:tblPrEx>
        <w:trPr>
          <w:trHeight w:val="49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招标代理机构</w:t>
            </w:r>
            <w:r>
              <w:rPr>
                <w:rFonts w:hint="eastAsia"/>
                <w:color w:val="000000"/>
                <w:szCs w:val="21"/>
                <w:highlight w:val="none"/>
              </w:rPr>
              <w:t xml:space="preserve"> </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代理单位：辽宁明润工程招投标代理有限公司</w:t>
            </w:r>
          </w:p>
          <w:p>
            <w:pPr>
              <w:spacing w:line="400" w:lineRule="exact"/>
              <w:rPr>
                <w:szCs w:val="21"/>
                <w:highlight w:val="none"/>
              </w:rPr>
            </w:pPr>
            <w:r>
              <w:rPr>
                <w:rFonts w:hint="eastAsia"/>
                <w:szCs w:val="21"/>
                <w:highlight w:val="none"/>
              </w:rPr>
              <w:t>地    址：辽宁省盘锦市兴隆台区润诚苑小区商网0011栋02号</w:t>
            </w:r>
          </w:p>
          <w:p>
            <w:pPr>
              <w:spacing w:line="400" w:lineRule="exact"/>
              <w:rPr>
                <w:szCs w:val="21"/>
                <w:highlight w:val="none"/>
              </w:rPr>
            </w:pPr>
            <w:r>
              <w:rPr>
                <w:rFonts w:hint="eastAsia"/>
                <w:szCs w:val="21"/>
                <w:highlight w:val="none"/>
              </w:rPr>
              <w:t xml:space="preserve">联 系 人：刘女士 </w:t>
            </w:r>
          </w:p>
          <w:p>
            <w:pPr>
              <w:spacing w:line="400" w:lineRule="exact"/>
              <w:rPr>
                <w:szCs w:val="21"/>
                <w:highlight w:val="none"/>
              </w:rPr>
            </w:pPr>
            <w:r>
              <w:rPr>
                <w:rFonts w:hint="eastAsia"/>
                <w:szCs w:val="21"/>
                <w:highlight w:val="none"/>
              </w:rPr>
              <w:t xml:space="preserve">联系电话：0427-7860222 </w:t>
            </w:r>
            <w:r>
              <w:rPr>
                <w:rFonts w:hint="eastAsia"/>
                <w:szCs w:val="21"/>
                <w:highlight w:val="none"/>
              </w:rPr>
              <w:tab/>
            </w:r>
          </w:p>
          <w:p>
            <w:pPr>
              <w:spacing w:line="400" w:lineRule="exact"/>
              <w:rPr>
                <w:szCs w:val="21"/>
                <w:highlight w:val="none"/>
              </w:rPr>
            </w:pPr>
            <w:r>
              <w:rPr>
                <w:rFonts w:hint="eastAsia"/>
                <w:szCs w:val="21"/>
                <w:highlight w:val="none"/>
              </w:rPr>
              <w:t>邮    箱：470817129@qq.com</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1.1.4</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项目名称</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4" w:name="EB2133f920aa8e413eb9b263827fc9f539"/>
            <w:r>
              <w:rPr>
                <w:rFonts w:hint="eastAsia"/>
                <w:szCs w:val="21"/>
                <w:highlight w:val="none"/>
              </w:rPr>
              <w:t>项目名称：盖州市2024年大中型水库移民后期扶持规划项目</w:t>
            </w:r>
          </w:p>
          <w:p>
            <w:pPr>
              <w:spacing w:line="400" w:lineRule="exact"/>
              <w:rPr>
                <w:szCs w:val="21"/>
                <w:highlight w:val="none"/>
              </w:rPr>
            </w:pPr>
            <w:r>
              <w:rPr>
                <w:rFonts w:hint="eastAsia"/>
                <w:szCs w:val="21"/>
                <w:highlight w:val="none"/>
              </w:rPr>
              <w:t>标段名称：</w:t>
            </w:r>
            <w:bookmarkEnd w:id="14"/>
            <w:r>
              <w:rPr>
                <w:rFonts w:hint="eastAsia"/>
                <w:szCs w:val="21"/>
                <w:highlight w:val="none"/>
              </w:rPr>
              <w:t>盖州市2024年大中型水库移民后期扶持规划项目（水利工程）施工</w:t>
            </w:r>
            <w:r>
              <w:rPr>
                <w:rFonts w:hint="eastAsia"/>
                <w:szCs w:val="21"/>
                <w:highlight w:val="none"/>
                <w:lang w:eastAsia="zh-CN"/>
              </w:rPr>
              <w:t>四</w:t>
            </w:r>
            <w:r>
              <w:rPr>
                <w:rFonts w:hint="eastAsia"/>
                <w:szCs w:val="21"/>
                <w:highlight w:val="none"/>
              </w:rPr>
              <w:t>标段</w:t>
            </w:r>
          </w:p>
        </w:tc>
      </w:tr>
      <w:tr>
        <w:tblPrEx>
          <w:tblCellMar>
            <w:top w:w="0" w:type="dxa"/>
            <w:left w:w="108" w:type="dxa"/>
            <w:bottom w:w="0" w:type="dxa"/>
            <w:right w:w="108" w:type="dxa"/>
          </w:tblCellMar>
        </w:tblPrEx>
        <w:trPr>
          <w:trHeight w:val="46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1.1.5</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建设地点</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 w:val="24"/>
                <w:highlight w:val="none"/>
              </w:rPr>
              <w:t>盖州市境内</w:t>
            </w:r>
          </w:p>
        </w:tc>
      </w:tr>
      <w:tr>
        <w:tblPrEx>
          <w:tblCellMar>
            <w:top w:w="0" w:type="dxa"/>
            <w:left w:w="108" w:type="dxa"/>
            <w:bottom w:w="0" w:type="dxa"/>
            <w:right w:w="108" w:type="dxa"/>
          </w:tblCellMar>
        </w:tblPrEx>
        <w:trPr>
          <w:trHeight w:val="437"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1.1.6</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现场管理机构</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highlight w:val="none"/>
              </w:rPr>
              <w:t>盖州市水利事务中心</w:t>
            </w:r>
          </w:p>
        </w:tc>
      </w:tr>
      <w:tr>
        <w:tblPrEx>
          <w:tblCellMar>
            <w:top w:w="0" w:type="dxa"/>
            <w:left w:w="108" w:type="dxa"/>
            <w:bottom w:w="0" w:type="dxa"/>
            <w:right w:w="108" w:type="dxa"/>
          </w:tblCellMar>
        </w:tblPrEx>
        <w:trPr>
          <w:trHeight w:val="43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1.1.7</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设计人</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highlight w:val="none"/>
              </w:rPr>
              <w:t>辽宁天阳工阳技术咨询服务有限公司</w:t>
            </w:r>
          </w:p>
        </w:tc>
      </w:tr>
      <w:tr>
        <w:tblPrEx>
          <w:tblCellMar>
            <w:top w:w="0" w:type="dxa"/>
            <w:left w:w="108" w:type="dxa"/>
            <w:bottom w:w="0" w:type="dxa"/>
            <w:right w:w="108" w:type="dxa"/>
          </w:tblCellMar>
        </w:tblPrEx>
        <w:trPr>
          <w:trHeight w:val="9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1.1.8</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监理人</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5" w:name="EBb10bcffdc53b4d9e81bb060758de1355"/>
            <w:bookmarkEnd w:id="15"/>
          </w:p>
        </w:tc>
      </w:tr>
      <w:tr>
        <w:tblPrEx>
          <w:tblCellMar>
            <w:top w:w="0" w:type="dxa"/>
            <w:left w:w="108" w:type="dxa"/>
            <w:bottom w:w="0" w:type="dxa"/>
            <w:right w:w="108" w:type="dxa"/>
          </w:tblCellMar>
        </w:tblPrEx>
        <w:trPr>
          <w:trHeight w:val="31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1.1.9</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代建机构</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6" w:name="EB4766f2a545fb4a0d9588125f1971b564"/>
            <w:bookmarkEnd w:id="16"/>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1.2.1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资金来源</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中央水库移民资金</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1.2.2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出资比例</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7" w:name="EBf61b7816821346cc9a4dbfd6d2329daf"/>
            <w:r>
              <w:rPr>
                <w:szCs w:val="21"/>
                <w:highlight w:val="none"/>
              </w:rPr>
              <w:t>100%</w:t>
            </w:r>
            <w:bookmarkEnd w:id="17"/>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1.2.3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资金</w:t>
            </w:r>
            <w:r>
              <w:rPr>
                <w:color w:val="000000"/>
                <w:szCs w:val="21"/>
                <w:highlight w:val="none"/>
              </w:rPr>
              <w:t>落实情况</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8" w:name="EB39886f0d54f0498f8324d72d94e084f3"/>
            <w:r>
              <w:rPr>
                <w:szCs w:val="21"/>
                <w:highlight w:val="none"/>
              </w:rPr>
              <w:t>已落实</w:t>
            </w:r>
            <w:bookmarkEnd w:id="18"/>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w:t>
            </w:r>
            <w:r>
              <w:rPr>
                <w:rFonts w:hint="eastAsia"/>
                <w:color w:val="000000"/>
                <w:szCs w:val="21"/>
                <w:highlight w:val="none"/>
              </w:rPr>
              <w:t>3</w:t>
            </w:r>
            <w:r>
              <w:rPr>
                <w:color w:val="000000"/>
                <w:szCs w:val="21"/>
                <w:highlight w:val="none"/>
              </w:rPr>
              <w:t>.1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招标范围</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ascii="宋体" w:hAnsi="宋体" w:cs="宋体"/>
                <w:color w:val="000000"/>
                <w:kern w:val="0"/>
                <w:szCs w:val="21"/>
                <w:highlight w:val="none"/>
              </w:rPr>
              <w:t>万福镇洪屯村河道治理工程河道护岸1547m。</w:t>
            </w:r>
            <w:r>
              <w:rPr>
                <w:rFonts w:hint="eastAsia" w:cs="宋体"/>
                <w:color w:val="000000"/>
                <w:kern w:val="0"/>
                <w:szCs w:val="21"/>
                <w:highlight w:val="none"/>
              </w:rPr>
              <w:t>具体详见工程量清单。</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1.3.2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计划工期</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szCs w:val="21"/>
                <w:highlight w:val="none"/>
              </w:rPr>
              <w:t>计划工期：</w:t>
            </w:r>
            <w:r>
              <w:rPr>
                <w:rFonts w:hint="eastAsia"/>
                <w:szCs w:val="21"/>
                <w:highlight w:val="none"/>
                <w:lang w:val="en-US" w:eastAsia="zh-CN"/>
              </w:rPr>
              <w:t>/</w:t>
            </w:r>
            <w:r>
              <w:rPr>
                <w:rFonts w:hint="eastAsia"/>
                <w:szCs w:val="21"/>
                <w:highlight w:val="none"/>
              </w:rPr>
              <w:t>日历天</w:t>
            </w:r>
          </w:p>
          <w:p>
            <w:pPr>
              <w:spacing w:line="400" w:lineRule="exact"/>
              <w:rPr>
                <w:szCs w:val="21"/>
                <w:highlight w:val="none"/>
              </w:rPr>
            </w:pPr>
            <w:r>
              <w:rPr>
                <w:szCs w:val="21"/>
                <w:highlight w:val="none"/>
              </w:rPr>
              <w:t>计划开工日期：</w:t>
            </w:r>
            <w:r>
              <w:rPr>
                <w:rFonts w:hint="eastAsia"/>
                <w:szCs w:val="21"/>
                <w:highlight w:val="none"/>
              </w:rPr>
              <w:t>2024年</w:t>
            </w:r>
            <w:r>
              <w:rPr>
                <w:rFonts w:hint="eastAsia"/>
                <w:szCs w:val="21"/>
                <w:highlight w:val="none"/>
                <w:lang w:val="en-US" w:eastAsia="zh-CN"/>
              </w:rPr>
              <w:t>/</w:t>
            </w:r>
            <w:r>
              <w:rPr>
                <w:rFonts w:hint="eastAsia"/>
                <w:szCs w:val="21"/>
                <w:highlight w:val="none"/>
              </w:rPr>
              <w:t>月</w:t>
            </w:r>
            <w:r>
              <w:rPr>
                <w:rFonts w:hint="eastAsia"/>
                <w:szCs w:val="21"/>
                <w:highlight w:val="none"/>
                <w:lang w:val="en-US" w:eastAsia="zh-CN"/>
              </w:rPr>
              <w:t>/</w:t>
            </w:r>
            <w:r>
              <w:rPr>
                <w:rFonts w:hint="eastAsia"/>
                <w:szCs w:val="21"/>
                <w:highlight w:val="none"/>
              </w:rPr>
              <w:t>日</w:t>
            </w:r>
          </w:p>
          <w:p>
            <w:pPr>
              <w:spacing w:line="400" w:lineRule="exact"/>
              <w:rPr>
                <w:szCs w:val="21"/>
                <w:highlight w:val="none"/>
              </w:rPr>
            </w:pPr>
            <w:r>
              <w:rPr>
                <w:szCs w:val="21"/>
                <w:highlight w:val="none"/>
              </w:rPr>
              <w:t>计划</w:t>
            </w:r>
            <w:r>
              <w:rPr>
                <w:rFonts w:hint="eastAsia"/>
                <w:szCs w:val="21"/>
                <w:highlight w:val="none"/>
              </w:rPr>
              <w:t>竣工</w:t>
            </w:r>
            <w:r>
              <w:rPr>
                <w:szCs w:val="21"/>
                <w:highlight w:val="none"/>
              </w:rPr>
              <w:t>日期：</w:t>
            </w:r>
            <w:r>
              <w:rPr>
                <w:rFonts w:hint="eastAsia"/>
                <w:szCs w:val="21"/>
                <w:highlight w:val="none"/>
              </w:rPr>
              <w:t>2024年</w:t>
            </w:r>
            <w:r>
              <w:rPr>
                <w:rFonts w:hint="eastAsia"/>
                <w:szCs w:val="21"/>
                <w:highlight w:val="none"/>
                <w:lang w:val="en-US" w:eastAsia="zh-CN"/>
              </w:rPr>
              <w:t>/</w:t>
            </w:r>
            <w:r>
              <w:rPr>
                <w:rFonts w:hint="eastAsia"/>
                <w:szCs w:val="21"/>
                <w:highlight w:val="none"/>
              </w:rPr>
              <w:t>月</w:t>
            </w:r>
            <w:r>
              <w:rPr>
                <w:rFonts w:hint="eastAsia"/>
                <w:szCs w:val="21"/>
                <w:highlight w:val="none"/>
                <w:lang w:val="en-US" w:eastAsia="zh-CN"/>
              </w:rPr>
              <w:t>/</w:t>
            </w:r>
            <w:r>
              <w:rPr>
                <w:rFonts w:hint="eastAsia"/>
                <w:szCs w:val="21"/>
                <w:highlight w:val="none"/>
              </w:rPr>
              <w:t>日</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1.3.3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质量要求</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ascii="Times New Roman" w:hAnsi="Times New Roman"/>
                <w:szCs w:val="21"/>
                <w:highlight w:val="none"/>
                <w:lang w:val="zh-CN"/>
              </w:rPr>
              <w:t>符合国家验收规范的合格标准</w:t>
            </w:r>
          </w:p>
        </w:tc>
      </w:tr>
      <w:tr>
        <w:tblPrEx>
          <w:tblCellMar>
            <w:top w:w="0" w:type="dxa"/>
            <w:left w:w="108" w:type="dxa"/>
            <w:bottom w:w="0" w:type="dxa"/>
            <w:right w:w="108" w:type="dxa"/>
          </w:tblCellMar>
        </w:tblPrEx>
        <w:trPr>
          <w:trHeight w:val="255" w:hRule="atLeast"/>
        </w:trPr>
        <w:tc>
          <w:tcPr>
            <w:tcW w:w="382" w:type="pct"/>
            <w:vMerge w:val="restar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1.4.1</w:t>
            </w:r>
          </w:p>
        </w:tc>
        <w:tc>
          <w:tcPr>
            <w:tcW w:w="1380" w:type="pct"/>
            <w:vMerge w:val="restar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投标人资质条件、能力、信誉</w:t>
            </w:r>
          </w:p>
        </w:tc>
        <w:tc>
          <w:tcPr>
            <w:tcW w:w="3237" w:type="pct"/>
            <w:tcBorders>
              <w:top w:val="single" w:color="auto" w:sz="4" w:space="0"/>
              <w:left w:val="single" w:color="auto" w:sz="4" w:space="0"/>
              <w:bottom w:val="single" w:color="auto" w:sz="4" w:space="0"/>
              <w:right w:val="single" w:color="auto" w:sz="4" w:space="0"/>
            </w:tcBorders>
            <w:vAlign w:val="center"/>
          </w:tcPr>
          <w:p>
            <w:pPr>
              <w:widowControl/>
              <w:topLinePunct/>
              <w:spacing w:line="400" w:lineRule="exact"/>
              <w:rPr>
                <w:rFonts w:ascii="Times New Roman"/>
                <w:szCs w:val="21"/>
                <w:highlight w:val="none"/>
              </w:rPr>
            </w:pPr>
            <w:r>
              <w:rPr>
                <w:rFonts w:hint="eastAsia"/>
                <w:bCs/>
                <w:szCs w:val="21"/>
                <w:highlight w:val="none"/>
              </w:rPr>
              <w:t>（1）</w:t>
            </w:r>
            <w:r>
              <w:rPr>
                <w:bCs/>
                <w:szCs w:val="21"/>
                <w:highlight w:val="none"/>
              </w:rPr>
              <w:t>资质要求：</w:t>
            </w:r>
            <w:r>
              <w:rPr>
                <w:rFonts w:hint="eastAsia" w:ascii="宋体" w:hAnsi="宋体" w:cs="宋体"/>
                <w:color w:val="000000"/>
                <w:kern w:val="0"/>
                <w:szCs w:val="21"/>
                <w:highlight w:val="none"/>
              </w:rPr>
              <w:t>水利水电工程三级及以上资质并具有有效的安全生产许可证。</w:t>
            </w:r>
            <w:r>
              <w:rPr>
                <w:bCs/>
                <w:szCs w:val="21"/>
                <w:highlight w:val="none"/>
              </w:rPr>
              <w:t xml:space="preserve">                      </w:t>
            </w:r>
          </w:p>
        </w:tc>
      </w:tr>
      <w:tr>
        <w:tblPrEx>
          <w:tblCellMar>
            <w:top w:w="0" w:type="dxa"/>
            <w:left w:w="108" w:type="dxa"/>
            <w:bottom w:w="0" w:type="dxa"/>
            <w:right w:w="108" w:type="dxa"/>
          </w:tblCellMar>
        </w:tblPrEx>
        <w:trPr>
          <w:trHeight w:val="255"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rPr>
                <w:szCs w:val="21"/>
                <w:highlight w:val="none"/>
              </w:rPr>
            </w:pPr>
            <w:r>
              <w:rPr>
                <w:rFonts w:hint="eastAsia"/>
                <w:bCs/>
                <w:szCs w:val="21"/>
                <w:highlight w:val="none"/>
              </w:rPr>
              <w:t>（2）财务要求：</w:t>
            </w:r>
            <w:r>
              <w:rPr>
                <w:bCs/>
                <w:szCs w:val="21"/>
                <w:highlight w:val="none"/>
              </w:rPr>
              <w:t xml:space="preserve">  </w:t>
            </w:r>
            <w:r>
              <w:rPr>
                <w:rFonts w:hint="eastAsia"/>
                <w:bCs/>
                <w:szCs w:val="21"/>
                <w:highlight w:val="none"/>
              </w:rPr>
              <w:t>无</w:t>
            </w:r>
            <w:r>
              <w:rPr>
                <w:bCs/>
                <w:szCs w:val="21"/>
                <w:highlight w:val="none"/>
              </w:rPr>
              <w:t xml:space="preserve">                 </w:t>
            </w:r>
          </w:p>
        </w:tc>
      </w:tr>
      <w:tr>
        <w:tblPrEx>
          <w:tblCellMar>
            <w:top w:w="0" w:type="dxa"/>
            <w:left w:w="108" w:type="dxa"/>
            <w:bottom w:w="0" w:type="dxa"/>
            <w:right w:w="108" w:type="dxa"/>
          </w:tblCellMar>
        </w:tblPrEx>
        <w:trPr>
          <w:trHeight w:val="270"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rPr>
                <w:szCs w:val="21"/>
                <w:highlight w:val="none"/>
              </w:rPr>
            </w:pPr>
            <w:r>
              <w:rPr>
                <w:rFonts w:hint="eastAsia"/>
                <w:bCs/>
                <w:szCs w:val="21"/>
                <w:highlight w:val="none"/>
              </w:rPr>
              <w:t>（3）</w:t>
            </w:r>
            <w:r>
              <w:rPr>
                <w:bCs/>
                <w:szCs w:val="21"/>
                <w:highlight w:val="none"/>
              </w:rPr>
              <w:t xml:space="preserve">业绩要求：  </w:t>
            </w:r>
            <w:r>
              <w:rPr>
                <w:rFonts w:hint="eastAsia"/>
                <w:bCs/>
                <w:szCs w:val="21"/>
                <w:highlight w:val="none"/>
              </w:rPr>
              <w:t>无</w:t>
            </w:r>
            <w:r>
              <w:rPr>
                <w:bCs/>
                <w:szCs w:val="21"/>
                <w:highlight w:val="none"/>
              </w:rPr>
              <w:t xml:space="preserve">                   </w:t>
            </w:r>
          </w:p>
        </w:tc>
      </w:tr>
      <w:tr>
        <w:tblPrEx>
          <w:tblCellMar>
            <w:top w:w="0" w:type="dxa"/>
            <w:left w:w="108" w:type="dxa"/>
            <w:bottom w:w="0" w:type="dxa"/>
            <w:right w:w="108" w:type="dxa"/>
          </w:tblCellMar>
        </w:tblPrEx>
        <w:trPr>
          <w:trHeight w:val="150"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topLinePunct/>
              <w:snapToGrid w:val="0"/>
              <w:spacing w:line="400" w:lineRule="exact"/>
              <w:rPr>
                <w:szCs w:val="21"/>
                <w:highlight w:val="none"/>
              </w:rPr>
            </w:pPr>
            <w:r>
              <w:rPr>
                <w:rFonts w:hint="eastAsia"/>
                <w:bCs/>
                <w:szCs w:val="21"/>
                <w:highlight w:val="none"/>
              </w:rPr>
              <w:t>（4）</w:t>
            </w:r>
            <w:r>
              <w:rPr>
                <w:bCs/>
                <w:szCs w:val="21"/>
                <w:highlight w:val="none"/>
              </w:rPr>
              <w:t>信誉要求：</w:t>
            </w:r>
            <w:r>
              <w:rPr>
                <w:rFonts w:hint="eastAsia"/>
                <w:bCs/>
                <w:szCs w:val="21"/>
                <w:highlight w:val="none"/>
              </w:rPr>
              <w:t>对受到有关水行政主管部门作出取消在相应地 区投标资格行政处理、 或者被有关部门依法列入严重失 信行为主体名单， 且在有效期内的市场主体， 应当依法禁止或者限制其参与投标。（需附网站查询截图加盖公章</w:t>
            </w:r>
            <w:r>
              <w:rPr>
                <w:bCs/>
                <w:szCs w:val="21"/>
                <w:highlight w:val="none"/>
              </w:rPr>
              <w:t xml:space="preserve"> </w:t>
            </w:r>
            <w:r>
              <w:rPr>
                <w:rFonts w:hint="eastAsia"/>
                <w:bCs/>
                <w:szCs w:val="21"/>
                <w:highlight w:val="none"/>
              </w:rPr>
              <w:t>）</w:t>
            </w:r>
            <w:r>
              <w:rPr>
                <w:bCs/>
                <w:szCs w:val="21"/>
                <w:highlight w:val="none"/>
              </w:rPr>
              <w:t xml:space="preserve">                            </w:t>
            </w:r>
          </w:p>
        </w:tc>
      </w:tr>
      <w:tr>
        <w:tblPrEx>
          <w:tblCellMar>
            <w:top w:w="0" w:type="dxa"/>
            <w:left w:w="108" w:type="dxa"/>
            <w:bottom w:w="0" w:type="dxa"/>
            <w:right w:w="108" w:type="dxa"/>
          </w:tblCellMar>
        </w:tblPrEx>
        <w:trPr>
          <w:trHeight w:val="135"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topLinePunct/>
              <w:snapToGrid w:val="0"/>
              <w:spacing w:line="400" w:lineRule="exact"/>
              <w:rPr>
                <w:color w:val="000000"/>
                <w:szCs w:val="21"/>
                <w:highlight w:val="none"/>
              </w:rPr>
            </w:pPr>
            <w:r>
              <w:rPr>
                <w:rFonts w:hint="eastAsia"/>
                <w:bCs/>
                <w:szCs w:val="21"/>
                <w:highlight w:val="none"/>
              </w:rPr>
              <w:t>（5）主要人员要求：</w:t>
            </w:r>
            <w:r>
              <w:rPr>
                <w:rFonts w:hint="eastAsia" w:ascii="Times New Roman" w:hAnsi="Times New Roman"/>
                <w:bCs/>
                <w:szCs w:val="21"/>
                <w:highlight w:val="none"/>
              </w:rPr>
              <w:t>项目负责人（项目经理）：</w:t>
            </w:r>
            <w:r>
              <w:rPr>
                <w:rFonts w:hint="eastAsia" w:cs="宋体"/>
                <w:color w:val="000000"/>
                <w:kern w:val="0"/>
                <w:szCs w:val="21"/>
                <w:highlight w:val="none"/>
              </w:rPr>
              <w:t>（</w:t>
            </w:r>
            <w:r>
              <w:rPr>
                <w:rFonts w:hint="eastAsia" w:ascii="宋体" w:hAnsi="宋体" w:cs="宋体"/>
                <w:color w:val="000000"/>
                <w:kern w:val="0"/>
                <w:szCs w:val="21"/>
                <w:highlight w:val="none"/>
              </w:rPr>
              <w:t>[二级注册建造师·水利水电工程及以上]</w:t>
            </w:r>
            <w:r>
              <w:rPr>
                <w:spacing w:val="-1"/>
                <w:szCs w:val="21"/>
                <w:highlight w:val="none"/>
              </w:rPr>
              <w:t>并且[具有有效的安全生</w:t>
            </w:r>
            <w:r>
              <w:rPr>
                <w:spacing w:val="-2"/>
                <w:szCs w:val="21"/>
                <w:highlight w:val="none"/>
              </w:rPr>
              <w:t>产考核合</w:t>
            </w:r>
            <w:r>
              <w:rPr>
                <w:spacing w:val="-9"/>
                <w:szCs w:val="21"/>
                <w:highlight w:val="none"/>
              </w:rPr>
              <w:t>格证书（B</w:t>
            </w:r>
            <w:r>
              <w:rPr>
                <w:spacing w:val="-43"/>
                <w:szCs w:val="21"/>
                <w:highlight w:val="none"/>
              </w:rPr>
              <w:t xml:space="preserve"> </w:t>
            </w:r>
            <w:r>
              <w:rPr>
                <w:spacing w:val="-9"/>
                <w:szCs w:val="21"/>
                <w:highlight w:val="none"/>
              </w:rPr>
              <w:t>类</w:t>
            </w:r>
            <w:r>
              <w:rPr>
                <w:rFonts w:hint="eastAsia"/>
                <w:spacing w:val="-9"/>
                <w:szCs w:val="21"/>
                <w:highlight w:val="none"/>
              </w:rPr>
              <w:t>）</w:t>
            </w:r>
            <w:r>
              <w:rPr>
                <w:spacing w:val="-9"/>
                <w:szCs w:val="21"/>
                <w:highlight w:val="none"/>
              </w:rPr>
              <w:t>]</w:t>
            </w:r>
            <w:r>
              <w:rPr>
                <w:bCs/>
                <w:szCs w:val="21"/>
                <w:highlight w:val="none"/>
              </w:rPr>
              <w:t xml:space="preserve">      </w:t>
            </w:r>
          </w:p>
        </w:tc>
      </w:tr>
      <w:tr>
        <w:tblPrEx>
          <w:tblCellMar>
            <w:top w:w="0" w:type="dxa"/>
            <w:left w:w="108" w:type="dxa"/>
            <w:bottom w:w="0" w:type="dxa"/>
            <w:right w:w="108" w:type="dxa"/>
          </w:tblCellMar>
        </w:tblPrEx>
        <w:trPr>
          <w:trHeight w:val="2810"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numPr>
                <w:ilvl w:val="0"/>
                <w:numId w:val="3"/>
              </w:numPr>
              <w:snapToGrid w:val="0"/>
              <w:spacing w:line="400" w:lineRule="exact"/>
              <w:rPr>
                <w:bCs/>
                <w:szCs w:val="21"/>
                <w:highlight w:val="none"/>
              </w:rPr>
            </w:pPr>
            <w:r>
              <w:rPr>
                <w:rFonts w:hint="eastAsia"/>
                <w:bCs/>
                <w:szCs w:val="21"/>
                <w:highlight w:val="none"/>
              </w:rPr>
              <w:t>其他要求：</w:t>
            </w:r>
            <w:r>
              <w:rPr>
                <w:bCs/>
                <w:szCs w:val="21"/>
                <w:highlight w:val="none"/>
              </w:rPr>
              <w:t xml:space="preserve"> </w:t>
            </w:r>
            <w:r>
              <w:rPr>
                <w:rFonts w:hint="eastAsia"/>
                <w:bCs/>
                <w:szCs w:val="21"/>
                <w:highlight w:val="none"/>
              </w:rPr>
              <w:t xml:space="preserve"> 1、项目负责人（项目经理）无其他在建工程项目（需提供承诺函）。</w:t>
            </w:r>
          </w:p>
          <w:p>
            <w:pPr>
              <w:widowControl/>
              <w:snapToGrid w:val="0"/>
              <w:spacing w:line="400" w:lineRule="exact"/>
              <w:rPr>
                <w:szCs w:val="21"/>
                <w:highlight w:val="none"/>
              </w:rPr>
            </w:pPr>
            <w:r>
              <w:rPr>
                <w:rFonts w:hint="eastAsia"/>
                <w:bCs/>
                <w:szCs w:val="21"/>
                <w:highlight w:val="none"/>
              </w:rPr>
              <w:t>2、投标人授权的委托代理人应具有与投标人单位签订的劳动合同或社会养老保险证明（若投标单位所在地区的人 社部门不在劳动合同或社保证明原件上盖章，则须提供人社部门官网打印件并经人社部门官网可查且信息有效）。</w:t>
            </w:r>
          </w:p>
          <w:p>
            <w:pPr>
              <w:spacing w:line="400" w:lineRule="exact"/>
              <w:rPr>
                <w:szCs w:val="21"/>
                <w:highlight w:val="none"/>
              </w:rPr>
            </w:pPr>
            <w:r>
              <w:rPr>
                <w:bCs/>
                <w:szCs w:val="21"/>
                <w:highlight w:val="none"/>
              </w:rPr>
              <w:t xml:space="preserve"> </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1.4.2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是否接受联合体投标</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9" w:name="EB8a1c7af526cc4e59affd3f373dbb67ae"/>
            <w:r>
              <w:rPr>
                <w:rFonts w:hint="eastAsia" w:ascii="宋体" w:hAnsi="宋体"/>
                <w:szCs w:val="21"/>
                <w:highlight w:val="none"/>
              </w:rPr>
              <w:t>☑</w:t>
            </w:r>
            <w:bookmarkEnd w:id="19"/>
            <w:r>
              <w:rPr>
                <w:rFonts w:hint="eastAsia" w:ascii="宋体" w:hAnsi="宋体"/>
                <w:szCs w:val="21"/>
                <w:highlight w:val="none"/>
              </w:rPr>
              <w:t>不接受</w:t>
            </w:r>
          </w:p>
          <w:p>
            <w:pPr>
              <w:spacing w:line="400" w:lineRule="exact"/>
              <w:rPr>
                <w:szCs w:val="21"/>
                <w:highlight w:val="none"/>
              </w:rPr>
            </w:pPr>
            <w:bookmarkStart w:id="20" w:name="EB4143c3ffbae4432f9461537b07fb9c49"/>
            <w:r>
              <w:rPr>
                <w:rFonts w:hint="eastAsia" w:ascii="宋体" w:hAnsi="宋体"/>
                <w:szCs w:val="21"/>
                <w:highlight w:val="none"/>
              </w:rPr>
              <w:t>□</w:t>
            </w:r>
            <w:bookmarkEnd w:id="20"/>
            <w:r>
              <w:rPr>
                <w:rFonts w:hint="eastAsia" w:ascii="宋体" w:hAnsi="宋体"/>
                <w:szCs w:val="21"/>
                <w:highlight w:val="none"/>
              </w:rPr>
              <w:t>接受，应满足下列要求：</w:t>
            </w:r>
            <w:bookmarkStart w:id="21" w:name="EB124aed33c4b84b2481cef1dc603014d3"/>
            <w:bookmarkEnd w:id="21"/>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1.9</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踏勘现场</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2" w:name="EBa6483f525e23454f8d345417c2c992e1"/>
            <w:r>
              <w:rPr>
                <w:rFonts w:hint="eastAsia" w:ascii="宋体" w:hAnsi="宋体"/>
                <w:szCs w:val="21"/>
                <w:highlight w:val="none"/>
              </w:rPr>
              <w:t>□</w:t>
            </w:r>
            <w:bookmarkEnd w:id="22"/>
            <w:r>
              <w:rPr>
                <w:rFonts w:hint="eastAsia" w:ascii="宋体" w:hAnsi="宋体"/>
                <w:szCs w:val="21"/>
                <w:highlight w:val="none"/>
              </w:rPr>
              <w:t>组织</w:t>
            </w:r>
          </w:p>
          <w:p>
            <w:pPr>
              <w:spacing w:line="400" w:lineRule="exact"/>
              <w:rPr>
                <w:szCs w:val="21"/>
                <w:highlight w:val="none"/>
              </w:rPr>
            </w:pPr>
            <w:bookmarkStart w:id="23" w:name="EBaadfada53c54437f8aa575c3413f92cc"/>
            <w:r>
              <w:rPr>
                <w:rFonts w:hint="eastAsia"/>
                <w:szCs w:val="21"/>
                <w:highlight w:val="none"/>
              </w:rPr>
              <w:t>☑</w:t>
            </w:r>
            <w:bookmarkEnd w:id="23"/>
            <w:r>
              <w:rPr>
                <w:rFonts w:hint="eastAsia"/>
                <w:szCs w:val="21"/>
                <w:highlight w:val="none"/>
              </w:rPr>
              <w:t>不组织</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1.10</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招标预备会</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4" w:name="EBa8a50ca2615e4561807077f299f83a9f"/>
            <w:r>
              <w:rPr>
                <w:rFonts w:hint="eastAsia" w:ascii="宋体" w:hAnsi="宋体"/>
                <w:szCs w:val="21"/>
                <w:highlight w:val="none"/>
              </w:rPr>
              <w:t>□</w:t>
            </w:r>
            <w:bookmarkEnd w:id="24"/>
            <w:r>
              <w:rPr>
                <w:rFonts w:hint="eastAsia" w:ascii="宋体" w:hAnsi="宋体"/>
                <w:szCs w:val="21"/>
                <w:highlight w:val="none"/>
              </w:rPr>
              <w:t>召开</w:t>
            </w:r>
          </w:p>
          <w:p>
            <w:pPr>
              <w:spacing w:line="400" w:lineRule="exact"/>
              <w:rPr>
                <w:szCs w:val="21"/>
                <w:highlight w:val="none"/>
              </w:rPr>
            </w:pPr>
            <w:bookmarkStart w:id="25" w:name="EB27c7da6764e841e5838d41be7108b633"/>
            <w:r>
              <w:rPr>
                <w:rFonts w:hint="eastAsia"/>
                <w:szCs w:val="21"/>
                <w:highlight w:val="none"/>
              </w:rPr>
              <w:t>☑</w:t>
            </w:r>
            <w:bookmarkEnd w:id="25"/>
            <w:r>
              <w:rPr>
                <w:rFonts w:hint="eastAsia"/>
                <w:szCs w:val="21"/>
                <w:highlight w:val="none"/>
              </w:rPr>
              <w:t>不召开</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1.10.3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投标截止时间</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6" w:name="EB4fd8b2ebb89d4aa5835b4f8174756346"/>
            <w:r>
              <w:rPr>
                <w:rFonts w:hint="eastAsia"/>
                <w:szCs w:val="21"/>
                <w:highlight w:val="none"/>
              </w:rPr>
              <w:t>2024年/月/日</w:t>
            </w:r>
            <w:r>
              <w:rPr>
                <w:szCs w:val="21"/>
                <w:highlight w:val="none"/>
              </w:rPr>
              <w:t xml:space="preserve"> </w:t>
            </w:r>
            <w:bookmarkEnd w:id="26"/>
            <w:r>
              <w:rPr>
                <w:rFonts w:hint="eastAsia"/>
                <w:szCs w:val="21"/>
                <w:highlight w:val="none"/>
              </w:rPr>
              <w:t>9:30</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w:t>
            </w:r>
            <w:r>
              <w:rPr>
                <w:rFonts w:hint="eastAsia"/>
                <w:color w:val="000000"/>
                <w:szCs w:val="21"/>
                <w:highlight w:val="none"/>
              </w:rPr>
              <w:t>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分包</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7" w:name="EB73b3b2f706bf4d10b2b47e88266e293c"/>
            <w:r>
              <w:rPr>
                <w:rFonts w:hint="eastAsia"/>
                <w:szCs w:val="21"/>
                <w:highlight w:val="none"/>
              </w:rPr>
              <w:t>□</w:t>
            </w:r>
            <w:bookmarkEnd w:id="27"/>
            <w:r>
              <w:rPr>
                <w:rFonts w:hint="eastAsia"/>
                <w:szCs w:val="21"/>
                <w:highlight w:val="none"/>
              </w:rPr>
              <w:t>允许，</w:t>
            </w:r>
            <w:r>
              <w:rPr>
                <w:szCs w:val="21"/>
                <w:highlight w:val="none"/>
              </w:rPr>
              <w:t>分包内容</w:t>
            </w:r>
            <w:r>
              <w:rPr>
                <w:rFonts w:hint="eastAsia"/>
                <w:szCs w:val="21"/>
                <w:highlight w:val="none"/>
              </w:rPr>
              <w:t>要求</w:t>
            </w:r>
            <w:r>
              <w:rPr>
                <w:szCs w:val="21"/>
                <w:highlight w:val="none"/>
              </w:rPr>
              <w:t>：</w:t>
            </w:r>
            <w:bookmarkStart w:id="28" w:name="EB32826244947d4ca6bff52ca9e6400629"/>
            <w:bookmarkEnd w:id="28"/>
          </w:p>
          <w:p>
            <w:pPr>
              <w:spacing w:line="400" w:lineRule="exact"/>
              <w:ind w:firstLine="840" w:firstLineChars="400"/>
              <w:rPr>
                <w:szCs w:val="21"/>
                <w:highlight w:val="none"/>
              </w:rPr>
            </w:pPr>
            <w:r>
              <w:rPr>
                <w:szCs w:val="21"/>
                <w:highlight w:val="none"/>
              </w:rPr>
              <w:t>分包金额</w:t>
            </w:r>
            <w:r>
              <w:rPr>
                <w:rFonts w:hint="eastAsia"/>
                <w:szCs w:val="21"/>
                <w:highlight w:val="none"/>
              </w:rPr>
              <w:t>要求</w:t>
            </w:r>
            <w:r>
              <w:rPr>
                <w:szCs w:val="21"/>
                <w:highlight w:val="none"/>
              </w:rPr>
              <w:t>：</w:t>
            </w:r>
            <w:bookmarkStart w:id="29" w:name="EBa2bca24804c040708b3ea94abeed29a3"/>
            <w:bookmarkEnd w:id="29"/>
          </w:p>
          <w:p>
            <w:pPr>
              <w:spacing w:line="400" w:lineRule="exact"/>
              <w:ind w:firstLine="840"/>
              <w:rPr>
                <w:szCs w:val="21"/>
                <w:highlight w:val="none"/>
              </w:rPr>
            </w:pPr>
            <w:r>
              <w:rPr>
                <w:rFonts w:hint="eastAsia"/>
                <w:szCs w:val="21"/>
                <w:highlight w:val="none"/>
              </w:rPr>
              <w:t>接受分包的第三人资质要求：</w:t>
            </w:r>
            <w:bookmarkStart w:id="30" w:name="EBd2b070a521be4636a991ebcbbaa9370c"/>
            <w:bookmarkEnd w:id="30"/>
          </w:p>
          <w:p>
            <w:pPr>
              <w:spacing w:line="400" w:lineRule="exact"/>
              <w:rPr>
                <w:szCs w:val="21"/>
                <w:highlight w:val="none"/>
              </w:rPr>
            </w:pPr>
            <w:bookmarkStart w:id="31" w:name="EB524d87aca025423a8da502c1ede46fb4"/>
            <w:r>
              <w:rPr>
                <w:rFonts w:hint="eastAsia"/>
                <w:szCs w:val="21"/>
                <w:highlight w:val="none"/>
              </w:rPr>
              <w:t>☑</w:t>
            </w:r>
            <w:bookmarkEnd w:id="31"/>
            <w:r>
              <w:rPr>
                <w:rFonts w:hint="eastAsia"/>
                <w:szCs w:val="21"/>
                <w:highlight w:val="none"/>
              </w:rPr>
              <w:t>不允许</w:t>
            </w:r>
          </w:p>
        </w:tc>
      </w:tr>
      <w:tr>
        <w:tblPrEx>
          <w:tblCellMar>
            <w:top w:w="0" w:type="dxa"/>
            <w:left w:w="108" w:type="dxa"/>
            <w:bottom w:w="0" w:type="dxa"/>
            <w:right w:w="108" w:type="dxa"/>
          </w:tblCellMar>
        </w:tblPrEx>
        <w:trPr>
          <w:trHeight w:val="46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偏离</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ascii="宋体" w:hAnsi="宋体" w:cs="宋体"/>
                <w:szCs w:val="21"/>
                <w:highlight w:val="none"/>
              </w:rPr>
              <w:t>不允许偏离招标文件实质性要求和条件</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3.3</w:t>
            </w:r>
            <w:r>
              <w:rPr>
                <w:rFonts w:hint="eastAsia"/>
                <w:color w:val="000000"/>
                <w:szCs w:val="21"/>
                <w:highlight w:val="none"/>
              </w:rPr>
              <w:t>.1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投标有效期</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32" w:name="EB899ff882005d404f9835f4e648347987"/>
            <w:r>
              <w:rPr>
                <w:szCs w:val="21"/>
                <w:highlight w:val="none"/>
              </w:rPr>
              <w:t>90天（日历</w:t>
            </w:r>
            <w:r>
              <w:rPr>
                <w:rFonts w:hint="eastAsia"/>
                <w:szCs w:val="21"/>
                <w:highlight w:val="none"/>
              </w:rPr>
              <w:t>天</w:t>
            </w:r>
            <w:r>
              <w:rPr>
                <w:szCs w:val="21"/>
                <w:highlight w:val="none"/>
              </w:rPr>
              <w:t>）。</w:t>
            </w:r>
            <w:bookmarkEnd w:id="32"/>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3.4.1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投标保证金</w:t>
            </w:r>
          </w:p>
        </w:tc>
        <w:tc>
          <w:tcPr>
            <w:tcW w:w="323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rPr>
                <w:szCs w:val="21"/>
                <w:highlight w:val="none"/>
              </w:rPr>
            </w:pPr>
            <w:r>
              <w:rPr>
                <w:szCs w:val="21"/>
                <w:highlight w:val="none"/>
              </w:rPr>
              <w:t>是否要求投标人递交</w:t>
            </w:r>
            <w:r>
              <w:rPr>
                <w:rFonts w:hint="eastAsia"/>
                <w:szCs w:val="21"/>
                <w:highlight w:val="none"/>
              </w:rPr>
              <w:t>投标保证金</w:t>
            </w:r>
            <w:r>
              <w:rPr>
                <w:szCs w:val="21"/>
                <w:highlight w:val="none"/>
              </w:rPr>
              <w:t>：</w:t>
            </w:r>
          </w:p>
          <w:p>
            <w:pPr>
              <w:pStyle w:val="141"/>
              <w:widowControl/>
              <w:spacing w:line="400" w:lineRule="exact"/>
              <w:rPr>
                <w:rFonts w:ascii="Times New Roman" w:cs="Times New Roman"/>
                <w:color w:val="auto"/>
                <w:sz w:val="21"/>
                <w:szCs w:val="21"/>
                <w:highlight w:val="none"/>
              </w:rPr>
            </w:pPr>
            <w:r>
              <w:rPr>
                <w:rFonts w:hint="eastAsia" w:ascii="Times New Roman" w:cs="Times New Roman"/>
                <w:color w:val="auto"/>
                <w:sz w:val="21"/>
                <w:szCs w:val="21"/>
                <w:highlight w:val="none"/>
              </w:rPr>
              <w:t>□</w:t>
            </w:r>
            <w:r>
              <w:rPr>
                <w:rFonts w:ascii="Times New Roman" w:cs="Times New Roman"/>
                <w:color w:val="auto"/>
                <w:sz w:val="21"/>
                <w:szCs w:val="21"/>
                <w:highlight w:val="none"/>
              </w:rPr>
              <w:t xml:space="preserve"> 不要求</w:t>
            </w:r>
          </w:p>
          <w:p>
            <w:pPr>
              <w:pStyle w:val="141"/>
              <w:widowControl/>
              <w:spacing w:line="400" w:lineRule="exact"/>
              <w:rPr>
                <w:rFonts w:ascii="Times New Roman" w:cs="Times New Roman"/>
                <w:color w:val="auto"/>
                <w:sz w:val="21"/>
                <w:szCs w:val="21"/>
                <w:highlight w:val="none"/>
              </w:rPr>
            </w:pPr>
            <w:r>
              <w:rPr>
                <w:rFonts w:hint="eastAsia" w:ascii="Times New Roman" w:cs="Times New Roman"/>
                <w:color w:val="auto"/>
                <w:sz w:val="21"/>
                <w:szCs w:val="21"/>
                <w:highlight w:val="none"/>
              </w:rPr>
              <w:t>☑</w:t>
            </w:r>
            <w:r>
              <w:rPr>
                <w:rFonts w:ascii="Times New Roman" w:cs="Times New Roman"/>
                <w:color w:val="auto"/>
                <w:sz w:val="21"/>
                <w:szCs w:val="21"/>
                <w:highlight w:val="none"/>
              </w:rPr>
              <w:t xml:space="preserve"> 要求</w:t>
            </w:r>
          </w:p>
          <w:p>
            <w:pPr>
              <w:pStyle w:val="141"/>
              <w:widowControl/>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1.</w:t>
            </w:r>
            <w:r>
              <w:rPr>
                <w:rFonts w:hint="eastAsia" w:ascii="Times New Roman" w:cs="Times New Roman"/>
                <w:color w:val="auto"/>
                <w:sz w:val="21"/>
                <w:szCs w:val="21"/>
                <w:highlight w:val="none"/>
              </w:rPr>
              <w:t>投标保证金</w:t>
            </w:r>
            <w:r>
              <w:rPr>
                <w:rFonts w:ascii="Times New Roman" w:cs="Times New Roman"/>
                <w:color w:val="auto"/>
                <w:sz w:val="21"/>
                <w:szCs w:val="21"/>
                <w:highlight w:val="none"/>
              </w:rPr>
              <w:t>有效期：与投标有效期一致。</w:t>
            </w:r>
          </w:p>
          <w:p>
            <w:pPr>
              <w:pStyle w:val="141"/>
              <w:widowControl/>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2.</w:t>
            </w:r>
            <w:r>
              <w:rPr>
                <w:rFonts w:hint="eastAsia" w:ascii="Times New Roman" w:cs="Times New Roman"/>
                <w:color w:val="auto"/>
                <w:sz w:val="21"/>
                <w:szCs w:val="21"/>
                <w:highlight w:val="none"/>
              </w:rPr>
              <w:t>投标保证金</w:t>
            </w:r>
            <w:r>
              <w:rPr>
                <w:rFonts w:ascii="Times New Roman" w:cs="Times New Roman"/>
                <w:color w:val="auto"/>
                <w:sz w:val="21"/>
                <w:szCs w:val="21"/>
                <w:highlight w:val="none"/>
              </w:rPr>
              <w:t>的形式：</w:t>
            </w:r>
          </w:p>
          <w:p>
            <w:pPr>
              <w:pStyle w:val="141"/>
              <w:widowControl/>
              <w:spacing w:line="400" w:lineRule="exact"/>
              <w:ind w:firstLine="210" w:firstLineChars="100"/>
              <w:rPr>
                <w:rFonts w:ascii="Times New Roman" w:cs="Times New Roman"/>
                <w:color w:val="auto"/>
                <w:sz w:val="21"/>
                <w:szCs w:val="21"/>
                <w:highlight w:val="none"/>
                <w:u w:val="single"/>
              </w:rPr>
            </w:pPr>
            <w:r>
              <w:rPr>
                <w:rFonts w:hint="eastAsia" w:ascii="Times New Roman" w:cs="Times New Roman"/>
                <w:color w:val="auto"/>
                <w:sz w:val="21"/>
                <w:szCs w:val="21"/>
                <w:highlight w:val="none"/>
              </w:rPr>
              <w:t>☑</w:t>
            </w:r>
            <w:r>
              <w:rPr>
                <w:rFonts w:ascii="Times New Roman" w:cs="Times New Roman"/>
                <w:color w:val="auto"/>
                <w:sz w:val="21"/>
                <w:szCs w:val="21"/>
                <w:highlight w:val="none"/>
              </w:rPr>
              <w:t xml:space="preserve"> </w:t>
            </w:r>
            <w:r>
              <w:rPr>
                <w:rFonts w:hint="eastAsia" w:ascii="Times New Roman" w:cs="Times New Roman"/>
                <w:color w:val="auto"/>
                <w:sz w:val="21"/>
                <w:szCs w:val="21"/>
                <w:highlight w:val="none"/>
              </w:rPr>
              <w:t>电汇、☑</w:t>
            </w:r>
            <w:r>
              <w:rPr>
                <w:rFonts w:ascii="Times New Roman" w:cs="Times New Roman"/>
                <w:color w:val="auto"/>
                <w:sz w:val="21"/>
                <w:szCs w:val="21"/>
                <w:highlight w:val="none"/>
              </w:rPr>
              <w:t xml:space="preserve"> </w:t>
            </w:r>
            <w:r>
              <w:rPr>
                <w:rFonts w:hint="eastAsia" w:ascii="Times New Roman" w:cs="Times New Roman"/>
                <w:color w:val="auto"/>
                <w:sz w:val="21"/>
                <w:szCs w:val="21"/>
                <w:highlight w:val="none"/>
              </w:rPr>
              <w:t>保函、□支票、□其他：</w:t>
            </w:r>
            <w:r>
              <w:rPr>
                <w:rFonts w:ascii="Times New Roman" w:cs="Times New Roman"/>
                <w:color w:val="auto"/>
                <w:sz w:val="21"/>
                <w:szCs w:val="21"/>
                <w:highlight w:val="none"/>
                <w:u w:val="single"/>
              </w:rPr>
              <w:t xml:space="preserve">        </w:t>
            </w:r>
          </w:p>
          <w:p>
            <w:pPr>
              <w:widowControl/>
              <w:spacing w:line="400" w:lineRule="exact"/>
              <w:ind w:firstLine="210" w:firstLineChars="100"/>
              <w:jc w:val="left"/>
              <w:rPr>
                <w:szCs w:val="21"/>
                <w:highlight w:val="none"/>
              </w:rPr>
            </w:pPr>
            <w:r>
              <w:rPr>
                <w:rFonts w:hint="eastAsia"/>
                <w:szCs w:val="21"/>
                <w:highlight w:val="none"/>
              </w:rPr>
              <w:t>3.投标保证金金额：</w:t>
            </w:r>
            <w:r>
              <w:rPr>
                <w:szCs w:val="21"/>
                <w:highlight w:val="none"/>
              </w:rPr>
              <w:t>人民币</w:t>
            </w:r>
            <w:r>
              <w:rPr>
                <w:szCs w:val="21"/>
                <w:highlight w:val="none"/>
                <w:u w:val="single"/>
              </w:rPr>
              <w:t xml:space="preserve"> </w:t>
            </w:r>
            <w:r>
              <w:rPr>
                <w:rFonts w:hint="eastAsia"/>
                <w:szCs w:val="21"/>
                <w:highlight w:val="none"/>
                <w:u w:val="single"/>
              </w:rPr>
              <w:t>20000.0</w:t>
            </w:r>
            <w:r>
              <w:rPr>
                <w:szCs w:val="21"/>
                <w:highlight w:val="none"/>
                <w:u w:val="single"/>
              </w:rPr>
              <w:t xml:space="preserve"> </w:t>
            </w:r>
            <w:r>
              <w:rPr>
                <w:szCs w:val="21"/>
                <w:highlight w:val="none"/>
              </w:rPr>
              <w:t>元</w:t>
            </w:r>
            <w:r>
              <w:rPr>
                <w:rFonts w:hint="eastAsia"/>
                <w:szCs w:val="21"/>
                <w:highlight w:val="none"/>
              </w:rPr>
              <w:t>。</w:t>
            </w:r>
          </w:p>
          <w:p>
            <w:pPr>
              <w:pStyle w:val="145"/>
              <w:spacing w:line="400" w:lineRule="exact"/>
              <w:ind w:firstLine="210" w:firstLineChars="100"/>
              <w:rPr>
                <w:highlight w:val="none"/>
              </w:rPr>
            </w:pPr>
            <w:r>
              <w:rPr>
                <w:rFonts w:hint="eastAsia"/>
                <w:highlight w:val="none"/>
              </w:rPr>
              <w:t>（1）电汇、支票：</w:t>
            </w:r>
            <w:r>
              <w:rPr>
                <w:highlight w:val="none"/>
              </w:rPr>
              <w:t>投标保证金必须是从投标人单位的基本账户转入收取投标保证金的账户。</w:t>
            </w:r>
          </w:p>
          <w:p>
            <w:pPr>
              <w:widowControl/>
              <w:spacing w:line="400" w:lineRule="exact"/>
              <w:ind w:firstLine="210" w:firstLineChars="100"/>
              <w:rPr>
                <w:kern w:val="0"/>
                <w:szCs w:val="21"/>
                <w:highlight w:val="none"/>
              </w:rPr>
            </w:pPr>
            <w:r>
              <w:rPr>
                <w:kern w:val="0"/>
                <w:szCs w:val="21"/>
                <w:highlight w:val="none"/>
              </w:rPr>
              <w:t>收取投标保证金账号：</w:t>
            </w:r>
          </w:p>
          <w:p>
            <w:pPr>
              <w:pStyle w:val="141"/>
              <w:widowControl/>
              <w:snapToGrid w:val="0"/>
              <w:spacing w:line="400" w:lineRule="exact"/>
              <w:ind w:firstLine="210" w:firstLineChars="100"/>
              <w:rPr>
                <w:rFonts w:ascii="Times New Roman" w:cs="Times New Roman"/>
                <w:color w:val="auto"/>
                <w:sz w:val="21"/>
                <w:szCs w:val="21"/>
                <w:highlight w:val="none"/>
                <w:u w:val="single"/>
              </w:rPr>
            </w:pPr>
            <w:r>
              <w:rPr>
                <w:rFonts w:ascii="Times New Roman" w:cs="Times New Roman"/>
                <w:color w:val="auto"/>
                <w:sz w:val="21"/>
                <w:szCs w:val="21"/>
                <w:highlight w:val="none"/>
              </w:rPr>
              <w:t>开户银行：</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交通银行股份有限公司盘锦分行</w:t>
            </w:r>
          </w:p>
          <w:p>
            <w:pPr>
              <w:pStyle w:val="141"/>
              <w:widowControl/>
              <w:snapToGrid w:val="0"/>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账户名称：</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 xml:space="preserve">辽宁明润工程招投标代理有限公司   </w:t>
            </w:r>
            <w:r>
              <w:rPr>
                <w:rFonts w:ascii="Times New Roman" w:cs="Times New Roman"/>
                <w:color w:val="auto"/>
                <w:sz w:val="21"/>
                <w:szCs w:val="21"/>
                <w:highlight w:val="none"/>
                <w:u w:val="single"/>
              </w:rPr>
              <w:t xml:space="preserve"> </w:t>
            </w:r>
          </w:p>
          <w:p>
            <w:pPr>
              <w:pStyle w:val="141"/>
              <w:widowControl/>
              <w:snapToGrid w:val="0"/>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账    号：</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722111703013000047937</w:t>
            </w:r>
            <w:r>
              <w:rPr>
                <w:rFonts w:ascii="Times New Roman" w:cs="Times New Roman"/>
                <w:color w:val="auto"/>
                <w:sz w:val="21"/>
                <w:szCs w:val="21"/>
                <w:highlight w:val="none"/>
                <w:u w:val="single"/>
              </w:rPr>
              <w:t xml:space="preserve">  </w:t>
            </w:r>
          </w:p>
          <w:p>
            <w:pPr>
              <w:widowControl/>
              <w:spacing w:line="400" w:lineRule="exact"/>
              <w:ind w:firstLine="210" w:firstLineChars="100"/>
              <w:rPr>
                <w:szCs w:val="21"/>
                <w:highlight w:val="none"/>
              </w:rPr>
            </w:pPr>
            <w:r>
              <w:rPr>
                <w:rFonts w:hint="eastAsia"/>
                <w:szCs w:val="21"/>
                <w:highlight w:val="none"/>
              </w:rPr>
              <w:t>a.</w:t>
            </w:r>
            <w:r>
              <w:rPr>
                <w:szCs w:val="21"/>
                <w:highlight w:val="none"/>
              </w:rPr>
              <w:t>请将投标保证金</w:t>
            </w:r>
            <w:r>
              <w:rPr>
                <w:rFonts w:hint="eastAsia"/>
                <w:szCs w:val="21"/>
                <w:highlight w:val="none"/>
              </w:rPr>
              <w:t>在投标截止时间</w:t>
            </w:r>
            <w:r>
              <w:rPr>
                <w:szCs w:val="21"/>
                <w:highlight w:val="none"/>
              </w:rPr>
              <w:t>前转入收取投标保证金的账户，以到账时间为准。</w:t>
            </w:r>
          </w:p>
          <w:p>
            <w:pPr>
              <w:widowControl/>
              <w:spacing w:line="400" w:lineRule="exact"/>
              <w:ind w:firstLine="210" w:firstLineChars="100"/>
              <w:rPr>
                <w:szCs w:val="21"/>
                <w:highlight w:val="none"/>
              </w:rPr>
            </w:pPr>
            <w:r>
              <w:rPr>
                <w:rFonts w:hint="eastAsia"/>
                <w:szCs w:val="21"/>
                <w:highlight w:val="none"/>
              </w:rPr>
              <w:t>b.</w:t>
            </w:r>
            <w:r>
              <w:rPr>
                <w:szCs w:val="21"/>
                <w:highlight w:val="none"/>
              </w:rPr>
              <w:t>投标保证金退还时一律以银行转账方式退回，不退现金。</w:t>
            </w:r>
          </w:p>
          <w:p>
            <w:pPr>
              <w:widowControl/>
              <w:spacing w:line="400" w:lineRule="exact"/>
              <w:ind w:firstLine="210" w:firstLineChars="100"/>
              <w:rPr>
                <w:szCs w:val="21"/>
                <w:highlight w:val="none"/>
              </w:rPr>
            </w:pPr>
            <w:r>
              <w:rPr>
                <w:rFonts w:hint="eastAsia"/>
                <w:szCs w:val="21"/>
                <w:highlight w:val="none"/>
              </w:rPr>
              <w:t>c.</w:t>
            </w:r>
            <w:r>
              <w:rPr>
                <w:szCs w:val="21"/>
                <w:highlight w:val="none"/>
              </w:rPr>
              <w:t>投标保证金的退还事宜请与招标代理机构联系，电话：</w:t>
            </w:r>
            <w:r>
              <w:rPr>
                <w:szCs w:val="21"/>
                <w:highlight w:val="none"/>
                <w:u w:val="single"/>
              </w:rPr>
              <w:t xml:space="preserve"> </w:t>
            </w:r>
            <w:r>
              <w:rPr>
                <w:rFonts w:hint="eastAsia"/>
                <w:szCs w:val="21"/>
                <w:highlight w:val="none"/>
                <w:u w:val="single"/>
              </w:rPr>
              <w:t>0427-7860222</w:t>
            </w:r>
            <w:r>
              <w:rPr>
                <w:szCs w:val="21"/>
                <w:highlight w:val="none"/>
                <w:u w:val="single"/>
              </w:rPr>
              <w:t xml:space="preserve">  </w:t>
            </w:r>
            <w:r>
              <w:rPr>
                <w:szCs w:val="21"/>
                <w:highlight w:val="none"/>
              </w:rPr>
              <w:t>。</w:t>
            </w:r>
          </w:p>
          <w:p>
            <w:pPr>
              <w:widowControl/>
              <w:spacing w:line="400" w:lineRule="exact"/>
              <w:ind w:firstLine="210" w:firstLineChars="100"/>
              <w:rPr>
                <w:szCs w:val="21"/>
                <w:highlight w:val="none"/>
              </w:rPr>
            </w:pPr>
            <w:r>
              <w:rPr>
                <w:rFonts w:hint="eastAsia"/>
                <w:szCs w:val="21"/>
                <w:highlight w:val="none"/>
              </w:rPr>
              <w:t>（2）</w:t>
            </w:r>
            <w:r>
              <w:rPr>
                <w:szCs w:val="21"/>
                <w:highlight w:val="none"/>
              </w:rPr>
              <w:t>保函（包括：银行业金融机构保函、担保公司担保保函</w:t>
            </w:r>
            <w:r>
              <w:rPr>
                <w:rFonts w:hint="eastAsia"/>
                <w:szCs w:val="21"/>
                <w:highlight w:val="none"/>
              </w:rPr>
              <w:t>、电子保函等</w:t>
            </w:r>
            <w:r>
              <w:rPr>
                <w:szCs w:val="21"/>
                <w:highlight w:val="none"/>
              </w:rPr>
              <w:t>）</w:t>
            </w:r>
          </w:p>
          <w:p>
            <w:pPr>
              <w:widowControl/>
              <w:spacing w:line="400" w:lineRule="exact"/>
              <w:ind w:firstLine="210" w:firstLineChars="100"/>
              <w:rPr>
                <w:szCs w:val="21"/>
                <w:highlight w:val="none"/>
                <w:u w:val="single"/>
              </w:rPr>
            </w:pPr>
            <w:r>
              <w:rPr>
                <w:szCs w:val="21"/>
                <w:highlight w:val="none"/>
              </w:rPr>
              <w:t>递交</w:t>
            </w:r>
            <w:r>
              <w:rPr>
                <w:rFonts w:hint="eastAsia"/>
                <w:szCs w:val="21"/>
                <w:highlight w:val="none"/>
              </w:rPr>
              <w:t>要求</w:t>
            </w:r>
            <w:r>
              <w:rPr>
                <w:szCs w:val="21"/>
                <w:highlight w:val="none"/>
              </w:rPr>
              <w:t>：</w:t>
            </w:r>
            <w:r>
              <w:rPr>
                <w:szCs w:val="21"/>
                <w:highlight w:val="none"/>
                <w:u w:val="single"/>
              </w:rPr>
              <w:t xml:space="preserve"> </w:t>
            </w:r>
            <w:r>
              <w:rPr>
                <w:rFonts w:hint="eastAsia"/>
                <w:szCs w:val="21"/>
                <w:highlight w:val="none"/>
                <w:u w:val="single"/>
              </w:rPr>
              <w:t>请投标人在汇款时务必注明所投项目的名称（所投项目名称太长可以简写）、用途（投标保证金）、否则，因款项用途不明导致投标无效等后果由投标人自行承担。</w:t>
            </w:r>
          </w:p>
          <w:p>
            <w:pPr>
              <w:pStyle w:val="141"/>
              <w:widowControl/>
              <w:spacing w:line="400" w:lineRule="exact"/>
              <w:ind w:firstLine="210" w:firstLineChars="100"/>
              <w:rPr>
                <w:rFonts w:ascii="Times New Roman" w:cs="Times New Roman"/>
                <w:color w:val="auto"/>
                <w:highlight w:val="none"/>
                <w:u w:val="single"/>
              </w:rPr>
            </w:pPr>
            <w:r>
              <w:rPr>
                <w:rFonts w:hint="eastAsia" w:ascii="Times New Roman" w:cs="Times New Roman"/>
                <w:color w:val="auto"/>
                <w:sz w:val="21"/>
                <w:szCs w:val="21"/>
                <w:highlight w:val="none"/>
              </w:rPr>
              <w:t>4</w:t>
            </w:r>
            <w:r>
              <w:rPr>
                <w:rFonts w:ascii="Times New Roman" w:cs="Times New Roman"/>
                <w:color w:val="auto"/>
                <w:sz w:val="21"/>
                <w:szCs w:val="21"/>
                <w:highlight w:val="none"/>
              </w:rPr>
              <w:t>.其他：</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投标保证金必须从投标单位基本账户转出（投标保证金返还按《辽宁省水利工程建设项目招标投标管理办法》的相关规定办理）</w:t>
            </w:r>
            <w:r>
              <w:rPr>
                <w:rFonts w:ascii="Times New Roman" w:cs="Times New Roman"/>
                <w:color w:val="auto"/>
                <w:sz w:val="21"/>
                <w:szCs w:val="21"/>
                <w:highlight w:val="none"/>
                <w:u w:val="single"/>
              </w:rPr>
              <w:t xml:space="preserve">  </w:t>
            </w:r>
            <w:r>
              <w:rPr>
                <w:rFonts w:hint="eastAsia" w:ascii="Times New Roman"/>
                <w:color w:val="auto"/>
                <w:highlight w:val="none"/>
              </w:rPr>
              <w:t>。</w:t>
            </w:r>
          </w:p>
          <w:p>
            <w:pPr>
              <w:pStyle w:val="139"/>
              <w:spacing w:before="71" w:line="271" w:lineRule="auto"/>
              <w:ind w:left="113" w:right="216" w:firstLine="426"/>
              <w:rPr>
                <w:spacing w:val="-7"/>
                <w:highlight w:val="none"/>
                <w:lang w:eastAsia="zh-CN"/>
              </w:rPr>
            </w:pPr>
          </w:p>
        </w:tc>
      </w:tr>
      <w:tr>
        <w:tblPrEx>
          <w:tblCellMar>
            <w:top w:w="0" w:type="dxa"/>
            <w:left w:w="108" w:type="dxa"/>
            <w:bottom w:w="0" w:type="dxa"/>
            <w:right w:w="108" w:type="dxa"/>
          </w:tblCellMar>
        </w:tblPrEx>
        <w:trPr>
          <w:trHeight w:val="9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4.2.2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递交投标文件地点</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33" w:name="EB5748f0f4b9ff40eab3be6c48c9df7d35"/>
            <w:r>
              <w:rPr>
                <w:rFonts w:hint="eastAsia"/>
                <w:szCs w:val="21"/>
                <w:highlight w:val="none"/>
              </w:rPr>
              <w:t>本项目开标方式：远程开标（不见面交易）。</w:t>
            </w:r>
          </w:p>
          <w:p>
            <w:pPr>
              <w:spacing w:line="400" w:lineRule="exact"/>
              <w:rPr>
                <w:szCs w:val="21"/>
                <w:highlight w:val="none"/>
              </w:rPr>
            </w:pPr>
            <w:r>
              <w:rPr>
                <w:rFonts w:hint="eastAsia"/>
                <w:szCs w:val="21"/>
                <w:highlight w:val="none"/>
              </w:rPr>
              <w:t>网络递交投标文件：电子投标文件在辽宁省公共资源交易网 http://ggzy.ln.gov.cn/指定栏目上传投标文件。</w:t>
            </w:r>
          </w:p>
          <w:p>
            <w:pPr>
              <w:spacing w:line="400" w:lineRule="exact"/>
              <w:rPr>
                <w:szCs w:val="21"/>
                <w:highlight w:val="none"/>
              </w:rPr>
            </w:pPr>
            <w:r>
              <w:rPr>
                <w:rFonts w:hint="eastAsia"/>
                <w:szCs w:val="21"/>
                <w:highlight w:val="none"/>
              </w:rPr>
              <w:t>2、本项目采用远程解密、远程直播开标。开标网址：https://www.lnsggzy.com/BidOpeningHall/bidhall/dqliaoning/login。投标文件需要用实体 CA 数字证书或移动 CA 数字证书生成上传。解密时限为递交投标文件截止时间起 30 分钟内（因开标系统发生不可抗力产生延误解密时间的，招标人将延长相应的解</w:t>
            </w:r>
          </w:p>
          <w:p>
            <w:pPr>
              <w:spacing w:line="400" w:lineRule="exact"/>
              <w:rPr>
                <w:szCs w:val="21"/>
                <w:highlight w:val="none"/>
              </w:rPr>
            </w:pPr>
            <w:r>
              <w:rPr>
                <w:rFonts w:hint="eastAsia"/>
                <w:szCs w:val="21"/>
                <w:highlight w:val="none"/>
              </w:rPr>
              <w:t>密时长，其他原因不予延长解密时间），登录交易系统进入所投开标项目，使用 CA 数字证书解密。未在规定时间内完成解密的投标人，视为放弃本次投标，招标人不再接收。因开标系统发生不可抗力无法进行网络电子开标的，采用现场纸质开标。逾期递交的或者未按要求递交的投标文件，招标人不予受理。</w:t>
            </w:r>
            <w:bookmarkEnd w:id="33"/>
          </w:p>
        </w:tc>
      </w:tr>
      <w:tr>
        <w:tblPrEx>
          <w:tblCellMar>
            <w:top w:w="0" w:type="dxa"/>
            <w:left w:w="108" w:type="dxa"/>
            <w:bottom w:w="0" w:type="dxa"/>
            <w:right w:w="108" w:type="dxa"/>
          </w:tblCellMar>
        </w:tblPrEx>
        <w:trPr>
          <w:trHeight w:val="880" w:hRule="atLeast"/>
        </w:trPr>
        <w:tc>
          <w:tcPr>
            <w:tcW w:w="382" w:type="pc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5.1</w:t>
            </w:r>
          </w:p>
        </w:tc>
        <w:tc>
          <w:tcPr>
            <w:tcW w:w="1380"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开标时间和地点</w:t>
            </w:r>
          </w:p>
        </w:tc>
        <w:tc>
          <w:tcPr>
            <w:tcW w:w="3237" w:type="pct"/>
            <w:tcBorders>
              <w:top w:val="single" w:color="auto" w:sz="4" w:space="0"/>
              <w:left w:val="single" w:color="auto" w:sz="4" w:space="0"/>
              <w:right w:val="single" w:color="auto" w:sz="4" w:space="0"/>
            </w:tcBorders>
            <w:vAlign w:val="center"/>
          </w:tcPr>
          <w:p>
            <w:pPr>
              <w:spacing w:line="400" w:lineRule="exact"/>
              <w:rPr>
                <w:rFonts w:hint="default" w:eastAsia="宋体"/>
                <w:szCs w:val="21"/>
                <w:highlight w:val="none"/>
                <w:lang w:val="en-US" w:eastAsia="zh-CN"/>
              </w:rPr>
            </w:pPr>
            <w:r>
              <w:rPr>
                <w:szCs w:val="21"/>
                <w:highlight w:val="none"/>
              </w:rPr>
              <w:t>开标时间</w:t>
            </w:r>
            <w:r>
              <w:rPr>
                <w:rFonts w:hint="eastAsia"/>
                <w:szCs w:val="21"/>
                <w:highlight w:val="none"/>
              </w:rPr>
              <w:t>：</w:t>
            </w:r>
            <w:bookmarkStart w:id="34" w:name="EBe792876fb601454785687541060aa6e5"/>
            <w:r>
              <w:rPr>
                <w:rFonts w:hint="eastAsia"/>
                <w:szCs w:val="21"/>
                <w:highlight w:val="none"/>
              </w:rPr>
              <w:t xml:space="preserve">2024年/ 月/日 </w:t>
            </w:r>
            <w:bookmarkEnd w:id="34"/>
            <w:r>
              <w:rPr>
                <w:rFonts w:hint="eastAsia"/>
                <w:szCs w:val="21"/>
                <w:highlight w:val="none"/>
                <w:lang w:val="en-US" w:eastAsia="zh-CN"/>
              </w:rPr>
              <w:t>10:00</w:t>
            </w:r>
          </w:p>
          <w:p>
            <w:pPr>
              <w:spacing w:line="400" w:lineRule="exact"/>
              <w:rPr>
                <w:szCs w:val="21"/>
                <w:highlight w:val="none"/>
              </w:rPr>
            </w:pPr>
            <w:r>
              <w:rPr>
                <w:szCs w:val="21"/>
                <w:highlight w:val="none"/>
              </w:rPr>
              <w:t>开标地点</w:t>
            </w:r>
            <w:r>
              <w:rPr>
                <w:rFonts w:hint="eastAsia"/>
                <w:szCs w:val="21"/>
                <w:highlight w:val="none"/>
              </w:rPr>
              <w:t>：营口市公共资源交易服务中心盖州分中心(地址：盖州市政府路西财政局一楼)</w:t>
            </w:r>
          </w:p>
        </w:tc>
      </w:tr>
      <w:tr>
        <w:tblPrEx>
          <w:tblCellMar>
            <w:top w:w="0" w:type="dxa"/>
            <w:left w:w="108" w:type="dxa"/>
            <w:bottom w:w="0" w:type="dxa"/>
            <w:right w:w="108" w:type="dxa"/>
          </w:tblCellMar>
        </w:tblPrEx>
        <w:trPr>
          <w:trHeight w:val="634" w:hRule="atLeast"/>
        </w:trPr>
        <w:tc>
          <w:tcPr>
            <w:tcW w:w="382" w:type="pc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5.2</w:t>
            </w:r>
          </w:p>
        </w:tc>
        <w:tc>
          <w:tcPr>
            <w:tcW w:w="1380"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开标程序</w:t>
            </w:r>
          </w:p>
        </w:tc>
        <w:tc>
          <w:tcPr>
            <w:tcW w:w="3237"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投标文件的密封检查：</w:t>
            </w:r>
            <w:bookmarkStart w:id="35" w:name="EB74c3a88d12394fba9c214c5962a32b6c"/>
            <w:r>
              <w:rPr>
                <w:rFonts w:hint="eastAsia"/>
                <w:szCs w:val="21"/>
                <w:highlight w:val="none"/>
              </w:rPr>
              <w:t>按投标文件送达的逆顺序开标。</w:t>
            </w:r>
          </w:p>
          <w:p>
            <w:pPr>
              <w:spacing w:line="400" w:lineRule="exact"/>
              <w:rPr>
                <w:szCs w:val="21"/>
                <w:highlight w:val="none"/>
              </w:rPr>
            </w:pPr>
            <w:r>
              <w:rPr>
                <w:rFonts w:hint="eastAsia"/>
                <w:szCs w:val="21"/>
                <w:highlight w:val="none"/>
              </w:rPr>
              <w:t>开标程序：1.公布投标人名称；2.电子投标按规定时间解密；3.公布招标控制价； 4.公开唱标</w:t>
            </w:r>
            <w:bookmarkEnd w:id="35"/>
          </w:p>
          <w:p>
            <w:pPr>
              <w:spacing w:line="400" w:lineRule="exact"/>
              <w:rPr>
                <w:szCs w:val="21"/>
                <w:highlight w:val="none"/>
              </w:rPr>
            </w:pPr>
          </w:p>
          <w:p>
            <w:pPr>
              <w:pStyle w:val="16"/>
              <w:rPr>
                <w:highlight w:val="none"/>
              </w:rPr>
            </w:pPr>
            <w:r>
              <w:rPr>
                <w:spacing w:val="-1"/>
                <w:highlight w:val="none"/>
              </w:rPr>
              <w:t>招标人发出解密提示后</w:t>
            </w:r>
            <w:r>
              <w:rPr>
                <w:spacing w:val="-97"/>
                <w:highlight w:val="none"/>
              </w:rPr>
              <w:t xml:space="preserve"> </w:t>
            </w:r>
            <w:r>
              <w:rPr>
                <w:spacing w:val="19"/>
                <w:highlight w:val="none"/>
                <w:u w:val="single"/>
              </w:rPr>
              <w:t xml:space="preserve">  </w:t>
            </w:r>
            <w:r>
              <w:rPr>
                <w:rFonts w:hint="eastAsia"/>
                <w:spacing w:val="19"/>
                <w:highlight w:val="none"/>
                <w:u w:val="single"/>
              </w:rPr>
              <w:t>30</w:t>
            </w:r>
            <w:r>
              <w:rPr>
                <w:spacing w:val="19"/>
                <w:highlight w:val="none"/>
                <w:u w:val="single"/>
              </w:rPr>
              <w:t xml:space="preserve"> </w:t>
            </w:r>
            <w:r>
              <w:rPr>
                <w:spacing w:val="-92"/>
                <w:highlight w:val="none"/>
              </w:rPr>
              <w:t xml:space="preserve"> </w:t>
            </w:r>
            <w:r>
              <w:rPr>
                <w:spacing w:val="-1"/>
                <w:highlight w:val="none"/>
              </w:rPr>
              <w:t>分钟内。遇到投标人较多或其</w:t>
            </w:r>
            <w:r>
              <w:rPr>
                <w:spacing w:val="-4"/>
                <w:highlight w:val="none"/>
              </w:rPr>
              <w:t>他特殊情况在</w:t>
            </w:r>
            <w:r>
              <w:rPr>
                <w:spacing w:val="-4"/>
                <w:highlight w:val="none"/>
                <w:u w:val="single"/>
              </w:rPr>
              <w:t xml:space="preserve"> </w:t>
            </w:r>
            <w:r>
              <w:rPr>
                <w:rFonts w:hint="eastAsia"/>
                <w:spacing w:val="-4"/>
                <w:highlight w:val="none"/>
                <w:u w:val="single"/>
              </w:rPr>
              <w:t>30</w:t>
            </w:r>
            <w:r>
              <w:rPr>
                <w:spacing w:val="-4"/>
                <w:highlight w:val="none"/>
                <w:u w:val="single"/>
              </w:rPr>
              <w:t xml:space="preserve"> </w:t>
            </w:r>
            <w:r>
              <w:rPr>
                <w:spacing w:val="-84"/>
                <w:highlight w:val="none"/>
              </w:rPr>
              <w:t xml:space="preserve"> </w:t>
            </w:r>
            <w:r>
              <w:rPr>
                <w:spacing w:val="-4"/>
                <w:highlight w:val="none"/>
              </w:rPr>
              <w:t>分钟内无法完成解密的，可报项目行政</w:t>
            </w:r>
            <w:r>
              <w:rPr>
                <w:spacing w:val="-2"/>
                <w:highlight w:val="none"/>
              </w:rPr>
              <w:t>监督部门适当延长解密时间。</w:t>
            </w:r>
          </w:p>
        </w:tc>
      </w:tr>
      <w:tr>
        <w:tblPrEx>
          <w:tblCellMar>
            <w:top w:w="0" w:type="dxa"/>
            <w:left w:w="108" w:type="dxa"/>
            <w:bottom w:w="0" w:type="dxa"/>
            <w:right w:w="108" w:type="dxa"/>
          </w:tblCellMar>
        </w:tblPrEx>
        <w:trPr>
          <w:trHeight w:val="880" w:hRule="atLeast"/>
        </w:trPr>
        <w:tc>
          <w:tcPr>
            <w:tcW w:w="382" w:type="pc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6.1.1</w:t>
            </w:r>
          </w:p>
        </w:tc>
        <w:tc>
          <w:tcPr>
            <w:tcW w:w="1380"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评标委员会的组建</w:t>
            </w:r>
          </w:p>
        </w:tc>
        <w:tc>
          <w:tcPr>
            <w:tcW w:w="3237" w:type="pct"/>
            <w:tcBorders>
              <w:top w:val="single" w:color="auto" w:sz="4" w:space="0"/>
              <w:left w:val="single" w:color="auto" w:sz="4" w:space="0"/>
              <w:right w:val="single" w:color="auto" w:sz="4" w:space="0"/>
            </w:tcBorders>
            <w:vAlign w:val="center"/>
          </w:tcPr>
          <w:p>
            <w:pPr>
              <w:spacing w:line="400" w:lineRule="exact"/>
              <w:rPr>
                <w:szCs w:val="21"/>
                <w:highlight w:val="none"/>
              </w:rPr>
            </w:pPr>
            <w:r>
              <w:rPr>
                <w:szCs w:val="21"/>
                <w:highlight w:val="none"/>
              </w:rPr>
              <w:t>评标委员会构成：</w:t>
            </w:r>
            <w:r>
              <w:rPr>
                <w:rFonts w:hint="eastAsia"/>
                <w:szCs w:val="21"/>
                <w:highlight w:val="none"/>
              </w:rPr>
              <w:t>7</w:t>
            </w:r>
            <w:r>
              <w:rPr>
                <w:szCs w:val="21"/>
                <w:highlight w:val="none"/>
              </w:rPr>
              <w:t>人，</w:t>
            </w:r>
            <w:r>
              <w:rPr>
                <w:rFonts w:hint="eastAsia"/>
                <w:szCs w:val="21"/>
                <w:highlight w:val="none"/>
              </w:rPr>
              <w:t>其中招标人代表</w:t>
            </w:r>
            <w:bookmarkStart w:id="36" w:name="EB67616f5b92e7420ab2fdc05c1d5cb648"/>
            <w:bookmarkEnd w:id="36"/>
            <w:r>
              <w:rPr>
                <w:rFonts w:hint="eastAsia"/>
                <w:szCs w:val="21"/>
                <w:highlight w:val="none"/>
                <w:u w:val="single"/>
              </w:rPr>
              <w:t xml:space="preserve">  0 </w:t>
            </w:r>
            <w:r>
              <w:rPr>
                <w:rFonts w:hint="eastAsia"/>
                <w:szCs w:val="21"/>
                <w:highlight w:val="none"/>
              </w:rPr>
              <w:t>人，专家</w:t>
            </w:r>
            <w:bookmarkStart w:id="37" w:name="EB86e8c0ece99948f085526fd5d7cfb8a6"/>
            <w:bookmarkEnd w:id="37"/>
            <w:r>
              <w:rPr>
                <w:rFonts w:hint="eastAsia"/>
                <w:szCs w:val="21"/>
                <w:highlight w:val="none"/>
                <w:u w:val="single"/>
              </w:rPr>
              <w:t xml:space="preserve"> 7 </w:t>
            </w:r>
            <w:r>
              <w:rPr>
                <w:rFonts w:hint="eastAsia"/>
                <w:szCs w:val="21"/>
                <w:highlight w:val="none"/>
              </w:rPr>
              <w:t>人；</w:t>
            </w:r>
          </w:p>
          <w:p>
            <w:pPr>
              <w:spacing w:line="400" w:lineRule="exact"/>
              <w:rPr>
                <w:szCs w:val="21"/>
                <w:highlight w:val="none"/>
              </w:rPr>
            </w:pPr>
            <w:r>
              <w:rPr>
                <w:szCs w:val="21"/>
                <w:highlight w:val="none"/>
              </w:rPr>
              <w:t>评标专家确定方式</w:t>
            </w:r>
            <w:r>
              <w:rPr>
                <w:rFonts w:hint="eastAsia"/>
                <w:szCs w:val="21"/>
                <w:highlight w:val="none"/>
              </w:rPr>
              <w:t>：</w:t>
            </w:r>
            <w:bookmarkStart w:id="38" w:name="EBf3ce8d3f402c4e4ca85efcbdf9daf9ac"/>
            <w:r>
              <w:rPr>
                <w:szCs w:val="21"/>
                <w:highlight w:val="none"/>
              </w:rPr>
              <w:t>在辽宁省综合评标专家库中随机抽取。</w:t>
            </w:r>
            <w:bookmarkEnd w:id="38"/>
          </w:p>
        </w:tc>
      </w:tr>
      <w:tr>
        <w:tblPrEx>
          <w:tblCellMar>
            <w:top w:w="0" w:type="dxa"/>
            <w:left w:w="108" w:type="dxa"/>
            <w:bottom w:w="0" w:type="dxa"/>
            <w:right w:w="108" w:type="dxa"/>
          </w:tblCellMar>
        </w:tblPrEx>
        <w:trPr>
          <w:trHeight w:val="844"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7.3.1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szCs w:val="21"/>
                <w:highlight w:val="none"/>
              </w:rPr>
              <w:t>履约担保</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是否要求中标人提交履约保证金：</w:t>
            </w:r>
          </w:p>
          <w:p>
            <w:pPr>
              <w:spacing w:line="400" w:lineRule="exact"/>
              <w:rPr>
                <w:szCs w:val="21"/>
                <w:highlight w:val="none"/>
              </w:rPr>
            </w:pPr>
            <w:r>
              <w:rPr>
                <w:rFonts w:hint="eastAsia"/>
                <w:szCs w:val="21"/>
                <w:highlight w:val="none"/>
              </w:rPr>
              <w:t xml:space="preserve">☑要求，履约保证金的形式： 电汇/担保/履约保函  </w:t>
            </w:r>
          </w:p>
          <w:p>
            <w:pPr>
              <w:spacing w:line="400" w:lineRule="exact"/>
              <w:rPr>
                <w:szCs w:val="21"/>
                <w:highlight w:val="none"/>
              </w:rPr>
            </w:pPr>
            <w:r>
              <w:rPr>
                <w:rFonts w:hint="eastAsia"/>
                <w:szCs w:val="21"/>
                <w:highlight w:val="none"/>
              </w:rPr>
              <w:t>履约保证金的金额： 中标价款的5%(履约担保以电汇形式提交的，在完工验收合格后与银行同期存款利息一同返还。）</w:t>
            </w:r>
          </w:p>
          <w:p>
            <w:pPr>
              <w:spacing w:line="400" w:lineRule="exact"/>
              <w:rPr>
                <w:szCs w:val="21"/>
                <w:highlight w:val="none"/>
              </w:rPr>
            </w:pPr>
            <w:r>
              <w:rPr>
                <w:rFonts w:hint="eastAsia"/>
                <w:szCs w:val="21"/>
                <w:highlight w:val="none"/>
              </w:rPr>
              <w:t>□不要求</w:t>
            </w:r>
          </w:p>
        </w:tc>
      </w:tr>
      <w:tr>
        <w:tblPrEx>
          <w:tblCellMar>
            <w:top w:w="0" w:type="dxa"/>
            <w:left w:w="108" w:type="dxa"/>
            <w:bottom w:w="0" w:type="dxa"/>
            <w:right w:w="108" w:type="dxa"/>
          </w:tblCellMar>
        </w:tblPrEx>
        <w:trPr>
          <w:trHeight w:val="37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需要补充的其他内容</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39" w:name="EBecb6e42771ed4c64b40e62a3af2e8962"/>
            <w:bookmarkEnd w:id="39"/>
            <w:r>
              <w:rPr>
                <w:szCs w:val="21"/>
                <w:highlight w:val="none"/>
              </w:rPr>
              <w:t>见10.5</w:t>
            </w:r>
          </w:p>
        </w:tc>
      </w:tr>
      <w:tr>
        <w:tblPrEx>
          <w:tblCellMar>
            <w:top w:w="0" w:type="dxa"/>
            <w:left w:w="108" w:type="dxa"/>
            <w:bottom w:w="0" w:type="dxa"/>
            <w:right w:w="108" w:type="dxa"/>
          </w:tblCellMar>
        </w:tblPrEx>
        <w:trPr>
          <w:trHeight w:val="40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类似项目</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highlight w:val="none"/>
              </w:rPr>
            </w:pPr>
            <w:r>
              <w:rPr>
                <w:rFonts w:hint="eastAsia"/>
                <w:highlight w:val="none"/>
              </w:rPr>
              <w:t>指与本项目类似的工程项目。</w:t>
            </w:r>
          </w:p>
          <w:p>
            <w:pPr>
              <w:spacing w:line="400" w:lineRule="exact"/>
              <w:rPr>
                <w:highlight w:val="none"/>
              </w:rPr>
            </w:pPr>
            <w:r>
              <w:rPr>
                <w:rFonts w:hint="eastAsia"/>
                <w:highlight w:val="none"/>
              </w:rPr>
              <w:t>要求业绩证明资料： 业绩需在全国水利建设市场监管服务平台 可查或在全国建筑市场监管公 共服务平台可查，需附网站查询截图</w:t>
            </w:r>
          </w:p>
          <w:p>
            <w:pPr>
              <w:spacing w:line="400" w:lineRule="exact"/>
              <w:rPr>
                <w:szCs w:val="21"/>
                <w:highlight w:val="none"/>
              </w:rPr>
            </w:pPr>
            <w:r>
              <w:rPr>
                <w:rFonts w:hint="eastAsia"/>
                <w:highlight w:val="none"/>
              </w:rPr>
              <w:t>时间要求： 2019年1月1日至2024年4月 新成立的企业提供由成立之日起至今，如单位有变更须提供变更的材料。</w:t>
            </w:r>
          </w:p>
        </w:tc>
      </w:tr>
      <w:tr>
        <w:tblPrEx>
          <w:tblCellMar>
            <w:top w:w="0" w:type="dxa"/>
            <w:left w:w="108" w:type="dxa"/>
            <w:bottom w:w="0" w:type="dxa"/>
            <w:right w:w="108" w:type="dxa"/>
          </w:tblCellMar>
        </w:tblPrEx>
        <w:trPr>
          <w:trHeight w:val="723"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已标价工程量清单电子版</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u w:val="single"/>
              </w:rPr>
            </w:pPr>
            <w:r>
              <w:rPr>
                <w:rFonts w:hint="eastAsia"/>
                <w:szCs w:val="21"/>
                <w:highlight w:val="none"/>
              </w:rPr>
              <w:t>份数：</w:t>
            </w:r>
            <w:bookmarkStart w:id="40" w:name="EB7334a37ddd894436a68491a7e58a775d"/>
            <w:r>
              <w:rPr>
                <w:rFonts w:hint="eastAsia"/>
                <w:szCs w:val="21"/>
                <w:highlight w:val="none"/>
              </w:rPr>
              <w:t>1份</w:t>
            </w:r>
            <w:bookmarkEnd w:id="40"/>
            <w:r>
              <w:rPr>
                <w:rFonts w:hint="eastAsia"/>
                <w:szCs w:val="21"/>
                <w:highlight w:val="none"/>
              </w:rPr>
              <w:t>；      格式：按电子标要求提供。</w:t>
            </w:r>
          </w:p>
        </w:tc>
      </w:tr>
      <w:tr>
        <w:tblPrEx>
          <w:tblCellMar>
            <w:top w:w="0" w:type="dxa"/>
            <w:left w:w="108" w:type="dxa"/>
            <w:bottom w:w="0" w:type="dxa"/>
            <w:right w:w="108" w:type="dxa"/>
          </w:tblCellMar>
        </w:tblPrEx>
        <w:trPr>
          <w:trHeight w:val="754"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原件</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41" w:name="EBd35d675f1d164883a190e5a6ed6e203f"/>
            <w:r>
              <w:rPr>
                <w:rFonts w:hint="eastAsia" w:ascii="宋体" w:hAnsi="宋体"/>
                <w:szCs w:val="21"/>
                <w:highlight w:val="none"/>
              </w:rPr>
              <w:t>□</w:t>
            </w:r>
            <w:bookmarkEnd w:id="41"/>
            <w:r>
              <w:rPr>
                <w:rFonts w:hint="eastAsia" w:ascii="宋体" w:hAnsi="宋体"/>
                <w:szCs w:val="21"/>
                <w:highlight w:val="none"/>
              </w:rPr>
              <w:t>提交</w:t>
            </w:r>
          </w:p>
          <w:p>
            <w:pPr>
              <w:spacing w:line="400" w:lineRule="exact"/>
              <w:rPr>
                <w:szCs w:val="21"/>
                <w:highlight w:val="none"/>
              </w:rPr>
            </w:pPr>
            <w:bookmarkStart w:id="42" w:name="EB46014aa6f4164f5c825f4ffd1c2bdf79"/>
            <w:r>
              <w:rPr>
                <w:rFonts w:hint="eastAsia"/>
                <w:szCs w:val="21"/>
                <w:highlight w:val="none"/>
              </w:rPr>
              <w:t>☑</w:t>
            </w:r>
            <w:bookmarkEnd w:id="42"/>
            <w:r>
              <w:rPr>
                <w:rFonts w:hint="eastAsia"/>
                <w:szCs w:val="21"/>
                <w:highlight w:val="none"/>
              </w:rPr>
              <w:t>不提交</w:t>
            </w:r>
          </w:p>
        </w:tc>
      </w:tr>
      <w:tr>
        <w:tblPrEx>
          <w:tblCellMar>
            <w:top w:w="0" w:type="dxa"/>
            <w:left w:w="108" w:type="dxa"/>
            <w:bottom w:w="0" w:type="dxa"/>
            <w:right w:w="108" w:type="dxa"/>
          </w:tblCellMar>
        </w:tblPrEx>
        <w:trPr>
          <w:trHeight w:val="238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10.4</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中标后须提交的投标文件</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Cs w:val="21"/>
                <w:highlight w:val="none"/>
              </w:rPr>
            </w:pPr>
            <w:r>
              <w:rPr>
                <w:rFonts w:hint="eastAsia" w:ascii="宋体" w:hAnsi="宋体"/>
                <w:szCs w:val="21"/>
                <w:highlight w:val="none"/>
              </w:rPr>
              <w:t>份数：</w:t>
            </w:r>
            <w:bookmarkStart w:id="43" w:name="EB2a103623e626401c89893d1e52dd97c4"/>
            <w:r>
              <w:rPr>
                <w:rFonts w:hint="eastAsia" w:ascii="宋体" w:hAnsi="宋体"/>
                <w:szCs w:val="21"/>
                <w:highlight w:val="none"/>
              </w:rPr>
              <w:t>投标单位须在中标后向招标代理公司另行提交纸质版投标文件5本，纸质投标文件和电子投标文件必须与上传电子投标文件内容完全一致。因其不一致产生的一切 后果由投标人自行负责。纸质投标文件合订装订，每册采用胶装方式装订，装订应牢固，不易拆散和换页，不得采用活页装订。</w:t>
            </w:r>
            <w:bookmarkEnd w:id="43"/>
          </w:p>
        </w:tc>
      </w:tr>
      <w:tr>
        <w:tblPrEx>
          <w:tblCellMar>
            <w:top w:w="0" w:type="dxa"/>
            <w:left w:w="108" w:type="dxa"/>
            <w:bottom w:w="0" w:type="dxa"/>
            <w:right w:w="108" w:type="dxa"/>
          </w:tblCellMar>
        </w:tblPrEx>
        <w:trPr>
          <w:trHeight w:val="40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b/>
                <w:bCs/>
                <w:szCs w:val="21"/>
                <w:highlight w:val="none"/>
              </w:rPr>
            </w:pPr>
            <w:bookmarkStart w:id="44" w:name="EB7fe7f01a7c154234810322614faf572d"/>
            <w:r>
              <w:rPr>
                <w:rFonts w:hint="eastAsia"/>
                <w:b/>
                <w:bCs/>
                <w:szCs w:val="21"/>
                <w:highlight w:val="none"/>
              </w:rPr>
              <w:t>10.5</w:t>
            </w:r>
            <w:bookmarkEnd w:id="44"/>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b/>
                <w:bCs/>
                <w:szCs w:val="21"/>
                <w:highlight w:val="none"/>
              </w:rPr>
            </w:pPr>
            <w:bookmarkStart w:id="45" w:name="EBd38496b26d594e0b8dcdf5ba1a2c938f"/>
            <w:r>
              <w:rPr>
                <w:rFonts w:hint="eastAsia"/>
                <w:b/>
                <w:bCs/>
                <w:szCs w:val="21"/>
                <w:highlight w:val="none"/>
              </w:rPr>
              <w:t>其他</w:t>
            </w:r>
            <w:bookmarkEnd w:id="45"/>
          </w:p>
        </w:tc>
        <w:tc>
          <w:tcPr>
            <w:tcW w:w="3237" w:type="pct"/>
            <w:tcBorders>
              <w:top w:val="single" w:color="auto" w:sz="4" w:space="0"/>
              <w:left w:val="single" w:color="auto" w:sz="4" w:space="0"/>
              <w:bottom w:val="single" w:color="auto" w:sz="4" w:space="0"/>
              <w:right w:val="single" w:color="auto" w:sz="4" w:space="0"/>
            </w:tcBorders>
            <w:vAlign w:val="center"/>
          </w:tcPr>
          <w:p>
            <w:pPr>
              <w:numPr>
                <w:ilvl w:val="0"/>
                <w:numId w:val="4"/>
              </w:numPr>
              <w:spacing w:line="360" w:lineRule="auto"/>
              <w:rPr>
                <w:rFonts w:ascii="宋体" w:hAnsi="宋体"/>
                <w:b/>
                <w:bCs/>
                <w:szCs w:val="21"/>
                <w:highlight w:val="none"/>
              </w:rPr>
            </w:pPr>
            <w:r>
              <w:rPr>
                <w:rFonts w:hint="eastAsia" w:ascii="宋体" w:hAnsi="宋体"/>
                <w:b/>
                <w:bCs/>
                <w:szCs w:val="21"/>
                <w:highlight w:val="none"/>
              </w:rPr>
              <w:t>最高投标限价或其计算方法：投标人填报的投标报价 不得超过最高投标限价，否则按无效标处理。项目最高限价：</w:t>
            </w:r>
            <w:r>
              <w:rPr>
                <w:rFonts w:hint="eastAsia" w:ascii="宋体" w:hAnsi="宋体"/>
                <w:b/>
                <w:bCs/>
                <w:szCs w:val="21"/>
                <w:highlight w:val="none"/>
                <w:u w:val="single"/>
                <w:lang w:val="en-US" w:eastAsia="zh-CN"/>
              </w:rPr>
              <w:t xml:space="preserve">                </w:t>
            </w:r>
            <w:r>
              <w:rPr>
                <w:rFonts w:hint="eastAsia" w:ascii="宋体" w:hAnsi="宋体"/>
                <w:b/>
                <w:bCs/>
                <w:szCs w:val="21"/>
                <w:highlight w:val="none"/>
              </w:rPr>
              <w:t>元。</w:t>
            </w:r>
          </w:p>
          <w:p>
            <w:pPr>
              <w:numPr>
                <w:ilvl w:val="0"/>
                <w:numId w:val="4"/>
              </w:numPr>
              <w:spacing w:line="360" w:lineRule="auto"/>
              <w:rPr>
                <w:rFonts w:ascii="宋体" w:hAnsi="宋体"/>
                <w:szCs w:val="21"/>
                <w:highlight w:val="none"/>
              </w:rPr>
            </w:pPr>
            <w:r>
              <w:rPr>
                <w:rFonts w:hint="eastAsia" w:ascii="宋体" w:hAnsi="宋体"/>
                <w:szCs w:val="21"/>
                <w:highlight w:val="none"/>
              </w:rPr>
              <w:t>投标人所附的所有人员应是本企业的在职（注册）人员。投标文件中需提供上述人员的执业证书、劳动合同或社会保险证明等证明材料。</w:t>
            </w:r>
          </w:p>
          <w:p>
            <w:pPr>
              <w:numPr>
                <w:ilvl w:val="0"/>
                <w:numId w:val="4"/>
              </w:numPr>
              <w:spacing w:line="360" w:lineRule="auto"/>
              <w:rPr>
                <w:rFonts w:ascii="宋体" w:hAnsi="宋体"/>
                <w:szCs w:val="21"/>
                <w:highlight w:val="none"/>
              </w:rPr>
            </w:pPr>
            <w:r>
              <w:rPr>
                <w:rFonts w:hint="eastAsia" w:ascii="宋体" w:hAnsi="宋体"/>
                <w:szCs w:val="21"/>
                <w:highlight w:val="none"/>
              </w:rPr>
              <w:t>构成招标文件的其他材料：工程量清单、图纸、招标</w:t>
            </w:r>
          </w:p>
          <w:p>
            <w:pPr>
              <w:spacing w:line="360" w:lineRule="auto"/>
              <w:rPr>
                <w:rFonts w:ascii="宋体" w:hAnsi="宋体"/>
                <w:szCs w:val="21"/>
                <w:highlight w:val="none"/>
              </w:rPr>
            </w:pPr>
            <w:r>
              <w:rPr>
                <w:rFonts w:hint="eastAsia" w:ascii="宋体" w:hAnsi="宋体"/>
                <w:szCs w:val="21"/>
                <w:highlight w:val="none"/>
              </w:rPr>
              <w:t>补遗文件、澄清、修改（如有）。</w:t>
            </w:r>
          </w:p>
          <w:p>
            <w:pPr>
              <w:numPr>
                <w:ilvl w:val="0"/>
                <w:numId w:val="4"/>
              </w:numPr>
              <w:spacing w:line="360" w:lineRule="auto"/>
              <w:rPr>
                <w:rFonts w:ascii="宋体" w:hAnsi="宋体"/>
                <w:szCs w:val="21"/>
                <w:highlight w:val="none"/>
              </w:rPr>
            </w:pPr>
            <w:r>
              <w:rPr>
                <w:rFonts w:hint="eastAsia" w:ascii="宋体" w:hAnsi="宋体"/>
                <w:szCs w:val="21"/>
                <w:highlight w:val="none"/>
              </w:rPr>
              <w:t>招标代理服务费： 招标代理服务费由中标人支付，投  标人将招标代理服务费分摊入相应项目投标报价中，不得  单列。支付标准：参照《招标代理服务收费管理暂行办法》 （计价格〔2002〕1980 号）文件收取 支付形式： 现金或</w:t>
            </w:r>
          </w:p>
          <w:p>
            <w:pPr>
              <w:spacing w:line="360" w:lineRule="auto"/>
              <w:rPr>
                <w:rFonts w:ascii="宋体" w:hAnsi="宋体"/>
                <w:szCs w:val="21"/>
                <w:highlight w:val="none"/>
              </w:rPr>
            </w:pPr>
            <w:r>
              <w:rPr>
                <w:rFonts w:hint="eastAsia" w:ascii="宋体" w:hAnsi="宋体"/>
                <w:szCs w:val="21"/>
                <w:highlight w:val="none"/>
              </w:rPr>
              <w:t>银行汇款、网银 。</w:t>
            </w:r>
          </w:p>
          <w:p>
            <w:pPr>
              <w:numPr>
                <w:ilvl w:val="0"/>
                <w:numId w:val="4"/>
              </w:numPr>
              <w:spacing w:line="360" w:lineRule="auto"/>
              <w:rPr>
                <w:rFonts w:ascii="宋体" w:hAnsi="宋体"/>
                <w:szCs w:val="21"/>
                <w:highlight w:val="none"/>
              </w:rPr>
            </w:pPr>
            <w:r>
              <w:rPr>
                <w:rFonts w:hint="eastAsia" w:ascii="宋体" w:hAnsi="宋体"/>
                <w:szCs w:val="21"/>
                <w:highlight w:val="none"/>
              </w:rPr>
              <w:t>农民工工资：按照《保障农民工工资支付条例》进行 农民工工资管理。施工单位在施工前需到项目建设所在地 人力资源社会保障行政部门办理存储农民工工资保证金 相关手续。施工单位在指定银行设立农民工工资专用账户，实行农民工工资银行代发制。农民工实名制管理，先签合同后进场，工资月结月清。施工单位制定工资支付台 账，现场设立农民工维权信息告示牌。投标人必须填写“不拖欠农民工工资承诺书”，并且装订在投标所需其他材料中，如未填写其投标文件按无效标处理。</w:t>
            </w:r>
          </w:p>
          <w:p>
            <w:pPr>
              <w:numPr>
                <w:ilvl w:val="0"/>
                <w:numId w:val="4"/>
              </w:numPr>
              <w:spacing w:line="360" w:lineRule="auto"/>
              <w:rPr>
                <w:szCs w:val="21"/>
                <w:highlight w:val="none"/>
              </w:rPr>
            </w:pPr>
            <w:r>
              <w:rPr>
                <w:rFonts w:hint="eastAsia" w:ascii="宋体" w:hAnsi="宋体"/>
                <w:szCs w:val="21"/>
                <w:highlight w:val="none"/>
              </w:rPr>
              <w:t>合同形式： 采用固定单价合同。</w:t>
            </w:r>
          </w:p>
          <w:p>
            <w:pPr>
              <w:numPr>
                <w:ilvl w:val="0"/>
                <w:numId w:val="4"/>
              </w:numPr>
              <w:spacing w:line="360" w:lineRule="auto"/>
              <w:rPr>
                <w:rFonts w:ascii="宋体" w:hAnsi="宋体"/>
                <w:b/>
                <w:bCs/>
                <w:szCs w:val="21"/>
                <w:highlight w:val="none"/>
              </w:rPr>
            </w:pPr>
            <w:r>
              <w:rPr>
                <w:rFonts w:hint="eastAsia" w:ascii="宋体" w:hAnsi="宋体"/>
                <w:szCs w:val="21"/>
                <w:highlight w:val="none"/>
              </w:rPr>
              <w:t>中标单位需提供1正4副纸质版投标文件。</w:t>
            </w:r>
          </w:p>
          <w:p>
            <w:pPr>
              <w:numPr>
                <w:ilvl w:val="0"/>
                <w:numId w:val="4"/>
              </w:numPr>
              <w:spacing w:line="360" w:lineRule="auto"/>
              <w:rPr>
                <w:rFonts w:ascii="宋体" w:hAnsi="宋体"/>
                <w:szCs w:val="21"/>
                <w:highlight w:val="none"/>
              </w:rPr>
            </w:pPr>
            <w:r>
              <w:rPr>
                <w:rFonts w:hint="eastAsia" w:ascii="宋体" w:hAnsi="宋体"/>
                <w:b/>
                <w:bCs/>
                <w:szCs w:val="21"/>
                <w:highlight w:val="none"/>
              </w:rPr>
              <w:t>按辽发改价格【2023】128号文件收取建设工程交易服务费。</w:t>
            </w:r>
          </w:p>
          <w:p>
            <w:pPr>
              <w:numPr>
                <w:ilvl w:val="0"/>
                <w:numId w:val="4"/>
              </w:numPr>
              <w:spacing w:line="360" w:lineRule="auto"/>
              <w:rPr>
                <w:rFonts w:ascii="宋体" w:hAnsi="宋体"/>
                <w:szCs w:val="21"/>
                <w:highlight w:val="none"/>
              </w:rPr>
            </w:pPr>
            <w:r>
              <w:rPr>
                <w:rFonts w:hint="eastAsia" w:ascii="宋体" w:hAnsi="宋体"/>
                <w:szCs w:val="21"/>
                <w:highlight w:val="none"/>
              </w:rPr>
              <w:t>定标方式：本项目划分为五个标段，兼投不兼中。投标人可以同时参与，但最多只能在其中一个标段中标：</w:t>
            </w:r>
          </w:p>
          <w:p>
            <w:pPr>
              <w:pStyle w:val="139"/>
              <w:spacing w:before="146" w:line="352" w:lineRule="auto"/>
              <w:ind w:right="102" w:firstLine="420" w:firstLineChars="200"/>
              <w:rPr>
                <w:rFonts w:cs="Times New Roman"/>
                <w:highlight w:val="none"/>
                <w:lang w:eastAsia="zh-CN"/>
              </w:rPr>
            </w:pPr>
            <w:r>
              <w:rPr>
                <w:rFonts w:hint="eastAsia" w:cs="Times New Roman"/>
                <w:highlight w:val="none"/>
                <w:lang w:eastAsia="zh-CN"/>
              </w:rPr>
              <w:t>1.投标单位应递交排序优先选择表（见投标人须知前附表10.5说明），此表作为投标文件的一部分装订在一、二、三、四、五标段最未页，如未提供则视为默认同意按1、2、3、4、5自然顺序优先选择；</w:t>
            </w:r>
          </w:p>
          <w:p>
            <w:pPr>
              <w:pStyle w:val="139"/>
              <w:spacing w:before="146" w:line="352" w:lineRule="auto"/>
              <w:ind w:left="117" w:right="102" w:firstLine="420" w:firstLineChars="200"/>
              <w:rPr>
                <w:rFonts w:cs="Times New Roman"/>
                <w:highlight w:val="none"/>
                <w:lang w:eastAsia="zh-CN"/>
              </w:rPr>
            </w:pPr>
            <w:r>
              <w:rPr>
                <w:rFonts w:hint="eastAsia" w:cs="Times New Roman"/>
                <w:highlight w:val="none"/>
                <w:lang w:eastAsia="zh-CN"/>
              </w:rPr>
              <w:t>2.评委会推选中标候选人时，若某一标段出现两个及以上单位评分相同，综合评分相等时，以投标报价低的优先；投标报价也相等的，以资质等级高的优先；资质等级相同的，以抽签方式确定优先顺序。</w:t>
            </w:r>
          </w:p>
          <w:p>
            <w:pPr>
              <w:pStyle w:val="139"/>
              <w:spacing w:before="146" w:line="352" w:lineRule="auto"/>
              <w:ind w:left="117" w:right="102" w:firstLine="420" w:firstLineChars="200"/>
              <w:rPr>
                <w:rFonts w:cs="Times New Roman"/>
                <w:highlight w:val="none"/>
                <w:lang w:eastAsia="zh-CN"/>
              </w:rPr>
            </w:pPr>
            <w:r>
              <w:rPr>
                <w:rFonts w:hint="eastAsia" w:cs="Times New Roman"/>
                <w:highlight w:val="none"/>
                <w:lang w:eastAsia="zh-CN"/>
              </w:rPr>
              <w:t>9、评标委员会推荐不超过3名的中标候选人，并标明推荐顺序。招标人依据评标委员会推荐的中标候选人确定中标人。招标人不保证投标价最低的投标人中标，也没有义务对未中标的投标人作任何解释和说明。</w:t>
            </w:r>
          </w:p>
          <w:p>
            <w:pPr>
              <w:spacing w:line="360" w:lineRule="auto"/>
              <w:jc w:val="center"/>
              <w:rPr>
                <w:szCs w:val="21"/>
                <w:highlight w:val="none"/>
              </w:rPr>
            </w:pPr>
            <w:r>
              <w:rPr>
                <w:rFonts w:hint="eastAsia"/>
                <w:szCs w:val="21"/>
                <w:highlight w:val="none"/>
              </w:rPr>
              <w:t>投标排序优先选择表</w:t>
            </w:r>
          </w:p>
          <w:p>
            <w:pPr>
              <w:pStyle w:val="24"/>
              <w:ind w:firstLine="360"/>
              <w:rPr>
                <w:sz w:val="21"/>
                <w:szCs w:val="21"/>
                <w:highlight w:val="none"/>
              </w:rPr>
            </w:pPr>
          </w:p>
          <w:p>
            <w:pPr>
              <w:pStyle w:val="24"/>
              <w:ind w:firstLine="360"/>
              <w:rPr>
                <w:sz w:val="21"/>
                <w:szCs w:val="21"/>
                <w:highlight w:val="none"/>
              </w:rPr>
            </w:pPr>
            <w:r>
              <w:rPr>
                <w:rFonts w:hint="eastAsia"/>
                <w:sz w:val="21"/>
                <w:szCs w:val="21"/>
                <w:highlight w:val="none"/>
              </w:rPr>
              <w:t>项目名称：                    招标编号：</w:t>
            </w:r>
          </w:p>
          <w:tbl>
            <w:tblPr>
              <w:tblStyle w:val="36"/>
              <w:tblW w:w="8236" w:type="dxa"/>
              <w:tblInd w:w="94" w:type="dxa"/>
              <w:tblLayout w:type="fixed"/>
              <w:tblCellMar>
                <w:top w:w="0" w:type="dxa"/>
                <w:left w:w="108" w:type="dxa"/>
                <w:bottom w:w="0" w:type="dxa"/>
                <w:right w:w="108" w:type="dxa"/>
              </w:tblCellMar>
            </w:tblPr>
            <w:tblGrid>
              <w:gridCol w:w="2260"/>
              <w:gridCol w:w="3850"/>
              <w:gridCol w:w="2126"/>
            </w:tblGrid>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优选顺序</w:t>
                  </w:r>
                </w:p>
              </w:tc>
              <w:tc>
                <w:tcPr>
                  <w:tcW w:w="385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所选标段</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备注</w:t>
                  </w:r>
                </w:p>
              </w:tc>
            </w:tr>
            <w:tr>
              <w:tblPrEx>
                <w:tblCellMar>
                  <w:top w:w="0" w:type="dxa"/>
                  <w:left w:w="108" w:type="dxa"/>
                  <w:bottom w:w="0" w:type="dxa"/>
                  <w:right w:w="108" w:type="dxa"/>
                </w:tblCellMar>
              </w:tblPrEx>
              <w:trPr>
                <w:trHeight w:val="510" w:hRule="atLeast"/>
              </w:trPr>
              <w:tc>
                <w:tcPr>
                  <w:tcW w:w="22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1</w:t>
                  </w:r>
                </w:p>
              </w:tc>
              <w:tc>
                <w:tcPr>
                  <w:tcW w:w="385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2</w:t>
                  </w:r>
                </w:p>
              </w:tc>
              <w:tc>
                <w:tcPr>
                  <w:tcW w:w="385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3</w:t>
                  </w:r>
                </w:p>
              </w:tc>
              <w:tc>
                <w:tcPr>
                  <w:tcW w:w="3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4</w:t>
                  </w:r>
                </w:p>
              </w:tc>
              <w:tc>
                <w:tcPr>
                  <w:tcW w:w="3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5</w:t>
                  </w:r>
                </w:p>
              </w:tc>
              <w:tc>
                <w:tcPr>
                  <w:tcW w:w="3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bl>
          <w:p>
            <w:pPr>
              <w:spacing w:line="288" w:lineRule="auto"/>
              <w:ind w:firstLine="420" w:firstLineChars="200"/>
              <w:rPr>
                <w:rFonts w:ascii="宋体" w:hAnsi="宋体" w:cs="宋体"/>
                <w:szCs w:val="21"/>
                <w:highlight w:val="none"/>
              </w:rPr>
            </w:pPr>
          </w:p>
        </w:tc>
      </w:tr>
    </w:tbl>
    <w:p>
      <w:pPr>
        <w:rPr>
          <w:highlight w:val="none"/>
        </w:rPr>
      </w:pPr>
      <w:bookmarkStart w:id="46" w:name="EB4509dc647f90438c837f73a2e11ef87e"/>
      <w:bookmarkEnd w:id="46"/>
      <w:bookmarkStart w:id="47" w:name="EB86d52242f34040919b7f222c4d7fcbc7"/>
      <w:bookmarkEnd w:id="47"/>
      <w:bookmarkStart w:id="48" w:name="EB2566576610744c23a8eb95fe9b14c987"/>
      <w:bookmarkEnd w:id="48"/>
      <w:bookmarkStart w:id="49" w:name="EBa876ab55d84a4703a6df27f4011940c9"/>
      <w:bookmarkEnd w:id="49"/>
      <w:r>
        <w:rPr>
          <w:color w:val="000080"/>
          <w:sz w:val="20"/>
          <w:highlight w:val="none"/>
        </w:rPr>
        <w:br w:type="page"/>
      </w:r>
    </w:p>
    <w:p>
      <w:pPr>
        <w:jc w:val="center"/>
        <w:rPr>
          <w:highlight w:val="none"/>
        </w:rPr>
      </w:pPr>
    </w:p>
    <w:p>
      <w:pPr>
        <w:pStyle w:val="4"/>
        <w:spacing w:line="400" w:lineRule="exact"/>
        <w:rPr>
          <w:color w:val="000000"/>
          <w:sz w:val="27"/>
          <w:szCs w:val="27"/>
          <w:highlight w:val="none"/>
        </w:rPr>
      </w:pPr>
      <w:bookmarkStart w:id="50" w:name="_Toc27451"/>
      <w:bookmarkStart w:id="51" w:name="_Toc49869967"/>
      <w:r>
        <w:rPr>
          <w:rFonts w:hint="eastAsia"/>
          <w:color w:val="000000"/>
          <w:sz w:val="27"/>
          <w:szCs w:val="27"/>
          <w:highlight w:val="none"/>
        </w:rPr>
        <w:t>1. 总则</w:t>
      </w:r>
      <w:bookmarkEnd w:id="50"/>
      <w:bookmarkEnd w:id="51"/>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1.1项目概况</w:t>
      </w:r>
    </w:p>
    <w:p>
      <w:pPr>
        <w:spacing w:line="400" w:lineRule="exact"/>
        <w:ind w:firstLine="420" w:firstLineChars="200"/>
        <w:rPr>
          <w:color w:val="000000"/>
          <w:highlight w:val="none"/>
        </w:rPr>
      </w:pPr>
      <w:r>
        <w:rPr>
          <w:rFonts w:hint="eastAsia"/>
          <w:color w:val="000000"/>
          <w:highlight w:val="none"/>
        </w:rPr>
        <w:t>根据《中华人民共和国招标投标法》等有关法律、法规和规章的规定，本招标项目已具备招标条件，现对本标段施工进行招标。</w:t>
      </w:r>
    </w:p>
    <w:p>
      <w:pPr>
        <w:spacing w:line="400" w:lineRule="exact"/>
        <w:ind w:firstLine="420" w:firstLineChars="200"/>
        <w:rPr>
          <w:color w:val="000000"/>
          <w:highlight w:val="none"/>
        </w:rPr>
      </w:pPr>
      <w:r>
        <w:rPr>
          <w:rFonts w:hint="eastAsia"/>
          <w:color w:val="000000"/>
          <w:highlight w:val="none"/>
        </w:rPr>
        <w:t>1.1.2 本招标项目招标人：见投标人须知前附表。</w:t>
      </w:r>
    </w:p>
    <w:p>
      <w:pPr>
        <w:spacing w:line="400" w:lineRule="exact"/>
        <w:ind w:firstLine="420" w:firstLineChars="200"/>
        <w:rPr>
          <w:color w:val="000000"/>
          <w:highlight w:val="none"/>
        </w:rPr>
      </w:pPr>
      <w:r>
        <w:rPr>
          <w:rFonts w:hint="eastAsia"/>
          <w:color w:val="000000"/>
          <w:highlight w:val="none"/>
        </w:rPr>
        <w:t>1.1.3 本标段招标代理机构：见投标人须知前附表。</w:t>
      </w:r>
    </w:p>
    <w:p>
      <w:pPr>
        <w:spacing w:line="400" w:lineRule="exact"/>
        <w:ind w:firstLine="420" w:firstLineChars="200"/>
        <w:rPr>
          <w:color w:val="000000"/>
          <w:highlight w:val="none"/>
        </w:rPr>
      </w:pPr>
      <w:r>
        <w:rPr>
          <w:rFonts w:hint="eastAsia"/>
          <w:color w:val="000000"/>
          <w:highlight w:val="none"/>
        </w:rPr>
        <w:t>1.1.4 本招标项目名称：见投标人须知前附表。</w:t>
      </w:r>
    </w:p>
    <w:p>
      <w:pPr>
        <w:spacing w:line="400" w:lineRule="exact"/>
        <w:ind w:firstLine="420" w:firstLineChars="200"/>
        <w:rPr>
          <w:color w:val="000000"/>
          <w:highlight w:val="none"/>
        </w:rPr>
      </w:pPr>
      <w:r>
        <w:rPr>
          <w:rFonts w:hint="eastAsia"/>
          <w:color w:val="000000"/>
          <w:highlight w:val="none"/>
        </w:rPr>
        <w:t>1.1.5 本标段建设地点：见投标人须知前附表。</w:t>
      </w:r>
    </w:p>
    <w:p>
      <w:pPr>
        <w:spacing w:line="400" w:lineRule="exact"/>
        <w:ind w:firstLine="420" w:firstLineChars="200"/>
        <w:rPr>
          <w:color w:val="000000"/>
          <w:szCs w:val="21"/>
          <w:highlight w:val="none"/>
        </w:rPr>
      </w:pPr>
      <w:r>
        <w:rPr>
          <w:rFonts w:hint="eastAsia"/>
          <w:color w:val="000000"/>
          <w:szCs w:val="21"/>
          <w:highlight w:val="none"/>
        </w:rPr>
        <w:t>1.1.6 本招标项目现场管理机构：见投标人须知前附表。</w:t>
      </w:r>
    </w:p>
    <w:p>
      <w:pPr>
        <w:spacing w:line="400" w:lineRule="exact"/>
        <w:ind w:firstLine="420" w:firstLineChars="200"/>
        <w:rPr>
          <w:color w:val="000000"/>
          <w:szCs w:val="21"/>
          <w:highlight w:val="none"/>
        </w:rPr>
      </w:pPr>
      <w:r>
        <w:rPr>
          <w:rFonts w:hint="eastAsia"/>
          <w:color w:val="000000"/>
          <w:szCs w:val="21"/>
          <w:highlight w:val="none"/>
        </w:rPr>
        <w:t>1.1.7 本招标项目设计人：见投标人须知前附表。</w:t>
      </w:r>
    </w:p>
    <w:p>
      <w:pPr>
        <w:spacing w:line="400" w:lineRule="exact"/>
        <w:ind w:firstLine="420" w:firstLineChars="200"/>
        <w:rPr>
          <w:color w:val="000000"/>
          <w:szCs w:val="21"/>
          <w:highlight w:val="none"/>
        </w:rPr>
      </w:pPr>
      <w:r>
        <w:rPr>
          <w:rFonts w:hint="eastAsia"/>
          <w:color w:val="000000"/>
          <w:szCs w:val="21"/>
          <w:highlight w:val="none"/>
        </w:rPr>
        <w:t>1.1.8 本招标项目监理人：见投标人须知前附表。</w:t>
      </w:r>
    </w:p>
    <w:p>
      <w:pPr>
        <w:spacing w:line="400" w:lineRule="exact"/>
        <w:ind w:firstLine="420" w:firstLineChars="200"/>
        <w:rPr>
          <w:color w:val="000000"/>
          <w:szCs w:val="21"/>
          <w:highlight w:val="none"/>
        </w:rPr>
      </w:pPr>
      <w:r>
        <w:rPr>
          <w:rFonts w:hint="eastAsia"/>
          <w:color w:val="000000"/>
          <w:szCs w:val="21"/>
          <w:highlight w:val="none"/>
        </w:rPr>
        <w:t>1.1.9 本招标项目代建机构：见投标人须知前附表。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1.9踏勘现场</w:t>
      </w:r>
    </w:p>
    <w:p>
      <w:pPr>
        <w:spacing w:line="400" w:lineRule="exact"/>
        <w:ind w:left="105" w:leftChars="50" w:firstLine="315" w:firstLineChars="150"/>
        <w:rPr>
          <w:rFonts w:ascii="宋体" w:hAnsi="宋体"/>
          <w:color w:val="000000"/>
          <w:szCs w:val="21"/>
          <w:highlight w:val="none"/>
        </w:rPr>
      </w:pPr>
      <w:r>
        <w:rPr>
          <w:rFonts w:hint="eastAsia" w:ascii="宋体" w:hAnsi="宋体"/>
          <w:color w:val="000000"/>
          <w:szCs w:val="21"/>
          <w:highlight w:val="none"/>
        </w:rPr>
        <w:t xml:space="preserve">1.9.1 投标人须知前附表规定组织踏勘现场的，招标人按照招标公告（或投标邀请书）规定的时间和地点组织踏勘现场。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1.10投标预备会</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1.10.1投标人须知前附表规定召开投标预备会的，招标人按照招标公告（或投标邀请书）规定的时间和地点召开投标预备会。</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1.10.2在投标预备会召开前，投标人应以书面形式（包括信函、电报、传真等可以有形地表现所载内容的形式，下同）将需要招标人澄清的问题送达招标人。</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1.10.3在投标人须知前附表规定的投标截止时间15天前，招标人将对投标人所提问题的澄清，以书面形式通知所有购买招标文件的投标人。该澄清通知为招标文件的组成部分。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1.10投标预备会</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招标人不组织投标预备会，对于投标人在阅读招标文件和现场踏勘中提出的疑问，招标人将以招标文件澄清或修改的形式予以答复。</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1.11分包</w:t>
      </w:r>
    </w:p>
    <w:p>
      <w:pPr>
        <w:spacing w:line="400" w:lineRule="exact"/>
        <w:ind w:firstLine="525" w:firstLineChars="250"/>
        <w:rPr>
          <w:color w:val="000000"/>
          <w:szCs w:val="21"/>
          <w:highlight w:val="none"/>
        </w:rPr>
      </w:pPr>
      <w:r>
        <w:rPr>
          <w:rFonts w:hint="eastAsia"/>
          <w:color w:val="000000"/>
          <w:szCs w:val="21"/>
          <w:highlight w:val="none"/>
        </w:rPr>
        <w:t>投标人须知前附表规定允许分包的， 分包的内容， 分包金额， 接受分包的第三人资质 要求见投标人须知前附表。投标人应在投标文件中明确是否在中标后将中标项目的部分非主 体、非关键性工作进行分包。投标人拟分包时， 分包人应具备与分包工程的标准和规模相适 应的资质和业绩，在人力、设备、资金等方面具有承担分包工程的能力。投标人应在投标文 件中提供分包协议、分包人的资质证书及营业执照副本复印件、人员和设备资料表、分包的工程项目和工程量。</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1.11分包</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本工程不允许分包。</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1.12偏离</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投标文件不允许偏离招标文件的实质性要求和条件。投标文件偏离招标文件的非实质性要求和条件的，其处理方式见投标人须知前附表。</w:t>
      </w:r>
    </w:p>
    <w:p>
      <w:pPr>
        <w:rPr>
          <w:highlight w:val="none"/>
        </w:rPr>
      </w:pPr>
      <w:bookmarkStart w:id="52" w:name="EBf1fa8e40e21f416a9f63e2ebd40a9a75"/>
      <w:bookmarkEnd w:id="52"/>
      <w:bookmarkStart w:id="53" w:name="EBd45900aeeef74b8faaf0d315ed21f29e"/>
      <w:bookmarkEnd w:id="53"/>
      <w:bookmarkStart w:id="54" w:name="EBdcc86de9cfcd465c9a59472d5af3386a"/>
      <w:bookmarkEnd w:id="54"/>
    </w:p>
    <w:p>
      <w:pPr>
        <w:pStyle w:val="4"/>
        <w:spacing w:line="400" w:lineRule="exact"/>
        <w:rPr>
          <w:color w:val="000000"/>
          <w:sz w:val="27"/>
          <w:szCs w:val="27"/>
          <w:highlight w:val="none"/>
        </w:rPr>
      </w:pPr>
      <w:bookmarkStart w:id="55" w:name="_Toc16060"/>
      <w:bookmarkStart w:id="56" w:name="_Toc49869968"/>
      <w:r>
        <w:rPr>
          <w:rFonts w:hint="eastAsia"/>
          <w:color w:val="000000"/>
          <w:sz w:val="27"/>
          <w:szCs w:val="27"/>
          <w:highlight w:val="none"/>
        </w:rPr>
        <w:t>2. 招标文件</w:t>
      </w:r>
      <w:bookmarkEnd w:id="55"/>
      <w:bookmarkEnd w:id="56"/>
    </w:p>
    <w:p>
      <w:pPr>
        <w:spacing w:line="400" w:lineRule="exact"/>
        <w:rPr>
          <w:color w:val="000000"/>
          <w:highlight w:val="none"/>
        </w:rPr>
      </w:pPr>
      <w:r>
        <w:rPr>
          <w:rFonts w:hint="eastAsia"/>
          <w:color w:val="000000"/>
          <w:highlight w:val="none"/>
        </w:rPr>
        <w:t>本招标文件包括：</w:t>
      </w:r>
    </w:p>
    <w:p>
      <w:pPr>
        <w:spacing w:line="400" w:lineRule="exact"/>
        <w:ind w:firstLine="359" w:firstLineChars="171"/>
        <w:rPr>
          <w:color w:val="000000"/>
          <w:highlight w:val="none"/>
        </w:rPr>
      </w:pPr>
      <w:r>
        <w:rPr>
          <w:rFonts w:hint="eastAsia"/>
          <w:color w:val="000000"/>
          <w:highlight w:val="none"/>
        </w:rPr>
        <w:t>（1）招标公告（或投标邀请书）；</w:t>
      </w:r>
    </w:p>
    <w:p>
      <w:pPr>
        <w:spacing w:line="400" w:lineRule="exact"/>
        <w:ind w:firstLine="359" w:firstLineChars="171"/>
        <w:rPr>
          <w:color w:val="000000"/>
          <w:highlight w:val="none"/>
        </w:rPr>
      </w:pPr>
      <w:r>
        <w:rPr>
          <w:rFonts w:hint="eastAsia"/>
          <w:color w:val="000000"/>
          <w:highlight w:val="none"/>
        </w:rPr>
        <w:t>（2）投标人须知；</w:t>
      </w:r>
    </w:p>
    <w:p>
      <w:pPr>
        <w:spacing w:line="400" w:lineRule="exact"/>
        <w:ind w:firstLine="359" w:firstLineChars="171"/>
        <w:rPr>
          <w:color w:val="000000"/>
          <w:highlight w:val="none"/>
        </w:rPr>
      </w:pPr>
      <w:r>
        <w:rPr>
          <w:rFonts w:hint="eastAsia"/>
          <w:color w:val="000000"/>
          <w:highlight w:val="none"/>
        </w:rPr>
        <w:t>（3）评标办法；</w:t>
      </w:r>
    </w:p>
    <w:p>
      <w:pPr>
        <w:spacing w:line="400" w:lineRule="exact"/>
        <w:ind w:firstLine="359" w:firstLineChars="171"/>
        <w:rPr>
          <w:color w:val="000000"/>
          <w:highlight w:val="none"/>
        </w:rPr>
      </w:pPr>
      <w:r>
        <w:rPr>
          <w:rFonts w:hint="eastAsia"/>
          <w:color w:val="000000"/>
          <w:highlight w:val="none"/>
        </w:rPr>
        <w:t>（4）合同条款及格式；</w:t>
      </w:r>
    </w:p>
    <w:p>
      <w:pPr>
        <w:spacing w:line="400" w:lineRule="exact"/>
        <w:ind w:firstLine="359" w:firstLineChars="171"/>
        <w:rPr>
          <w:color w:val="000000"/>
          <w:highlight w:val="none"/>
        </w:rPr>
      </w:pPr>
      <w:r>
        <w:rPr>
          <w:rFonts w:hint="eastAsia"/>
          <w:color w:val="000000"/>
          <w:highlight w:val="none"/>
        </w:rPr>
        <w:t xml:space="preserve">（5）工程量清单； </w:t>
      </w:r>
    </w:p>
    <w:p>
      <w:pPr>
        <w:spacing w:line="400" w:lineRule="exact"/>
        <w:ind w:firstLine="359" w:firstLineChars="171"/>
        <w:rPr>
          <w:color w:val="000000"/>
          <w:highlight w:val="none"/>
        </w:rPr>
      </w:pPr>
      <w:r>
        <w:rPr>
          <w:rFonts w:hint="eastAsia"/>
          <w:color w:val="000000"/>
          <w:highlight w:val="none"/>
        </w:rPr>
        <w:t xml:space="preserve">（6）图纸； </w:t>
      </w:r>
    </w:p>
    <w:p>
      <w:pPr>
        <w:spacing w:line="400" w:lineRule="exact"/>
        <w:ind w:firstLine="359" w:firstLineChars="171"/>
        <w:rPr>
          <w:color w:val="000000"/>
          <w:highlight w:val="none"/>
        </w:rPr>
      </w:pPr>
      <w:r>
        <w:rPr>
          <w:rFonts w:hint="eastAsia"/>
          <w:color w:val="000000"/>
          <w:highlight w:val="none"/>
        </w:rPr>
        <w:t xml:space="preserve">（7）技术标准和要求； </w:t>
      </w:r>
    </w:p>
    <w:p>
      <w:pPr>
        <w:spacing w:line="400" w:lineRule="exact"/>
        <w:ind w:firstLine="359" w:firstLineChars="171"/>
        <w:rPr>
          <w:color w:val="000000"/>
          <w:highlight w:val="none"/>
        </w:rPr>
      </w:pPr>
      <w:r>
        <w:rPr>
          <w:rFonts w:hint="eastAsia"/>
          <w:color w:val="000000"/>
          <w:highlight w:val="none"/>
        </w:rPr>
        <w:t>（8）投标文件格式；</w:t>
      </w:r>
    </w:p>
    <w:p>
      <w:pPr>
        <w:spacing w:line="400" w:lineRule="exact"/>
        <w:ind w:firstLine="359" w:firstLineChars="171"/>
        <w:rPr>
          <w:color w:val="000000"/>
          <w:highlight w:val="none"/>
        </w:rPr>
      </w:pPr>
      <w:r>
        <w:rPr>
          <w:rFonts w:hint="eastAsia"/>
          <w:color w:val="000000"/>
          <w:highlight w:val="none"/>
        </w:rPr>
        <w:t>（9）投标人须知前附表规定的其他材料。</w:t>
      </w:r>
    </w:p>
    <w:p>
      <w:pPr>
        <w:spacing w:line="400" w:lineRule="exact"/>
        <w:ind w:firstLine="420" w:firstLineChars="200"/>
        <w:rPr>
          <w:color w:val="000000"/>
          <w:highlight w:val="none"/>
        </w:rPr>
      </w:pPr>
      <w:r>
        <w:rPr>
          <w:rFonts w:hint="eastAsia"/>
          <w:color w:val="000000"/>
          <w:highlight w:val="none"/>
        </w:rPr>
        <w:t>根据本章第1.10款、第2.2款和第2.3款对招标文件所作的澄清、修改，构成招标文件的组成部分。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2.2招标文件的澄清</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2.2.1 投标人应仔细阅读和检查招标文件的全部内容。如发现缺页或附件不全，应及时向招标人提出，以便补齐。如有疑问，应在投标截止时间17天前以书面形式提出澄清申请，要求招标人对招标文件予以澄清。</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2.2.2 招标文件的澄清将在投标截止时间15天前，以书面形式通知所有购买招标文件的投标人，但不指明澄清问题的来源。如果澄清通知发出的时间距投标截止时间不足15天，投标截止时间应相应延长。</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2.2.3 投标人在收到澄清通知后，应在1天内以书面形式告知招标人，确认已收到澄清通知。</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2.3招标文件的修改</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2.3.2投标人收到修改通知后，应在1天内以书面形式告知招标人，确认已收到该修改通知。</w:t>
      </w:r>
    </w:p>
    <w:p>
      <w:pPr>
        <w:rPr>
          <w:highlight w:val="none"/>
        </w:rPr>
      </w:pPr>
      <w:bookmarkStart w:id="57" w:name="EB24bd1d623a0c43609a26cccfe8b47c72"/>
      <w:bookmarkEnd w:id="57"/>
      <w:bookmarkStart w:id="58" w:name="EBe26dc70283ae4dc582965f9f59067d57"/>
      <w:bookmarkEnd w:id="58"/>
      <w:bookmarkStart w:id="59" w:name="EB926102dbd1544a3ca0e818dcca5b6200"/>
      <w:bookmarkEnd w:id="59"/>
    </w:p>
    <w:p>
      <w:pPr>
        <w:pStyle w:val="4"/>
        <w:spacing w:line="400" w:lineRule="exact"/>
        <w:rPr>
          <w:color w:val="000000"/>
          <w:sz w:val="27"/>
          <w:szCs w:val="27"/>
          <w:highlight w:val="none"/>
        </w:rPr>
      </w:pPr>
      <w:bookmarkStart w:id="60" w:name="_Toc49869969"/>
      <w:bookmarkStart w:id="61" w:name="_Toc7073"/>
      <w:r>
        <w:rPr>
          <w:rFonts w:hint="eastAsia"/>
          <w:color w:val="000000"/>
          <w:sz w:val="27"/>
          <w:szCs w:val="27"/>
          <w:highlight w:val="none"/>
        </w:rPr>
        <w:t>3. 投标文件</w:t>
      </w:r>
      <w:bookmarkEnd w:id="60"/>
      <w:bookmarkEnd w:id="61"/>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3.1.投标文件的组成</w:t>
      </w:r>
    </w:p>
    <w:p>
      <w:pPr>
        <w:spacing w:line="400" w:lineRule="exact"/>
        <w:rPr>
          <w:color w:val="000000"/>
          <w:highlight w:val="none"/>
        </w:rPr>
      </w:pPr>
      <w:r>
        <w:rPr>
          <w:rFonts w:hint="eastAsia"/>
          <w:color w:val="000000"/>
          <w:highlight w:val="none"/>
        </w:rPr>
        <w:t>　　3.1.1投标文件应包括下列内容：</w:t>
      </w:r>
    </w:p>
    <w:p>
      <w:pPr>
        <w:spacing w:line="400" w:lineRule="exact"/>
        <w:ind w:firstLine="359" w:firstLineChars="171"/>
        <w:rPr>
          <w:color w:val="000000"/>
          <w:highlight w:val="none"/>
        </w:rPr>
      </w:pPr>
      <w:r>
        <w:rPr>
          <w:rFonts w:hint="eastAsia"/>
          <w:color w:val="000000"/>
          <w:highlight w:val="none"/>
        </w:rPr>
        <w:t>（1）投标函及投标函附录；</w:t>
      </w:r>
    </w:p>
    <w:p>
      <w:pPr>
        <w:spacing w:line="400" w:lineRule="exact"/>
        <w:ind w:firstLine="359" w:firstLineChars="171"/>
        <w:rPr>
          <w:color w:val="000000"/>
          <w:highlight w:val="none"/>
        </w:rPr>
      </w:pPr>
      <w:r>
        <w:rPr>
          <w:rFonts w:hint="eastAsia"/>
          <w:color w:val="000000"/>
          <w:highlight w:val="none"/>
        </w:rPr>
        <w:t>（2）法定代表人身份证明或附有法定代表人身份证明的授权委托书；</w:t>
      </w:r>
    </w:p>
    <w:p>
      <w:pPr>
        <w:spacing w:line="400" w:lineRule="exact"/>
        <w:ind w:firstLine="359" w:firstLineChars="171"/>
        <w:rPr>
          <w:color w:val="000000"/>
          <w:highlight w:val="none"/>
        </w:rPr>
      </w:pPr>
      <w:r>
        <w:rPr>
          <w:rFonts w:hint="eastAsia"/>
          <w:color w:val="000000"/>
          <w:highlight w:val="none"/>
        </w:rPr>
        <w:t>（3）联合体协议书；</w:t>
      </w:r>
    </w:p>
    <w:p>
      <w:pPr>
        <w:spacing w:line="400" w:lineRule="exact"/>
        <w:ind w:firstLine="359" w:firstLineChars="171"/>
        <w:rPr>
          <w:color w:val="000000"/>
          <w:highlight w:val="none"/>
        </w:rPr>
      </w:pPr>
      <w:r>
        <w:rPr>
          <w:rFonts w:hint="eastAsia"/>
          <w:color w:val="000000"/>
          <w:highlight w:val="none"/>
        </w:rPr>
        <w:t>（4）投标保证金；</w:t>
      </w:r>
    </w:p>
    <w:p>
      <w:pPr>
        <w:spacing w:line="400" w:lineRule="exact"/>
        <w:ind w:firstLine="359" w:firstLineChars="171"/>
        <w:rPr>
          <w:color w:val="000000"/>
          <w:highlight w:val="none"/>
        </w:rPr>
      </w:pPr>
      <w:r>
        <w:rPr>
          <w:rFonts w:hint="eastAsia"/>
          <w:color w:val="000000"/>
          <w:highlight w:val="none"/>
        </w:rPr>
        <w:t>（5）已标价工程量清单；</w:t>
      </w:r>
    </w:p>
    <w:p>
      <w:pPr>
        <w:spacing w:line="400" w:lineRule="exact"/>
        <w:ind w:firstLine="359" w:firstLineChars="171"/>
        <w:rPr>
          <w:color w:val="000000"/>
          <w:highlight w:val="none"/>
        </w:rPr>
      </w:pPr>
      <w:r>
        <w:rPr>
          <w:rFonts w:hint="eastAsia"/>
          <w:color w:val="000000"/>
          <w:highlight w:val="none"/>
        </w:rPr>
        <w:t xml:space="preserve">（6）施工组织设计； </w:t>
      </w:r>
    </w:p>
    <w:p>
      <w:pPr>
        <w:spacing w:line="400" w:lineRule="exact"/>
        <w:ind w:firstLine="359" w:firstLineChars="171"/>
        <w:rPr>
          <w:color w:val="000000"/>
          <w:highlight w:val="none"/>
        </w:rPr>
      </w:pPr>
      <w:r>
        <w:rPr>
          <w:rFonts w:hint="eastAsia"/>
          <w:color w:val="000000"/>
          <w:highlight w:val="none"/>
        </w:rPr>
        <w:t>（7）项目管理机构；</w:t>
      </w:r>
    </w:p>
    <w:p>
      <w:pPr>
        <w:spacing w:line="400" w:lineRule="exact"/>
        <w:ind w:firstLine="359" w:firstLineChars="171"/>
        <w:rPr>
          <w:color w:val="000000"/>
          <w:highlight w:val="none"/>
        </w:rPr>
      </w:pPr>
      <w:r>
        <w:rPr>
          <w:rFonts w:hint="eastAsia"/>
          <w:color w:val="000000"/>
          <w:highlight w:val="none"/>
        </w:rPr>
        <w:t>（8）拟分包项目情况表；</w:t>
      </w:r>
    </w:p>
    <w:p>
      <w:pPr>
        <w:spacing w:line="400" w:lineRule="exact"/>
        <w:ind w:firstLine="359" w:firstLineChars="171"/>
        <w:rPr>
          <w:color w:val="000000"/>
          <w:highlight w:val="none"/>
        </w:rPr>
      </w:pPr>
      <w:r>
        <w:rPr>
          <w:rFonts w:hint="eastAsia"/>
          <w:color w:val="000000"/>
          <w:highlight w:val="none"/>
        </w:rPr>
        <w:t>（9）资格审查资料；</w:t>
      </w:r>
    </w:p>
    <w:p>
      <w:pPr>
        <w:spacing w:line="400" w:lineRule="exact"/>
        <w:ind w:firstLine="359" w:firstLineChars="171"/>
        <w:rPr>
          <w:color w:val="000000"/>
          <w:highlight w:val="none"/>
        </w:rPr>
      </w:pPr>
      <w:r>
        <w:rPr>
          <w:rFonts w:hint="eastAsia"/>
          <w:color w:val="000000"/>
          <w:highlight w:val="none"/>
        </w:rPr>
        <w:t>（10）投标人须知前附表规定的其他材料。</w:t>
      </w:r>
    </w:p>
    <w:p>
      <w:pPr>
        <w:spacing w:line="400" w:lineRule="exact"/>
        <w:ind w:firstLine="359" w:firstLineChars="171"/>
        <w:rPr>
          <w:color w:val="000000"/>
          <w:highlight w:val="none"/>
        </w:rPr>
      </w:pPr>
      <w:r>
        <w:rPr>
          <w:rFonts w:hint="eastAsia"/>
          <w:color w:val="000000"/>
          <w:highlight w:val="none"/>
        </w:rPr>
        <w:t xml:space="preserve">3.1.2 投标人须知前附表规定不接受联合体投标的，或投标人没有组成联合体的，投标文件不包括本章第3.1.1（3）目所指的联合体协议书。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3.2 投标报价</w:t>
      </w:r>
    </w:p>
    <w:p>
      <w:pPr>
        <w:spacing w:line="400" w:lineRule="exact"/>
        <w:ind w:firstLine="420" w:firstLineChars="200"/>
        <w:rPr>
          <w:color w:val="000000"/>
          <w:highlight w:val="none"/>
        </w:rPr>
      </w:pPr>
      <w:r>
        <w:rPr>
          <w:rFonts w:hint="eastAsia"/>
          <w:color w:val="000000"/>
          <w:highlight w:val="none"/>
        </w:rPr>
        <w:t>3.2.1 投标人应按第五章“工程量清单”的要求填写相应表格。</w:t>
      </w:r>
    </w:p>
    <w:p>
      <w:pPr>
        <w:spacing w:line="400" w:lineRule="exact"/>
        <w:ind w:firstLine="420" w:firstLineChars="200"/>
        <w:rPr>
          <w:color w:val="000000"/>
          <w:highlight w:val="none"/>
        </w:rPr>
      </w:pPr>
      <w:r>
        <w:rPr>
          <w:rFonts w:hint="eastAsia"/>
          <w:color w:val="000000"/>
          <w:highlight w:val="none"/>
        </w:rPr>
        <w:t>3.2.2 投标人在投标截止时间前修改投标函中的投标总报价，应同时修改第五章“工程量清单”中的相应报价。此修改须符合本章第4.3款的有关要求。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3.3 投标有效期</w:t>
      </w:r>
    </w:p>
    <w:p>
      <w:pPr>
        <w:spacing w:line="400" w:lineRule="exact"/>
        <w:ind w:firstLine="420" w:firstLineChars="200"/>
        <w:rPr>
          <w:color w:val="000000"/>
          <w:highlight w:val="none"/>
        </w:rPr>
      </w:pPr>
      <w:r>
        <w:rPr>
          <w:rFonts w:hint="eastAsia"/>
          <w:color w:val="000000"/>
          <w:highlight w:val="none"/>
        </w:rPr>
        <w:t>3.3.1 在投标人须知前附表规定的投标有效期内，投标人不得要求撤销或修改其投标文件。</w:t>
      </w:r>
    </w:p>
    <w:p>
      <w:pPr>
        <w:spacing w:line="400" w:lineRule="exact"/>
        <w:ind w:firstLine="420" w:firstLineChars="200"/>
        <w:rPr>
          <w:color w:val="000000"/>
          <w:highlight w:val="none"/>
        </w:rPr>
      </w:pPr>
      <w:r>
        <w:rPr>
          <w:rFonts w:hint="eastAsia"/>
          <w:color w:val="000000"/>
          <w:highlight w:val="none"/>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3.4 投标保证金</w:t>
      </w:r>
    </w:p>
    <w:p>
      <w:pPr>
        <w:spacing w:line="400" w:lineRule="exact"/>
        <w:ind w:firstLine="420" w:firstLineChars="200"/>
        <w:rPr>
          <w:color w:val="000000"/>
          <w:highlight w:val="none"/>
        </w:rPr>
      </w:pPr>
      <w:r>
        <w:rPr>
          <w:rFonts w:hint="eastAsia"/>
          <w:color w:val="000000"/>
          <w:highlight w:val="none"/>
        </w:rPr>
        <w:t>3.4.1 投标人在递交投标文件的同时，应按投标人须知前附表规定的金额、担保形式和第八章“投标文件格式”规定的投标保证金格式递交投标保证金，并作为其投标文件的组成部分。联合体投标的，其投标保证金由牵头人递交，并应符合投标人须知前附表的规定。</w:t>
      </w:r>
    </w:p>
    <w:p>
      <w:pPr>
        <w:spacing w:line="400" w:lineRule="exact"/>
        <w:ind w:firstLine="420" w:firstLineChars="200"/>
        <w:rPr>
          <w:color w:val="000000"/>
          <w:highlight w:val="none"/>
        </w:rPr>
      </w:pPr>
      <w:r>
        <w:rPr>
          <w:rFonts w:hint="eastAsia"/>
          <w:color w:val="000000"/>
          <w:highlight w:val="none"/>
        </w:rPr>
        <w:t>3.4.2 投标人不按本章第3.4.1项要求提交投标保证金的，其投标文件作废标处理。</w:t>
      </w:r>
    </w:p>
    <w:p>
      <w:pPr>
        <w:spacing w:line="400" w:lineRule="exact"/>
        <w:ind w:firstLine="420" w:firstLineChars="200"/>
        <w:rPr>
          <w:color w:val="000000"/>
          <w:highlight w:val="none"/>
        </w:rPr>
      </w:pPr>
      <w:r>
        <w:rPr>
          <w:rFonts w:hint="eastAsia"/>
          <w:color w:val="000000"/>
          <w:highlight w:val="none"/>
        </w:rPr>
        <w:t>3.4.3 招标人与中标人签订合同后5个工作日内，向未中标的投标人和中标人退还投标保证金。</w:t>
      </w:r>
    </w:p>
    <w:p>
      <w:pPr>
        <w:spacing w:line="400" w:lineRule="exact"/>
        <w:ind w:firstLine="420" w:firstLineChars="200"/>
        <w:rPr>
          <w:color w:val="000000"/>
          <w:highlight w:val="none"/>
        </w:rPr>
      </w:pPr>
      <w:r>
        <w:rPr>
          <w:rFonts w:hint="eastAsia"/>
          <w:color w:val="000000"/>
          <w:highlight w:val="none"/>
        </w:rPr>
        <w:t xml:space="preserve">3.4.4 有下列情形之一的，投标保证金将不予退还： </w:t>
      </w:r>
    </w:p>
    <w:p>
      <w:pPr>
        <w:spacing w:line="400" w:lineRule="exact"/>
        <w:ind w:firstLine="718" w:firstLineChars="342"/>
        <w:rPr>
          <w:color w:val="000000"/>
          <w:highlight w:val="none"/>
        </w:rPr>
      </w:pPr>
      <w:r>
        <w:rPr>
          <w:rFonts w:hint="eastAsia"/>
          <w:color w:val="000000"/>
          <w:highlight w:val="none"/>
        </w:rPr>
        <w:t>（1）投标人在规定的投标有效期内撤销或修改其投标文件；</w:t>
      </w:r>
    </w:p>
    <w:p>
      <w:pPr>
        <w:spacing w:line="400" w:lineRule="exact"/>
        <w:ind w:firstLine="718" w:firstLineChars="342"/>
        <w:rPr>
          <w:color w:val="000000"/>
          <w:highlight w:val="none"/>
        </w:rPr>
      </w:pPr>
      <w:r>
        <w:rPr>
          <w:rFonts w:hint="eastAsia"/>
          <w:color w:val="000000"/>
          <w:highlight w:val="none"/>
        </w:rPr>
        <w:t>（2）中标人在收到中标通知书后，无正当理由拒签合同协议书或未按招标文件规定提交履约担保。</w:t>
      </w:r>
    </w:p>
    <w:p>
      <w:pPr>
        <w:spacing w:line="400" w:lineRule="exact"/>
        <w:ind w:firstLine="420" w:firstLineChars="200"/>
        <w:rPr>
          <w:rFonts w:ascii="宋体" w:hAnsi="宋体"/>
          <w:color w:val="000000"/>
          <w:szCs w:val="21"/>
          <w:highlight w:val="none"/>
        </w:rPr>
      </w:pP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3.5资格审查资料（适用于已进行资格预审）</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人在编制投标文件时，如果投标人在资质条件、组织机构、财务能力、信誉等资格条件与资格预审时提交的资格预审申请文件相比发生变化的，应按新情况更新或补充其在申请资格预审申请文件中提供的资料，以证实其各项资格条件仍能继续满足资格预审文件的要求，具备承担本标段施工的资质条件、能力和信誉。</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3.5 资格审查资料（适用于未进行资格预审）</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3.5.1“近3年财务状况”应附流动资金来源证明及经会计师事务所或审计机构审计的财务会计报表，包括资产负债表、现金流量表、利润表和财务情况说明书的复印件。</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3.5.2“近5年完成的类似项目情况表”应附中标通知书、合同协议书以及合同工程完工证书（工程竣工证书副本）的复印件。每张表格只填写一个项目，并标明序号。。</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3.5.3“近3年发生的诉讼及仲裁情况表”应说明相关情况，并附法院或仲裁机构作出的判断、裁决等有关法律文书复印件。</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3.6备选投标方案</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投标人可以递交备选投标方案，只有中标人所递交的备选投标方案方可予以考虑。评标委员会认为中标人递交的备选投标方案优于其按照招标文件要求编制的投标方案时，招标人可以接受该备选投标方案。</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3.7投标文件的编制</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3.7.3投标文件应采用不褪色的材料书写或打印。投标文件正本除封面、封底、目录、分隔页外，其他每一页必须加盖投标人单位公章，并由投标人的法定代表人或其委托代理人签字。已标价的工程量清单还应加盖注册水利工程造价师执业印章，投标文件应尽量避免涂改、行间插字或删除。如果出现上述情况，修改之处应加盖投标人单位公章或由投标人的法定代表人或其委托代理人签字确认。</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 xml:space="preserve">3.7.4投标文件正本1份，副本4份。正本和副本的封面上应清楚地标记“正本”或“副本”的字样。当副本和正本不一致时，以正本为准。 </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3.7.5投标文件的正本与副本应采用A4纸（图表页可例外），分别装订成册，编制目录和页码，并不得采用活页装订。</w:t>
      </w:r>
    </w:p>
    <w:p>
      <w:pPr>
        <w:rPr>
          <w:highlight w:val="none"/>
        </w:rPr>
      </w:pPr>
      <w:bookmarkStart w:id="62" w:name="EB070386af3dad47c6a26b44e683975dba"/>
      <w:bookmarkEnd w:id="62"/>
      <w:bookmarkStart w:id="63" w:name="EBbd52b4f55f0445a3a19acb7d37260732"/>
      <w:bookmarkEnd w:id="63"/>
      <w:bookmarkStart w:id="64" w:name="EB37fa3946cc344242a78b4e4729c53f42"/>
      <w:bookmarkEnd w:id="64"/>
    </w:p>
    <w:p>
      <w:pPr>
        <w:pStyle w:val="4"/>
        <w:spacing w:line="400" w:lineRule="exact"/>
        <w:rPr>
          <w:color w:val="000000"/>
          <w:sz w:val="27"/>
          <w:szCs w:val="27"/>
          <w:highlight w:val="none"/>
        </w:rPr>
      </w:pPr>
      <w:bookmarkStart w:id="65" w:name="_Toc16554"/>
      <w:bookmarkStart w:id="66" w:name="_Toc49869970"/>
      <w:r>
        <w:rPr>
          <w:rFonts w:hint="eastAsia"/>
          <w:color w:val="000000"/>
          <w:sz w:val="27"/>
          <w:szCs w:val="27"/>
          <w:highlight w:val="none"/>
        </w:rPr>
        <w:t>4. 投标</w:t>
      </w:r>
      <w:bookmarkEnd w:id="65"/>
      <w:bookmarkEnd w:id="66"/>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4.1投标文件的密封和标识</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4.1.1投标文件的正本与副本应分开包装，加贴封条，并在封套的封口处加盖投标人单位章。</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4.1.2投标文件的封套上除应清楚标记“正本”或“副本”字样外，封套还应写明以下内容：</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（1）所投标段名称和合同编号；</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（2）招标人的名称和通讯地址；</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（3）投标人的名称和通讯地址，并加盖单位公章。（投标人以联合体形式时，须注明联合体名称，联合体牵头人的名称、地址，加盖联合体牵头人单位公章）</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（4）“在投标截止时间之前不得拆封”的声明。</w:t>
      </w:r>
    </w:p>
    <w:p>
      <w:pPr>
        <w:spacing w:line="400" w:lineRule="exact"/>
        <w:ind w:firstLine="420" w:firstLineChars="200"/>
        <w:rPr>
          <w:color w:val="000000"/>
          <w:highlight w:val="none"/>
        </w:rPr>
      </w:pPr>
      <w:r>
        <w:rPr>
          <w:rFonts w:hint="eastAsia" w:ascii="宋体" w:hAnsi="宋体"/>
          <w:color w:val="000000"/>
          <w:szCs w:val="21"/>
          <w:highlight w:val="none"/>
        </w:rPr>
        <w:t>4.1.3</w:t>
      </w:r>
      <w:r>
        <w:rPr>
          <w:rFonts w:hint="eastAsia"/>
          <w:color w:val="000000"/>
          <w:highlight w:val="none"/>
        </w:rPr>
        <w:t xml:space="preserve"> 未按本章第4.1.1项或第4.1.2项要求密封和加写标记的投标文件，招标人不予受理。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4.2投标文件的递交</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4.2.1 投标人应在本章第2.2.2项规定的投标截止时间前递交投标文件。</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4.2.2 投标人递交投标文件的地点：见投标人须知前附表。</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4.2.3 除投标人须知前附表另有规定外，投标人所递交的投标文件不予退还。</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4.2.4 招标人收到投标文件后，向投标人出具签收凭证。</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4.2.5 逾期送达的或者未送达指定地点的投标文件，招标人不予受理。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4.3 投标文件的修改与撤回</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4.3.1 在本章第2.2.2项规定的投标截止时间前，投标人可以修改或撤回已递交的投标文件，但应以书面形式通知招标人。</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4.3.2 投标人修改或撤回已递交投标文件的书面通知应按照本章第3.7.3项的要求签字或盖章。招标人收到书面通知后，向投标人出具签收凭证。</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4.3.3 修改的内容为投标文件的组成部分。修改的投标文件应按照本章第3条、第4条规定进行编制、密封、标记和递交，并标明“修改”字样。</w:t>
      </w:r>
    </w:p>
    <w:p>
      <w:pPr>
        <w:pStyle w:val="4"/>
        <w:spacing w:line="400" w:lineRule="exact"/>
        <w:rPr>
          <w:color w:val="000000"/>
          <w:sz w:val="27"/>
          <w:szCs w:val="27"/>
          <w:highlight w:val="none"/>
        </w:rPr>
      </w:pPr>
      <w:bookmarkStart w:id="67" w:name="_Toc6292"/>
      <w:bookmarkStart w:id="68" w:name="_Toc49869971"/>
      <w:r>
        <w:rPr>
          <w:rFonts w:hint="eastAsia"/>
          <w:color w:val="000000"/>
          <w:sz w:val="27"/>
          <w:szCs w:val="27"/>
          <w:highlight w:val="none"/>
        </w:rPr>
        <w:t>5. 开标</w:t>
      </w:r>
      <w:bookmarkEnd w:id="67"/>
      <w:bookmarkEnd w:id="68"/>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5.1开标时间和地点</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人在本章第1.10.3款规定的投标截止时间（开标时间）和投标人须知前附表规定的地点公开开标，并邀请所有投标人的法定代表人或其委托代理人准时参加。投标人的法定代表人或其委托代理人未参加开标会的，招标人可将其投标文件按无效标处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5.2开标程序</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主持人按下列程序进行开标：</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（1）宣布开标纪律；</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（2）公布在投标截止时间前递交投标文件的投标人名称，并确认投标人法定代表人或其委托代理人是否在场；</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（3）宣布主持人、开标人、唱标人、记录人、监标人等有关人员姓名；</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（4）除投标人须知前附表另有约定外，由投标人推荐的代表检查投标文件的密封情况；</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（5）宣布投标文件开启顺序：按递交投标文件的先后顺序的逆序；</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（6）设有标底的，公布标底；</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（7）按照宣布的开标顺序当众开标，公布投标人名称、标段名称、投标保证金的递交情况、投标报价、质量目标、工期及其它招标文件规定开标时公布的内容，并进行文字记录；</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（8）主持人、开标人、唱标人、记录人、监标人、投标人的法定代表人或其委托代理人等有关人员在开标记录上签字确认；</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（9）开标结束。</w:t>
      </w:r>
    </w:p>
    <w:p>
      <w:pPr>
        <w:pStyle w:val="4"/>
        <w:spacing w:line="400" w:lineRule="exact"/>
        <w:rPr>
          <w:color w:val="000000"/>
          <w:sz w:val="27"/>
          <w:szCs w:val="27"/>
          <w:highlight w:val="none"/>
        </w:rPr>
      </w:pPr>
      <w:bookmarkStart w:id="69" w:name="_Toc3383"/>
      <w:bookmarkStart w:id="70" w:name="_Toc49869972"/>
      <w:r>
        <w:rPr>
          <w:rFonts w:hint="eastAsia"/>
          <w:color w:val="000000"/>
          <w:sz w:val="27"/>
          <w:szCs w:val="27"/>
          <w:highlight w:val="none"/>
        </w:rPr>
        <w:t>6. 评标</w:t>
      </w:r>
      <w:bookmarkEnd w:id="69"/>
      <w:bookmarkEnd w:id="70"/>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6.1 评标委员会</w:t>
      </w:r>
    </w:p>
    <w:p>
      <w:pPr>
        <w:spacing w:line="400" w:lineRule="exact"/>
        <w:ind w:firstLine="420" w:firstLineChars="200"/>
        <w:rPr>
          <w:color w:val="000000"/>
          <w:highlight w:val="none"/>
        </w:rPr>
      </w:pPr>
      <w:r>
        <w:rPr>
          <w:rFonts w:hint="eastAsia"/>
          <w:color w:val="000000"/>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400" w:lineRule="exact"/>
        <w:ind w:firstLine="420" w:firstLineChars="200"/>
        <w:rPr>
          <w:color w:val="000000"/>
          <w:highlight w:val="none"/>
        </w:rPr>
      </w:pPr>
      <w:r>
        <w:rPr>
          <w:rFonts w:hint="eastAsia"/>
          <w:color w:val="000000"/>
          <w:highlight w:val="none"/>
        </w:rPr>
        <w:t>6.1.2 评标委员会成员有下列情形之一的，应当回避：</w:t>
      </w:r>
    </w:p>
    <w:p>
      <w:pPr>
        <w:spacing w:line="400" w:lineRule="exact"/>
        <w:ind w:firstLine="718" w:firstLineChars="342"/>
        <w:rPr>
          <w:color w:val="000000"/>
          <w:highlight w:val="none"/>
        </w:rPr>
      </w:pPr>
      <w:r>
        <w:rPr>
          <w:rFonts w:hint="eastAsia"/>
          <w:color w:val="000000"/>
          <w:highlight w:val="none"/>
        </w:rPr>
        <w:t>（1）招标人或投标人的主要负责人的近亲属；</w:t>
      </w:r>
    </w:p>
    <w:p>
      <w:pPr>
        <w:spacing w:line="400" w:lineRule="exact"/>
        <w:ind w:firstLine="718" w:firstLineChars="342"/>
        <w:rPr>
          <w:color w:val="000000"/>
          <w:highlight w:val="none"/>
        </w:rPr>
      </w:pPr>
      <w:r>
        <w:rPr>
          <w:rFonts w:hint="eastAsia"/>
          <w:color w:val="000000"/>
          <w:highlight w:val="none"/>
        </w:rPr>
        <w:t>（2）项目主管部门或者行政监督部门的人员；</w:t>
      </w:r>
    </w:p>
    <w:p>
      <w:pPr>
        <w:spacing w:line="400" w:lineRule="exact"/>
        <w:ind w:firstLine="718" w:firstLineChars="342"/>
        <w:rPr>
          <w:color w:val="000000"/>
          <w:highlight w:val="none"/>
        </w:rPr>
      </w:pPr>
      <w:r>
        <w:rPr>
          <w:rFonts w:hint="eastAsia"/>
          <w:color w:val="000000"/>
          <w:highlight w:val="none"/>
        </w:rPr>
        <w:t>（3）与投标人有经济利益关系，可能影响对投标公正评审的；</w:t>
      </w:r>
    </w:p>
    <w:p>
      <w:pPr>
        <w:spacing w:line="400" w:lineRule="exact"/>
        <w:ind w:firstLine="718" w:firstLineChars="342"/>
        <w:rPr>
          <w:color w:val="000000"/>
          <w:highlight w:val="none"/>
        </w:rPr>
      </w:pPr>
      <w:r>
        <w:rPr>
          <w:rFonts w:hint="eastAsia"/>
          <w:color w:val="000000"/>
          <w:highlight w:val="none"/>
        </w:rPr>
        <w:t>（4）曾因在招标、评标以及其他与招标投标有关活动中从事违法行为而受过行政处罚或刑事处罚的。</w:t>
      </w:r>
    </w:p>
    <w:p>
      <w:pPr>
        <w:spacing w:line="400" w:lineRule="exact"/>
        <w:rPr>
          <w:rFonts w:eastAsia="黑体" w:cs="宋体"/>
          <w:color w:val="000000"/>
          <w:sz w:val="24"/>
          <w:szCs w:val="20"/>
          <w:highlight w:val="none"/>
        </w:rPr>
      </w:pPr>
      <w:r>
        <w:rPr>
          <w:rFonts w:hint="eastAsia" w:ascii="宋体" w:hAnsi="宋体"/>
          <w:b/>
          <w:color w:val="000000"/>
          <w:sz w:val="23"/>
          <w:szCs w:val="23"/>
          <w:highlight w:val="none"/>
        </w:rPr>
        <w:t>6.2 评标原则</w:t>
      </w:r>
      <w:r>
        <w:rPr>
          <w:rFonts w:eastAsia="黑体" w:cs="宋体"/>
          <w:color w:val="000000"/>
          <w:sz w:val="24"/>
          <w:szCs w:val="20"/>
          <w:highlight w:val="none"/>
        </w:rPr>
        <w:tab/>
      </w:r>
    </w:p>
    <w:p>
      <w:pPr>
        <w:spacing w:line="400" w:lineRule="exact"/>
        <w:ind w:firstLine="420" w:firstLineChars="200"/>
        <w:rPr>
          <w:color w:val="000000"/>
          <w:highlight w:val="none"/>
        </w:rPr>
      </w:pPr>
      <w:r>
        <w:rPr>
          <w:rFonts w:hint="eastAsia"/>
          <w:color w:val="000000"/>
          <w:highlight w:val="none"/>
        </w:rPr>
        <w:t>评标活动遵循公平、公正、科学和择优的原则。</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6.3 评标</w:t>
      </w:r>
    </w:p>
    <w:p>
      <w:pPr>
        <w:spacing w:line="400" w:lineRule="exact"/>
        <w:ind w:firstLine="420" w:firstLineChars="200"/>
        <w:rPr>
          <w:color w:val="000000"/>
          <w:highlight w:val="none"/>
        </w:rPr>
      </w:pPr>
      <w:r>
        <w:rPr>
          <w:rFonts w:hint="eastAsia"/>
          <w:color w:val="000000"/>
          <w:highlight w:val="none"/>
        </w:rPr>
        <w:t>评标委员会按照第三章“评标办法”规定的方法、评审因素、标准和程序对投标文件进行评审。第三章“评标办法”没有规定的方法、评审因素和标准，不作为评标依据。</w:t>
      </w:r>
    </w:p>
    <w:p>
      <w:pPr>
        <w:rPr>
          <w:highlight w:val="none"/>
        </w:rPr>
      </w:pPr>
      <w:bookmarkStart w:id="71" w:name="EB20c135173e0a4e79a5c3424320b49d32"/>
      <w:bookmarkEnd w:id="71"/>
      <w:bookmarkStart w:id="72" w:name="EB235ffab3ae6e450dbbb4cb9b8d40365e"/>
      <w:bookmarkEnd w:id="72"/>
      <w:bookmarkStart w:id="73" w:name="EBf3f57808d74446d8814b91158cc1a078"/>
      <w:bookmarkEnd w:id="73"/>
    </w:p>
    <w:p>
      <w:pPr>
        <w:pStyle w:val="4"/>
        <w:spacing w:line="400" w:lineRule="exact"/>
        <w:rPr>
          <w:color w:val="000000"/>
          <w:sz w:val="27"/>
          <w:szCs w:val="27"/>
          <w:highlight w:val="none"/>
        </w:rPr>
      </w:pPr>
      <w:bookmarkStart w:id="74" w:name="_Toc49869973"/>
      <w:bookmarkStart w:id="75" w:name="_Toc1504"/>
      <w:r>
        <w:rPr>
          <w:rFonts w:hint="eastAsia"/>
          <w:color w:val="000000"/>
          <w:sz w:val="27"/>
          <w:szCs w:val="27"/>
          <w:highlight w:val="none"/>
        </w:rPr>
        <w:t>7. 合同授予</w:t>
      </w:r>
      <w:bookmarkEnd w:id="74"/>
      <w:bookmarkEnd w:id="75"/>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7.1定标方式</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评标委员会推荐3名中标候选人,并标明排列顺序。招标人依据评标委员会推荐的中标候选人确定中标人。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7.2 中标通知</w:t>
      </w:r>
    </w:p>
    <w:p>
      <w:pPr>
        <w:spacing w:line="400" w:lineRule="exact"/>
        <w:ind w:firstLine="420" w:firstLineChars="200"/>
        <w:rPr>
          <w:color w:val="000000"/>
          <w:highlight w:val="none"/>
        </w:rPr>
      </w:pPr>
      <w:r>
        <w:rPr>
          <w:rFonts w:hint="eastAsia"/>
          <w:color w:val="000000"/>
          <w:highlight w:val="none"/>
        </w:rPr>
        <w:t>在本章第3.3款规定的投标有效期内，招标人以书面形式向中标人发出中标通知书，同时将中标结果通知未中标的投标人。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7.3 履约担保</w:t>
      </w:r>
    </w:p>
    <w:p>
      <w:pPr>
        <w:spacing w:line="400" w:lineRule="exact"/>
        <w:ind w:firstLine="420" w:firstLineChars="200"/>
        <w:rPr>
          <w:color w:val="000000"/>
          <w:highlight w:val="none"/>
        </w:rPr>
      </w:pPr>
      <w:r>
        <w:rPr>
          <w:rFonts w:hint="eastAsia"/>
          <w:color w:val="000000"/>
          <w:highlight w:val="none"/>
        </w:rPr>
        <w:t>7.3.1在签订合同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spacing w:line="400" w:lineRule="exact"/>
        <w:ind w:firstLine="420" w:firstLineChars="200"/>
        <w:rPr>
          <w:color w:val="000000"/>
          <w:highlight w:val="none"/>
        </w:rPr>
      </w:pPr>
      <w:r>
        <w:rPr>
          <w:rFonts w:hint="eastAsia"/>
          <w:color w:val="000000"/>
          <w:highlight w:val="none"/>
        </w:rPr>
        <w:t>7.3.2 中标人不能按本章第7.3.1项要求提交履约担保的，视为放弃中标，其投标保证金不予退还，给招标人造成的损失超过投标保证金数额的，中标人还应当对超过部分予以赔偿。</w:t>
      </w:r>
    </w:p>
    <w:p>
      <w:pPr>
        <w:spacing w:line="400" w:lineRule="exact"/>
        <w:rPr>
          <w:rFonts w:ascii="宋体" w:hAnsi="宋体"/>
          <w:color w:val="000000"/>
          <w:szCs w:val="21"/>
          <w:highlight w:val="none"/>
        </w:rPr>
      </w:pP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7.4签订合同</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7.4.1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 xml:space="preserve">7.4.2 发出中标通知书后，招标人无正当理由拒签合同的，招标人向中标人退还投标保证金，并按投标保证金双倍的金额赔偿投标人损失。 </w:t>
      </w:r>
    </w:p>
    <w:p>
      <w:pPr>
        <w:rPr>
          <w:color w:val="000080"/>
          <w:sz w:val="20"/>
          <w:highlight w:val="none"/>
        </w:rPr>
      </w:pPr>
      <w:bookmarkStart w:id="76" w:name="EBf5e503ee239a4d8890779214d4e2b2f3"/>
      <w:bookmarkEnd w:id="76"/>
      <w:bookmarkStart w:id="77" w:name="EBeddac0cefa83434f84e442cc333d8bf0"/>
      <w:bookmarkEnd w:id="77"/>
      <w:bookmarkStart w:id="78" w:name="EB61608d79d00244a38716ac1fcb0b5dc5"/>
      <w:bookmarkEnd w:id="78"/>
    </w:p>
    <w:p>
      <w:pPr>
        <w:pStyle w:val="4"/>
        <w:spacing w:line="400" w:lineRule="exact"/>
        <w:rPr>
          <w:color w:val="000000"/>
          <w:sz w:val="27"/>
          <w:szCs w:val="27"/>
          <w:highlight w:val="none"/>
        </w:rPr>
      </w:pPr>
      <w:bookmarkStart w:id="79" w:name="_Toc29981"/>
      <w:bookmarkStart w:id="80" w:name="_Toc49869974"/>
      <w:r>
        <w:rPr>
          <w:rFonts w:hint="eastAsia"/>
          <w:color w:val="000000"/>
          <w:sz w:val="27"/>
          <w:szCs w:val="27"/>
          <w:highlight w:val="none"/>
        </w:rPr>
        <w:t>8. 重新招标或经批准不招标</w:t>
      </w:r>
      <w:bookmarkEnd w:id="79"/>
      <w:bookmarkEnd w:id="80"/>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8.1重新招标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有下列情形之一的，招标人将重新招标；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（1）投标截止时间止，投标人少于3个的；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（2）经评标委员会评审后否决所有投标的；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（3）评标委员会否决不合格投标或者界定为废标后因有效投标不足3个使得投标明显缺乏竞争，评标委员会决定否决全部投标的；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（4）同意延长投标有效期的投标人少于3个的；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（5）中标候选人均未与招标人签订合同的。</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8.2不再招标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重新招标后，仍出现本章第8.1条规定情形之一的，属于必须审批的水利工程建设项目，经行政监督部门批准后不再进行招标。</w:t>
      </w:r>
    </w:p>
    <w:p>
      <w:pPr>
        <w:rPr>
          <w:highlight w:val="none"/>
        </w:rPr>
      </w:pPr>
      <w:bookmarkStart w:id="81" w:name="EBccbe84e21742461ea6faa5dc5a61b346"/>
      <w:bookmarkEnd w:id="81"/>
      <w:bookmarkStart w:id="82" w:name="EB6cf15e3a9a084847b11a0467d3b1b1eb"/>
      <w:bookmarkEnd w:id="82"/>
      <w:bookmarkStart w:id="83" w:name="EB97457f9117f245c4baf1a975cab67d98"/>
      <w:bookmarkEnd w:id="83"/>
    </w:p>
    <w:p>
      <w:pPr>
        <w:pStyle w:val="4"/>
        <w:spacing w:line="400" w:lineRule="exact"/>
        <w:rPr>
          <w:color w:val="000000"/>
          <w:sz w:val="27"/>
          <w:szCs w:val="27"/>
          <w:highlight w:val="none"/>
        </w:rPr>
      </w:pPr>
      <w:bookmarkStart w:id="84" w:name="_Toc17643"/>
      <w:bookmarkStart w:id="85" w:name="_Toc49869975"/>
      <w:r>
        <w:rPr>
          <w:rFonts w:hint="eastAsia"/>
          <w:color w:val="000000"/>
          <w:sz w:val="27"/>
          <w:szCs w:val="27"/>
          <w:highlight w:val="none"/>
        </w:rPr>
        <w:t>9. 纪律和监督</w:t>
      </w:r>
      <w:bookmarkEnd w:id="84"/>
      <w:bookmarkEnd w:id="85"/>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9.1对招标人的纪律要求</w:t>
      </w:r>
    </w:p>
    <w:p>
      <w:pPr>
        <w:spacing w:line="400" w:lineRule="exact"/>
        <w:ind w:right="248" w:firstLine="462" w:firstLineChars="200"/>
        <w:rPr>
          <w:rFonts w:ascii="宋体" w:hAnsi="宋体"/>
          <w:color w:val="000000"/>
          <w:szCs w:val="21"/>
          <w:highlight w:val="none"/>
        </w:rPr>
      </w:pPr>
      <w:r>
        <w:rPr>
          <w:rFonts w:hint="eastAsia" w:ascii="宋体" w:hAnsi="宋体"/>
          <w:b/>
          <w:color w:val="000000"/>
          <w:sz w:val="23"/>
          <w:szCs w:val="23"/>
          <w:highlight w:val="none"/>
        </w:rPr>
        <w:t xml:space="preserve"> </w:t>
      </w:r>
      <w:r>
        <w:rPr>
          <w:rFonts w:hint="eastAsia" w:ascii="宋体" w:hAnsi="宋体"/>
          <w:color w:val="000000"/>
          <w:szCs w:val="21"/>
          <w:highlight w:val="none"/>
        </w:rPr>
        <w:t>招标人不得泄露招标投标活动中应当保密的情况和资料，不得与投标人串通损害国家利益、社会公共利益或者他人合法利益。</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下列行为均属招标人与投标串通投标：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（1）招标人在开标前开启投标文件，并将投标情况告知其他投标人，或者协助投标人撤换投标文件，更改报价；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（2）招标人向投标人泄露标底；</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（3）招标人与投标人商定，投标时压低或抬高标价，中标后再给投标人或招标人额外补偿；</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（4）招标人预先内定中标人；</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（5）其他串通投标行为。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9.2对投标人的纪律要求</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投标人不得相互串通投标或者与招标人串通投标，不得向招标人或者评标委员会成员行贿谋取中标，不得以他人名义投标或者以其它方式弄虚作假骗取中标；投标人不得以任何方式干扰、影响评标工作。</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9.2.1下列行为均属以他人名义投标：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（1）投标人挂靠其他施工单位；</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（2）投标人从其他施工单位通过转让或租借的方式获取资格或资质证书；</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（3）由其他单位及法定代表人在自己编制的投标文件上加盖印章和签字的行为。</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9.2.2下列行为，视为允许他人以本单位名义承揽工程：</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（1）投标人的法定代表人的委托代理人不是投标人本单位人员；</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（2）投标人拟在施工现场所设项目管理机构的项目负责人、技术负责人、财务负责人、质量管理人员、安全管理人员（专职安全生产管理人员）不是本单位人员。</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投标人本单位人员，必须同时满足以下条件：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（1）聘任合同必须由投标人单位与之签订；</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（2）与投标人单位有合法的工资关系；</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（3）投标人单位为其办理社会保险关系，或具有其他有效证明其为本单位人员身份的文件。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9.2.3下列行为均属投标人串通投标报价：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（1）投标人之间相互约定抬高或压低投标报价；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（2）投标人之间相互约定，在招标项目中分别以高、中、低价位报价；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（3）投标人之间先进行内部总价，内定中标人，然后再参加投标；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（4）投标人之间其他串通投标报价的行为。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9.3 对评标委员会成员的纪律要求</w:t>
      </w:r>
    </w:p>
    <w:p>
      <w:pPr>
        <w:spacing w:line="400" w:lineRule="exact"/>
        <w:ind w:firstLine="420" w:firstLineChars="200"/>
        <w:rPr>
          <w:color w:val="000000"/>
          <w:highlight w:val="none"/>
        </w:rPr>
      </w:pPr>
      <w:r>
        <w:rPr>
          <w:rFonts w:hint="eastAsia"/>
          <w:color w:val="000000"/>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9.4 对与评标活动有关的工作人员的纪律要求</w:t>
      </w:r>
    </w:p>
    <w:p>
      <w:pPr>
        <w:spacing w:line="400" w:lineRule="exact"/>
        <w:ind w:firstLine="420" w:firstLineChars="200"/>
        <w:rPr>
          <w:color w:val="000000"/>
          <w:highlight w:val="none"/>
        </w:rPr>
      </w:pPr>
      <w:r>
        <w:rPr>
          <w:rFonts w:hint="eastAsia"/>
          <w:color w:val="000000"/>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9.5 投诉</w:t>
      </w:r>
    </w:p>
    <w:p>
      <w:pPr>
        <w:spacing w:line="400" w:lineRule="exact"/>
        <w:ind w:firstLine="420" w:firstLineChars="200"/>
        <w:rPr>
          <w:color w:val="000000"/>
          <w:highlight w:val="none"/>
        </w:rPr>
      </w:pPr>
      <w:r>
        <w:rPr>
          <w:rFonts w:hint="eastAsia"/>
          <w:color w:val="000000"/>
          <w:highlight w:val="none"/>
        </w:rPr>
        <w:t>投标人和其他利害关系人认为本次招标活动违反法律、法规和规章规定的，有权向有关行政监督部门投诉。</w:t>
      </w:r>
    </w:p>
    <w:p>
      <w:pPr>
        <w:rPr>
          <w:highlight w:val="none"/>
        </w:rPr>
      </w:pPr>
      <w:bookmarkStart w:id="86" w:name="EB84b155ad07d04a3b9bb115bc408c6af1"/>
      <w:bookmarkEnd w:id="86"/>
      <w:bookmarkStart w:id="87" w:name="EBf348121a845a4fb988a822a13002902c"/>
      <w:bookmarkEnd w:id="87"/>
      <w:bookmarkStart w:id="88" w:name="EB9cf5b5d6d416416da9992d329d5dcdec"/>
      <w:bookmarkEnd w:id="88"/>
    </w:p>
    <w:p>
      <w:pPr>
        <w:pStyle w:val="4"/>
        <w:spacing w:line="400" w:lineRule="exact"/>
        <w:rPr>
          <w:color w:val="000000"/>
          <w:sz w:val="27"/>
          <w:szCs w:val="27"/>
          <w:highlight w:val="none"/>
        </w:rPr>
      </w:pPr>
      <w:bookmarkStart w:id="89" w:name="_Toc49869976"/>
      <w:bookmarkStart w:id="90" w:name="_Toc16735"/>
      <w:r>
        <w:rPr>
          <w:rFonts w:hint="eastAsia"/>
          <w:color w:val="000000"/>
          <w:sz w:val="27"/>
          <w:szCs w:val="27"/>
          <w:highlight w:val="none"/>
        </w:rPr>
        <w:t>10需要补充的其他内容</w:t>
      </w:r>
      <w:bookmarkEnd w:id="89"/>
      <w:bookmarkEnd w:id="90"/>
    </w:p>
    <w:p>
      <w:pPr>
        <w:spacing w:line="400" w:lineRule="exact"/>
        <w:ind w:firstLine="420" w:firstLineChars="200"/>
        <w:rPr>
          <w:color w:val="000000"/>
          <w:highlight w:val="none"/>
        </w:rPr>
      </w:pPr>
      <w:r>
        <w:rPr>
          <w:rFonts w:hint="eastAsia"/>
          <w:color w:val="000000"/>
          <w:highlight w:val="none"/>
        </w:rPr>
        <w:t>需要补充的其他内容：见投标人须知前附表。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10.1类似项目</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类似项目的要求见投标人须知前附表。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10.2已标价工程量清单电子版</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投标人递交投标文件时，应同时提交已标价工程量清单电子版，份数及格式见投标人须知前附表。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10.3原件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招标人须知前附表要求投标人递交原件的，投标人应在递交投标文件时按第8章投标文件格式中“十、原件的复印件”所列清单提交原件。原件经查验后退回投标人。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10.4中标人的投标文件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中标人须在签订合同前向招标人另行提交投标人须知前附表规定份数的投标文件副本。</w:t>
      </w: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ind w:firstLine="2300" w:firstLineChars="1150"/>
        <w:rPr>
          <w:color w:val="000000"/>
          <w:sz w:val="20"/>
          <w:szCs w:val="20"/>
          <w:highlight w:val="none"/>
        </w:rPr>
      </w:pPr>
    </w:p>
    <w:p>
      <w:pPr>
        <w:pStyle w:val="4"/>
        <w:spacing w:line="400" w:lineRule="exact"/>
        <w:rPr>
          <w:color w:val="000000"/>
          <w:sz w:val="27"/>
          <w:szCs w:val="27"/>
          <w:highlight w:val="none"/>
        </w:rPr>
      </w:pPr>
      <w:bookmarkStart w:id="91" w:name="_Toc49869977"/>
    </w:p>
    <w:p>
      <w:pPr>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highlight w:val="none"/>
        </w:rPr>
      </w:pPr>
    </w:p>
    <w:p>
      <w:pPr>
        <w:rPr>
          <w:color w:val="000000"/>
          <w:sz w:val="27"/>
          <w:szCs w:val="27"/>
          <w:highlight w:val="none"/>
        </w:rPr>
      </w:pPr>
    </w:p>
    <w:p>
      <w:pPr>
        <w:rPr>
          <w:color w:val="000000"/>
          <w:sz w:val="27"/>
          <w:szCs w:val="27"/>
          <w:highlight w:val="none"/>
        </w:rPr>
      </w:pPr>
    </w:p>
    <w:p>
      <w:pPr>
        <w:pStyle w:val="16"/>
        <w:rPr>
          <w:highlight w:val="none"/>
        </w:rPr>
      </w:pPr>
    </w:p>
    <w:p>
      <w:pPr>
        <w:pStyle w:val="4"/>
        <w:spacing w:line="400" w:lineRule="exact"/>
        <w:rPr>
          <w:rFonts w:ascii="黑体" w:hAnsi="黑体"/>
          <w:color w:val="000000"/>
          <w:sz w:val="27"/>
          <w:szCs w:val="27"/>
          <w:highlight w:val="none"/>
        </w:rPr>
      </w:pPr>
      <w:bookmarkStart w:id="92" w:name="_Toc31516"/>
      <w:r>
        <w:rPr>
          <w:rFonts w:hint="eastAsia"/>
          <w:color w:val="000000"/>
          <w:sz w:val="27"/>
          <w:szCs w:val="27"/>
          <w:highlight w:val="none"/>
        </w:rPr>
        <w:t>附表一：招标文件澄清申请函（格式）</w:t>
      </w:r>
      <w:bookmarkEnd w:id="91"/>
      <w:bookmarkEnd w:id="92"/>
    </w:p>
    <w:p>
      <w:pPr>
        <w:spacing w:line="400" w:lineRule="exact"/>
        <w:rPr>
          <w:color w:val="000000"/>
          <w:sz w:val="20"/>
          <w:szCs w:val="20"/>
          <w:highlight w:val="none"/>
        </w:rPr>
      </w:pPr>
    </w:p>
    <w:p>
      <w:pPr>
        <w:spacing w:line="400" w:lineRule="exact"/>
        <w:jc w:val="center"/>
        <w:rPr>
          <w:b/>
          <w:color w:val="000000"/>
          <w:sz w:val="23"/>
          <w:szCs w:val="23"/>
          <w:highlight w:val="none"/>
        </w:rPr>
      </w:pPr>
      <w:r>
        <w:rPr>
          <w:rFonts w:hint="eastAsia"/>
          <w:b/>
          <w:color w:val="000000"/>
          <w:sz w:val="23"/>
          <w:szCs w:val="23"/>
          <w:highlight w:val="none"/>
        </w:rPr>
        <w:t>招标文件澄清申请函（格式）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u w:val="singl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招标人名称</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420" w:firstLineChars="200"/>
        <w:rPr>
          <w:color w:val="000000"/>
          <w:szCs w:val="21"/>
          <w:highlight w:val="none"/>
        </w:rPr>
      </w:pPr>
      <w:r>
        <w:rPr>
          <w:rFonts w:hint="eastAsia"/>
          <w:color w:val="000000"/>
          <w:szCs w:val="21"/>
          <w:highlight w:val="none"/>
        </w:rPr>
        <w:t xml:space="preserve">经过仔细阅读  </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项目名称</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标段名称</w:t>
      </w:r>
      <w:r>
        <w:rPr>
          <w:rFonts w:hint="eastAsia"/>
          <w:color w:val="000000"/>
          <w:szCs w:val="21"/>
          <w:highlight w:val="none"/>
        </w:rPr>
        <w:t>）招标文件后，我方申请对以下问题予以澄清：</w:t>
      </w:r>
    </w:p>
    <w:p>
      <w:pPr>
        <w:spacing w:line="400" w:lineRule="exact"/>
        <w:ind w:firstLine="525" w:firstLineChars="250"/>
        <w:rPr>
          <w:color w:val="000000"/>
          <w:szCs w:val="21"/>
          <w:highlight w:val="none"/>
        </w:rPr>
      </w:pPr>
      <w:r>
        <w:rPr>
          <w:rFonts w:hint="eastAsia"/>
          <w:color w:val="000000"/>
          <w:szCs w:val="21"/>
          <w:highlight w:val="none"/>
        </w:rPr>
        <w:t>1、………</w:t>
      </w:r>
    </w:p>
    <w:p>
      <w:pPr>
        <w:spacing w:line="400" w:lineRule="exact"/>
        <w:ind w:firstLine="525" w:firstLineChars="250"/>
        <w:rPr>
          <w:color w:val="000000"/>
          <w:szCs w:val="21"/>
          <w:highlight w:val="none"/>
        </w:rPr>
      </w:pPr>
      <w:r>
        <w:rPr>
          <w:rFonts w:hint="eastAsia"/>
          <w:color w:val="000000"/>
          <w:szCs w:val="21"/>
          <w:highlight w:val="none"/>
        </w:rPr>
        <w:t>2、………</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rPr>
          <w:color w:val="000000"/>
          <w:szCs w:val="21"/>
          <w:highlight w:val="none"/>
        </w:rPr>
      </w:pPr>
      <w:r>
        <w:rPr>
          <w:rFonts w:hint="eastAsia"/>
          <w:color w:val="000000"/>
          <w:szCs w:val="21"/>
          <w:highlight w:val="none"/>
        </w:rPr>
        <w:t xml:space="preserve">  </w:t>
      </w:r>
    </w:p>
    <w:p>
      <w:pPr>
        <w:spacing w:line="400" w:lineRule="exact"/>
        <w:ind w:firstLine="2415" w:firstLineChars="1150"/>
        <w:rPr>
          <w:color w:val="000000"/>
          <w:szCs w:val="21"/>
          <w:highlight w:val="none"/>
        </w:rPr>
      </w:pPr>
    </w:p>
    <w:p>
      <w:pPr>
        <w:spacing w:line="400" w:lineRule="exact"/>
        <w:ind w:firstLine="4620" w:firstLineChars="2200"/>
        <w:rPr>
          <w:color w:val="000000"/>
          <w:szCs w:val="21"/>
          <w:highlight w:val="none"/>
        </w:rPr>
      </w:pPr>
      <w:r>
        <w:rPr>
          <w:rFonts w:hint="eastAsia"/>
          <w:color w:val="000000"/>
          <w:szCs w:val="21"/>
          <w:highlight w:val="none"/>
        </w:rPr>
        <w:t>投标人：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ind w:firstLine="6615" w:firstLineChars="3150"/>
        <w:rPr>
          <w:color w:val="000000"/>
          <w:szCs w:val="21"/>
          <w:highlight w:val="none"/>
        </w:rPr>
      </w:pPr>
      <w:r>
        <w:rPr>
          <w:rFonts w:hint="eastAsia"/>
          <w:color w:val="000000"/>
          <w:szCs w:val="21"/>
          <w:highlight w:val="none"/>
        </w:rPr>
        <w:t>年       月         日</w:t>
      </w:r>
    </w:p>
    <w:p>
      <w:pPr>
        <w:spacing w:line="400" w:lineRule="exact"/>
        <w:ind w:firstLine="2415" w:firstLineChars="1150"/>
        <w:rPr>
          <w:color w:val="000000"/>
          <w:szCs w:val="21"/>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rPr>
          <w:rFonts w:ascii="宋体" w:hAnsi="宋体" w:cs="宋体"/>
          <w:color w:val="000000"/>
          <w:sz w:val="20"/>
          <w:szCs w:val="20"/>
          <w:highlight w:val="none"/>
        </w:rPr>
      </w:pPr>
      <w:r>
        <w:rPr>
          <w:rFonts w:hint="eastAsia" w:ascii="宋体" w:hAnsi="宋体" w:cs="宋体"/>
          <w:color w:val="000000"/>
          <w:sz w:val="20"/>
          <w:szCs w:val="20"/>
          <w:highlight w:val="none"/>
        </w:rPr>
        <w:t>注:投标人要求招标人澄清招标文件有关问题时，适用于本格式。</w:t>
      </w: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pStyle w:val="15"/>
        <w:spacing w:line="400" w:lineRule="exact"/>
        <w:rPr>
          <w:rFonts w:ascii="黑体" w:hAnsi="黑体" w:eastAsia="黑体"/>
          <w:color w:val="000000"/>
          <w:sz w:val="23"/>
          <w:szCs w:val="23"/>
          <w:highlight w:val="none"/>
        </w:rPr>
      </w:pPr>
    </w:p>
    <w:p>
      <w:pPr>
        <w:pStyle w:val="15"/>
        <w:spacing w:line="400" w:lineRule="exact"/>
        <w:rPr>
          <w:rFonts w:ascii="黑体" w:hAnsi="黑体" w:eastAsia="黑体"/>
          <w:color w:val="000000"/>
          <w:sz w:val="23"/>
          <w:szCs w:val="23"/>
          <w:highlight w:val="none"/>
        </w:rPr>
      </w:pPr>
    </w:p>
    <w:p>
      <w:pPr>
        <w:pStyle w:val="4"/>
        <w:spacing w:line="400" w:lineRule="exact"/>
        <w:rPr>
          <w:color w:val="000000"/>
          <w:sz w:val="27"/>
          <w:szCs w:val="27"/>
          <w:highlight w:val="none"/>
        </w:rPr>
      </w:pPr>
      <w:bookmarkStart w:id="93" w:name="_Toc49869978"/>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4"/>
        <w:spacing w:line="400" w:lineRule="exact"/>
        <w:rPr>
          <w:color w:val="000000"/>
          <w:sz w:val="27"/>
          <w:szCs w:val="27"/>
          <w:highlight w:val="none"/>
        </w:rPr>
      </w:pPr>
      <w:bookmarkStart w:id="94" w:name="_Toc10377"/>
      <w:r>
        <w:rPr>
          <w:rFonts w:hint="eastAsia"/>
          <w:color w:val="000000"/>
          <w:sz w:val="27"/>
          <w:szCs w:val="27"/>
          <w:highlight w:val="none"/>
        </w:rPr>
        <w:t>附表二：招标文件澄清通知（格式）</w:t>
      </w:r>
      <w:bookmarkEnd w:id="93"/>
      <w:bookmarkEnd w:id="94"/>
    </w:p>
    <w:p>
      <w:pPr>
        <w:spacing w:line="400" w:lineRule="exact"/>
        <w:rPr>
          <w:color w:val="000000"/>
          <w:sz w:val="20"/>
          <w:szCs w:val="20"/>
          <w:highlight w:val="none"/>
        </w:rPr>
      </w:pPr>
    </w:p>
    <w:p>
      <w:pPr>
        <w:spacing w:line="400" w:lineRule="exact"/>
        <w:jc w:val="center"/>
        <w:rPr>
          <w:b/>
          <w:color w:val="000000"/>
          <w:sz w:val="23"/>
          <w:szCs w:val="23"/>
          <w:highlight w:val="none"/>
        </w:rPr>
      </w:pPr>
      <w:r>
        <w:rPr>
          <w:rFonts w:hint="eastAsia"/>
          <w:b/>
          <w:color w:val="000000"/>
          <w:sz w:val="23"/>
          <w:szCs w:val="23"/>
          <w:highlight w:val="none"/>
        </w:rPr>
        <w:t>招标文件澄清通知（格式）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投标人名称</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525" w:firstLineChars="250"/>
        <w:rPr>
          <w:color w:val="000000"/>
          <w:szCs w:val="21"/>
          <w:highlight w:val="none"/>
        </w:rPr>
      </w:pPr>
      <w:r>
        <w:rPr>
          <w:rFonts w:hint="eastAsia"/>
          <w:color w:val="000000"/>
          <w:szCs w:val="21"/>
          <w:highlight w:val="none"/>
        </w:rPr>
        <w:t xml:space="preserve">经研究，对 </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 标段名称</w:t>
      </w:r>
      <w:r>
        <w:rPr>
          <w:rFonts w:hint="eastAsia"/>
          <w:color w:val="000000"/>
          <w:szCs w:val="21"/>
          <w:highlight w:val="none"/>
        </w:rPr>
        <w:t>）招标文件，作如下澄清：</w:t>
      </w:r>
    </w:p>
    <w:p>
      <w:pPr>
        <w:spacing w:line="400" w:lineRule="exact"/>
        <w:ind w:firstLine="525" w:firstLineChars="250"/>
        <w:rPr>
          <w:color w:val="000000"/>
          <w:szCs w:val="21"/>
          <w:highlight w:val="none"/>
        </w:rPr>
      </w:pPr>
      <w:r>
        <w:rPr>
          <w:rFonts w:hint="eastAsia"/>
          <w:color w:val="000000"/>
          <w:szCs w:val="21"/>
          <w:highlight w:val="none"/>
        </w:rPr>
        <w:t>1、………</w:t>
      </w:r>
    </w:p>
    <w:p>
      <w:pPr>
        <w:spacing w:line="400" w:lineRule="exact"/>
        <w:ind w:firstLine="525" w:firstLineChars="250"/>
        <w:rPr>
          <w:color w:val="000000"/>
          <w:szCs w:val="21"/>
          <w:highlight w:val="none"/>
        </w:rPr>
      </w:pPr>
      <w:r>
        <w:rPr>
          <w:rFonts w:hint="eastAsia"/>
          <w:color w:val="000000"/>
          <w:szCs w:val="21"/>
          <w:highlight w:val="none"/>
        </w:rPr>
        <w:t>2、………</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rPr>
          <w:color w:val="000000"/>
          <w:szCs w:val="21"/>
          <w:highlight w:val="none"/>
        </w:rPr>
      </w:pPr>
      <w:r>
        <w:rPr>
          <w:rFonts w:hint="eastAsia"/>
          <w:color w:val="000000"/>
          <w:szCs w:val="21"/>
          <w:highlight w:val="none"/>
        </w:rPr>
        <w:t xml:space="preserve">     请收到本通知后以书面形式按招标文件第2章附件四格式在</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日前回复确认，同时采用传真方式发至</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4620" w:firstLineChars="2200"/>
        <w:rPr>
          <w:color w:val="000000"/>
          <w:szCs w:val="21"/>
          <w:highlight w:val="none"/>
          <w:u w:val="single"/>
        </w:rPr>
      </w:pPr>
      <w:r>
        <w:rPr>
          <w:rFonts w:hint="eastAsia"/>
          <w:color w:val="000000"/>
          <w:szCs w:val="21"/>
          <w:highlight w:val="none"/>
        </w:rPr>
        <w:t>招标人：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jc w:val="right"/>
        <w:rPr>
          <w:color w:val="000000"/>
          <w:szCs w:val="21"/>
          <w:highlight w:val="none"/>
        </w:rPr>
      </w:pPr>
      <w:r>
        <w:rPr>
          <w:rFonts w:hint="eastAsia"/>
          <w:color w:val="000000"/>
          <w:szCs w:val="21"/>
          <w:highlight w:val="none"/>
        </w:rPr>
        <w:t>年       月         日</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rPr>
          <w:rFonts w:ascii="华文仿宋" w:hAnsi="华文仿宋" w:eastAsia="华文仿宋"/>
          <w:color w:val="000000"/>
          <w:szCs w:val="21"/>
          <w:highlight w:val="none"/>
        </w:rPr>
      </w:pPr>
    </w:p>
    <w:p>
      <w:pPr>
        <w:spacing w:line="400" w:lineRule="exact"/>
        <w:rPr>
          <w:rFonts w:ascii="华文仿宋" w:hAnsi="华文仿宋" w:eastAsia="华文仿宋"/>
          <w:color w:val="000000"/>
          <w:szCs w:val="21"/>
          <w:highlight w:val="none"/>
        </w:rPr>
      </w:pPr>
    </w:p>
    <w:p>
      <w:pPr>
        <w:spacing w:line="400" w:lineRule="exact"/>
        <w:rPr>
          <w:rFonts w:ascii="华文仿宋" w:hAnsi="华文仿宋" w:eastAsia="华文仿宋"/>
          <w:color w:val="000000"/>
          <w:sz w:val="20"/>
          <w:szCs w:val="20"/>
          <w:highlight w:val="none"/>
        </w:rPr>
      </w:pPr>
    </w:p>
    <w:p>
      <w:pPr>
        <w:spacing w:line="400" w:lineRule="exact"/>
        <w:rPr>
          <w:rFonts w:ascii="华文仿宋" w:hAnsi="华文仿宋" w:eastAsia="华文仿宋"/>
          <w:color w:val="000000"/>
          <w:sz w:val="20"/>
          <w:szCs w:val="20"/>
          <w:highlight w:val="none"/>
        </w:rPr>
      </w:pPr>
    </w:p>
    <w:p>
      <w:pPr>
        <w:spacing w:line="400" w:lineRule="exact"/>
        <w:rPr>
          <w:rFonts w:ascii="华文仿宋" w:hAnsi="华文仿宋" w:eastAsia="华文仿宋"/>
          <w:color w:val="000000"/>
          <w:sz w:val="20"/>
          <w:szCs w:val="20"/>
          <w:highlight w:val="none"/>
        </w:rPr>
      </w:pPr>
    </w:p>
    <w:p>
      <w:pPr>
        <w:spacing w:line="400" w:lineRule="exact"/>
        <w:rPr>
          <w:rFonts w:ascii="宋体" w:hAnsi="宋体" w:cs="宋体"/>
          <w:color w:val="000000"/>
          <w:sz w:val="20"/>
          <w:szCs w:val="20"/>
          <w:highlight w:val="none"/>
        </w:rPr>
      </w:pPr>
      <w:r>
        <w:rPr>
          <w:rFonts w:hint="eastAsia" w:ascii="宋体" w:hAnsi="宋体" w:cs="宋体"/>
          <w:color w:val="000000"/>
          <w:sz w:val="20"/>
          <w:szCs w:val="20"/>
          <w:highlight w:val="none"/>
        </w:rPr>
        <w:t>注:招标人对招标文件澄清时，适用于本格式。招标人可根据需要将附件二与附件三内容合并发出。</w:t>
      </w: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pStyle w:val="2"/>
        <w:rPr>
          <w:color w:val="000000"/>
          <w:highlight w:val="none"/>
          <w:u w:val="single"/>
        </w:rPr>
      </w:pPr>
    </w:p>
    <w:p>
      <w:pPr>
        <w:rPr>
          <w:color w:val="000000"/>
          <w:sz w:val="20"/>
          <w:szCs w:val="20"/>
          <w:highlight w:val="none"/>
          <w:u w:val="single"/>
        </w:rPr>
      </w:pPr>
    </w:p>
    <w:p>
      <w:pPr>
        <w:pStyle w:val="2"/>
        <w:rPr>
          <w:color w:val="000000"/>
          <w:highlight w:val="none"/>
          <w:u w:val="single"/>
        </w:rPr>
      </w:pPr>
    </w:p>
    <w:p>
      <w:pPr>
        <w:rPr>
          <w:color w:val="000000"/>
          <w:sz w:val="20"/>
          <w:szCs w:val="20"/>
          <w:highlight w:val="none"/>
          <w:u w:val="single"/>
        </w:rPr>
      </w:pPr>
    </w:p>
    <w:p>
      <w:pPr>
        <w:pStyle w:val="2"/>
        <w:rPr>
          <w:color w:val="000000"/>
          <w:highlight w:val="none"/>
          <w:u w:val="single"/>
        </w:rPr>
      </w:pPr>
    </w:p>
    <w:p>
      <w:pPr>
        <w:rPr>
          <w:color w:val="000000"/>
          <w:sz w:val="20"/>
          <w:szCs w:val="20"/>
          <w:highlight w:val="none"/>
          <w:u w:val="single"/>
        </w:rPr>
      </w:pPr>
    </w:p>
    <w:p>
      <w:pPr>
        <w:pStyle w:val="2"/>
        <w:rPr>
          <w:color w:val="000000"/>
          <w:highlight w:val="none"/>
          <w:u w:val="single"/>
        </w:rPr>
      </w:pPr>
    </w:p>
    <w:p>
      <w:pPr>
        <w:rPr>
          <w:color w:val="000000"/>
          <w:sz w:val="20"/>
          <w:szCs w:val="20"/>
          <w:highlight w:val="none"/>
          <w:u w:val="single"/>
        </w:rPr>
      </w:pPr>
    </w:p>
    <w:p>
      <w:pPr>
        <w:pStyle w:val="2"/>
        <w:rPr>
          <w:highlight w:val="none"/>
        </w:rPr>
      </w:pPr>
    </w:p>
    <w:p>
      <w:pPr>
        <w:spacing w:line="400" w:lineRule="exact"/>
        <w:rPr>
          <w:color w:val="000000"/>
          <w:sz w:val="20"/>
          <w:szCs w:val="20"/>
          <w:highlight w:val="none"/>
          <w:u w:val="single"/>
        </w:rPr>
      </w:pPr>
    </w:p>
    <w:p>
      <w:pPr>
        <w:pStyle w:val="4"/>
        <w:spacing w:line="400" w:lineRule="exact"/>
        <w:rPr>
          <w:color w:val="000000"/>
          <w:sz w:val="27"/>
          <w:szCs w:val="27"/>
          <w:highlight w:val="none"/>
        </w:rPr>
      </w:pPr>
      <w:bookmarkStart w:id="95" w:name="_Toc49869979"/>
      <w:bookmarkStart w:id="96" w:name="_Toc6276"/>
      <w:r>
        <w:rPr>
          <w:rFonts w:hint="eastAsia"/>
          <w:color w:val="000000"/>
          <w:sz w:val="27"/>
          <w:szCs w:val="27"/>
          <w:highlight w:val="none"/>
        </w:rPr>
        <w:t>附表三：招标文件修改通知（格式）</w:t>
      </w:r>
      <w:bookmarkEnd w:id="95"/>
      <w:bookmarkEnd w:id="96"/>
    </w:p>
    <w:p>
      <w:pPr>
        <w:spacing w:line="400" w:lineRule="exact"/>
        <w:rPr>
          <w:color w:val="000000"/>
          <w:sz w:val="20"/>
          <w:szCs w:val="20"/>
          <w:highlight w:val="none"/>
        </w:rPr>
      </w:pPr>
    </w:p>
    <w:p>
      <w:pPr>
        <w:spacing w:line="400" w:lineRule="exact"/>
        <w:jc w:val="center"/>
        <w:rPr>
          <w:b/>
          <w:color w:val="000000"/>
          <w:sz w:val="23"/>
          <w:szCs w:val="23"/>
          <w:highlight w:val="none"/>
        </w:rPr>
      </w:pPr>
      <w:r>
        <w:rPr>
          <w:rFonts w:hint="eastAsia"/>
          <w:b/>
          <w:color w:val="000000"/>
          <w:sz w:val="23"/>
          <w:szCs w:val="23"/>
          <w:highlight w:val="none"/>
        </w:rPr>
        <w:t>招标文件修改通知（格式）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u w:val="singl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投标人名称</w:t>
      </w:r>
      <w:r>
        <w:rPr>
          <w:rFonts w:hint="eastAsia"/>
          <w:color w:val="000000"/>
          <w:szCs w:val="21"/>
          <w:highlight w:val="none"/>
          <w:u w:val="single"/>
        </w:rPr>
        <w:t xml:space="preserve">）   </w:t>
      </w:r>
    </w:p>
    <w:p>
      <w:pPr>
        <w:spacing w:line="400" w:lineRule="exact"/>
        <w:ind w:firstLine="525" w:firstLineChars="250"/>
        <w:rPr>
          <w:color w:val="000000"/>
          <w:szCs w:val="21"/>
          <w:highlight w:val="none"/>
        </w:rPr>
      </w:pPr>
      <w:r>
        <w:rPr>
          <w:rFonts w:hint="eastAsia"/>
          <w:color w:val="000000"/>
          <w:szCs w:val="21"/>
          <w:highlight w:val="none"/>
        </w:rPr>
        <w:t xml:space="preserve">经研究，对  </w:t>
      </w:r>
      <w:r>
        <w:rPr>
          <w:rFonts w:hint="eastAsia"/>
          <w:color w:val="000000"/>
          <w:szCs w:val="21"/>
          <w:highlight w:val="none"/>
          <w:u w:val="single"/>
        </w:rPr>
        <w:t xml:space="preserve">     </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 标段名称 ）</w:t>
      </w:r>
      <w:r>
        <w:rPr>
          <w:rFonts w:hint="eastAsia"/>
          <w:color w:val="000000"/>
          <w:szCs w:val="21"/>
          <w:highlight w:val="none"/>
        </w:rPr>
        <w:t>招标文件，作如下修改：</w:t>
      </w:r>
    </w:p>
    <w:p>
      <w:pPr>
        <w:spacing w:line="400" w:lineRule="exact"/>
        <w:ind w:firstLine="525" w:firstLineChars="250"/>
        <w:rPr>
          <w:color w:val="000000"/>
          <w:szCs w:val="21"/>
          <w:highlight w:val="none"/>
        </w:rPr>
      </w:pPr>
      <w:r>
        <w:rPr>
          <w:rFonts w:hint="eastAsia"/>
          <w:color w:val="000000"/>
          <w:szCs w:val="21"/>
          <w:highlight w:val="none"/>
        </w:rPr>
        <w:t>1、………</w:t>
      </w:r>
    </w:p>
    <w:p>
      <w:pPr>
        <w:spacing w:line="400" w:lineRule="exact"/>
        <w:ind w:firstLine="525" w:firstLineChars="250"/>
        <w:rPr>
          <w:color w:val="000000"/>
          <w:szCs w:val="21"/>
          <w:highlight w:val="none"/>
        </w:rPr>
      </w:pPr>
      <w:r>
        <w:rPr>
          <w:rFonts w:hint="eastAsia"/>
          <w:color w:val="000000"/>
          <w:szCs w:val="21"/>
          <w:highlight w:val="none"/>
        </w:rPr>
        <w:t>2、………</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735" w:firstLineChars="350"/>
        <w:rPr>
          <w:color w:val="000000"/>
          <w:szCs w:val="21"/>
          <w:highlight w:val="none"/>
        </w:rPr>
      </w:pPr>
      <w:r>
        <w:rPr>
          <w:rFonts w:hint="eastAsia"/>
          <w:color w:val="000000"/>
          <w:szCs w:val="21"/>
          <w:highlight w:val="none"/>
        </w:rPr>
        <w:t>请收到本通知后以书面形式按招标文件第2章附件四格式在</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日前回复确认，同时采用传真方式发至</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5670" w:firstLineChars="2700"/>
        <w:rPr>
          <w:color w:val="000000"/>
          <w:szCs w:val="21"/>
          <w:highlight w:val="none"/>
        </w:rPr>
      </w:pPr>
      <w:r>
        <w:rPr>
          <w:rFonts w:hint="eastAsia"/>
          <w:color w:val="000000"/>
          <w:szCs w:val="21"/>
          <w:highlight w:val="none"/>
        </w:rPr>
        <w:t>招标人：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jc w:val="right"/>
        <w:rPr>
          <w:color w:val="000000"/>
          <w:szCs w:val="21"/>
          <w:highlight w:val="none"/>
        </w:rPr>
      </w:pPr>
      <w:r>
        <w:rPr>
          <w:rFonts w:hint="eastAsia"/>
          <w:color w:val="000000"/>
          <w:szCs w:val="21"/>
          <w:highlight w:val="none"/>
        </w:rPr>
        <w:t>年       月         日</w:t>
      </w:r>
    </w:p>
    <w:p>
      <w:pPr>
        <w:spacing w:line="400" w:lineRule="exact"/>
        <w:rPr>
          <w:rFonts w:ascii="宋体" w:hAnsi="宋体" w:cs="宋体"/>
          <w:color w:val="000000"/>
          <w:szCs w:val="21"/>
          <w:highlight w:val="none"/>
        </w:rPr>
      </w:pPr>
    </w:p>
    <w:p>
      <w:pPr>
        <w:spacing w:line="400" w:lineRule="exact"/>
        <w:rPr>
          <w:rFonts w:ascii="宋体" w:hAnsi="宋体" w:cs="宋体"/>
          <w:color w:val="000000"/>
          <w:szCs w:val="21"/>
          <w:highlight w:val="none"/>
        </w:rPr>
      </w:pPr>
    </w:p>
    <w:p>
      <w:pPr>
        <w:spacing w:line="400" w:lineRule="exact"/>
        <w:rPr>
          <w:rFonts w:ascii="华文仿宋" w:hAnsi="华文仿宋" w:eastAsia="华文仿宋"/>
          <w:color w:val="000000"/>
          <w:szCs w:val="21"/>
          <w:highlight w:val="none"/>
        </w:rPr>
      </w:pPr>
      <w:r>
        <w:rPr>
          <w:rFonts w:hint="eastAsia" w:ascii="宋体" w:hAnsi="宋体" w:cs="宋体"/>
          <w:color w:val="000000"/>
          <w:szCs w:val="21"/>
          <w:highlight w:val="none"/>
        </w:rPr>
        <w:t>注:招标人对招标文件修改时，适用于本格式</w:t>
      </w:r>
      <w:r>
        <w:rPr>
          <w:rFonts w:hint="eastAsia" w:ascii="华文仿宋" w:hAnsi="华文仿宋" w:eastAsia="华文仿宋"/>
          <w:color w:val="000000"/>
          <w:szCs w:val="21"/>
          <w:highlight w:val="none"/>
        </w:rPr>
        <w:t xml:space="preserve">。 </w:t>
      </w: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rPr>
          <w:color w:val="000000"/>
          <w:sz w:val="20"/>
          <w:szCs w:val="20"/>
          <w:highlight w:val="none"/>
        </w:rPr>
      </w:pPr>
    </w:p>
    <w:p>
      <w:pPr>
        <w:pStyle w:val="4"/>
        <w:spacing w:line="400" w:lineRule="exact"/>
        <w:rPr>
          <w:color w:val="000000"/>
          <w:sz w:val="27"/>
          <w:szCs w:val="27"/>
          <w:highlight w:val="none"/>
        </w:rPr>
      </w:pPr>
      <w:bookmarkStart w:id="97" w:name="_Toc49869980"/>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highlight w:val="none"/>
        </w:rPr>
      </w:pPr>
    </w:p>
    <w:p>
      <w:pPr>
        <w:rPr>
          <w:highlight w:val="none"/>
        </w:rPr>
      </w:pPr>
    </w:p>
    <w:p>
      <w:pPr>
        <w:rPr>
          <w:highlight w:val="none"/>
        </w:rPr>
      </w:pPr>
    </w:p>
    <w:p>
      <w:pPr>
        <w:pStyle w:val="4"/>
        <w:spacing w:line="400" w:lineRule="exact"/>
        <w:rPr>
          <w:color w:val="000000"/>
          <w:sz w:val="27"/>
          <w:szCs w:val="27"/>
          <w:highlight w:val="none"/>
        </w:rPr>
      </w:pPr>
      <w:bookmarkStart w:id="98" w:name="_Toc1852"/>
      <w:r>
        <w:rPr>
          <w:rFonts w:hint="eastAsia"/>
          <w:color w:val="000000"/>
          <w:sz w:val="27"/>
          <w:szCs w:val="27"/>
          <w:highlight w:val="none"/>
        </w:rPr>
        <w:t>附表四：招标文件澄清通知、修改通知确认函（格式）</w:t>
      </w:r>
      <w:bookmarkEnd w:id="97"/>
      <w:bookmarkEnd w:id="98"/>
    </w:p>
    <w:p>
      <w:pPr>
        <w:spacing w:line="400" w:lineRule="exact"/>
        <w:rPr>
          <w:color w:val="000000"/>
          <w:sz w:val="20"/>
          <w:szCs w:val="20"/>
          <w:highlight w:val="none"/>
        </w:rPr>
      </w:pPr>
    </w:p>
    <w:p>
      <w:pPr>
        <w:spacing w:line="400" w:lineRule="exact"/>
        <w:ind w:firstLine="226" w:firstLineChars="98"/>
        <w:jc w:val="center"/>
        <w:rPr>
          <w:b/>
          <w:color w:val="000000"/>
          <w:sz w:val="23"/>
          <w:szCs w:val="23"/>
          <w:highlight w:val="none"/>
        </w:rPr>
      </w:pPr>
      <w:r>
        <w:rPr>
          <w:rFonts w:hint="eastAsia"/>
          <w:b/>
          <w:color w:val="000000"/>
          <w:sz w:val="23"/>
          <w:szCs w:val="23"/>
          <w:highlight w:val="none"/>
        </w:rPr>
        <w:t>招标文件澄清通知、修改通知确认函（格式）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u w:val="singl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招标人名称</w:t>
      </w:r>
      <w:r>
        <w:rPr>
          <w:rFonts w:hint="eastAsia"/>
          <w:color w:val="000000"/>
          <w:szCs w:val="21"/>
          <w:highlight w:val="none"/>
          <w:u w:val="single"/>
        </w:rPr>
        <w:t xml:space="preserve">）       </w:t>
      </w:r>
    </w:p>
    <w:p>
      <w:pPr>
        <w:spacing w:line="400" w:lineRule="exact"/>
        <w:ind w:firstLine="525" w:firstLineChars="250"/>
        <w:rPr>
          <w:color w:val="000000"/>
          <w:szCs w:val="21"/>
          <w:highlight w:val="none"/>
        </w:rPr>
      </w:pPr>
      <w:r>
        <w:rPr>
          <w:rFonts w:hint="eastAsia"/>
          <w:color w:val="000000"/>
          <w:szCs w:val="21"/>
          <w:highlight w:val="none"/>
        </w:rPr>
        <w:t>你方</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日发送的</w:t>
      </w:r>
      <w:r>
        <w:rPr>
          <w:rFonts w:hint="eastAsia"/>
          <w:color w:val="000000"/>
          <w:szCs w:val="21"/>
          <w:highlight w:val="none"/>
          <w:u w:val="single"/>
        </w:rPr>
        <w:t xml:space="preserve">          </w:t>
      </w:r>
      <w:r>
        <w:rPr>
          <w:rFonts w:hint="eastAsia"/>
          <w:color w:val="000000"/>
          <w:szCs w:val="21"/>
          <w:highlight w:val="none"/>
        </w:rPr>
        <w:t>（项目名称）</w:t>
      </w:r>
      <w:r>
        <w:rPr>
          <w:rFonts w:hint="eastAsia"/>
          <w:color w:val="000000"/>
          <w:szCs w:val="21"/>
          <w:highlight w:val="none"/>
          <w:u w:val="single"/>
        </w:rPr>
        <w:t xml:space="preserve">            </w:t>
      </w:r>
      <w:r>
        <w:rPr>
          <w:rFonts w:hint="eastAsia"/>
          <w:color w:val="000000"/>
          <w:szCs w:val="21"/>
          <w:highlight w:val="none"/>
        </w:rPr>
        <w:t>（标段名称）招标文件问题</w:t>
      </w:r>
      <w:r>
        <w:rPr>
          <w:rFonts w:hint="eastAsia"/>
          <w:color w:val="000000"/>
          <w:szCs w:val="21"/>
          <w:highlight w:val="none"/>
          <w:u w:val="single"/>
        </w:rPr>
        <w:t xml:space="preserve">        </w:t>
      </w:r>
      <w:r>
        <w:rPr>
          <w:rFonts w:hint="eastAsia"/>
          <w:color w:val="000000"/>
          <w:szCs w:val="21"/>
          <w:highlight w:val="none"/>
        </w:rPr>
        <w:t>（澄清通知/修改通知），我方已于</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日收到，通知的主要内容如下：</w:t>
      </w:r>
    </w:p>
    <w:p>
      <w:pPr>
        <w:spacing w:line="400" w:lineRule="exact"/>
        <w:ind w:firstLine="525" w:firstLineChars="250"/>
        <w:rPr>
          <w:color w:val="000000"/>
          <w:szCs w:val="21"/>
          <w:highlight w:val="none"/>
        </w:rPr>
      </w:pP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文件名称及编号</w:t>
      </w:r>
      <w:r>
        <w:rPr>
          <w:rFonts w:hint="eastAsia"/>
          <w:color w:val="000000"/>
          <w:szCs w:val="21"/>
          <w:highlight w:val="none"/>
        </w:rPr>
        <w:t xml:space="preserve">）,共 </w:t>
      </w:r>
      <w:r>
        <w:rPr>
          <w:rFonts w:hint="eastAsia"/>
          <w:color w:val="000000"/>
          <w:szCs w:val="21"/>
          <w:highlight w:val="none"/>
          <w:u w:val="single"/>
        </w:rPr>
        <w:t xml:space="preserve">       </w:t>
      </w:r>
      <w:r>
        <w:rPr>
          <w:rFonts w:hint="eastAsia"/>
          <w:color w:val="000000"/>
          <w:szCs w:val="21"/>
          <w:highlight w:val="none"/>
        </w:rPr>
        <w:t xml:space="preserve"> (</w:t>
      </w:r>
      <w:r>
        <w:rPr>
          <w:rFonts w:hint="eastAsia" w:ascii="仿宋_GB2312" w:eastAsia="仿宋_GB2312"/>
          <w:color w:val="000000"/>
          <w:szCs w:val="21"/>
          <w:highlight w:val="none"/>
        </w:rPr>
        <w:t>页码总数</w:t>
      </w:r>
      <w:r>
        <w:rPr>
          <w:rFonts w:hint="eastAsia"/>
          <w:color w:val="000000"/>
          <w:szCs w:val="21"/>
          <w:highlight w:val="none"/>
        </w:rPr>
        <w:t>)</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条款总数</w:t>
      </w:r>
      <w:r>
        <w:rPr>
          <w:rFonts w:hint="eastAsia"/>
          <w:color w:val="000000"/>
          <w:szCs w:val="21"/>
          <w:highlight w:val="none"/>
        </w:rPr>
        <w:t>)；</w:t>
      </w:r>
    </w:p>
    <w:p>
      <w:pPr>
        <w:spacing w:line="400" w:lineRule="exact"/>
        <w:ind w:firstLine="525" w:firstLineChars="250"/>
        <w:rPr>
          <w:color w:val="000000"/>
          <w:szCs w:val="21"/>
          <w:highlight w:val="none"/>
        </w:rPr>
      </w:pPr>
      <w:r>
        <w:rPr>
          <w:color w:val="000000"/>
          <w:szCs w:val="21"/>
          <w:highlight w:val="none"/>
        </w:rPr>
        <w:t>…</w:t>
      </w:r>
      <w:r>
        <w:rPr>
          <w:rFonts w:hint="eastAsia"/>
          <w:color w:val="000000"/>
          <w:szCs w:val="21"/>
          <w:highlight w:val="none"/>
        </w:rPr>
        <w:t>..</w:t>
      </w:r>
    </w:p>
    <w:p>
      <w:pPr>
        <w:spacing w:line="400" w:lineRule="exact"/>
        <w:ind w:firstLine="525" w:firstLineChars="250"/>
        <w:rPr>
          <w:color w:val="000000"/>
          <w:szCs w:val="21"/>
          <w:highlight w:val="none"/>
        </w:rPr>
      </w:pPr>
      <w:r>
        <w:rPr>
          <w:rFonts w:hint="eastAsia"/>
          <w:color w:val="000000"/>
          <w:szCs w:val="21"/>
          <w:highlight w:val="none"/>
        </w:rPr>
        <w:t>特此确认。</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5460" w:firstLineChars="2600"/>
        <w:rPr>
          <w:color w:val="000000"/>
          <w:szCs w:val="21"/>
          <w:highlight w:val="none"/>
          <w:u w:val="single"/>
        </w:rPr>
      </w:pPr>
      <w:r>
        <w:rPr>
          <w:rFonts w:hint="eastAsia"/>
          <w:color w:val="000000"/>
          <w:szCs w:val="21"/>
          <w:highlight w:val="none"/>
        </w:rPr>
        <w:t>投标人：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jc w:val="right"/>
        <w:rPr>
          <w:color w:val="000000"/>
          <w:szCs w:val="21"/>
          <w:highlight w:val="none"/>
        </w:rPr>
      </w:pPr>
      <w:r>
        <w:rPr>
          <w:rFonts w:hint="eastAsia"/>
          <w:color w:val="000000"/>
          <w:szCs w:val="21"/>
          <w:highlight w:val="none"/>
        </w:rPr>
        <w:t>年       月         日</w:t>
      </w:r>
    </w:p>
    <w:p>
      <w:pPr>
        <w:spacing w:line="400" w:lineRule="exact"/>
        <w:ind w:firstLine="2415" w:firstLineChars="1150"/>
        <w:rPr>
          <w:color w:val="000000"/>
          <w:szCs w:val="21"/>
          <w:highlight w:val="none"/>
        </w:rPr>
      </w:pPr>
    </w:p>
    <w:p>
      <w:pPr>
        <w:spacing w:line="400" w:lineRule="exact"/>
        <w:rPr>
          <w:color w:val="000000"/>
          <w:sz w:val="20"/>
          <w:szCs w:val="20"/>
          <w:highlight w:val="none"/>
        </w:rPr>
      </w:pPr>
    </w:p>
    <w:p>
      <w:pPr>
        <w:spacing w:line="400" w:lineRule="exact"/>
        <w:rPr>
          <w:rFonts w:ascii="宋体" w:hAnsi="宋体"/>
          <w:color w:val="000000"/>
          <w:sz w:val="20"/>
          <w:szCs w:val="20"/>
          <w:highlight w:val="none"/>
        </w:rPr>
      </w:pPr>
      <w:r>
        <w:rPr>
          <w:rFonts w:hint="eastAsia" w:ascii="宋体" w:hAnsi="宋体"/>
          <w:color w:val="000000"/>
          <w:sz w:val="20"/>
          <w:szCs w:val="20"/>
          <w:highlight w:val="none"/>
        </w:rPr>
        <w:t>注：收到招标文件澄清通知或修改通知后，投标人向招标人发出确认函时，适用于本格式。</w:t>
      </w:r>
    </w:p>
    <w:p>
      <w:pPr>
        <w:spacing w:line="400" w:lineRule="exact"/>
        <w:ind w:firstLine="2300" w:firstLineChars="1150"/>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pStyle w:val="4"/>
        <w:spacing w:line="400" w:lineRule="exact"/>
        <w:rPr>
          <w:color w:val="000000"/>
          <w:sz w:val="27"/>
          <w:szCs w:val="27"/>
          <w:highlight w:val="none"/>
        </w:rPr>
      </w:pPr>
      <w:bookmarkStart w:id="99" w:name="_Toc49869981"/>
      <w:bookmarkStart w:id="100" w:name="_Toc18640"/>
      <w:r>
        <w:rPr>
          <w:rFonts w:hint="eastAsia"/>
          <w:color w:val="000000"/>
          <w:sz w:val="27"/>
          <w:szCs w:val="27"/>
          <w:highlight w:val="none"/>
        </w:rPr>
        <w:t>附表五：开标记录表（格式）</w:t>
      </w:r>
      <w:bookmarkEnd w:id="99"/>
      <w:bookmarkEnd w:id="100"/>
    </w:p>
    <w:p>
      <w:pPr>
        <w:spacing w:line="400" w:lineRule="exact"/>
        <w:rPr>
          <w:color w:val="000000"/>
          <w:sz w:val="20"/>
          <w:szCs w:val="20"/>
          <w:highlight w:val="none"/>
        </w:rPr>
      </w:pPr>
      <w:r>
        <w:rPr>
          <w:color w:val="000000"/>
          <w:sz w:val="20"/>
          <w:szCs w:val="20"/>
          <w:highlight w:val="none"/>
        </w:rPr>
        <w:t xml:space="preserve">              </w:t>
      </w:r>
    </w:p>
    <w:p>
      <w:pPr>
        <w:spacing w:line="400" w:lineRule="exact"/>
        <w:jc w:val="center"/>
        <w:rPr>
          <w:rFonts w:ascii="黑体" w:eastAsia="黑体"/>
          <w:color w:val="000000"/>
          <w:szCs w:val="21"/>
          <w:highlight w:val="none"/>
        </w:rPr>
      </w:pPr>
      <w:r>
        <w:rPr>
          <w:rFonts w:hint="eastAsia" w:ascii="黑体" w:eastAsia="黑体"/>
          <w:color w:val="000000"/>
          <w:szCs w:val="21"/>
          <w:highlight w:val="none"/>
        </w:rPr>
        <w:t>开标记录表（格式）</w:t>
      </w:r>
    </w:p>
    <w:p>
      <w:pPr>
        <w:spacing w:line="400" w:lineRule="exact"/>
        <w:ind w:firstLine="4200" w:firstLineChars="2000"/>
        <w:rPr>
          <w:color w:val="000000"/>
          <w:szCs w:val="21"/>
          <w:highlight w:val="none"/>
        </w:rPr>
      </w:pPr>
      <w:r>
        <w:rPr>
          <w:rFonts w:hint="eastAsia" w:ascii="黑体" w:eastAsia="黑体"/>
          <w:color w:val="000000"/>
          <w:szCs w:val="21"/>
          <w:highlight w:val="none"/>
          <w:u w:val="single"/>
        </w:rPr>
        <w:t xml:space="preserve">       </w:t>
      </w:r>
      <w:r>
        <w:rPr>
          <w:rFonts w:hint="eastAsia" w:ascii="黑体" w:eastAsia="黑体"/>
          <w:color w:val="000000"/>
          <w:szCs w:val="21"/>
          <w:highlight w:val="none"/>
        </w:rPr>
        <w:t>（</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p>
    <w:p>
      <w:pPr>
        <w:spacing w:line="400" w:lineRule="exact"/>
        <w:jc w:val="right"/>
        <w:rPr>
          <w:color w:val="000000"/>
          <w:szCs w:val="21"/>
          <w:highlight w:val="none"/>
        </w:rPr>
      </w:pPr>
      <w:r>
        <w:rPr>
          <w:rFonts w:hint="eastAsia"/>
          <w:color w:val="000000"/>
          <w:szCs w:val="21"/>
          <w:highlight w:val="none"/>
        </w:rPr>
        <w:t>开标时间：    年    月    日    时    分</w:t>
      </w:r>
    </w:p>
    <w:tbl>
      <w:tblPr>
        <w:tblStyle w:val="36"/>
        <w:tblW w:w="5292"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64"/>
        <w:gridCol w:w="835"/>
        <w:gridCol w:w="1045"/>
        <w:gridCol w:w="886"/>
        <w:gridCol w:w="1003"/>
        <w:gridCol w:w="1001"/>
        <w:gridCol w:w="759"/>
        <w:gridCol w:w="666"/>
        <w:gridCol w:w="22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0" w:hRule="atLeast"/>
        </w:trPr>
        <w:tc>
          <w:tcPr>
            <w:tcW w:w="365" w:type="pct"/>
            <w:shd w:val="clear" w:color="000000" w:fill="auto"/>
            <w:vAlign w:val="center"/>
          </w:tcPr>
          <w:p>
            <w:pPr>
              <w:spacing w:line="400" w:lineRule="exact"/>
              <w:jc w:val="center"/>
              <w:rPr>
                <w:b/>
                <w:bCs/>
                <w:color w:val="000000"/>
                <w:szCs w:val="21"/>
                <w:highlight w:val="none"/>
              </w:rPr>
            </w:pPr>
            <w:r>
              <w:rPr>
                <w:b/>
                <w:bCs/>
                <w:color w:val="000000"/>
                <w:szCs w:val="21"/>
                <w:highlight w:val="none"/>
              </w:rPr>
              <w:t>序号</w:t>
            </w:r>
          </w:p>
        </w:tc>
        <w:tc>
          <w:tcPr>
            <w:tcW w:w="459" w:type="pct"/>
            <w:shd w:val="clear" w:color="000000" w:fill="auto"/>
            <w:vAlign w:val="center"/>
          </w:tcPr>
          <w:p>
            <w:pPr>
              <w:spacing w:line="400" w:lineRule="exact"/>
              <w:jc w:val="center"/>
              <w:rPr>
                <w:b/>
                <w:bCs/>
                <w:color w:val="000000"/>
                <w:szCs w:val="21"/>
                <w:highlight w:val="none"/>
              </w:rPr>
            </w:pPr>
            <w:r>
              <w:rPr>
                <w:b/>
                <w:bCs/>
                <w:color w:val="000000"/>
                <w:szCs w:val="21"/>
                <w:highlight w:val="none"/>
              </w:rPr>
              <w:t>投标人</w:t>
            </w:r>
          </w:p>
        </w:tc>
        <w:tc>
          <w:tcPr>
            <w:tcW w:w="573" w:type="pct"/>
            <w:shd w:val="clear" w:color="000000" w:fill="auto"/>
            <w:vAlign w:val="center"/>
          </w:tcPr>
          <w:p>
            <w:pPr>
              <w:spacing w:line="400" w:lineRule="exact"/>
              <w:jc w:val="center"/>
              <w:rPr>
                <w:b/>
                <w:bCs/>
                <w:color w:val="000000"/>
                <w:szCs w:val="21"/>
                <w:highlight w:val="none"/>
              </w:rPr>
            </w:pPr>
            <w:r>
              <w:rPr>
                <w:b/>
                <w:bCs/>
                <w:color w:val="000000"/>
                <w:szCs w:val="21"/>
                <w:highlight w:val="none"/>
              </w:rPr>
              <w:t>密封情况</w:t>
            </w:r>
          </w:p>
        </w:tc>
        <w:tc>
          <w:tcPr>
            <w:tcW w:w="487" w:type="pct"/>
            <w:shd w:val="clear" w:color="000000" w:fill="auto"/>
            <w:vAlign w:val="center"/>
          </w:tcPr>
          <w:p>
            <w:pPr>
              <w:spacing w:line="400" w:lineRule="exact"/>
              <w:jc w:val="center"/>
              <w:rPr>
                <w:b/>
                <w:bCs/>
                <w:color w:val="000000"/>
                <w:szCs w:val="21"/>
                <w:highlight w:val="none"/>
              </w:rPr>
            </w:pPr>
            <w:r>
              <w:rPr>
                <w:b/>
                <w:bCs/>
                <w:color w:val="000000"/>
                <w:szCs w:val="21"/>
                <w:highlight w:val="none"/>
              </w:rPr>
              <w:t>投标保证金</w:t>
            </w:r>
          </w:p>
        </w:tc>
        <w:tc>
          <w:tcPr>
            <w:tcW w:w="551" w:type="pct"/>
            <w:shd w:val="clear" w:color="000000" w:fill="auto"/>
            <w:vAlign w:val="center"/>
          </w:tcPr>
          <w:p>
            <w:pPr>
              <w:spacing w:line="400" w:lineRule="exact"/>
              <w:jc w:val="center"/>
              <w:rPr>
                <w:b/>
                <w:bCs/>
                <w:color w:val="000000"/>
                <w:szCs w:val="21"/>
                <w:highlight w:val="none"/>
              </w:rPr>
            </w:pPr>
            <w:r>
              <w:rPr>
                <w:b/>
                <w:bCs/>
                <w:color w:val="000000"/>
                <w:szCs w:val="21"/>
                <w:highlight w:val="none"/>
              </w:rPr>
              <w:t>投标报价（元）</w:t>
            </w:r>
          </w:p>
        </w:tc>
        <w:tc>
          <w:tcPr>
            <w:tcW w:w="550" w:type="pct"/>
            <w:shd w:val="clear" w:color="000000" w:fill="auto"/>
            <w:vAlign w:val="center"/>
          </w:tcPr>
          <w:p>
            <w:pPr>
              <w:spacing w:line="400" w:lineRule="exact"/>
              <w:jc w:val="center"/>
              <w:rPr>
                <w:b/>
                <w:bCs/>
                <w:color w:val="000000"/>
                <w:szCs w:val="21"/>
                <w:highlight w:val="none"/>
              </w:rPr>
            </w:pPr>
            <w:r>
              <w:rPr>
                <w:b/>
                <w:bCs/>
                <w:color w:val="000000"/>
                <w:szCs w:val="21"/>
                <w:highlight w:val="none"/>
              </w:rPr>
              <w:t>质量目标</w:t>
            </w:r>
          </w:p>
        </w:tc>
        <w:tc>
          <w:tcPr>
            <w:tcW w:w="417" w:type="pct"/>
            <w:shd w:val="clear" w:color="000000" w:fill="auto"/>
            <w:vAlign w:val="center"/>
          </w:tcPr>
          <w:p>
            <w:pPr>
              <w:spacing w:line="400" w:lineRule="exact"/>
              <w:jc w:val="center"/>
              <w:rPr>
                <w:b/>
                <w:bCs/>
                <w:color w:val="000000"/>
                <w:szCs w:val="21"/>
                <w:highlight w:val="none"/>
              </w:rPr>
            </w:pPr>
            <w:r>
              <w:rPr>
                <w:b/>
                <w:bCs/>
                <w:color w:val="000000"/>
                <w:szCs w:val="21"/>
                <w:highlight w:val="none"/>
              </w:rPr>
              <w:t>工期</w:t>
            </w:r>
          </w:p>
        </w:tc>
        <w:tc>
          <w:tcPr>
            <w:tcW w:w="366" w:type="pct"/>
            <w:shd w:val="clear" w:color="000000" w:fill="auto"/>
            <w:vAlign w:val="center"/>
          </w:tcPr>
          <w:p>
            <w:pPr>
              <w:spacing w:line="400" w:lineRule="exact"/>
              <w:jc w:val="center"/>
              <w:rPr>
                <w:b/>
                <w:bCs/>
                <w:color w:val="000000"/>
                <w:szCs w:val="21"/>
                <w:highlight w:val="none"/>
              </w:rPr>
            </w:pPr>
            <w:r>
              <w:rPr>
                <w:b/>
                <w:bCs/>
                <w:color w:val="000000"/>
                <w:szCs w:val="21"/>
                <w:highlight w:val="none"/>
              </w:rPr>
              <w:t>备注</w:t>
            </w:r>
          </w:p>
        </w:tc>
        <w:tc>
          <w:tcPr>
            <w:tcW w:w="1232" w:type="pct"/>
            <w:shd w:val="clear" w:color="000000" w:fill="auto"/>
            <w:vAlign w:val="center"/>
          </w:tcPr>
          <w:p>
            <w:pPr>
              <w:spacing w:line="400" w:lineRule="exact"/>
              <w:jc w:val="center"/>
              <w:rPr>
                <w:b/>
                <w:bCs/>
                <w:color w:val="000000"/>
                <w:szCs w:val="21"/>
                <w:highlight w:val="none"/>
              </w:rPr>
            </w:pPr>
            <w:r>
              <w:rPr>
                <w:rFonts w:hint="eastAsia"/>
                <w:b/>
                <w:bCs/>
                <w:color w:val="000000"/>
                <w:szCs w:val="21"/>
                <w:highlight w:val="none"/>
              </w:rPr>
              <w:t>投标人法定代表人或其委托代理人</w:t>
            </w:r>
            <w:r>
              <w:rPr>
                <w:b/>
                <w:bCs/>
                <w:color w:val="000000"/>
                <w:szCs w:val="21"/>
                <w:highlight w:val="none"/>
              </w:rPr>
              <w:t>签名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398" w:type="pct"/>
            <w:gridSpan w:val="3"/>
            <w:shd w:val="clear" w:color="auto" w:fill="auto"/>
          </w:tcPr>
          <w:p>
            <w:pPr>
              <w:spacing w:line="400" w:lineRule="exact"/>
              <w:jc w:val="center"/>
              <w:rPr>
                <w:color w:val="000000"/>
                <w:szCs w:val="21"/>
                <w:highlight w:val="none"/>
              </w:rPr>
            </w:pPr>
            <w:r>
              <w:rPr>
                <w:color w:val="000000"/>
                <w:szCs w:val="21"/>
                <w:highlight w:val="none"/>
              </w:rPr>
              <w:t>招标人编制的标底</w:t>
            </w:r>
          </w:p>
        </w:tc>
        <w:tc>
          <w:tcPr>
            <w:tcW w:w="3602" w:type="pct"/>
            <w:gridSpan w:val="6"/>
            <w:shd w:val="clear" w:color="auto" w:fill="auto"/>
          </w:tcPr>
          <w:p>
            <w:pPr>
              <w:spacing w:line="400" w:lineRule="exact"/>
              <w:jc w:val="center"/>
              <w:rPr>
                <w:color w:val="000000"/>
                <w:szCs w:val="21"/>
                <w:highlight w:val="none"/>
              </w:rPr>
            </w:pPr>
          </w:p>
        </w:tc>
      </w:tr>
    </w:tbl>
    <w:p>
      <w:pPr>
        <w:spacing w:line="400" w:lineRule="exact"/>
        <w:rPr>
          <w:color w:val="000000"/>
          <w:szCs w:val="21"/>
          <w:highlight w:val="none"/>
        </w:rPr>
      </w:pPr>
      <w:r>
        <w:rPr>
          <w:rFonts w:hint="eastAsia"/>
          <w:color w:val="000000"/>
          <w:szCs w:val="21"/>
          <w:highlight w:val="none"/>
        </w:rPr>
        <w:t>　　　                                开标结束时间：</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w:t>
      </w:r>
      <w:r>
        <w:rPr>
          <w:rFonts w:hint="eastAsia"/>
          <w:color w:val="000000"/>
          <w:szCs w:val="21"/>
          <w:highlight w:val="none"/>
          <w:u w:val="single"/>
        </w:rPr>
        <w:t xml:space="preserve">     </w:t>
      </w:r>
      <w:r>
        <w:rPr>
          <w:rFonts w:hint="eastAsia"/>
          <w:color w:val="000000"/>
          <w:szCs w:val="21"/>
          <w:highlight w:val="none"/>
        </w:rPr>
        <w:t>时</w:t>
      </w:r>
      <w:r>
        <w:rPr>
          <w:rFonts w:hint="eastAsia"/>
          <w:color w:val="000000"/>
          <w:szCs w:val="21"/>
          <w:highlight w:val="none"/>
          <w:u w:val="single"/>
        </w:rPr>
        <w:t xml:space="preserve">     </w:t>
      </w:r>
      <w:r>
        <w:rPr>
          <w:rFonts w:hint="eastAsia"/>
          <w:color w:val="000000"/>
          <w:szCs w:val="21"/>
          <w:highlight w:val="none"/>
        </w:rPr>
        <w:t>分</w:t>
      </w:r>
    </w:p>
    <w:p>
      <w:pPr>
        <w:spacing w:line="400" w:lineRule="exact"/>
        <w:rPr>
          <w:color w:val="000000"/>
          <w:szCs w:val="21"/>
          <w:highlight w:val="none"/>
        </w:rPr>
      </w:pPr>
      <w:r>
        <w:rPr>
          <w:rFonts w:hint="eastAsia"/>
          <w:color w:val="000000"/>
          <w:szCs w:val="21"/>
          <w:highlight w:val="none"/>
        </w:rPr>
        <w:t>主持人：</w:t>
      </w:r>
      <w:r>
        <w:rPr>
          <w:color w:val="000000"/>
          <w:szCs w:val="21"/>
          <w:highlight w:val="none"/>
          <w:u w:val="single"/>
        </w:rPr>
        <w:t xml:space="preserve">         </w:t>
      </w:r>
      <w:r>
        <w:rPr>
          <w:rFonts w:hint="eastAsia"/>
          <w:color w:val="000000"/>
          <w:szCs w:val="21"/>
          <w:highlight w:val="none"/>
        </w:rPr>
        <w:t>开标人：</w:t>
      </w:r>
      <w:r>
        <w:rPr>
          <w:rFonts w:hint="eastAsia"/>
          <w:color w:val="000000"/>
          <w:szCs w:val="21"/>
          <w:highlight w:val="none"/>
          <w:u w:val="single"/>
        </w:rPr>
        <w:t xml:space="preserve">        </w:t>
      </w:r>
      <w:r>
        <w:rPr>
          <w:rFonts w:hint="eastAsia"/>
          <w:color w:val="000000"/>
          <w:szCs w:val="21"/>
          <w:highlight w:val="none"/>
        </w:rPr>
        <w:t>唱标人：</w:t>
      </w:r>
      <w:r>
        <w:rPr>
          <w:rFonts w:hint="eastAsia"/>
          <w:color w:val="000000"/>
          <w:szCs w:val="21"/>
          <w:highlight w:val="none"/>
          <w:u w:val="single"/>
        </w:rPr>
        <w:t xml:space="preserve">         </w:t>
      </w:r>
      <w:r>
        <w:rPr>
          <w:color w:val="000000"/>
          <w:szCs w:val="21"/>
          <w:highlight w:val="none"/>
        </w:rPr>
        <w:t>记录人：</w:t>
      </w:r>
      <w:r>
        <w:rPr>
          <w:color w:val="000000"/>
          <w:szCs w:val="21"/>
          <w:highlight w:val="none"/>
          <w:u w:val="single"/>
        </w:rPr>
        <w:t xml:space="preserve">         </w:t>
      </w:r>
      <w:r>
        <w:rPr>
          <w:color w:val="000000"/>
          <w:szCs w:val="21"/>
          <w:highlight w:val="none"/>
        </w:rPr>
        <w:t xml:space="preserve"> 监标人：</w:t>
      </w:r>
      <w:r>
        <w:rPr>
          <w:color w:val="000000"/>
          <w:szCs w:val="21"/>
          <w:highlight w:val="none"/>
          <w:u w:val="single"/>
        </w:rPr>
        <w:t xml:space="preserve">                   </w:t>
      </w:r>
      <w:r>
        <w:rPr>
          <w:color w:val="000000"/>
          <w:szCs w:val="21"/>
          <w:highlight w:val="none"/>
        </w:rPr>
        <w:t xml:space="preserve"> </w:t>
      </w: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w:t>
      </w:r>
      <w:r>
        <w:rPr>
          <w:color w:val="000000"/>
          <w:szCs w:val="21"/>
          <w:highlight w:val="none"/>
          <w:u w:val="single"/>
        </w:rPr>
        <w:t xml:space="preserve">          </w:t>
      </w:r>
      <w:r>
        <w:rPr>
          <w:color w:val="000000"/>
          <w:szCs w:val="21"/>
          <w:highlight w:val="none"/>
        </w:rPr>
        <w:t xml:space="preserve">年 </w:t>
      </w:r>
      <w:r>
        <w:rPr>
          <w:color w:val="000000"/>
          <w:szCs w:val="21"/>
          <w:highlight w:val="none"/>
          <w:u w:val="single"/>
        </w:rPr>
        <w:t xml:space="preserve">      </w:t>
      </w:r>
      <w:r>
        <w:rPr>
          <w:color w:val="000000"/>
          <w:szCs w:val="21"/>
          <w:highlight w:val="none"/>
        </w:rPr>
        <w:t xml:space="preserve"> 月</w:t>
      </w:r>
      <w:r>
        <w:rPr>
          <w:color w:val="000000"/>
          <w:szCs w:val="21"/>
          <w:highlight w:val="none"/>
          <w:u w:val="single"/>
        </w:rPr>
        <w:t xml:space="preserve">         </w:t>
      </w:r>
      <w:r>
        <w:rPr>
          <w:color w:val="000000"/>
          <w:szCs w:val="21"/>
          <w:highlight w:val="none"/>
        </w:rPr>
        <w:t>日</w:t>
      </w:r>
    </w:p>
    <w:p>
      <w:pPr>
        <w:spacing w:line="400" w:lineRule="exact"/>
        <w:rPr>
          <w:color w:val="000000"/>
          <w:sz w:val="20"/>
          <w:szCs w:val="20"/>
          <w:highlight w:val="none"/>
        </w:rPr>
      </w:pPr>
      <w:r>
        <w:rPr>
          <w:rFonts w:hint="eastAsia"/>
          <w:color w:val="000000"/>
          <w:sz w:val="20"/>
          <w:szCs w:val="20"/>
          <w:highlight w:val="none"/>
        </w:rPr>
        <w:t>注：可以根据招标项目的实际需要对本开标记录表进行适当修改。</w:t>
      </w:r>
    </w:p>
    <w:p>
      <w:pPr>
        <w:rPr>
          <w:highlight w:val="none"/>
        </w:rPr>
      </w:pPr>
      <w:bookmarkStart w:id="101" w:name="_Toc49869982"/>
    </w:p>
    <w:p>
      <w:pPr>
        <w:pStyle w:val="4"/>
        <w:spacing w:line="400" w:lineRule="exact"/>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highlight w:val="none"/>
        </w:rPr>
      </w:pPr>
    </w:p>
    <w:p>
      <w:pPr>
        <w:pStyle w:val="4"/>
        <w:spacing w:line="400" w:lineRule="exact"/>
        <w:rPr>
          <w:color w:val="000000"/>
          <w:sz w:val="27"/>
          <w:szCs w:val="27"/>
          <w:highlight w:val="none"/>
        </w:rPr>
      </w:pPr>
      <w:bookmarkStart w:id="102" w:name="_Toc15823"/>
      <w:r>
        <w:rPr>
          <w:rFonts w:hint="eastAsia"/>
          <w:color w:val="000000"/>
          <w:sz w:val="27"/>
          <w:szCs w:val="27"/>
          <w:highlight w:val="none"/>
        </w:rPr>
        <w:t>附表六：中标通知书（格式）</w:t>
      </w:r>
      <w:bookmarkEnd w:id="101"/>
      <w:bookmarkEnd w:id="102"/>
    </w:p>
    <w:p>
      <w:pPr>
        <w:spacing w:line="400" w:lineRule="exact"/>
        <w:rPr>
          <w:color w:val="000000"/>
          <w:sz w:val="20"/>
          <w:szCs w:val="20"/>
          <w:highlight w:val="none"/>
        </w:rPr>
      </w:pPr>
    </w:p>
    <w:p>
      <w:pPr>
        <w:spacing w:line="400" w:lineRule="exact"/>
        <w:jc w:val="center"/>
        <w:rPr>
          <w:rFonts w:ascii="黑体" w:eastAsia="黑体"/>
          <w:b/>
          <w:color w:val="000000"/>
          <w:sz w:val="25"/>
          <w:szCs w:val="21"/>
          <w:highlight w:val="none"/>
        </w:rPr>
      </w:pPr>
      <w:r>
        <w:rPr>
          <w:rFonts w:hint="eastAsia" w:ascii="黑体" w:eastAsia="黑体"/>
          <w:b/>
          <w:color w:val="000000"/>
          <w:sz w:val="25"/>
          <w:szCs w:val="21"/>
          <w:highlight w:val="none"/>
        </w:rPr>
        <w:t>中标通知书（格式）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u w:val="single"/>
        </w:rPr>
        <w:t xml:space="preserve">                   </w:t>
      </w:r>
      <w:r>
        <w:rPr>
          <w:color w:val="000000"/>
          <w:szCs w:val="21"/>
          <w:highlight w:val="none"/>
        </w:rPr>
        <w:t>（中标人名称）：</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你方于</w:t>
      </w: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投标日期</w:t>
      </w:r>
      <w:r>
        <w:rPr>
          <w:color w:val="000000"/>
          <w:szCs w:val="21"/>
          <w:highlight w:val="none"/>
        </w:rPr>
        <w:t>）所递交的</w:t>
      </w:r>
      <w:r>
        <w:rPr>
          <w:color w:val="000000"/>
          <w:szCs w:val="21"/>
          <w:highlight w:val="none"/>
          <w:u w:val="single"/>
        </w:rPr>
        <w:t xml:space="preserve">              </w:t>
      </w:r>
      <w:r>
        <w:rPr>
          <w:color w:val="000000"/>
          <w:szCs w:val="21"/>
          <w:highlight w:val="none"/>
        </w:rPr>
        <w:t>（项目名称）</w:t>
      </w:r>
      <w:r>
        <w:rPr>
          <w:color w:val="000000"/>
          <w:szCs w:val="21"/>
          <w:highlight w:val="none"/>
          <w:u w:val="single"/>
        </w:rPr>
        <w:t xml:space="preserve">      </w:t>
      </w:r>
      <w:r>
        <w:rPr>
          <w:rFonts w:hint="eastAsia"/>
          <w:color w:val="000000"/>
          <w:szCs w:val="21"/>
          <w:highlight w:val="none"/>
          <w:u w:val="single"/>
        </w:rPr>
        <w:t>（</w:t>
      </w:r>
      <w:r>
        <w:rPr>
          <w:rFonts w:hint="eastAsia" w:ascii="仿宋_GB2312" w:eastAsia="仿宋_GB2312"/>
          <w:color w:val="000000"/>
          <w:szCs w:val="21"/>
          <w:highlight w:val="none"/>
        </w:rPr>
        <w:t>标段名称</w:t>
      </w:r>
      <w:r>
        <w:rPr>
          <w:rFonts w:hint="eastAsia"/>
          <w:color w:val="000000"/>
          <w:szCs w:val="21"/>
          <w:highlight w:val="none"/>
        </w:rPr>
        <w:t>）</w:t>
      </w:r>
      <w:r>
        <w:rPr>
          <w:color w:val="000000"/>
          <w:szCs w:val="21"/>
          <w:highlight w:val="none"/>
        </w:rPr>
        <w:t>投标文件已被我方接受，</w:t>
      </w:r>
      <w:r>
        <w:rPr>
          <w:rFonts w:hint="eastAsia"/>
          <w:color w:val="000000"/>
          <w:szCs w:val="21"/>
          <w:highlight w:val="none"/>
        </w:rPr>
        <w:t>并</w:t>
      </w:r>
      <w:r>
        <w:rPr>
          <w:color w:val="000000"/>
          <w:szCs w:val="21"/>
          <w:highlight w:val="none"/>
        </w:rPr>
        <w:t>被确定为中标人。</w:t>
      </w:r>
    </w:p>
    <w:p>
      <w:pPr>
        <w:spacing w:line="400" w:lineRule="exact"/>
        <w:rPr>
          <w:color w:val="000000"/>
          <w:szCs w:val="21"/>
          <w:highlight w:val="none"/>
        </w:rPr>
      </w:pPr>
      <w:r>
        <w:rPr>
          <w:color w:val="000000"/>
          <w:szCs w:val="21"/>
          <w:highlight w:val="none"/>
        </w:rPr>
        <w:t>　　中标价：</w:t>
      </w:r>
      <w:r>
        <w:rPr>
          <w:color w:val="000000"/>
          <w:szCs w:val="21"/>
          <w:highlight w:val="none"/>
          <w:u w:val="single"/>
        </w:rPr>
        <w:t xml:space="preserve">                </w:t>
      </w:r>
      <w:r>
        <w:rPr>
          <w:color w:val="000000"/>
          <w:szCs w:val="21"/>
          <w:highlight w:val="none"/>
        </w:rPr>
        <w:t>元。</w:t>
      </w:r>
    </w:p>
    <w:p>
      <w:pPr>
        <w:spacing w:line="400" w:lineRule="exact"/>
        <w:rPr>
          <w:color w:val="000000"/>
          <w:szCs w:val="21"/>
          <w:highlight w:val="none"/>
        </w:rPr>
      </w:pPr>
      <w:r>
        <w:rPr>
          <w:color w:val="000000"/>
          <w:szCs w:val="21"/>
          <w:highlight w:val="none"/>
        </w:rPr>
        <w:t>　　工期：</w:t>
      </w:r>
      <w:r>
        <w:rPr>
          <w:color w:val="000000"/>
          <w:szCs w:val="21"/>
          <w:highlight w:val="none"/>
          <w:u w:val="single"/>
        </w:rPr>
        <w:t xml:space="preserve">      </w:t>
      </w:r>
      <w:r>
        <w:rPr>
          <w:color w:val="000000"/>
          <w:szCs w:val="21"/>
          <w:highlight w:val="none"/>
        </w:rPr>
        <w:t>日历天。</w:t>
      </w:r>
    </w:p>
    <w:p>
      <w:pPr>
        <w:spacing w:line="400" w:lineRule="exact"/>
        <w:rPr>
          <w:color w:val="000000"/>
          <w:szCs w:val="21"/>
          <w:highlight w:val="none"/>
        </w:rPr>
      </w:pPr>
      <w:r>
        <w:rPr>
          <w:color w:val="000000"/>
          <w:szCs w:val="21"/>
          <w:highlight w:val="none"/>
        </w:rPr>
        <w:t>　  工程质量：符合</w:t>
      </w:r>
      <w:r>
        <w:rPr>
          <w:color w:val="000000"/>
          <w:szCs w:val="21"/>
          <w:highlight w:val="none"/>
          <w:u w:val="single"/>
        </w:rPr>
        <w:t xml:space="preserve">                      </w:t>
      </w:r>
      <w:r>
        <w:rPr>
          <w:color w:val="000000"/>
          <w:szCs w:val="21"/>
          <w:highlight w:val="none"/>
        </w:rPr>
        <w:t>标准。</w:t>
      </w:r>
    </w:p>
    <w:p>
      <w:pPr>
        <w:spacing w:line="400" w:lineRule="exact"/>
        <w:rPr>
          <w:color w:val="000000"/>
          <w:szCs w:val="21"/>
          <w:highlight w:val="none"/>
        </w:rPr>
      </w:pPr>
      <w:r>
        <w:rPr>
          <w:color w:val="000000"/>
          <w:szCs w:val="21"/>
          <w:highlight w:val="none"/>
        </w:rPr>
        <w:t>　　项目经理：</w:t>
      </w:r>
      <w:r>
        <w:rPr>
          <w:color w:val="000000"/>
          <w:szCs w:val="21"/>
          <w:highlight w:val="none"/>
          <w:u w:val="single"/>
        </w:rPr>
        <w:t xml:space="preserve">              </w:t>
      </w:r>
      <w:r>
        <w:rPr>
          <w:color w:val="000000"/>
          <w:szCs w:val="21"/>
          <w:highlight w:val="none"/>
        </w:rPr>
        <w:t>（姓名）。</w:t>
      </w:r>
    </w:p>
    <w:p>
      <w:pPr>
        <w:spacing w:line="400" w:lineRule="exact"/>
        <w:rPr>
          <w:color w:val="000000"/>
          <w:szCs w:val="21"/>
          <w:highlight w:val="none"/>
        </w:rPr>
      </w:pPr>
      <w:r>
        <w:rPr>
          <w:color w:val="000000"/>
          <w:szCs w:val="21"/>
          <w:highlight w:val="none"/>
        </w:rPr>
        <w:t>　　请你方在接到本通知书后的</w:t>
      </w:r>
      <w:r>
        <w:rPr>
          <w:color w:val="000000"/>
          <w:szCs w:val="21"/>
          <w:highlight w:val="none"/>
          <w:u w:val="single"/>
        </w:rPr>
        <w:t xml:space="preserve">     </w:t>
      </w:r>
      <w:r>
        <w:rPr>
          <w:color w:val="000000"/>
          <w:szCs w:val="21"/>
          <w:highlight w:val="none"/>
        </w:rPr>
        <w:t>日内到</w:t>
      </w: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指定地点</w:t>
      </w:r>
      <w:r>
        <w:rPr>
          <w:color w:val="000000"/>
          <w:szCs w:val="21"/>
          <w:highlight w:val="none"/>
        </w:rPr>
        <w:t>）与我方签订施工合同</w:t>
      </w:r>
      <w:r>
        <w:rPr>
          <w:rFonts w:hint="eastAsia"/>
          <w:color w:val="000000"/>
          <w:szCs w:val="21"/>
          <w:highlight w:val="none"/>
        </w:rPr>
        <w:t>协议书</w:t>
      </w:r>
      <w:r>
        <w:rPr>
          <w:color w:val="000000"/>
          <w:szCs w:val="21"/>
          <w:highlight w:val="none"/>
        </w:rPr>
        <w:t>，在此之前按招标文件第二章“投标人须知”第7.3款规定向我方提交履约担保。</w:t>
      </w:r>
    </w:p>
    <w:p>
      <w:pPr>
        <w:spacing w:line="400" w:lineRule="exact"/>
        <w:rPr>
          <w:color w:val="000000"/>
          <w:szCs w:val="21"/>
          <w:highlight w:val="none"/>
        </w:rPr>
      </w:pPr>
      <w:r>
        <w:rPr>
          <w:color w:val="000000"/>
          <w:szCs w:val="21"/>
          <w:highlight w:val="none"/>
        </w:rPr>
        <w:t>　　特此通知。</w:t>
      </w:r>
    </w:p>
    <w:p>
      <w:pPr>
        <w:spacing w:line="400" w:lineRule="exact"/>
        <w:rPr>
          <w:color w:val="000000"/>
          <w:szCs w:val="21"/>
          <w:highlight w:val="none"/>
        </w:rPr>
      </w:pPr>
    </w:p>
    <w:p>
      <w:pPr>
        <w:spacing w:line="400" w:lineRule="exact"/>
        <w:rPr>
          <w:color w:val="000000"/>
          <w:szCs w:val="21"/>
          <w:highlight w:val="none"/>
        </w:rPr>
      </w:pPr>
    </w:p>
    <w:p>
      <w:pPr>
        <w:spacing w:line="400" w:lineRule="exact"/>
        <w:jc w:val="center"/>
        <w:rPr>
          <w:color w:val="000000"/>
          <w:szCs w:val="21"/>
          <w:highlight w:val="none"/>
        </w:rPr>
      </w:pPr>
    </w:p>
    <w:p>
      <w:pPr>
        <w:spacing w:line="400" w:lineRule="exact"/>
        <w:ind w:firstLine="5019" w:firstLineChars="2390"/>
        <w:rPr>
          <w:color w:val="000000"/>
          <w:szCs w:val="21"/>
          <w:highlight w:val="none"/>
        </w:rPr>
      </w:pPr>
      <w:r>
        <w:rPr>
          <w:color w:val="000000"/>
          <w:szCs w:val="21"/>
          <w:highlight w:val="none"/>
        </w:rPr>
        <w:t>招标人：</w:t>
      </w:r>
      <w:r>
        <w:rPr>
          <w:color w:val="000000"/>
          <w:szCs w:val="21"/>
          <w:highlight w:val="none"/>
          <w:u w:val="single"/>
        </w:rPr>
        <w:t xml:space="preserve">              </w:t>
      </w:r>
      <w:r>
        <w:rPr>
          <w:color w:val="000000"/>
          <w:szCs w:val="21"/>
          <w:highlight w:val="none"/>
        </w:rPr>
        <w:t xml:space="preserve">（盖单位章）            </w:t>
      </w:r>
    </w:p>
    <w:p>
      <w:pPr>
        <w:spacing w:line="400" w:lineRule="exact"/>
        <w:ind w:firstLine="5019" w:firstLineChars="2390"/>
        <w:rPr>
          <w:color w:val="000000"/>
          <w:szCs w:val="21"/>
          <w:highlight w:val="none"/>
        </w:rPr>
      </w:pPr>
      <w:r>
        <w:rPr>
          <w:color w:val="000000"/>
          <w:szCs w:val="21"/>
          <w:highlight w:val="none"/>
        </w:rPr>
        <w:t>法定代表人：</w:t>
      </w:r>
      <w:r>
        <w:rPr>
          <w:color w:val="000000"/>
          <w:szCs w:val="21"/>
          <w:highlight w:val="none"/>
          <w:u w:val="single"/>
        </w:rPr>
        <w:t xml:space="preserve">            </w:t>
      </w:r>
      <w:r>
        <w:rPr>
          <w:color w:val="000000"/>
          <w:szCs w:val="21"/>
          <w:highlight w:val="none"/>
        </w:rPr>
        <w:t>（签字）</w:t>
      </w:r>
    </w:p>
    <w:p>
      <w:pPr>
        <w:spacing w:line="400" w:lineRule="exact"/>
        <w:ind w:firstLine="4914" w:firstLineChars="2340"/>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年</w:t>
      </w:r>
      <w:r>
        <w:rPr>
          <w:color w:val="000000"/>
          <w:szCs w:val="21"/>
          <w:highlight w:val="none"/>
          <w:u w:val="single"/>
        </w:rPr>
        <w:t xml:space="preserve">      </w:t>
      </w:r>
      <w:r>
        <w:rPr>
          <w:color w:val="000000"/>
          <w:szCs w:val="21"/>
          <w:highlight w:val="none"/>
        </w:rPr>
        <w:t xml:space="preserve">月 </w:t>
      </w:r>
      <w:r>
        <w:rPr>
          <w:color w:val="000000"/>
          <w:szCs w:val="21"/>
          <w:highlight w:val="none"/>
          <w:u w:val="single"/>
        </w:rPr>
        <w:t xml:space="preserve">     </w:t>
      </w:r>
      <w:r>
        <w:rPr>
          <w:color w:val="000000"/>
          <w:szCs w:val="21"/>
          <w:highlight w:val="none"/>
        </w:rPr>
        <w:t xml:space="preserve"> 日</w:t>
      </w:r>
    </w:p>
    <w:p>
      <w:pPr>
        <w:spacing w:line="400" w:lineRule="exact"/>
        <w:rPr>
          <w:color w:val="000000"/>
          <w:szCs w:val="21"/>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pStyle w:val="2"/>
        <w:rPr>
          <w:color w:val="000000"/>
          <w:highlight w:val="none"/>
        </w:rPr>
      </w:pPr>
    </w:p>
    <w:p>
      <w:pPr>
        <w:rPr>
          <w:color w:val="000000"/>
          <w:sz w:val="20"/>
          <w:szCs w:val="20"/>
          <w:highlight w:val="none"/>
        </w:rPr>
      </w:pPr>
    </w:p>
    <w:p>
      <w:pPr>
        <w:pStyle w:val="2"/>
        <w:rPr>
          <w:color w:val="000000"/>
          <w:highlight w:val="none"/>
        </w:rPr>
      </w:pPr>
    </w:p>
    <w:p>
      <w:pPr>
        <w:rPr>
          <w:color w:val="000000"/>
          <w:sz w:val="20"/>
          <w:szCs w:val="20"/>
          <w:highlight w:val="none"/>
        </w:rPr>
      </w:pPr>
    </w:p>
    <w:p>
      <w:pPr>
        <w:pStyle w:val="2"/>
        <w:rPr>
          <w:color w:val="000000"/>
          <w:highlight w:val="none"/>
        </w:rPr>
      </w:pPr>
    </w:p>
    <w:p>
      <w:pPr>
        <w:rPr>
          <w:color w:val="000000"/>
          <w:sz w:val="20"/>
          <w:szCs w:val="20"/>
          <w:highlight w:val="none"/>
        </w:rPr>
      </w:pPr>
    </w:p>
    <w:p>
      <w:pPr>
        <w:pStyle w:val="2"/>
        <w:rPr>
          <w:color w:val="000000"/>
          <w:highlight w:val="none"/>
        </w:rPr>
      </w:pPr>
    </w:p>
    <w:p>
      <w:pPr>
        <w:rPr>
          <w:color w:val="000000"/>
          <w:sz w:val="20"/>
          <w:szCs w:val="20"/>
          <w:highlight w:val="none"/>
        </w:rPr>
      </w:pPr>
    </w:p>
    <w:p>
      <w:pPr>
        <w:pStyle w:val="2"/>
        <w:rPr>
          <w:color w:val="000000"/>
          <w:highlight w:val="none"/>
        </w:rPr>
      </w:pPr>
    </w:p>
    <w:p>
      <w:pPr>
        <w:rPr>
          <w:color w:val="000000"/>
          <w:sz w:val="20"/>
          <w:szCs w:val="20"/>
          <w:highlight w:val="none"/>
        </w:rPr>
      </w:pPr>
    </w:p>
    <w:p>
      <w:pPr>
        <w:pStyle w:val="2"/>
        <w:rPr>
          <w:highlight w:val="none"/>
        </w:rPr>
      </w:pPr>
    </w:p>
    <w:p>
      <w:pPr>
        <w:spacing w:line="400" w:lineRule="exact"/>
        <w:rPr>
          <w:color w:val="000000"/>
          <w:sz w:val="20"/>
          <w:szCs w:val="20"/>
          <w:highlight w:val="none"/>
        </w:rPr>
      </w:pPr>
    </w:p>
    <w:p>
      <w:pPr>
        <w:pStyle w:val="4"/>
        <w:spacing w:line="400" w:lineRule="exact"/>
        <w:rPr>
          <w:color w:val="000000"/>
          <w:sz w:val="27"/>
          <w:szCs w:val="27"/>
          <w:highlight w:val="none"/>
        </w:rPr>
      </w:pPr>
      <w:bookmarkStart w:id="103" w:name="_Toc49869983"/>
      <w:bookmarkStart w:id="104" w:name="_Toc18637"/>
      <w:r>
        <w:rPr>
          <w:rFonts w:hint="eastAsia"/>
          <w:color w:val="000000"/>
          <w:sz w:val="27"/>
          <w:szCs w:val="27"/>
          <w:highlight w:val="none"/>
        </w:rPr>
        <w:t>附表七：中标结果通知书（格式）</w:t>
      </w:r>
      <w:bookmarkEnd w:id="103"/>
      <w:bookmarkEnd w:id="104"/>
    </w:p>
    <w:p>
      <w:pPr>
        <w:spacing w:line="400" w:lineRule="exact"/>
        <w:rPr>
          <w:color w:val="000000"/>
          <w:sz w:val="20"/>
          <w:szCs w:val="20"/>
          <w:highlight w:val="none"/>
        </w:rPr>
      </w:pPr>
    </w:p>
    <w:p>
      <w:pPr>
        <w:spacing w:line="400" w:lineRule="exact"/>
        <w:jc w:val="center"/>
        <w:rPr>
          <w:rFonts w:ascii="黑体" w:eastAsia="黑体"/>
          <w:b/>
          <w:color w:val="000000"/>
          <w:sz w:val="25"/>
          <w:szCs w:val="21"/>
          <w:highlight w:val="none"/>
        </w:rPr>
      </w:pPr>
      <w:r>
        <w:rPr>
          <w:rFonts w:hint="eastAsia" w:ascii="黑体" w:eastAsia="黑体"/>
          <w:b/>
          <w:color w:val="000000"/>
          <w:sz w:val="25"/>
          <w:szCs w:val="21"/>
          <w:highlight w:val="none"/>
        </w:rPr>
        <w:t>中标结果通知书（格式）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u w:val="single"/>
        </w:rPr>
        <w:t xml:space="preserve">                  </w:t>
      </w:r>
      <w:r>
        <w:rPr>
          <w:color w:val="000000"/>
          <w:szCs w:val="21"/>
          <w:highlight w:val="none"/>
        </w:rPr>
        <w:t>（未中标人名称）：</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rPr>
        <w:t>　　我方已接受</w:t>
      </w:r>
      <w:r>
        <w:rPr>
          <w:color w:val="000000"/>
          <w:szCs w:val="21"/>
          <w:highlight w:val="none"/>
          <w:u w:val="single"/>
        </w:rPr>
        <w:t xml:space="preserve">         </w:t>
      </w:r>
      <w:r>
        <w:rPr>
          <w:color w:val="000000"/>
          <w:szCs w:val="21"/>
          <w:highlight w:val="none"/>
        </w:rPr>
        <w:t xml:space="preserve"> （</w:t>
      </w:r>
      <w:r>
        <w:rPr>
          <w:rFonts w:hint="eastAsia" w:ascii="仿宋_GB2312" w:eastAsia="仿宋_GB2312"/>
          <w:color w:val="000000"/>
          <w:szCs w:val="21"/>
          <w:highlight w:val="none"/>
        </w:rPr>
        <w:t>中标人名称</w:t>
      </w:r>
      <w:r>
        <w:rPr>
          <w:color w:val="000000"/>
          <w:szCs w:val="21"/>
          <w:highlight w:val="none"/>
        </w:rPr>
        <w:t>）于</w:t>
      </w: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投标日期</w:t>
      </w:r>
      <w:r>
        <w:rPr>
          <w:color w:val="000000"/>
          <w:szCs w:val="21"/>
          <w:highlight w:val="none"/>
        </w:rPr>
        <w:t>）所递交的</w:t>
      </w:r>
      <w:r>
        <w:rPr>
          <w:color w:val="000000"/>
          <w:szCs w:val="21"/>
          <w:highlight w:val="none"/>
          <w:u w:val="singl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r>
        <w:rPr>
          <w:color w:val="000000"/>
          <w:szCs w:val="21"/>
          <w:highlight w:val="none"/>
        </w:rPr>
        <w:t>投标文件，确定</w:t>
      </w:r>
      <w:r>
        <w:rPr>
          <w:color w:val="000000"/>
          <w:szCs w:val="21"/>
          <w:highlight w:val="none"/>
          <w:u w:val="single"/>
        </w:rPr>
        <w:t xml:space="preserve">            </w:t>
      </w:r>
      <w:r>
        <w:rPr>
          <w:color w:val="000000"/>
          <w:szCs w:val="21"/>
          <w:highlight w:val="none"/>
        </w:rPr>
        <w:t xml:space="preserve"> （</w:t>
      </w:r>
      <w:r>
        <w:rPr>
          <w:rFonts w:hint="eastAsia" w:ascii="仿宋_GB2312" w:eastAsia="仿宋_GB2312"/>
          <w:color w:val="000000"/>
          <w:szCs w:val="21"/>
          <w:highlight w:val="none"/>
        </w:rPr>
        <w:t>中标人名称</w:t>
      </w:r>
      <w:r>
        <w:rPr>
          <w:color w:val="000000"/>
          <w:szCs w:val="21"/>
          <w:highlight w:val="none"/>
        </w:rPr>
        <w:t>）为中标人。</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感谢你单位对我</w:t>
      </w:r>
      <w:r>
        <w:rPr>
          <w:rFonts w:hint="eastAsia"/>
          <w:color w:val="000000"/>
          <w:szCs w:val="21"/>
          <w:highlight w:val="none"/>
        </w:rPr>
        <w:t>方</w:t>
      </w:r>
      <w:r>
        <w:rPr>
          <w:color w:val="000000"/>
          <w:szCs w:val="21"/>
          <w:highlight w:val="none"/>
        </w:rPr>
        <w:t>工作的大力支持！</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招标人：</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rPr>
        <w:t>（盖单位章）</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法定代表人：</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rPr>
        <w:t>（签字）</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w:t>
      </w:r>
      <w:r>
        <w:rPr>
          <w:color w:val="000000"/>
          <w:szCs w:val="21"/>
          <w:highlight w:val="none"/>
          <w:u w:val="single"/>
        </w:rPr>
        <w:t xml:space="preserve">      </w:t>
      </w:r>
      <w:r>
        <w:rPr>
          <w:color w:val="000000"/>
          <w:szCs w:val="21"/>
          <w:highlight w:val="none"/>
        </w:rPr>
        <w:t xml:space="preserve"> 年</w:t>
      </w:r>
      <w:r>
        <w:rPr>
          <w:color w:val="000000"/>
          <w:szCs w:val="21"/>
          <w:highlight w:val="none"/>
          <w:u w:val="single"/>
        </w:rPr>
        <w:t xml:space="preserve">     </w:t>
      </w:r>
      <w:r>
        <w:rPr>
          <w:color w:val="000000"/>
          <w:szCs w:val="21"/>
          <w:highlight w:val="none"/>
        </w:rPr>
        <w:t>月</w:t>
      </w:r>
      <w:r>
        <w:rPr>
          <w:color w:val="000000"/>
          <w:szCs w:val="21"/>
          <w:highlight w:val="none"/>
          <w:u w:val="single"/>
        </w:rPr>
        <w:t xml:space="preserve">     </w:t>
      </w:r>
      <w:r>
        <w:rPr>
          <w:color w:val="000000"/>
          <w:szCs w:val="21"/>
          <w:highlight w:val="none"/>
        </w:rPr>
        <w:t>日</w:t>
      </w:r>
    </w:p>
    <w:p>
      <w:pPr>
        <w:rPr>
          <w:highlight w:val="none"/>
        </w:rPr>
      </w:pPr>
      <w:bookmarkStart w:id="105" w:name="EB0820d66290d14fa88e14df3d7024363d"/>
      <w:bookmarkEnd w:id="105"/>
    </w:p>
    <w:p>
      <w:pPr>
        <w:spacing w:line="400" w:lineRule="exact"/>
        <w:rPr>
          <w:color w:val="000000"/>
          <w:sz w:val="20"/>
          <w:szCs w:val="20"/>
          <w:highlight w:val="none"/>
        </w:rPr>
      </w:pPr>
      <w:r>
        <w:rPr>
          <w:color w:val="000000"/>
          <w:sz w:val="20"/>
          <w:szCs w:val="20"/>
          <w:highlight w:val="none"/>
        </w:rPr>
        <w:br w:type="page"/>
      </w:r>
      <w:bookmarkStart w:id="106" w:name="EB1ddd2bc656434834bca1c7a6c432716f"/>
      <w:bookmarkEnd w:id="106"/>
    </w:p>
    <w:p>
      <w:pPr>
        <w:pStyle w:val="3"/>
        <w:spacing w:before="120" w:after="120" w:line="400" w:lineRule="exact"/>
        <w:jc w:val="center"/>
        <w:rPr>
          <w:rFonts w:ascii="黑体" w:hAnsi="黑体" w:eastAsia="黑体"/>
          <w:bCs w:val="0"/>
          <w:color w:val="000000"/>
          <w:sz w:val="31"/>
          <w:szCs w:val="31"/>
          <w:highlight w:val="none"/>
        </w:rPr>
      </w:pPr>
      <w:bookmarkStart w:id="107" w:name="EB6606d54b7c664e31ad31d4013140d221"/>
      <w:bookmarkEnd w:id="107"/>
      <w:bookmarkStart w:id="108" w:name="EB3fb3ccb23044435398d6fc1e4d31ed2c"/>
      <w:bookmarkEnd w:id="108"/>
      <w:bookmarkStart w:id="109" w:name="_Toc49869991"/>
      <w:bookmarkStart w:id="110" w:name="_Toc25679"/>
      <w:r>
        <w:rPr>
          <w:rFonts w:hint="eastAsia" w:ascii="黑体" w:hAnsi="黑体" w:eastAsia="黑体"/>
          <w:bCs w:val="0"/>
          <w:color w:val="000000"/>
          <w:sz w:val="31"/>
          <w:szCs w:val="31"/>
          <w:highlight w:val="none"/>
        </w:rPr>
        <w:t>第三章 评标办法（综合评估法）</w:t>
      </w:r>
      <w:bookmarkEnd w:id="109"/>
      <w:bookmarkEnd w:id="110"/>
    </w:p>
    <w:p>
      <w:pPr>
        <w:spacing w:line="400" w:lineRule="exact"/>
        <w:rPr>
          <w:color w:val="000000"/>
          <w:sz w:val="20"/>
          <w:szCs w:val="20"/>
          <w:highlight w:val="none"/>
        </w:rPr>
      </w:pPr>
      <w:r>
        <w:rPr>
          <w:rFonts w:hint="eastAsia"/>
          <w:color w:val="000000"/>
          <w:sz w:val="20"/>
          <w:szCs w:val="20"/>
          <w:highlight w:val="none"/>
        </w:rPr>
        <w:t>　</w:t>
      </w:r>
    </w:p>
    <w:p>
      <w:pPr>
        <w:pStyle w:val="48"/>
        <w:jc w:val="center"/>
        <w:rPr>
          <w:color w:val="000000"/>
          <w:sz w:val="27"/>
          <w:szCs w:val="27"/>
          <w:highlight w:val="none"/>
        </w:rPr>
      </w:pPr>
      <w:bookmarkStart w:id="111" w:name="_Toc11525"/>
      <w:bookmarkStart w:id="112" w:name="_Toc49869992"/>
      <w:r>
        <w:rPr>
          <w:rFonts w:hint="eastAsia"/>
          <w:color w:val="000000"/>
          <w:sz w:val="27"/>
          <w:szCs w:val="27"/>
          <w:highlight w:val="none"/>
        </w:rPr>
        <w:t>评标办法前附表</w:t>
      </w:r>
      <w:bookmarkEnd w:id="111"/>
      <w:bookmarkEnd w:id="112"/>
    </w:p>
    <w:p>
      <w:pPr>
        <w:spacing w:line="400" w:lineRule="exact"/>
        <w:rPr>
          <w:color w:val="000080"/>
          <w:sz w:val="20"/>
          <w:szCs w:val="20"/>
          <w:highlight w:val="none"/>
        </w:rPr>
      </w:pPr>
      <w:bookmarkStart w:id="113" w:name="EB0be00a5a131d4a51bff9b66ac42c2ddb"/>
    </w:p>
    <w:bookmarkEnd w:id="113"/>
    <w:p>
      <w:pPr>
        <w:spacing w:line="400" w:lineRule="exact"/>
        <w:rPr>
          <w:color w:val="000000"/>
          <w:sz w:val="20"/>
          <w:szCs w:val="20"/>
          <w:highlight w:val="none"/>
        </w:rPr>
      </w:pPr>
      <w:bookmarkStart w:id="114" w:name="EB1e94059494474615ba2638312add9eaa"/>
      <w:bookmarkEnd w:id="114"/>
      <w:bookmarkStart w:id="115" w:name="EBb6bebb7c91754f6c9f1da60b355be835"/>
      <w:bookmarkEnd w:id="115"/>
    </w:p>
    <w:tbl>
      <w:tblPr>
        <w:tblStyle w:val="36"/>
        <w:tblW w:w="91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124"/>
        <w:gridCol w:w="2147"/>
        <w:gridCol w:w="4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ascii="Times New Roman" w:hAnsi="Times New Roman"/>
                <w:b/>
                <w:szCs w:val="21"/>
                <w:highlight w:val="none"/>
              </w:rPr>
            </w:pPr>
            <w:bookmarkStart w:id="116" w:name="EB8218b69eda9d453d8cceec7aa5088334"/>
            <w:bookmarkEnd w:id="116"/>
            <w:r>
              <w:rPr>
                <w:rFonts w:ascii="Times New Roman" w:hAnsi="Times New Roman"/>
                <w:b/>
                <w:szCs w:val="21"/>
                <w:highlight w:val="none"/>
              </w:rPr>
              <w:t>条款号</w:t>
            </w:r>
          </w:p>
        </w:tc>
        <w:tc>
          <w:tcPr>
            <w:tcW w:w="2147"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评审因素</w:t>
            </w:r>
          </w:p>
        </w:tc>
        <w:tc>
          <w:tcPr>
            <w:tcW w:w="4950"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2.1.1</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形式评审标准</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投标人名称</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与营业执照、资质证书</w:t>
            </w:r>
            <w:r>
              <w:rPr>
                <w:rFonts w:hint="eastAsia" w:ascii="Times New Roman" w:hAnsi="Times New Roman"/>
                <w:szCs w:val="21"/>
                <w:highlight w:val="none"/>
              </w:rPr>
              <w:t>、安全生产许可证</w:t>
            </w:r>
            <w:r>
              <w:rPr>
                <w:rFonts w:ascii="Times New Roman" w:hAnsi="Times New Roman"/>
                <w:szCs w:val="21"/>
                <w:highlight w:val="none"/>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投标文件的签章</w:t>
            </w:r>
          </w:p>
        </w:tc>
        <w:tc>
          <w:tcPr>
            <w:tcW w:w="4950" w:type="dxa"/>
            <w:noWrap/>
            <w:vAlign w:val="center"/>
          </w:tcPr>
          <w:p>
            <w:pPr>
              <w:spacing w:line="420" w:lineRule="exact"/>
              <w:rPr>
                <w:rFonts w:ascii="Times New Roman" w:hAnsi="Times New Roman"/>
                <w:szCs w:val="21"/>
                <w:highlight w:val="none"/>
              </w:rPr>
            </w:pPr>
            <w:r>
              <w:rPr>
                <w:rFonts w:ascii="Times New Roman" w:hAnsi="Times New Roman"/>
                <w:szCs w:val="21"/>
                <w:highlight w:val="none"/>
              </w:rPr>
              <w:t>投标文件的签章符合第二章投标人须知第3.7.3项规定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投标文件格式</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符合第八章“投标文件格式”的要求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报价唯一</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2.1.2</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资格评审标准</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营业执照</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tcPr>
          <w:p>
            <w:pPr>
              <w:shd w:val="clear" w:color="auto" w:fill="FFFFFF"/>
              <w:spacing w:line="440" w:lineRule="exact"/>
              <w:jc w:val="center"/>
              <w:rPr>
                <w:rFonts w:ascii="Times New Roman" w:hAnsi="Times New Roman"/>
                <w:szCs w:val="21"/>
                <w:highlight w:val="none"/>
              </w:rPr>
            </w:pPr>
            <w:r>
              <w:rPr>
                <w:rFonts w:hint="eastAsia" w:ascii="Times New Roman" w:hAnsi="Times New Roman"/>
                <w:highlight w:val="none"/>
              </w:rPr>
              <w:t>安全生产许可证</w:t>
            </w:r>
          </w:p>
        </w:tc>
        <w:tc>
          <w:tcPr>
            <w:tcW w:w="4950" w:type="dxa"/>
            <w:noWrap/>
          </w:tcPr>
          <w:p>
            <w:pPr>
              <w:shd w:val="clear" w:color="auto" w:fill="FFFFFF"/>
              <w:snapToGrid w:val="0"/>
              <w:spacing w:line="300" w:lineRule="auto"/>
              <w:jc w:val="left"/>
              <w:rPr>
                <w:rFonts w:ascii="Times New Roman" w:hAnsi="Times New Roman"/>
                <w:szCs w:val="21"/>
                <w:highlight w:val="none"/>
              </w:rPr>
            </w:pPr>
            <w:r>
              <w:rPr>
                <w:rFonts w:ascii="Times New Roman" w:hAnsi="Times New Roman"/>
                <w:szCs w:val="21"/>
                <w:highlight w:val="none"/>
              </w:rPr>
              <w:t>具备有效的</w:t>
            </w:r>
            <w:r>
              <w:rPr>
                <w:rFonts w:hint="eastAsia" w:ascii="Times New Roman" w:hAnsi="Times New Roman"/>
                <w:highlight w:val="none"/>
              </w:rPr>
              <w:t>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资质等级</w:t>
            </w:r>
          </w:p>
        </w:tc>
        <w:tc>
          <w:tcPr>
            <w:tcW w:w="4950" w:type="dxa"/>
            <w:noWrap/>
            <w:vAlign w:val="center"/>
          </w:tcPr>
          <w:p>
            <w:pPr>
              <w:shd w:val="clear" w:color="auto" w:fill="FFFFFF"/>
              <w:snapToGrid w:val="0"/>
              <w:spacing w:line="300" w:lineRule="auto"/>
              <w:jc w:val="left"/>
              <w:rPr>
                <w:rFonts w:ascii="Times New Roman" w:hAnsi="Times New Roman"/>
                <w:szCs w:val="21"/>
                <w:highlight w:val="none"/>
              </w:rPr>
            </w:pPr>
            <w:r>
              <w:rPr>
                <w:rFonts w:hint="eastAsia"/>
                <w:highlight w:val="none"/>
              </w:rPr>
              <w:t>具备有效的资质证书且资质等级符合第二章“投标人须知”第1.4.1款规定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信誉</w:t>
            </w:r>
          </w:p>
        </w:tc>
        <w:tc>
          <w:tcPr>
            <w:tcW w:w="4950" w:type="dxa"/>
            <w:noWrap/>
          </w:tcPr>
          <w:p>
            <w:pPr>
              <w:widowControl/>
              <w:jc w:val="left"/>
              <w:rPr>
                <w:rFonts w:ascii="Times New Roman" w:hAnsi="Times New Roman"/>
                <w:szCs w:val="21"/>
                <w:highlight w:val="none"/>
              </w:rPr>
            </w:pPr>
            <w:r>
              <w:rPr>
                <w:rFonts w:hint="eastAsia" w:ascii="宋体" w:hAnsi="宋体" w:cs="宋体"/>
                <w:kern w:val="0"/>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项目经理</w:t>
            </w:r>
          </w:p>
        </w:tc>
        <w:tc>
          <w:tcPr>
            <w:tcW w:w="4950" w:type="dxa"/>
            <w:noWrap/>
            <w:vAlign w:val="center"/>
          </w:tcPr>
          <w:p>
            <w:pPr>
              <w:shd w:val="clear" w:color="auto" w:fill="FFFFFF"/>
              <w:snapToGrid w:val="0"/>
              <w:spacing w:line="300" w:lineRule="auto"/>
              <w:jc w:val="left"/>
              <w:rPr>
                <w:rFonts w:ascii="Times New Roman" w:hAnsi="Times New Roman"/>
                <w:szCs w:val="21"/>
                <w:highlight w:val="none"/>
              </w:rPr>
            </w:pPr>
            <w:r>
              <w:rPr>
                <w:rFonts w:hint="eastAsia" w:ascii="Times New Roman" w:hAnsi="Times New Roman"/>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其他要求</w:t>
            </w:r>
          </w:p>
        </w:tc>
        <w:tc>
          <w:tcPr>
            <w:tcW w:w="4950" w:type="dxa"/>
            <w:noWrap/>
            <w:vAlign w:val="center"/>
          </w:tcPr>
          <w:p>
            <w:pPr>
              <w:widowControl/>
              <w:jc w:val="left"/>
              <w:rPr>
                <w:rFonts w:ascii="Times New Roman" w:hAnsi="Times New Roman"/>
                <w:szCs w:val="21"/>
                <w:highlight w:val="none"/>
              </w:rPr>
            </w:pPr>
            <w:r>
              <w:rPr>
                <w:rFonts w:hint="eastAsia" w:ascii="宋体" w:hAnsi="宋体" w:cs="宋体"/>
                <w:color w:val="000000"/>
                <w:kern w:val="0"/>
                <w:szCs w:val="21"/>
                <w:highlight w:val="none"/>
              </w:rPr>
              <w:t xml:space="preserve">符合第二章“投标人须知”第1.4.1项规定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restart"/>
            <w:noWrap/>
            <w:vAlign w:val="center"/>
          </w:tcPr>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2.1.3</w:t>
            </w: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响应性评审标准</w:t>
            </w: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投标</w:t>
            </w:r>
            <w:r>
              <w:rPr>
                <w:rFonts w:hint="eastAsia" w:ascii="Times New Roman" w:cs="Times New Roman"/>
                <w:color w:val="auto"/>
                <w:sz w:val="21"/>
                <w:szCs w:val="21"/>
                <w:highlight w:val="none"/>
              </w:rPr>
              <w:t>范围</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计划</w:t>
            </w:r>
            <w:r>
              <w:rPr>
                <w:rFonts w:ascii="Times New Roman" w:cs="Times New Roman"/>
                <w:color w:val="auto"/>
                <w:sz w:val="21"/>
                <w:szCs w:val="21"/>
                <w:highlight w:val="none"/>
              </w:rPr>
              <w:t>工期</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工程质量</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投标有效期</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投标保证金</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符合第二章“投标人须知”第3.4款规定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权利义务</w:t>
            </w:r>
          </w:p>
        </w:tc>
        <w:tc>
          <w:tcPr>
            <w:tcW w:w="4950" w:type="dxa"/>
            <w:noWrap/>
            <w:vAlign w:val="center"/>
          </w:tcPr>
          <w:p>
            <w:pPr>
              <w:pStyle w:val="141"/>
              <w:jc w:val="both"/>
              <w:rPr>
                <w:rFonts w:ascii="Times New Roman"/>
                <w:color w:val="auto"/>
                <w:szCs w:val="21"/>
                <w:highlight w:val="none"/>
              </w:rPr>
            </w:pPr>
            <w:r>
              <w:rPr>
                <w:rFonts w:ascii="Times New Roman" w:cs="Times New Roman"/>
                <w:color w:val="auto"/>
                <w:sz w:val="21"/>
                <w:szCs w:val="21"/>
                <w:highlight w:val="none"/>
              </w:rPr>
              <w:t>符合第</w:t>
            </w:r>
            <w:r>
              <w:rPr>
                <w:rFonts w:hint="eastAsia" w:ascii="Times New Roman" w:cs="Times New Roman"/>
                <w:color w:val="auto"/>
                <w:sz w:val="21"/>
                <w:szCs w:val="21"/>
                <w:highlight w:val="none"/>
              </w:rPr>
              <w:t>四</w:t>
            </w:r>
            <w:r>
              <w:rPr>
                <w:rFonts w:ascii="Times New Roman" w:cs="Times New Roman"/>
                <w:color w:val="auto"/>
                <w:sz w:val="21"/>
                <w:szCs w:val="21"/>
                <w:highlight w:val="none"/>
              </w:rPr>
              <w:t>章</w:t>
            </w:r>
            <w:r>
              <w:rPr>
                <w:rFonts w:hint="eastAsia" w:ascii="Times New Roman" w:cs="Times New Roman"/>
                <w:color w:val="auto"/>
                <w:sz w:val="21"/>
                <w:szCs w:val="21"/>
                <w:highlight w:val="none"/>
              </w:rPr>
              <w:t>“</w:t>
            </w:r>
            <w:r>
              <w:rPr>
                <w:rFonts w:ascii="Times New Roman" w:cs="Times New Roman"/>
                <w:color w:val="auto"/>
                <w:sz w:val="21"/>
                <w:szCs w:val="21"/>
                <w:highlight w:val="none"/>
              </w:rPr>
              <w:t>合同条款及格式</w:t>
            </w:r>
            <w:r>
              <w:rPr>
                <w:rFonts w:hint="eastAsia" w:ascii="Times New Roman" w:cs="Times New Roman"/>
                <w:color w:val="auto"/>
                <w:sz w:val="21"/>
                <w:szCs w:val="21"/>
                <w:highlight w:val="none"/>
              </w:rPr>
              <w:t>”</w:t>
            </w:r>
            <w:r>
              <w:rPr>
                <w:rFonts w:ascii="Times New Roman" w:cs="Times New Roman"/>
                <w:color w:val="auto"/>
                <w:sz w:val="21"/>
                <w:szCs w:val="21"/>
                <w:highlight w:val="none"/>
              </w:rPr>
              <w:t>规定的权利义务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己标价工程量清单</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符合第五章“工程量清单”填写的有关要求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最高投标限价</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符合第二章“投标人须知”第3.2.3款规定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投标人告知承诺函</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提供有效的投标人告知承诺函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4" w:type="dxa"/>
            <w:gridSpan w:val="2"/>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条款号</w:t>
            </w:r>
          </w:p>
        </w:tc>
        <w:tc>
          <w:tcPr>
            <w:tcW w:w="2147"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条款内容</w:t>
            </w:r>
          </w:p>
        </w:tc>
        <w:tc>
          <w:tcPr>
            <w:tcW w:w="4950"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2.2.1</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分值构成</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w:t>
            </w:r>
            <w:r>
              <w:rPr>
                <w:rFonts w:ascii="Times New Roman" w:hAnsi="Times New Roman"/>
                <w:szCs w:val="21"/>
                <w:highlight w:val="none"/>
              </w:rPr>
              <w:t>总分100分</w:t>
            </w:r>
            <w:r>
              <w:rPr>
                <w:rFonts w:hint="eastAsia" w:ascii="Times New Roman" w:hAnsi="Times New Roman"/>
                <w:szCs w:val="21"/>
                <w:highlight w:val="none"/>
              </w:rPr>
              <w:t>）</w:t>
            </w:r>
          </w:p>
        </w:tc>
        <w:tc>
          <w:tcPr>
            <w:tcW w:w="4950" w:type="dxa"/>
            <w:noWrap/>
            <w:vAlign w:val="center"/>
          </w:tcPr>
          <w:p>
            <w:pPr>
              <w:shd w:val="clear" w:color="auto" w:fill="FFFFFF"/>
              <w:spacing w:line="440" w:lineRule="exact"/>
              <w:rPr>
                <w:rFonts w:ascii="Times New Roman" w:hAnsi="Times New Roman"/>
                <w:highlight w:val="none"/>
              </w:rPr>
            </w:pPr>
            <w:r>
              <w:rPr>
                <w:rFonts w:hint="eastAsia" w:ascii="Times New Roman" w:hAnsi="Times New Roman"/>
                <w:highlight w:val="none"/>
              </w:rPr>
              <w:t>施工组织设计</w:t>
            </w:r>
            <w:r>
              <w:rPr>
                <w:rFonts w:ascii="Times New Roman" w:hAnsi="Times New Roman"/>
                <w:highlight w:val="none"/>
              </w:rPr>
              <w:t>部分：</w:t>
            </w:r>
            <w:r>
              <w:rPr>
                <w:rFonts w:ascii="Times New Roman" w:hAnsi="Times New Roman"/>
                <w:highlight w:val="none"/>
                <w:u w:val="single"/>
              </w:rPr>
              <w:t xml:space="preserve">  </w:t>
            </w:r>
            <w:r>
              <w:rPr>
                <w:rFonts w:hint="eastAsia" w:ascii="Times New Roman" w:hAnsi="Times New Roman"/>
                <w:highlight w:val="none"/>
                <w:u w:val="single"/>
                <w:lang w:val="en-US" w:eastAsia="zh-CN"/>
              </w:rPr>
              <w:t>2</w:t>
            </w:r>
            <w:r>
              <w:rPr>
                <w:rFonts w:hint="eastAsia" w:ascii="Times New Roman" w:hAnsi="Times New Roman"/>
                <w:highlight w:val="none"/>
                <w:u w:val="single"/>
              </w:rPr>
              <w:t>5</w:t>
            </w:r>
            <w:r>
              <w:rPr>
                <w:rFonts w:ascii="Times New Roman" w:hAnsi="Times New Roman"/>
                <w:highlight w:val="none"/>
                <w:u w:val="single"/>
              </w:rPr>
              <w:t xml:space="preserve"> </w:t>
            </w:r>
            <w:r>
              <w:rPr>
                <w:rFonts w:ascii="Times New Roman" w:hAnsi="Times New Roman"/>
                <w:highlight w:val="none"/>
              </w:rPr>
              <w:t>分</w:t>
            </w:r>
          </w:p>
          <w:p>
            <w:pPr>
              <w:shd w:val="clear" w:color="auto" w:fill="FFFFFF"/>
              <w:spacing w:line="440" w:lineRule="exact"/>
              <w:rPr>
                <w:rFonts w:ascii="Times New Roman" w:hAnsi="Times New Roman"/>
                <w:highlight w:val="none"/>
              </w:rPr>
            </w:pPr>
            <w:r>
              <w:rPr>
                <w:rFonts w:hint="eastAsia" w:ascii="Times New Roman" w:hAnsi="Times New Roman"/>
                <w:highlight w:val="none"/>
              </w:rPr>
              <w:t>项目管理机构</w:t>
            </w:r>
            <w:r>
              <w:rPr>
                <w:rFonts w:ascii="Times New Roman" w:hAnsi="Times New Roman"/>
                <w:highlight w:val="none"/>
              </w:rPr>
              <w:t>部分：</w:t>
            </w:r>
            <w:r>
              <w:rPr>
                <w:rFonts w:ascii="Times New Roman" w:hAnsi="Times New Roman"/>
                <w:highlight w:val="none"/>
                <w:u w:val="single"/>
              </w:rPr>
              <w:t xml:space="preserve">  </w:t>
            </w:r>
            <w:r>
              <w:rPr>
                <w:rFonts w:hint="eastAsia" w:ascii="Times New Roman" w:hAnsi="Times New Roman"/>
                <w:highlight w:val="none"/>
                <w:u w:val="single"/>
                <w:lang w:val="en-US" w:eastAsia="zh-CN"/>
              </w:rPr>
              <w:t>5</w:t>
            </w:r>
            <w:r>
              <w:rPr>
                <w:rFonts w:ascii="Times New Roman" w:hAnsi="Times New Roman"/>
                <w:highlight w:val="none"/>
                <w:u w:val="single"/>
              </w:rPr>
              <w:t xml:space="preserve"> </w:t>
            </w:r>
            <w:r>
              <w:rPr>
                <w:rFonts w:ascii="Times New Roman" w:hAnsi="Times New Roman"/>
                <w:highlight w:val="none"/>
              </w:rPr>
              <w:t>分</w:t>
            </w:r>
          </w:p>
          <w:p>
            <w:pPr>
              <w:shd w:val="clear" w:color="auto" w:fill="FFFFFF"/>
              <w:spacing w:line="440" w:lineRule="exact"/>
              <w:rPr>
                <w:rFonts w:ascii="Times New Roman" w:hAnsi="Times New Roman"/>
                <w:highlight w:val="none"/>
              </w:rPr>
            </w:pPr>
            <w:r>
              <w:rPr>
                <w:rFonts w:ascii="Times New Roman" w:hAnsi="Times New Roman"/>
                <w:highlight w:val="none"/>
              </w:rPr>
              <w:t>投标报价：</w:t>
            </w:r>
            <w:r>
              <w:rPr>
                <w:rFonts w:ascii="Times New Roman" w:hAnsi="Times New Roman"/>
                <w:highlight w:val="none"/>
                <w:u w:val="single"/>
              </w:rPr>
              <w:t xml:space="preserve">  </w:t>
            </w:r>
            <w:r>
              <w:rPr>
                <w:rFonts w:hint="eastAsia" w:ascii="Times New Roman" w:hAnsi="Times New Roman"/>
                <w:highlight w:val="none"/>
                <w:u w:val="single"/>
                <w:lang w:val="en-US" w:eastAsia="zh-CN"/>
              </w:rPr>
              <w:t>55</w:t>
            </w:r>
            <w:r>
              <w:rPr>
                <w:rFonts w:ascii="Times New Roman" w:hAnsi="Times New Roman"/>
                <w:highlight w:val="none"/>
                <w:u w:val="single"/>
              </w:rPr>
              <w:t xml:space="preserve">  </w:t>
            </w:r>
            <w:r>
              <w:rPr>
                <w:rFonts w:ascii="Times New Roman" w:hAnsi="Times New Roman"/>
                <w:highlight w:val="none"/>
              </w:rPr>
              <w:t>分</w:t>
            </w:r>
          </w:p>
          <w:p>
            <w:pPr>
              <w:shd w:val="clear" w:color="auto" w:fill="FFFFFF"/>
              <w:spacing w:line="440" w:lineRule="exact"/>
              <w:rPr>
                <w:rFonts w:ascii="Times New Roman" w:hAnsi="Times New Roman"/>
                <w:szCs w:val="21"/>
                <w:highlight w:val="none"/>
              </w:rPr>
            </w:pPr>
            <w:r>
              <w:rPr>
                <w:rFonts w:ascii="Times New Roman" w:hAnsi="Times New Roman"/>
                <w:highlight w:val="none"/>
              </w:rPr>
              <w:t>其他评分因素：</w:t>
            </w:r>
            <w:r>
              <w:rPr>
                <w:rFonts w:hint="eastAsia" w:ascii="Times New Roman" w:hAnsi="Times New Roman"/>
                <w:highlight w:val="none"/>
                <w:u w:val="single"/>
                <w:lang w:val="en-US" w:eastAsia="zh-CN"/>
              </w:rPr>
              <w:t>15</w:t>
            </w:r>
            <w:r>
              <w:rPr>
                <w:rFonts w:ascii="Times New Roman" w:hAnsi="Times New Roman"/>
                <w:highlight w:val="none"/>
                <w:u w:val="single"/>
              </w:rPr>
              <w:t xml:space="preserve">  </w:t>
            </w:r>
            <w:r>
              <w:rPr>
                <w:rFonts w:ascii="Times New Roman" w:hAnsi="Times New Roman"/>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2.2.2</w:t>
            </w:r>
          </w:p>
        </w:tc>
        <w:tc>
          <w:tcPr>
            <w:tcW w:w="2147" w:type="dxa"/>
            <w:noWrap/>
            <w:vAlign w:val="center"/>
          </w:tcPr>
          <w:p>
            <w:pPr>
              <w:shd w:val="clear" w:color="auto" w:fill="FFFFFF"/>
              <w:spacing w:line="300" w:lineRule="auto"/>
              <w:jc w:val="center"/>
              <w:rPr>
                <w:rFonts w:ascii="Times New Roman" w:hAnsi="Times New Roman"/>
                <w:szCs w:val="21"/>
                <w:highlight w:val="none"/>
              </w:rPr>
            </w:pPr>
            <w:r>
              <w:rPr>
                <w:rFonts w:hint="eastAsia" w:ascii="Times New Roman" w:hAnsi="Times New Roman"/>
                <w:szCs w:val="21"/>
                <w:highlight w:val="none"/>
              </w:rPr>
              <w:t>评标其准价计算方法</w:t>
            </w:r>
          </w:p>
        </w:tc>
        <w:tc>
          <w:tcPr>
            <w:tcW w:w="4950" w:type="dxa"/>
            <w:noWrap/>
            <w:vAlign w:val="center"/>
          </w:tcPr>
          <w:p>
            <w:pPr>
              <w:widowControl/>
              <w:jc w:val="left"/>
              <w:rPr>
                <w:rFonts w:cs="Calibri"/>
                <w:color w:val="000000"/>
                <w:kern w:val="0"/>
                <w:szCs w:val="21"/>
                <w:highlight w:val="none"/>
              </w:rPr>
            </w:pPr>
            <w:r>
              <w:rPr>
                <w:rFonts w:hint="eastAsia" w:cs="Calibri"/>
                <w:color w:val="000000"/>
                <w:kern w:val="0"/>
                <w:szCs w:val="21"/>
                <w:highlight w:val="none"/>
              </w:rPr>
              <w:t>（1）评标价平均值的计算：</w:t>
            </w:r>
          </w:p>
          <w:p>
            <w:pPr>
              <w:widowControl/>
              <w:jc w:val="left"/>
              <w:rPr>
                <w:rFonts w:cs="Calibri"/>
                <w:color w:val="000000"/>
                <w:kern w:val="0"/>
                <w:szCs w:val="21"/>
                <w:highlight w:val="none"/>
              </w:rPr>
            </w:pPr>
            <w:r>
              <w:rPr>
                <w:rFonts w:hint="eastAsia" w:cs="Calibri"/>
                <w:color w:val="000000"/>
                <w:kern w:val="0"/>
                <w:szCs w:val="21"/>
                <w:highlight w:val="none"/>
              </w:rPr>
              <w:t>根据投标人（不包括已经不参加详细评审的投标报价）的投标报价按下列方法进行计算：当投标人为 5 家以上（含 5 家）时，去掉 1 个最高价，去掉 1 个最低价，计算其余投标总报价的算术平均值；当投标人家数不多于 4家（含4家）时，计算所有投标报价的算术平均值；</w:t>
            </w:r>
          </w:p>
          <w:p>
            <w:pPr>
              <w:widowControl/>
              <w:jc w:val="left"/>
              <w:rPr>
                <w:rFonts w:cs="Calibri"/>
                <w:color w:val="000000"/>
                <w:kern w:val="0"/>
                <w:szCs w:val="21"/>
                <w:highlight w:val="none"/>
              </w:rPr>
            </w:pPr>
            <w:r>
              <w:rPr>
                <w:rFonts w:hint="eastAsia" w:cs="Calibri"/>
                <w:color w:val="000000"/>
                <w:kern w:val="0"/>
                <w:szCs w:val="21"/>
                <w:highlight w:val="none"/>
              </w:rPr>
              <w:t>（2）评标基准价的确定：</w:t>
            </w:r>
          </w:p>
          <w:p>
            <w:pPr>
              <w:widowControl/>
              <w:jc w:val="left"/>
              <w:rPr>
                <w:rFonts w:ascii="Times New Roman" w:hAnsi="Times New Roman"/>
                <w:szCs w:val="21"/>
                <w:highlight w:val="none"/>
              </w:rPr>
            </w:pPr>
            <w:r>
              <w:rPr>
                <w:rFonts w:hint="eastAsia" w:cs="Calibri"/>
                <w:color w:val="000000"/>
                <w:kern w:val="0"/>
                <w:szCs w:val="21"/>
                <w:highlight w:val="none"/>
              </w:rPr>
              <w:t xml:space="preserve">方法一：将评标价平均值直接作为评标基准价。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cs="Calibri"/>
                <w:spacing w:val="-2"/>
                <w:szCs w:val="21"/>
                <w:highlight w:val="none"/>
              </w:rPr>
            </w:pPr>
            <w:r>
              <w:rPr>
                <w:rFonts w:hint="eastAsia" w:cs="Calibri"/>
                <w:spacing w:val="-2"/>
                <w:szCs w:val="21"/>
                <w:highlight w:val="none"/>
              </w:rPr>
              <w:t>4</w:t>
            </w:r>
          </w:p>
        </w:tc>
        <w:tc>
          <w:tcPr>
            <w:tcW w:w="2147" w:type="dxa"/>
            <w:noWrap/>
            <w:vAlign w:val="center"/>
          </w:tcPr>
          <w:p>
            <w:pPr>
              <w:shd w:val="clear" w:color="auto" w:fill="FFFFFF"/>
              <w:spacing w:line="300" w:lineRule="auto"/>
              <w:jc w:val="center"/>
              <w:rPr>
                <w:spacing w:val="-1"/>
                <w:highlight w:val="none"/>
              </w:rPr>
            </w:pPr>
            <w:r>
              <w:rPr>
                <w:spacing w:val="-1"/>
                <w:highlight w:val="none"/>
              </w:rPr>
              <w:t>评标办法其他说明</w:t>
            </w:r>
          </w:p>
        </w:tc>
        <w:tc>
          <w:tcPr>
            <w:tcW w:w="4950" w:type="dxa"/>
            <w:noWrap/>
            <w:vAlign w:val="center"/>
          </w:tcPr>
          <w:p>
            <w:pPr>
              <w:widowControl/>
              <w:jc w:val="left"/>
              <w:rPr>
                <w:rFonts w:ascii="Times New Roman" w:hAnsi="Times New Roman"/>
                <w:highlight w:val="none"/>
              </w:rPr>
            </w:pPr>
            <w:r>
              <w:rPr>
                <w:rFonts w:hint="eastAsia" w:ascii="Times New Roman" w:hAnsi="Times New Roman"/>
                <w:highlight w:val="none"/>
              </w:rPr>
              <w:t>综合评分相等时， 以投标报价低的优 先； 投标报价也相等的， 以资质等级高 的优先；资质等级相同的以信用等级高 的优先；若信用等级也相同， 由评标委员会研究确定。</w:t>
            </w:r>
          </w:p>
          <w:p>
            <w:pPr>
              <w:widowControl/>
              <w:jc w:val="left"/>
              <w:rPr>
                <w:rFonts w:ascii="Times New Roman" w:hAnsi="Times New Roman"/>
                <w:highlight w:val="none"/>
              </w:rPr>
            </w:pPr>
            <w:r>
              <w:rPr>
                <w:rFonts w:hint="eastAsia" w:ascii="Times New Roman" w:hAnsi="Times New Roman"/>
                <w:highlight w:val="none"/>
              </w:rPr>
              <w:t>信用等级以《辽宁省水利建设市场主体综合信用信息表》为准。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2.2.3</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投标报价的偏差率计算公式</w:t>
            </w:r>
          </w:p>
        </w:tc>
        <w:tc>
          <w:tcPr>
            <w:tcW w:w="4950" w:type="dxa"/>
            <w:noWrap/>
            <w:vAlign w:val="center"/>
          </w:tcPr>
          <w:p>
            <w:pPr>
              <w:widowControl/>
              <w:jc w:val="left"/>
              <w:rPr>
                <w:rFonts w:ascii="Times New Roman" w:hAnsi="Times New Roman"/>
                <w:szCs w:val="21"/>
                <w:highlight w:val="none"/>
              </w:rPr>
            </w:pPr>
            <w:r>
              <w:rPr>
                <w:rFonts w:hint="eastAsia" w:ascii="Times New Roman" w:hAnsi="Times New Roman"/>
                <w:szCs w:val="21"/>
                <w:highlight w:val="none"/>
              </w:rPr>
              <w:t>偏差率</w:t>
            </w:r>
            <w:r>
              <w:rPr>
                <w:rFonts w:ascii="Times New Roman" w:hAnsi="Times New Roman"/>
                <w:szCs w:val="21"/>
                <w:highlight w:val="none"/>
              </w:rPr>
              <w:t>=100% ×（投标人报价 - 评标基准价）/评标基准价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b/>
                <w:szCs w:val="21"/>
                <w:highlight w:val="none"/>
              </w:rPr>
              <w:t>条款号</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b/>
                <w:szCs w:val="21"/>
                <w:highlight w:val="none"/>
              </w:rPr>
              <w:t>评分因素</w:t>
            </w:r>
          </w:p>
        </w:tc>
        <w:tc>
          <w:tcPr>
            <w:tcW w:w="4950"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b/>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2.2.4(1)</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施工组织设计评分标准</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暗标</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w:t>
            </w:r>
            <w:r>
              <w:rPr>
                <w:rFonts w:hint="eastAsia" w:ascii="Times New Roman" w:hAnsi="Times New Roman"/>
                <w:szCs w:val="21"/>
                <w:highlight w:val="none"/>
                <w:lang w:val="en-US" w:eastAsia="zh-CN"/>
              </w:rPr>
              <w:t>25</w:t>
            </w:r>
            <w:r>
              <w:rPr>
                <w:rFonts w:hint="eastAsia" w:ascii="Times New Roman" w:hAnsi="Times New Roman"/>
                <w:szCs w:val="21"/>
                <w:highlight w:val="none"/>
              </w:rPr>
              <w:t>分）</w:t>
            </w: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内容完整性和编制 水平（5分）</w:t>
            </w:r>
          </w:p>
        </w:tc>
        <w:tc>
          <w:tcPr>
            <w:tcW w:w="4950" w:type="dxa"/>
            <w:noWrap/>
            <w:vAlign w:val="center"/>
          </w:tcPr>
          <w:p>
            <w:pPr>
              <w:pStyle w:val="139"/>
              <w:spacing w:before="150" w:line="247" w:lineRule="auto"/>
              <w:ind w:right="101"/>
              <w:jc w:val="left"/>
              <w:rPr>
                <w:highlight w:val="none"/>
                <w:lang w:eastAsia="zh-CN"/>
              </w:rPr>
            </w:pPr>
            <w:r>
              <w:rPr>
                <w:spacing w:val="-5"/>
                <w:highlight w:val="none"/>
                <w:lang w:eastAsia="zh-CN"/>
              </w:rPr>
              <w:t>①施工组织设计内容完整、编制</w:t>
            </w:r>
            <w:r>
              <w:rPr>
                <w:spacing w:val="11"/>
                <w:highlight w:val="none"/>
                <w:lang w:eastAsia="zh-CN"/>
              </w:rPr>
              <w:t xml:space="preserve"> </w:t>
            </w:r>
            <w:r>
              <w:rPr>
                <w:spacing w:val="-5"/>
                <w:highlight w:val="none"/>
                <w:lang w:eastAsia="zh-CN"/>
              </w:rPr>
              <w:t>水平高，具有指导性和针对性得</w:t>
            </w:r>
            <w:r>
              <w:rPr>
                <w:rFonts w:hint="eastAsia"/>
                <w:spacing w:val="-14"/>
                <w:highlight w:val="none"/>
                <w:lang w:eastAsia="zh-CN"/>
              </w:rPr>
              <w:t>5</w:t>
            </w:r>
            <w:r>
              <w:rPr>
                <w:spacing w:val="-42"/>
                <w:highlight w:val="none"/>
                <w:lang w:eastAsia="zh-CN"/>
              </w:rPr>
              <w:t xml:space="preserve"> </w:t>
            </w:r>
            <w:r>
              <w:rPr>
                <w:spacing w:val="-14"/>
                <w:highlight w:val="none"/>
                <w:lang w:eastAsia="zh-CN"/>
              </w:rPr>
              <w:t>分；</w:t>
            </w:r>
          </w:p>
          <w:p>
            <w:pPr>
              <w:pStyle w:val="139"/>
              <w:spacing w:before="59" w:line="256" w:lineRule="auto"/>
              <w:ind w:right="180"/>
              <w:jc w:val="left"/>
              <w:rPr>
                <w:spacing w:val="-6"/>
                <w:highlight w:val="none"/>
                <w:lang w:eastAsia="zh-CN"/>
              </w:rPr>
            </w:pPr>
            <w:r>
              <w:rPr>
                <w:spacing w:val="-1"/>
                <w:highlight w:val="none"/>
                <w:lang w:eastAsia="zh-CN"/>
              </w:rPr>
              <w:t>②施工组织设计内容基本完</w:t>
            </w:r>
            <w:r>
              <w:rPr>
                <w:spacing w:val="-6"/>
                <w:highlight w:val="none"/>
                <w:lang w:eastAsia="zh-CN"/>
              </w:rPr>
              <w:t>整、编制水平较高的得</w:t>
            </w:r>
            <w:r>
              <w:rPr>
                <w:spacing w:val="-37"/>
                <w:highlight w:val="none"/>
                <w:lang w:eastAsia="zh-CN"/>
              </w:rPr>
              <w:t xml:space="preserve"> </w:t>
            </w:r>
            <w:r>
              <w:rPr>
                <w:rFonts w:hint="eastAsia"/>
                <w:spacing w:val="-6"/>
                <w:highlight w:val="none"/>
                <w:lang w:eastAsia="zh-CN"/>
              </w:rPr>
              <w:t>3</w:t>
            </w:r>
            <w:r>
              <w:rPr>
                <w:spacing w:val="-44"/>
                <w:highlight w:val="none"/>
                <w:lang w:eastAsia="zh-CN"/>
              </w:rPr>
              <w:t xml:space="preserve"> </w:t>
            </w:r>
            <w:r>
              <w:rPr>
                <w:spacing w:val="-6"/>
                <w:highlight w:val="none"/>
                <w:lang w:eastAsia="zh-CN"/>
              </w:rPr>
              <w:t>分；</w:t>
            </w:r>
          </w:p>
          <w:p>
            <w:pPr>
              <w:pStyle w:val="139"/>
              <w:spacing w:before="59" w:line="256" w:lineRule="auto"/>
              <w:ind w:right="180"/>
              <w:jc w:val="left"/>
              <w:rPr>
                <w:highlight w:val="none"/>
                <w:lang w:eastAsia="zh-CN"/>
              </w:rPr>
            </w:pPr>
            <w:r>
              <w:rPr>
                <w:spacing w:val="-1"/>
                <w:highlight w:val="none"/>
                <w:lang w:eastAsia="zh-CN"/>
              </w:rPr>
              <w:t>③施工组织设计指导性差或针</w:t>
            </w:r>
            <w:r>
              <w:rPr>
                <w:rFonts w:hint="eastAsia"/>
                <w:spacing w:val="-1"/>
                <w:highlight w:val="none"/>
                <w:lang w:eastAsia="zh-CN"/>
              </w:rPr>
              <w:t>对性差的得1分。</w:t>
            </w:r>
          </w:p>
          <w:p>
            <w:pPr>
              <w:pStyle w:val="141"/>
              <w:spacing w:line="360" w:lineRule="auto"/>
              <w:rPr>
                <w:rFonts w:ascii="Times New Roman"/>
                <w:color w:val="auto"/>
                <w:szCs w:val="21"/>
                <w:highlight w:val="none"/>
              </w:rPr>
            </w:pPr>
            <w:r>
              <w:rPr>
                <w:rFonts w:hint="eastAsia" w:ascii="Times New Roman" w:cs="仿宋_GB2312"/>
                <w:color w:val="auto"/>
                <w:sz w:val="21"/>
                <w:szCs w:val="21"/>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s="Times New Roman"/>
                <w:color w:val="auto"/>
                <w:sz w:val="21"/>
                <w:szCs w:val="21"/>
                <w:highlight w:val="none"/>
              </w:rPr>
            </w:pPr>
            <w:r>
              <w:rPr>
                <w:rFonts w:hint="eastAsia" w:ascii="Times New Roman" w:cs="Times New Roman"/>
                <w:color w:val="auto"/>
                <w:sz w:val="21"/>
                <w:szCs w:val="21"/>
                <w:highlight w:val="none"/>
              </w:rPr>
              <w:t>施工方案与技术措施</w:t>
            </w:r>
          </w:p>
          <w:p>
            <w:pPr>
              <w:pStyle w:val="141"/>
              <w:jc w:val="center"/>
              <w:rPr>
                <w:rFonts w:ascii="Times New Roman"/>
                <w:color w:val="auto"/>
                <w:szCs w:val="21"/>
                <w:highlight w:val="none"/>
              </w:rPr>
            </w:pPr>
            <w:r>
              <w:rPr>
                <w:rFonts w:hint="eastAsia" w:ascii="Times New Roman" w:cs="Times New Roman"/>
                <w:color w:val="auto"/>
                <w:sz w:val="21"/>
                <w:szCs w:val="21"/>
                <w:highlight w:val="none"/>
              </w:rPr>
              <w:t>（5分）</w:t>
            </w:r>
          </w:p>
        </w:tc>
        <w:tc>
          <w:tcPr>
            <w:tcW w:w="4950" w:type="dxa"/>
            <w:noWrap/>
            <w:vAlign w:val="center"/>
          </w:tcPr>
          <w:p>
            <w:pPr>
              <w:pStyle w:val="141"/>
              <w:spacing w:line="360" w:lineRule="auto"/>
              <w:jc w:val="center"/>
              <w:rPr>
                <w:rFonts w:ascii="Times New Roman" w:cs="仿宋_GB2312"/>
                <w:color w:val="auto"/>
                <w:sz w:val="21"/>
                <w:szCs w:val="21"/>
                <w:highlight w:val="none"/>
              </w:rPr>
            </w:pPr>
            <w:r>
              <w:rPr>
                <w:rFonts w:hint="eastAsia" w:ascii="Times New Roman" w:cs="仿宋_GB2312"/>
                <w:color w:val="auto"/>
                <w:sz w:val="21"/>
                <w:szCs w:val="21"/>
                <w:highlight w:val="none"/>
              </w:rPr>
              <w:t>①对项目建设特性了解透彻，施工方案与技术措</w:t>
            </w:r>
          </w:p>
          <w:p>
            <w:pPr>
              <w:pStyle w:val="141"/>
              <w:spacing w:line="360" w:lineRule="auto"/>
              <w:jc w:val="both"/>
              <w:rPr>
                <w:rFonts w:ascii="Times New Roman" w:cs="仿宋_GB2312"/>
                <w:color w:val="auto"/>
                <w:sz w:val="21"/>
                <w:szCs w:val="21"/>
                <w:highlight w:val="none"/>
              </w:rPr>
            </w:pPr>
            <w:r>
              <w:rPr>
                <w:rFonts w:hint="eastAsia" w:ascii="Times New Roman" w:cs="仿宋_GB2312"/>
                <w:color w:val="auto"/>
                <w:sz w:val="21"/>
                <w:szCs w:val="21"/>
                <w:highlight w:val="none"/>
              </w:rPr>
              <w:t>施十分先进、经济合理，对施工具有高度指导性，得5分；</w:t>
            </w:r>
          </w:p>
          <w:p>
            <w:pPr>
              <w:pStyle w:val="141"/>
              <w:spacing w:line="360" w:lineRule="auto"/>
              <w:jc w:val="center"/>
              <w:rPr>
                <w:rFonts w:ascii="Times New Roman" w:cs="仿宋_GB2312"/>
                <w:color w:val="auto"/>
                <w:sz w:val="21"/>
                <w:szCs w:val="21"/>
                <w:highlight w:val="none"/>
              </w:rPr>
            </w:pPr>
            <w:r>
              <w:rPr>
                <w:rFonts w:hint="eastAsia" w:ascii="Times New Roman" w:cs="仿宋_GB2312"/>
                <w:color w:val="auto"/>
                <w:sz w:val="21"/>
                <w:szCs w:val="21"/>
                <w:highlight w:val="none"/>
              </w:rPr>
              <w:t>②对项目建设特性了解较好，施工方案与技术措施比较先进合理，对施工具有指导性，得3分；</w:t>
            </w:r>
          </w:p>
          <w:p>
            <w:pPr>
              <w:pStyle w:val="141"/>
              <w:spacing w:line="360" w:lineRule="auto"/>
              <w:jc w:val="both"/>
              <w:rPr>
                <w:rFonts w:ascii="Times New Roman" w:cs="仿宋_GB2312"/>
                <w:color w:val="auto"/>
                <w:sz w:val="21"/>
                <w:szCs w:val="21"/>
                <w:highlight w:val="none"/>
              </w:rPr>
            </w:pPr>
            <w:r>
              <w:rPr>
                <w:rFonts w:hint="eastAsia" w:ascii="Times New Roman" w:cs="仿宋_GB2312"/>
                <w:color w:val="auto"/>
                <w:sz w:val="21"/>
                <w:szCs w:val="21"/>
                <w:highlight w:val="none"/>
              </w:rPr>
              <w:t>③对项目建设特性了解一般，施工方案与技术措施一般，得1分；</w:t>
            </w:r>
          </w:p>
          <w:p>
            <w:pPr>
              <w:pStyle w:val="141"/>
              <w:spacing w:line="360" w:lineRule="auto"/>
              <w:jc w:val="both"/>
              <w:rPr>
                <w:rFonts w:ascii="Times New Roman"/>
                <w:color w:val="auto"/>
                <w:szCs w:val="21"/>
                <w:highlight w:val="none"/>
              </w:rPr>
            </w:pPr>
            <w:r>
              <w:rPr>
                <w:rFonts w:hint="eastAsia" w:ascii="Times New Roman" w:cs="仿宋_GB2312"/>
                <w:color w:val="auto"/>
                <w:sz w:val="21"/>
                <w:szCs w:val="21"/>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r>
              <w:rPr>
                <w:rFonts w:hint="eastAsia" w:ascii="Times New Roman" w:cs="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s="Times New Roman"/>
                <w:color w:val="auto"/>
                <w:sz w:val="21"/>
                <w:szCs w:val="21"/>
                <w:highlight w:val="none"/>
              </w:rPr>
            </w:pPr>
            <w:r>
              <w:rPr>
                <w:rFonts w:hint="eastAsia" w:ascii="Times New Roman" w:cs="Times New Roman"/>
                <w:color w:val="auto"/>
                <w:sz w:val="21"/>
                <w:szCs w:val="21"/>
                <w:highlight w:val="none"/>
              </w:rPr>
              <w:t>质量管理体系与措施</w:t>
            </w:r>
          </w:p>
          <w:p>
            <w:pPr>
              <w:pStyle w:val="141"/>
              <w:jc w:val="center"/>
              <w:rPr>
                <w:rFonts w:ascii="Times New Roman"/>
                <w:color w:val="auto"/>
                <w:szCs w:val="21"/>
                <w:highlight w:val="none"/>
              </w:rPr>
            </w:pPr>
            <w:r>
              <w:rPr>
                <w:rFonts w:hint="eastAsia" w:ascii="Times New Roman" w:cs="Times New Roman"/>
                <w:color w:val="auto"/>
                <w:sz w:val="21"/>
                <w:szCs w:val="21"/>
                <w:highlight w:val="none"/>
              </w:rPr>
              <w:t>（3分）</w:t>
            </w:r>
          </w:p>
        </w:tc>
        <w:tc>
          <w:tcPr>
            <w:tcW w:w="4950" w:type="dxa"/>
            <w:noWrap/>
            <w:vAlign w:val="center"/>
          </w:tcPr>
          <w:p>
            <w:pPr>
              <w:pStyle w:val="139"/>
              <w:spacing w:before="153" w:line="247" w:lineRule="auto"/>
              <w:ind w:left="111" w:right="86" w:firstLine="75"/>
              <w:rPr>
                <w:highlight w:val="none"/>
                <w:lang w:eastAsia="zh-CN"/>
              </w:rPr>
            </w:pPr>
            <w:r>
              <w:rPr>
                <w:spacing w:val="-1"/>
                <w:highlight w:val="none"/>
                <w:lang w:eastAsia="zh-CN"/>
              </w:rPr>
              <w:t>①质量管理体系、管理机构健</w:t>
            </w:r>
            <w:r>
              <w:rPr>
                <w:spacing w:val="4"/>
                <w:highlight w:val="none"/>
                <w:lang w:eastAsia="zh-CN"/>
              </w:rPr>
              <w:t xml:space="preserve">  </w:t>
            </w:r>
            <w:r>
              <w:rPr>
                <w:spacing w:val="-4"/>
                <w:highlight w:val="none"/>
                <w:lang w:eastAsia="zh-CN"/>
              </w:rPr>
              <w:t>全，质量管理措施先进、合理、</w:t>
            </w:r>
            <w:r>
              <w:rPr>
                <w:spacing w:val="-23"/>
                <w:highlight w:val="none"/>
                <w:lang w:eastAsia="zh-CN"/>
              </w:rPr>
              <w:t>可靠，</w:t>
            </w:r>
            <w:r>
              <w:rPr>
                <w:spacing w:val="6"/>
                <w:highlight w:val="none"/>
                <w:lang w:eastAsia="zh-CN"/>
              </w:rPr>
              <w:t xml:space="preserve"> </w:t>
            </w:r>
            <w:r>
              <w:rPr>
                <w:spacing w:val="-23"/>
                <w:highlight w:val="none"/>
                <w:lang w:eastAsia="zh-CN"/>
              </w:rPr>
              <w:t>得</w:t>
            </w:r>
            <w:r>
              <w:rPr>
                <w:spacing w:val="-40"/>
                <w:highlight w:val="none"/>
                <w:lang w:eastAsia="zh-CN"/>
              </w:rPr>
              <w:t xml:space="preserve"> </w:t>
            </w:r>
            <w:r>
              <w:rPr>
                <w:rFonts w:hint="eastAsia"/>
                <w:spacing w:val="-23"/>
                <w:highlight w:val="none"/>
                <w:lang w:eastAsia="zh-CN"/>
              </w:rPr>
              <w:t>5</w:t>
            </w:r>
            <w:r>
              <w:rPr>
                <w:spacing w:val="-44"/>
                <w:highlight w:val="none"/>
                <w:lang w:eastAsia="zh-CN"/>
              </w:rPr>
              <w:t xml:space="preserve"> </w:t>
            </w:r>
            <w:r>
              <w:rPr>
                <w:spacing w:val="-23"/>
                <w:highlight w:val="none"/>
                <w:lang w:eastAsia="zh-CN"/>
              </w:rPr>
              <w:t>分；</w:t>
            </w:r>
          </w:p>
          <w:p>
            <w:pPr>
              <w:pStyle w:val="139"/>
              <w:spacing w:before="62" w:line="247" w:lineRule="auto"/>
              <w:ind w:left="187" w:right="101" w:hanging="78"/>
              <w:rPr>
                <w:highlight w:val="none"/>
                <w:lang w:eastAsia="zh-CN"/>
              </w:rPr>
            </w:pPr>
            <w:r>
              <w:rPr>
                <w:spacing w:val="-5"/>
                <w:highlight w:val="none"/>
                <w:lang w:eastAsia="zh-CN"/>
              </w:rPr>
              <w:t>②质量管理体系、管理机构较健</w:t>
            </w:r>
            <w:r>
              <w:rPr>
                <w:spacing w:val="12"/>
                <w:highlight w:val="none"/>
                <w:lang w:eastAsia="zh-CN"/>
              </w:rPr>
              <w:t xml:space="preserve"> </w:t>
            </w:r>
            <w:r>
              <w:rPr>
                <w:spacing w:val="-1"/>
                <w:highlight w:val="none"/>
                <w:lang w:eastAsia="zh-CN"/>
              </w:rPr>
              <w:t>全，质量管理措施较合理、可</w:t>
            </w:r>
            <w:r>
              <w:rPr>
                <w:spacing w:val="-22"/>
                <w:highlight w:val="none"/>
                <w:lang w:eastAsia="zh-CN"/>
              </w:rPr>
              <w:t>靠，</w:t>
            </w:r>
            <w:r>
              <w:rPr>
                <w:spacing w:val="-23"/>
                <w:highlight w:val="none"/>
                <w:lang w:eastAsia="zh-CN"/>
              </w:rPr>
              <w:t xml:space="preserve"> </w:t>
            </w:r>
            <w:r>
              <w:rPr>
                <w:spacing w:val="-22"/>
                <w:highlight w:val="none"/>
                <w:lang w:eastAsia="zh-CN"/>
              </w:rPr>
              <w:t>得</w:t>
            </w:r>
            <w:r>
              <w:rPr>
                <w:spacing w:val="-41"/>
                <w:highlight w:val="none"/>
                <w:lang w:eastAsia="zh-CN"/>
              </w:rPr>
              <w:t xml:space="preserve"> </w:t>
            </w:r>
            <w:r>
              <w:rPr>
                <w:rFonts w:hint="eastAsia"/>
                <w:spacing w:val="-22"/>
                <w:highlight w:val="none"/>
                <w:lang w:eastAsia="zh-CN"/>
              </w:rPr>
              <w:t>3</w:t>
            </w:r>
            <w:r>
              <w:rPr>
                <w:spacing w:val="-22"/>
                <w:highlight w:val="none"/>
                <w:lang w:eastAsia="zh-CN"/>
              </w:rPr>
              <w:t>分；</w:t>
            </w:r>
          </w:p>
          <w:p>
            <w:pPr>
              <w:pStyle w:val="139"/>
              <w:spacing w:before="61" w:line="218" w:lineRule="auto"/>
              <w:ind w:left="186"/>
              <w:rPr>
                <w:spacing w:val="-17"/>
                <w:highlight w:val="none"/>
                <w:lang w:eastAsia="zh-CN"/>
              </w:rPr>
            </w:pPr>
            <w:r>
              <w:rPr>
                <w:highlight w:val="none"/>
                <w:lang w:eastAsia="zh-CN"/>
              </w:rPr>
              <w:t>③质量管理体系、管理机构一</w:t>
            </w:r>
            <w:r>
              <w:rPr>
                <w:spacing w:val="-17"/>
                <w:highlight w:val="none"/>
                <w:lang w:eastAsia="zh-CN"/>
              </w:rPr>
              <w:t>般，质量管理措施一般，得</w:t>
            </w:r>
            <w:r>
              <w:rPr>
                <w:spacing w:val="-30"/>
                <w:highlight w:val="none"/>
                <w:lang w:eastAsia="zh-CN"/>
              </w:rPr>
              <w:t xml:space="preserve"> </w:t>
            </w:r>
            <w:r>
              <w:rPr>
                <w:spacing w:val="-17"/>
                <w:highlight w:val="none"/>
                <w:lang w:eastAsia="zh-CN"/>
              </w:rPr>
              <w:t>1</w:t>
            </w:r>
            <w:r>
              <w:rPr>
                <w:spacing w:val="-41"/>
                <w:highlight w:val="none"/>
                <w:lang w:eastAsia="zh-CN"/>
              </w:rPr>
              <w:t xml:space="preserve"> </w:t>
            </w:r>
            <w:r>
              <w:rPr>
                <w:spacing w:val="-17"/>
                <w:highlight w:val="none"/>
                <w:lang w:eastAsia="zh-CN"/>
              </w:rPr>
              <w:t>分；</w:t>
            </w:r>
          </w:p>
          <w:p>
            <w:pPr>
              <w:pStyle w:val="139"/>
              <w:spacing w:before="61" w:line="218" w:lineRule="auto"/>
              <w:ind w:left="186"/>
              <w:rPr>
                <w:rFonts w:ascii="Times New Roman" w:hAnsi="Times New Roman"/>
                <w:highlight w:val="none"/>
              </w:rPr>
            </w:pPr>
            <w:r>
              <w:rPr>
                <w:spacing w:val="-13"/>
                <w:highlight w:val="none"/>
              </w:rPr>
              <w:t>④</w:t>
            </w:r>
            <w:r>
              <w:rPr>
                <w:spacing w:val="-1"/>
                <w:highlight w:val="none"/>
              </w:rPr>
              <w:t>未提供不</w:t>
            </w:r>
            <w:r>
              <w:rPr>
                <w:rFonts w:hint="eastAsia"/>
                <w:spacing w:val="-1"/>
                <w:highlight w:val="none"/>
                <w:lang w:eastAsia="zh-CN"/>
              </w:rPr>
              <w:t>得</w:t>
            </w:r>
            <w:r>
              <w:rPr>
                <w:spacing w:val="-1"/>
                <w:highlight w:val="none"/>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安全管理体系与措 施（3分）</w:t>
            </w:r>
          </w:p>
        </w:tc>
        <w:tc>
          <w:tcPr>
            <w:tcW w:w="4950" w:type="dxa"/>
            <w:noWrap/>
            <w:vAlign w:val="center"/>
          </w:tcPr>
          <w:p>
            <w:pPr>
              <w:pStyle w:val="139"/>
              <w:spacing w:before="151" w:line="247" w:lineRule="auto"/>
              <w:ind w:right="86"/>
              <w:rPr>
                <w:highlight w:val="none"/>
                <w:lang w:eastAsia="zh-CN"/>
              </w:rPr>
            </w:pPr>
            <w:r>
              <w:rPr>
                <w:spacing w:val="-1"/>
                <w:highlight w:val="none"/>
                <w:lang w:eastAsia="zh-CN"/>
              </w:rPr>
              <w:t>①安全管理体系、管理机构健</w:t>
            </w:r>
            <w:r>
              <w:rPr>
                <w:spacing w:val="4"/>
                <w:highlight w:val="none"/>
                <w:lang w:eastAsia="zh-CN"/>
              </w:rPr>
              <w:t xml:space="preserve">  </w:t>
            </w:r>
            <w:r>
              <w:rPr>
                <w:spacing w:val="-4"/>
                <w:highlight w:val="none"/>
                <w:lang w:eastAsia="zh-CN"/>
              </w:rPr>
              <w:t>全，安全管理措施先进、合理、</w:t>
            </w:r>
            <w:r>
              <w:rPr>
                <w:spacing w:val="-23"/>
                <w:highlight w:val="none"/>
                <w:lang w:eastAsia="zh-CN"/>
              </w:rPr>
              <w:t>可靠，</w:t>
            </w:r>
            <w:r>
              <w:rPr>
                <w:spacing w:val="6"/>
                <w:highlight w:val="none"/>
                <w:lang w:eastAsia="zh-CN"/>
              </w:rPr>
              <w:t xml:space="preserve"> </w:t>
            </w:r>
            <w:r>
              <w:rPr>
                <w:spacing w:val="-23"/>
                <w:highlight w:val="none"/>
                <w:lang w:eastAsia="zh-CN"/>
              </w:rPr>
              <w:t>得</w:t>
            </w:r>
            <w:r>
              <w:rPr>
                <w:spacing w:val="-40"/>
                <w:highlight w:val="none"/>
                <w:lang w:eastAsia="zh-CN"/>
              </w:rPr>
              <w:t xml:space="preserve"> </w:t>
            </w:r>
            <w:r>
              <w:rPr>
                <w:spacing w:val="-23"/>
                <w:highlight w:val="none"/>
                <w:lang w:eastAsia="zh-CN"/>
              </w:rPr>
              <w:t>3</w:t>
            </w:r>
            <w:r>
              <w:rPr>
                <w:spacing w:val="-44"/>
                <w:highlight w:val="none"/>
                <w:lang w:eastAsia="zh-CN"/>
              </w:rPr>
              <w:t xml:space="preserve"> </w:t>
            </w:r>
            <w:r>
              <w:rPr>
                <w:spacing w:val="-23"/>
                <w:highlight w:val="none"/>
                <w:lang w:eastAsia="zh-CN"/>
              </w:rPr>
              <w:t>分；</w:t>
            </w:r>
          </w:p>
          <w:p>
            <w:pPr>
              <w:pStyle w:val="139"/>
              <w:spacing w:before="62" w:line="247" w:lineRule="auto"/>
              <w:ind w:right="101"/>
              <w:rPr>
                <w:spacing w:val="-22"/>
                <w:highlight w:val="none"/>
                <w:lang w:eastAsia="zh-CN"/>
              </w:rPr>
            </w:pPr>
            <w:r>
              <w:rPr>
                <w:spacing w:val="-5"/>
                <w:highlight w:val="none"/>
                <w:lang w:eastAsia="zh-CN"/>
              </w:rPr>
              <w:t>②安全管理体系、管理机构较健</w:t>
            </w:r>
            <w:r>
              <w:rPr>
                <w:spacing w:val="12"/>
                <w:highlight w:val="none"/>
                <w:lang w:eastAsia="zh-CN"/>
              </w:rPr>
              <w:t xml:space="preserve"> </w:t>
            </w:r>
            <w:r>
              <w:rPr>
                <w:spacing w:val="-1"/>
                <w:highlight w:val="none"/>
                <w:lang w:eastAsia="zh-CN"/>
              </w:rPr>
              <w:t>全，安全管理措施较合理、可</w:t>
            </w:r>
            <w:r>
              <w:rPr>
                <w:spacing w:val="-22"/>
                <w:highlight w:val="none"/>
                <w:lang w:eastAsia="zh-CN"/>
              </w:rPr>
              <w:t>靠，</w:t>
            </w:r>
            <w:r>
              <w:rPr>
                <w:spacing w:val="-23"/>
                <w:highlight w:val="none"/>
                <w:lang w:eastAsia="zh-CN"/>
              </w:rPr>
              <w:t xml:space="preserve"> </w:t>
            </w:r>
            <w:r>
              <w:rPr>
                <w:spacing w:val="-22"/>
                <w:highlight w:val="none"/>
                <w:lang w:eastAsia="zh-CN"/>
              </w:rPr>
              <w:t>得</w:t>
            </w:r>
            <w:r>
              <w:rPr>
                <w:spacing w:val="-41"/>
                <w:highlight w:val="none"/>
                <w:lang w:eastAsia="zh-CN"/>
              </w:rPr>
              <w:t xml:space="preserve"> </w:t>
            </w:r>
            <w:r>
              <w:rPr>
                <w:spacing w:val="-22"/>
                <w:highlight w:val="none"/>
                <w:lang w:eastAsia="zh-CN"/>
              </w:rPr>
              <w:t>2</w:t>
            </w:r>
            <w:r>
              <w:rPr>
                <w:spacing w:val="-42"/>
                <w:highlight w:val="none"/>
                <w:lang w:eastAsia="zh-CN"/>
              </w:rPr>
              <w:t xml:space="preserve"> </w:t>
            </w:r>
            <w:r>
              <w:rPr>
                <w:spacing w:val="-22"/>
                <w:highlight w:val="none"/>
                <w:lang w:eastAsia="zh-CN"/>
              </w:rPr>
              <w:t>分；</w:t>
            </w:r>
          </w:p>
          <w:p>
            <w:pPr>
              <w:pStyle w:val="139"/>
              <w:spacing w:before="62" w:line="247" w:lineRule="auto"/>
              <w:ind w:right="101"/>
              <w:rPr>
                <w:highlight w:val="none"/>
              </w:rPr>
            </w:pPr>
            <w:r>
              <w:rPr>
                <w:spacing w:val="-5"/>
                <w:highlight w:val="none"/>
              </w:rPr>
              <w:t>③安全体系、管理机构一般，安</w:t>
            </w:r>
            <w:r>
              <w:rPr>
                <w:spacing w:val="9"/>
                <w:highlight w:val="none"/>
              </w:rPr>
              <w:t xml:space="preserve"> </w:t>
            </w:r>
            <w:r>
              <w:rPr>
                <w:spacing w:val="-4"/>
                <w:highlight w:val="none"/>
              </w:rPr>
              <w:t>全措施一般，得1</w:t>
            </w:r>
            <w:r>
              <w:rPr>
                <w:spacing w:val="-42"/>
                <w:highlight w:val="none"/>
              </w:rPr>
              <w:t xml:space="preserve"> </w:t>
            </w:r>
            <w:r>
              <w:rPr>
                <w:spacing w:val="-4"/>
                <w:highlight w:val="none"/>
              </w:rPr>
              <w:t>分；</w:t>
            </w:r>
          </w:p>
          <w:p>
            <w:pPr>
              <w:pStyle w:val="139"/>
              <w:spacing w:before="62" w:line="247" w:lineRule="auto"/>
              <w:ind w:right="101"/>
              <w:rPr>
                <w:rFonts w:ascii="Times New Roman" w:hAnsi="Times New Roman"/>
                <w:highlight w:val="none"/>
              </w:rPr>
            </w:pPr>
            <w:r>
              <w:rPr>
                <w:spacing w:val="-13"/>
                <w:highlight w:val="none"/>
              </w:rPr>
              <w:t>④</w:t>
            </w:r>
            <w:r>
              <w:rPr>
                <w:spacing w:val="-1"/>
                <w:highlight w:val="none"/>
              </w:rPr>
              <w:t>未提供不</w:t>
            </w:r>
            <w:r>
              <w:rPr>
                <w:rFonts w:hint="eastAsia"/>
                <w:spacing w:val="-1"/>
                <w:highlight w:val="none"/>
                <w:lang w:eastAsia="zh-CN"/>
              </w:rPr>
              <w:t>得</w:t>
            </w:r>
            <w:r>
              <w:rPr>
                <w:spacing w:val="-1"/>
                <w:highlight w:val="none"/>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环保管理体系与措 施（3分）</w:t>
            </w:r>
          </w:p>
        </w:tc>
        <w:tc>
          <w:tcPr>
            <w:tcW w:w="4950" w:type="dxa"/>
            <w:noWrap/>
            <w:vAlign w:val="center"/>
          </w:tcPr>
          <w:p>
            <w:pPr>
              <w:pStyle w:val="139"/>
              <w:spacing w:before="151" w:line="247" w:lineRule="auto"/>
              <w:ind w:right="98"/>
              <w:rPr>
                <w:highlight w:val="none"/>
                <w:lang w:eastAsia="zh-CN"/>
              </w:rPr>
            </w:pPr>
            <w:r>
              <w:rPr>
                <w:spacing w:val="-1"/>
                <w:highlight w:val="none"/>
                <w:lang w:eastAsia="zh-CN"/>
              </w:rPr>
              <w:t xml:space="preserve">①环保管理体系、管理机构健 </w:t>
            </w:r>
            <w:r>
              <w:rPr>
                <w:spacing w:val="-18"/>
                <w:highlight w:val="none"/>
                <w:lang w:eastAsia="zh-CN"/>
              </w:rPr>
              <w:t>全，环保措施先进、合理、可靠，</w:t>
            </w:r>
            <w:r>
              <w:rPr>
                <w:spacing w:val="-13"/>
                <w:highlight w:val="none"/>
                <w:lang w:eastAsia="zh-CN"/>
              </w:rPr>
              <w:t>得</w:t>
            </w:r>
            <w:r>
              <w:rPr>
                <w:rFonts w:hint="eastAsia"/>
                <w:spacing w:val="-39"/>
                <w:highlight w:val="none"/>
                <w:lang w:eastAsia="zh-CN"/>
              </w:rPr>
              <w:t>3</w:t>
            </w:r>
            <w:r>
              <w:rPr>
                <w:spacing w:val="-13"/>
                <w:highlight w:val="none"/>
                <w:lang w:eastAsia="zh-CN"/>
              </w:rPr>
              <w:t>分；</w:t>
            </w:r>
          </w:p>
          <w:p>
            <w:pPr>
              <w:pStyle w:val="139"/>
              <w:spacing w:before="62" w:line="247" w:lineRule="auto"/>
              <w:ind w:right="101"/>
              <w:rPr>
                <w:highlight w:val="none"/>
                <w:lang w:eastAsia="zh-CN"/>
              </w:rPr>
            </w:pPr>
            <w:r>
              <w:rPr>
                <w:spacing w:val="-5"/>
                <w:highlight w:val="none"/>
                <w:lang w:eastAsia="zh-CN"/>
              </w:rPr>
              <w:t>②环保管理体系、管理机构较健</w:t>
            </w:r>
            <w:r>
              <w:rPr>
                <w:spacing w:val="12"/>
                <w:highlight w:val="none"/>
                <w:lang w:eastAsia="zh-CN"/>
              </w:rPr>
              <w:t xml:space="preserve"> </w:t>
            </w:r>
            <w:r>
              <w:rPr>
                <w:spacing w:val="-5"/>
                <w:highlight w:val="none"/>
                <w:lang w:eastAsia="zh-CN"/>
              </w:rPr>
              <w:t>全，环保措施较合理、可靠，得</w:t>
            </w:r>
            <w:r>
              <w:rPr>
                <w:rFonts w:hint="eastAsia"/>
                <w:spacing w:val="-14"/>
                <w:highlight w:val="none"/>
                <w:lang w:eastAsia="zh-CN"/>
              </w:rPr>
              <w:t>2</w:t>
            </w:r>
            <w:r>
              <w:rPr>
                <w:spacing w:val="-14"/>
                <w:highlight w:val="none"/>
                <w:lang w:eastAsia="zh-CN"/>
              </w:rPr>
              <w:t>分；</w:t>
            </w:r>
          </w:p>
          <w:p>
            <w:pPr>
              <w:pStyle w:val="139"/>
              <w:spacing w:before="61" w:line="247" w:lineRule="auto"/>
              <w:ind w:right="180"/>
              <w:rPr>
                <w:spacing w:val="-11"/>
                <w:highlight w:val="none"/>
                <w:lang w:eastAsia="zh-CN"/>
              </w:rPr>
            </w:pPr>
            <w:r>
              <w:rPr>
                <w:spacing w:val="-1"/>
                <w:highlight w:val="none"/>
                <w:lang w:eastAsia="zh-CN"/>
              </w:rPr>
              <w:t>③环保管理体系、管理机构一</w:t>
            </w:r>
            <w:r>
              <w:rPr>
                <w:spacing w:val="9"/>
                <w:highlight w:val="none"/>
                <w:lang w:eastAsia="zh-CN"/>
              </w:rPr>
              <w:t xml:space="preserve"> </w:t>
            </w:r>
            <w:r>
              <w:rPr>
                <w:spacing w:val="-11"/>
                <w:highlight w:val="none"/>
                <w:lang w:eastAsia="zh-CN"/>
              </w:rPr>
              <w:t>般，环保措施一般，</w:t>
            </w:r>
            <w:r>
              <w:rPr>
                <w:spacing w:val="-21"/>
                <w:highlight w:val="none"/>
                <w:lang w:eastAsia="zh-CN"/>
              </w:rPr>
              <w:t xml:space="preserve"> </w:t>
            </w:r>
            <w:r>
              <w:rPr>
                <w:spacing w:val="-11"/>
                <w:highlight w:val="none"/>
                <w:lang w:eastAsia="zh-CN"/>
              </w:rPr>
              <w:t>得</w:t>
            </w:r>
            <w:r>
              <w:rPr>
                <w:spacing w:val="-28"/>
                <w:highlight w:val="none"/>
                <w:lang w:eastAsia="zh-CN"/>
              </w:rPr>
              <w:t xml:space="preserve"> </w:t>
            </w:r>
            <w:r>
              <w:rPr>
                <w:spacing w:val="-11"/>
                <w:highlight w:val="none"/>
                <w:lang w:eastAsia="zh-CN"/>
              </w:rPr>
              <w:t>1</w:t>
            </w:r>
            <w:r>
              <w:rPr>
                <w:spacing w:val="-44"/>
                <w:highlight w:val="none"/>
                <w:lang w:eastAsia="zh-CN"/>
              </w:rPr>
              <w:t xml:space="preserve"> </w:t>
            </w:r>
            <w:r>
              <w:rPr>
                <w:spacing w:val="-11"/>
                <w:highlight w:val="none"/>
                <w:lang w:eastAsia="zh-CN"/>
              </w:rPr>
              <w:t>分；</w:t>
            </w:r>
          </w:p>
          <w:p>
            <w:pPr>
              <w:pStyle w:val="139"/>
              <w:spacing w:before="61" w:line="247" w:lineRule="auto"/>
              <w:ind w:right="180"/>
              <w:rPr>
                <w:rFonts w:ascii="Times New Roman" w:hAnsi="Times New Roman"/>
                <w:highlight w:val="none"/>
              </w:rPr>
            </w:pPr>
            <w:r>
              <w:rPr>
                <w:spacing w:val="-13"/>
                <w:highlight w:val="none"/>
              </w:rPr>
              <w:t>④</w:t>
            </w:r>
            <w:r>
              <w:rPr>
                <w:spacing w:val="-1"/>
                <w:highlight w:val="none"/>
              </w:rPr>
              <w:t>未提供不</w:t>
            </w:r>
            <w:r>
              <w:rPr>
                <w:rFonts w:hint="eastAsia"/>
                <w:spacing w:val="-1"/>
                <w:highlight w:val="none"/>
                <w:lang w:eastAsia="zh-CN"/>
              </w:rPr>
              <w:t>得</w:t>
            </w:r>
            <w:r>
              <w:rPr>
                <w:spacing w:val="-1"/>
                <w:highlight w:val="none"/>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工程进度计划与措 施（3分）</w:t>
            </w:r>
          </w:p>
        </w:tc>
        <w:tc>
          <w:tcPr>
            <w:tcW w:w="4950" w:type="dxa"/>
            <w:noWrap/>
            <w:vAlign w:val="center"/>
          </w:tcPr>
          <w:p>
            <w:pPr>
              <w:pStyle w:val="139"/>
              <w:spacing w:before="152" w:line="247" w:lineRule="auto"/>
              <w:ind w:right="101"/>
              <w:rPr>
                <w:highlight w:val="none"/>
                <w:lang w:eastAsia="zh-CN"/>
              </w:rPr>
            </w:pPr>
            <w:r>
              <w:rPr>
                <w:spacing w:val="-1"/>
                <w:highlight w:val="none"/>
                <w:lang w:eastAsia="zh-CN"/>
              </w:rPr>
              <w:t xml:space="preserve">①对本项目的工期及关键节点 </w:t>
            </w:r>
            <w:r>
              <w:rPr>
                <w:spacing w:val="-5"/>
                <w:highlight w:val="none"/>
                <w:lang w:eastAsia="zh-CN"/>
              </w:rPr>
              <w:t>工期的重要性理解透彻，工期保</w:t>
            </w:r>
            <w:r>
              <w:rPr>
                <w:spacing w:val="-1"/>
                <w:highlight w:val="none"/>
                <w:lang w:eastAsia="zh-CN"/>
              </w:rPr>
              <w:t>证措施得当，进度计划安排合</w:t>
            </w:r>
            <w:r>
              <w:rPr>
                <w:spacing w:val="7"/>
                <w:highlight w:val="none"/>
                <w:lang w:eastAsia="zh-CN"/>
              </w:rPr>
              <w:t xml:space="preserve"> </w:t>
            </w:r>
            <w:r>
              <w:rPr>
                <w:spacing w:val="-22"/>
                <w:highlight w:val="none"/>
                <w:lang w:eastAsia="zh-CN"/>
              </w:rPr>
              <w:t>理，</w:t>
            </w:r>
            <w:r>
              <w:rPr>
                <w:spacing w:val="-26"/>
                <w:highlight w:val="none"/>
                <w:lang w:eastAsia="zh-CN"/>
              </w:rPr>
              <w:t xml:space="preserve"> </w:t>
            </w:r>
            <w:r>
              <w:rPr>
                <w:spacing w:val="-22"/>
                <w:highlight w:val="none"/>
                <w:lang w:eastAsia="zh-CN"/>
              </w:rPr>
              <w:t>得</w:t>
            </w:r>
            <w:r>
              <w:rPr>
                <w:spacing w:val="-40"/>
                <w:highlight w:val="none"/>
                <w:lang w:eastAsia="zh-CN"/>
              </w:rPr>
              <w:t xml:space="preserve"> </w:t>
            </w:r>
            <w:r>
              <w:rPr>
                <w:rFonts w:hint="eastAsia"/>
                <w:spacing w:val="-22"/>
                <w:highlight w:val="none"/>
                <w:lang w:eastAsia="zh-CN"/>
              </w:rPr>
              <w:t>3</w:t>
            </w:r>
            <w:r>
              <w:rPr>
                <w:spacing w:val="-22"/>
                <w:highlight w:val="none"/>
                <w:lang w:eastAsia="zh-CN"/>
              </w:rPr>
              <w:t>分；</w:t>
            </w:r>
          </w:p>
          <w:p>
            <w:pPr>
              <w:pStyle w:val="139"/>
              <w:spacing w:before="62" w:line="247" w:lineRule="auto"/>
              <w:ind w:right="101"/>
              <w:rPr>
                <w:highlight w:val="none"/>
                <w:lang w:eastAsia="zh-CN"/>
              </w:rPr>
            </w:pPr>
            <w:r>
              <w:rPr>
                <w:spacing w:val="-5"/>
                <w:highlight w:val="none"/>
                <w:lang w:eastAsia="zh-CN"/>
              </w:rPr>
              <w:t>②工期保证措施比较可靠，进度</w:t>
            </w:r>
            <w:r>
              <w:rPr>
                <w:spacing w:val="12"/>
                <w:highlight w:val="none"/>
                <w:lang w:eastAsia="zh-CN"/>
              </w:rPr>
              <w:t xml:space="preserve"> </w:t>
            </w:r>
            <w:r>
              <w:rPr>
                <w:spacing w:val="-4"/>
                <w:highlight w:val="none"/>
                <w:lang w:eastAsia="zh-CN"/>
              </w:rPr>
              <w:t>计划安排较合理，得</w:t>
            </w:r>
            <w:r>
              <w:rPr>
                <w:rFonts w:hint="eastAsia"/>
                <w:spacing w:val="-42"/>
                <w:highlight w:val="none"/>
                <w:lang w:eastAsia="zh-CN"/>
              </w:rPr>
              <w:t>2</w:t>
            </w:r>
            <w:r>
              <w:rPr>
                <w:spacing w:val="-4"/>
                <w:highlight w:val="none"/>
                <w:lang w:eastAsia="zh-CN"/>
              </w:rPr>
              <w:t>分；</w:t>
            </w:r>
          </w:p>
          <w:p>
            <w:pPr>
              <w:pStyle w:val="139"/>
              <w:spacing w:before="62" w:line="247" w:lineRule="auto"/>
              <w:ind w:right="101"/>
              <w:rPr>
                <w:highlight w:val="none"/>
                <w:lang w:eastAsia="zh-CN"/>
              </w:rPr>
            </w:pPr>
            <w:r>
              <w:rPr>
                <w:spacing w:val="-5"/>
                <w:highlight w:val="none"/>
                <w:lang w:eastAsia="zh-CN"/>
              </w:rPr>
              <w:t>③工期保证措施一般，进度计划</w:t>
            </w:r>
            <w:r>
              <w:rPr>
                <w:spacing w:val="12"/>
                <w:highlight w:val="none"/>
                <w:lang w:eastAsia="zh-CN"/>
              </w:rPr>
              <w:t xml:space="preserve"> </w:t>
            </w:r>
            <w:r>
              <w:rPr>
                <w:spacing w:val="-17"/>
                <w:highlight w:val="none"/>
                <w:lang w:eastAsia="zh-CN"/>
              </w:rPr>
              <w:t>安排一般，</w:t>
            </w:r>
            <w:r>
              <w:rPr>
                <w:spacing w:val="-16"/>
                <w:highlight w:val="none"/>
                <w:lang w:eastAsia="zh-CN"/>
              </w:rPr>
              <w:t xml:space="preserve"> </w:t>
            </w:r>
            <w:r>
              <w:rPr>
                <w:spacing w:val="-17"/>
                <w:highlight w:val="none"/>
                <w:lang w:eastAsia="zh-CN"/>
              </w:rPr>
              <w:t>得</w:t>
            </w:r>
            <w:r>
              <w:rPr>
                <w:spacing w:val="-28"/>
                <w:highlight w:val="none"/>
                <w:lang w:eastAsia="zh-CN"/>
              </w:rPr>
              <w:t xml:space="preserve"> </w:t>
            </w:r>
            <w:r>
              <w:rPr>
                <w:spacing w:val="-17"/>
                <w:highlight w:val="none"/>
                <w:lang w:eastAsia="zh-CN"/>
              </w:rPr>
              <w:t>1</w:t>
            </w:r>
            <w:r>
              <w:rPr>
                <w:spacing w:val="-44"/>
                <w:highlight w:val="none"/>
                <w:lang w:eastAsia="zh-CN"/>
              </w:rPr>
              <w:t xml:space="preserve"> </w:t>
            </w:r>
            <w:r>
              <w:rPr>
                <w:spacing w:val="-17"/>
                <w:highlight w:val="none"/>
                <w:lang w:eastAsia="zh-CN"/>
              </w:rPr>
              <w:t>分；</w:t>
            </w:r>
          </w:p>
          <w:p>
            <w:pPr>
              <w:pStyle w:val="141"/>
              <w:spacing w:line="360" w:lineRule="auto"/>
              <w:rPr>
                <w:rFonts w:ascii="Times New Roman"/>
                <w:color w:val="auto"/>
                <w:szCs w:val="21"/>
                <w:highlight w:val="none"/>
              </w:rPr>
            </w:pPr>
            <w:r>
              <w:rPr>
                <w:spacing w:val="-13"/>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资源配备计划（3分）</w:t>
            </w:r>
          </w:p>
        </w:tc>
        <w:tc>
          <w:tcPr>
            <w:tcW w:w="4950" w:type="dxa"/>
            <w:noWrap/>
            <w:vAlign w:val="center"/>
          </w:tcPr>
          <w:p>
            <w:pPr>
              <w:pStyle w:val="139"/>
              <w:spacing w:before="153" w:line="218" w:lineRule="auto"/>
              <w:rPr>
                <w:highlight w:val="none"/>
                <w:lang w:eastAsia="zh-CN"/>
              </w:rPr>
            </w:pPr>
            <w:r>
              <w:rPr>
                <w:spacing w:val="-5"/>
                <w:highlight w:val="none"/>
                <w:lang w:eastAsia="zh-CN"/>
              </w:rPr>
              <w:t>①劳动力安排、材料、机械设备</w:t>
            </w:r>
            <w:r>
              <w:rPr>
                <w:spacing w:val="-1"/>
                <w:highlight w:val="none"/>
                <w:lang w:eastAsia="zh-CN"/>
              </w:rPr>
              <w:t>投入计划与施工进度计划一</w:t>
            </w:r>
            <w:r>
              <w:rPr>
                <w:spacing w:val="-5"/>
                <w:highlight w:val="none"/>
                <w:lang w:eastAsia="zh-CN"/>
              </w:rPr>
              <w:t>致，配备的设备（含检测、监测</w:t>
            </w:r>
            <w:r>
              <w:rPr>
                <w:spacing w:val="8"/>
                <w:highlight w:val="none"/>
                <w:lang w:eastAsia="zh-CN"/>
              </w:rPr>
              <w:t xml:space="preserve"> </w:t>
            </w:r>
            <w:r>
              <w:rPr>
                <w:spacing w:val="-5"/>
                <w:highlight w:val="none"/>
                <w:lang w:eastAsia="zh-CN"/>
              </w:rPr>
              <w:t>设备）和施工机具种类、数量完全满足施工要求，得</w:t>
            </w:r>
            <w:r>
              <w:rPr>
                <w:spacing w:val="-30"/>
                <w:highlight w:val="none"/>
                <w:lang w:eastAsia="zh-CN"/>
              </w:rPr>
              <w:t xml:space="preserve"> </w:t>
            </w:r>
            <w:r>
              <w:rPr>
                <w:rFonts w:hint="eastAsia"/>
                <w:spacing w:val="-5"/>
                <w:highlight w:val="none"/>
                <w:lang w:eastAsia="zh-CN"/>
              </w:rPr>
              <w:t>3</w:t>
            </w:r>
            <w:r>
              <w:rPr>
                <w:spacing w:val="-5"/>
                <w:highlight w:val="none"/>
                <w:lang w:eastAsia="zh-CN"/>
              </w:rPr>
              <w:t>分；</w:t>
            </w:r>
          </w:p>
          <w:p>
            <w:pPr>
              <w:pStyle w:val="139"/>
              <w:spacing w:before="61" w:line="218" w:lineRule="auto"/>
              <w:rPr>
                <w:highlight w:val="none"/>
                <w:lang w:eastAsia="zh-CN"/>
              </w:rPr>
            </w:pPr>
            <w:r>
              <w:rPr>
                <w:spacing w:val="-5"/>
                <w:highlight w:val="none"/>
                <w:lang w:eastAsia="zh-CN"/>
              </w:rPr>
              <w:t>②劳动力安排、材料、机械投入</w:t>
            </w:r>
            <w:r>
              <w:rPr>
                <w:spacing w:val="-1"/>
                <w:highlight w:val="none"/>
                <w:lang w:eastAsia="zh-CN"/>
              </w:rPr>
              <w:t xml:space="preserve">计划与施工进度计划基本一  </w:t>
            </w:r>
            <w:r>
              <w:rPr>
                <w:spacing w:val="-5"/>
                <w:highlight w:val="none"/>
                <w:lang w:eastAsia="zh-CN"/>
              </w:rPr>
              <w:t>致，配备的设备（含检测、监测</w:t>
            </w:r>
            <w:r>
              <w:rPr>
                <w:spacing w:val="8"/>
                <w:highlight w:val="none"/>
                <w:lang w:eastAsia="zh-CN"/>
              </w:rPr>
              <w:t xml:space="preserve"> </w:t>
            </w:r>
            <w:r>
              <w:rPr>
                <w:spacing w:val="-5"/>
                <w:highlight w:val="none"/>
                <w:lang w:eastAsia="zh-CN"/>
              </w:rPr>
              <w:t>设备）和施工机具种类、数量基本满足施工要求，得</w:t>
            </w:r>
            <w:r>
              <w:rPr>
                <w:rFonts w:hint="eastAsia"/>
                <w:spacing w:val="-5"/>
                <w:highlight w:val="none"/>
                <w:lang w:eastAsia="zh-CN"/>
              </w:rPr>
              <w:t>2</w:t>
            </w:r>
            <w:r>
              <w:rPr>
                <w:spacing w:val="-5"/>
                <w:highlight w:val="none"/>
                <w:lang w:eastAsia="zh-CN"/>
              </w:rPr>
              <w:t>分；</w:t>
            </w:r>
          </w:p>
          <w:p>
            <w:pPr>
              <w:pStyle w:val="139"/>
              <w:spacing w:before="61" w:line="261" w:lineRule="auto"/>
              <w:ind w:right="61"/>
              <w:rPr>
                <w:highlight w:val="none"/>
                <w:lang w:eastAsia="zh-CN"/>
              </w:rPr>
            </w:pPr>
            <w:r>
              <w:rPr>
                <w:spacing w:val="-5"/>
                <w:highlight w:val="none"/>
                <w:lang w:eastAsia="zh-CN"/>
              </w:rPr>
              <w:t>③劳动力安排、材料、机械投入</w:t>
            </w:r>
            <w:r>
              <w:rPr>
                <w:spacing w:val="12"/>
                <w:highlight w:val="none"/>
                <w:lang w:eastAsia="zh-CN"/>
              </w:rPr>
              <w:t xml:space="preserve"> </w:t>
            </w:r>
            <w:r>
              <w:rPr>
                <w:spacing w:val="-5"/>
                <w:highlight w:val="none"/>
                <w:lang w:eastAsia="zh-CN"/>
              </w:rPr>
              <w:t>计划与施工进度计划不一致，配</w:t>
            </w:r>
            <w:r>
              <w:rPr>
                <w:spacing w:val="10"/>
                <w:highlight w:val="none"/>
                <w:lang w:eastAsia="zh-CN"/>
              </w:rPr>
              <w:t xml:space="preserve"> </w:t>
            </w:r>
            <w:r>
              <w:rPr>
                <w:spacing w:val="-2"/>
                <w:highlight w:val="none"/>
                <w:lang w:eastAsia="zh-CN"/>
              </w:rPr>
              <w:t>备的设备（含检测、监测设备）</w:t>
            </w:r>
            <w:r>
              <w:rPr>
                <w:spacing w:val="9"/>
                <w:highlight w:val="none"/>
                <w:lang w:eastAsia="zh-CN"/>
              </w:rPr>
              <w:t xml:space="preserve"> </w:t>
            </w:r>
            <w:r>
              <w:rPr>
                <w:spacing w:val="-5"/>
                <w:highlight w:val="none"/>
                <w:lang w:eastAsia="zh-CN"/>
              </w:rPr>
              <w:t>或施工机具种类、数量不满足施</w:t>
            </w:r>
            <w:r>
              <w:rPr>
                <w:rFonts w:hint="eastAsia"/>
                <w:spacing w:val="-5"/>
                <w:highlight w:val="none"/>
                <w:lang w:eastAsia="zh-CN"/>
              </w:rPr>
              <w:t>工要求，得1分。</w:t>
            </w:r>
          </w:p>
          <w:p>
            <w:pPr>
              <w:pStyle w:val="141"/>
              <w:spacing w:line="360" w:lineRule="auto"/>
              <w:rPr>
                <w:rFonts w:ascii="Times New Roman"/>
                <w:color w:val="auto"/>
                <w:szCs w:val="21"/>
                <w:highlight w:val="none"/>
              </w:rPr>
            </w:pPr>
            <w:r>
              <w:rPr>
                <w:spacing w:val="-13"/>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w:t>
            </w:r>
            <w:r>
              <w:rPr>
                <w:rFonts w:hint="eastAsia" w:ascii="Times New Roman" w:hAnsi="Times New Roman"/>
                <w:szCs w:val="21"/>
                <w:highlight w:val="none"/>
              </w:rPr>
              <w:t>(</w:t>
            </w:r>
            <w:r>
              <w:rPr>
                <w:rFonts w:ascii="Times New Roman" w:hAnsi="Times New Roman"/>
                <w:szCs w:val="21"/>
                <w:highlight w:val="none"/>
              </w:rPr>
              <w:t>2</w:t>
            </w:r>
            <w:r>
              <w:rPr>
                <w:rFonts w:hint="eastAsia" w:ascii="Times New Roman" w:hAnsi="Times New Roman"/>
                <w:szCs w:val="21"/>
                <w:highlight w:val="none"/>
              </w:rPr>
              <w:t>)</w:t>
            </w:r>
          </w:p>
        </w:tc>
        <w:tc>
          <w:tcPr>
            <w:tcW w:w="1124" w:type="dxa"/>
            <w:vMerge w:val="restart"/>
            <w:noWrap/>
            <w:vAlign w:val="center"/>
          </w:tcPr>
          <w:p>
            <w:pPr>
              <w:snapToGrid w:val="0"/>
              <w:spacing w:line="360" w:lineRule="auto"/>
              <w:jc w:val="center"/>
              <w:rPr>
                <w:highlight w:val="none"/>
              </w:rPr>
            </w:pPr>
            <w:r>
              <w:rPr>
                <w:highlight w:val="none"/>
              </w:rPr>
              <w:t>项目管理机构评分标准</w:t>
            </w:r>
          </w:p>
          <w:p>
            <w:pPr>
              <w:snapToGrid w:val="0"/>
              <w:spacing w:line="360" w:lineRule="auto"/>
              <w:jc w:val="center"/>
              <w:rPr>
                <w:rFonts w:ascii="Times New Roman" w:hAnsi="Times New Roman"/>
                <w:szCs w:val="21"/>
                <w:highlight w:val="none"/>
              </w:rPr>
            </w:pPr>
            <w:r>
              <w:rPr>
                <w:rFonts w:hint="eastAsia"/>
                <w:highlight w:val="none"/>
              </w:rPr>
              <w:t>（5分）</w:t>
            </w:r>
          </w:p>
        </w:tc>
        <w:tc>
          <w:tcPr>
            <w:tcW w:w="2147" w:type="dxa"/>
            <w:noWrap/>
            <w:vAlign w:val="center"/>
          </w:tcPr>
          <w:p>
            <w:pPr>
              <w:pStyle w:val="141"/>
              <w:jc w:val="center"/>
              <w:rPr>
                <w:rFonts w:ascii="Times New Roman" w:cs="Times New Roman"/>
                <w:color w:val="auto"/>
                <w:sz w:val="21"/>
                <w:szCs w:val="21"/>
                <w:highlight w:val="none"/>
              </w:rPr>
            </w:pPr>
            <w:r>
              <w:rPr>
                <w:rFonts w:ascii="Times New Roman" w:cs="Times New Roman"/>
                <w:color w:val="auto"/>
                <w:sz w:val="21"/>
                <w:szCs w:val="21"/>
                <w:highlight w:val="none"/>
              </w:rPr>
              <w:t>项目经理</w:t>
            </w:r>
            <w:r>
              <w:rPr>
                <w:rFonts w:hint="eastAsia" w:ascii="Times New Roman" w:cs="Times New Roman"/>
                <w:color w:val="auto"/>
                <w:sz w:val="21"/>
                <w:szCs w:val="21"/>
                <w:highlight w:val="none"/>
              </w:rPr>
              <w:t>业绩</w:t>
            </w:r>
          </w:p>
          <w:p>
            <w:pPr>
              <w:pStyle w:val="141"/>
              <w:jc w:val="center"/>
              <w:rPr>
                <w:rFonts w:ascii="Times New Roman" w:cs="Times New Roman"/>
                <w:color w:val="auto"/>
                <w:szCs w:val="21"/>
                <w:highlight w:val="none"/>
              </w:rPr>
            </w:pPr>
            <w:r>
              <w:rPr>
                <w:rFonts w:hint="eastAsia" w:ascii="Times New Roman" w:cs="Times New Roman"/>
                <w:color w:val="auto"/>
                <w:sz w:val="21"/>
                <w:szCs w:val="21"/>
                <w:highlight w:val="none"/>
              </w:rPr>
              <w:t>（3分）</w:t>
            </w:r>
          </w:p>
        </w:tc>
        <w:tc>
          <w:tcPr>
            <w:tcW w:w="4950" w:type="dxa"/>
            <w:noWrap/>
            <w:vAlign w:val="center"/>
          </w:tcPr>
          <w:p>
            <w:pPr>
              <w:snapToGrid w:val="0"/>
              <w:spacing w:line="360" w:lineRule="auto"/>
              <w:jc w:val="left"/>
              <w:rPr>
                <w:rFonts w:ascii="Times New Roman" w:hAnsi="Times New Roman"/>
                <w:szCs w:val="21"/>
                <w:highlight w:val="none"/>
              </w:rPr>
            </w:pPr>
            <w:r>
              <w:rPr>
                <w:spacing w:val="-1"/>
                <w:highlight w:val="none"/>
              </w:rPr>
              <w:t>项目经理具有类似内容施工业</w:t>
            </w:r>
            <w:r>
              <w:rPr>
                <w:spacing w:val="-7"/>
                <w:highlight w:val="none"/>
              </w:rPr>
              <w:t>绩的，每提供一个得</w:t>
            </w:r>
            <w:r>
              <w:rPr>
                <w:spacing w:val="-26"/>
                <w:highlight w:val="none"/>
              </w:rPr>
              <w:t xml:space="preserve"> </w:t>
            </w:r>
            <w:r>
              <w:rPr>
                <w:spacing w:val="-7"/>
                <w:highlight w:val="none"/>
              </w:rPr>
              <w:t>1</w:t>
            </w:r>
            <w:r>
              <w:rPr>
                <w:spacing w:val="-44"/>
                <w:highlight w:val="none"/>
              </w:rPr>
              <w:t xml:space="preserve"> </w:t>
            </w:r>
            <w:r>
              <w:rPr>
                <w:spacing w:val="-7"/>
                <w:highlight w:val="none"/>
              </w:rPr>
              <w:t>分，最多</w:t>
            </w:r>
            <w:r>
              <w:rPr>
                <w:spacing w:val="-6"/>
                <w:highlight w:val="none"/>
              </w:rPr>
              <w:t>得</w:t>
            </w:r>
            <w:r>
              <w:rPr>
                <w:spacing w:val="-40"/>
                <w:highlight w:val="none"/>
              </w:rPr>
              <w:t xml:space="preserve"> </w:t>
            </w:r>
            <w:r>
              <w:rPr>
                <w:rFonts w:hint="eastAsia"/>
                <w:spacing w:val="-6"/>
                <w:highlight w:val="none"/>
              </w:rPr>
              <w:t>3</w:t>
            </w:r>
            <w:r>
              <w:rPr>
                <w:spacing w:val="-6"/>
                <w:highlight w:val="none"/>
              </w:rPr>
              <w:t>分。以合同协议书和验收鉴定书为准。 (需在全国水利建设</w:t>
            </w:r>
            <w:r>
              <w:rPr>
                <w:spacing w:val="4"/>
                <w:highlight w:val="none"/>
              </w:rPr>
              <w:t>市场监管服务平台可查或在全国建筑市场监管公共服务平台</w:t>
            </w:r>
            <w:r>
              <w:rPr>
                <w:spacing w:val="-9"/>
                <w:highlight w:val="none"/>
              </w:rPr>
              <w:t>可查，需附网站查询截图。）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napToGrid w:val="0"/>
              <w:spacing w:line="360" w:lineRule="auto"/>
              <w:jc w:val="center"/>
              <w:rPr>
                <w:rFonts w:ascii="Times New Roman" w:hAnsi="Times New Roman"/>
                <w:szCs w:val="21"/>
                <w:highlight w:val="none"/>
              </w:rPr>
            </w:pPr>
          </w:p>
        </w:tc>
        <w:tc>
          <w:tcPr>
            <w:tcW w:w="2147" w:type="dxa"/>
            <w:noWrap/>
            <w:vAlign w:val="center"/>
          </w:tcPr>
          <w:p>
            <w:pPr>
              <w:pStyle w:val="141"/>
              <w:jc w:val="center"/>
              <w:rPr>
                <w:rFonts w:ascii="Times New Roman" w:cs="Times New Roman"/>
                <w:color w:val="auto"/>
                <w:kern w:val="2"/>
                <w:sz w:val="21"/>
                <w:szCs w:val="21"/>
                <w:highlight w:val="none"/>
              </w:rPr>
            </w:pPr>
            <w:r>
              <w:rPr>
                <w:rFonts w:hint="eastAsia" w:ascii="Times New Roman" w:cs="Times New Roman"/>
                <w:color w:val="auto"/>
                <w:sz w:val="21"/>
                <w:szCs w:val="21"/>
                <w:highlight w:val="none"/>
              </w:rPr>
              <w:t>技术负责人职称（2分）</w:t>
            </w:r>
          </w:p>
        </w:tc>
        <w:tc>
          <w:tcPr>
            <w:tcW w:w="4950" w:type="dxa"/>
            <w:noWrap/>
            <w:vAlign w:val="center"/>
          </w:tcPr>
          <w:p>
            <w:pPr>
              <w:snapToGrid w:val="0"/>
              <w:spacing w:line="360" w:lineRule="auto"/>
              <w:jc w:val="left"/>
              <w:rPr>
                <w:rFonts w:ascii="Times New Roman" w:hAnsi="Times New Roman"/>
                <w:szCs w:val="21"/>
                <w:highlight w:val="none"/>
              </w:rPr>
            </w:pPr>
            <w:r>
              <w:rPr>
                <w:spacing w:val="-1"/>
                <w:highlight w:val="none"/>
              </w:rPr>
              <w:t>具有</w:t>
            </w:r>
            <w:r>
              <w:rPr>
                <w:spacing w:val="4"/>
                <w:highlight w:val="none"/>
              </w:rPr>
              <w:t>相关专业</w:t>
            </w:r>
            <w:r>
              <w:rPr>
                <w:rFonts w:hint="eastAsia"/>
                <w:spacing w:val="4"/>
                <w:highlight w:val="none"/>
              </w:rPr>
              <w:t>中</w:t>
            </w:r>
            <w:r>
              <w:rPr>
                <w:spacing w:val="4"/>
                <w:highlight w:val="none"/>
              </w:rPr>
              <w:t>级</w:t>
            </w:r>
            <w:r>
              <w:rPr>
                <w:rFonts w:hint="eastAsia"/>
                <w:spacing w:val="4"/>
                <w:highlight w:val="none"/>
              </w:rPr>
              <w:t>及以上</w:t>
            </w:r>
            <w:r>
              <w:rPr>
                <w:spacing w:val="4"/>
                <w:highlight w:val="none"/>
              </w:rPr>
              <w:t>技术职称</w:t>
            </w:r>
            <w:r>
              <w:rPr>
                <w:spacing w:val="-7"/>
                <w:highlight w:val="none"/>
              </w:rPr>
              <w:t>的得</w:t>
            </w:r>
            <w:r>
              <w:rPr>
                <w:spacing w:val="-23"/>
                <w:highlight w:val="none"/>
              </w:rPr>
              <w:t xml:space="preserve"> </w:t>
            </w:r>
            <w:r>
              <w:rPr>
                <w:rFonts w:hint="eastAsia"/>
                <w:spacing w:val="-7"/>
                <w:highlight w:val="none"/>
              </w:rPr>
              <w:t>2</w:t>
            </w:r>
            <w:r>
              <w:rPr>
                <w:spacing w:val="-7"/>
                <w:highlight w:val="none"/>
              </w:rPr>
              <w:t>分；其他技术职称或不提</w:t>
            </w:r>
            <w:r>
              <w:rPr>
                <w:spacing w:val="-6"/>
                <w:highlight w:val="none"/>
              </w:rPr>
              <w:t>供的得</w:t>
            </w:r>
            <w:r>
              <w:rPr>
                <w:spacing w:val="-39"/>
                <w:highlight w:val="none"/>
              </w:rPr>
              <w:t xml:space="preserve"> </w:t>
            </w:r>
            <w:r>
              <w:rPr>
                <w:spacing w:val="-6"/>
                <w:highlight w:val="none"/>
              </w:rPr>
              <w:t>0</w:t>
            </w:r>
            <w:r>
              <w:rPr>
                <w:spacing w:val="-41"/>
                <w:highlight w:val="none"/>
              </w:rPr>
              <w:t xml:space="preserve"> </w:t>
            </w:r>
            <w:r>
              <w:rPr>
                <w:spacing w:val="-6"/>
                <w:highlight w:val="none"/>
              </w:rPr>
              <w:t>分。</w:t>
            </w:r>
            <w:r>
              <w:rPr>
                <w:rFonts w:hint="eastAsia"/>
                <w:spacing w:val="-6"/>
                <w:highlight w:val="none"/>
              </w:rPr>
              <w:t>最多得2分。</w:t>
            </w:r>
            <w:r>
              <w:rPr>
                <w:spacing w:val="-6"/>
                <w:highlight w:val="none"/>
              </w:rPr>
              <w:t>以职称证书和劳动合同为准。 (需在全国水利建设</w:t>
            </w:r>
            <w:r>
              <w:rPr>
                <w:spacing w:val="4"/>
                <w:highlight w:val="none"/>
              </w:rPr>
              <w:t>市场监管服务平台可查或在全国建筑市场监管公共服务平台</w:t>
            </w:r>
            <w:r>
              <w:rPr>
                <w:spacing w:val="-9"/>
                <w:highlight w:val="none"/>
              </w:rPr>
              <w:t>可查，需附网站查询截图。）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2.2.4(3)</w:t>
            </w:r>
          </w:p>
        </w:tc>
        <w:tc>
          <w:tcPr>
            <w:tcW w:w="1124"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投标报价评分标准</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w:t>
            </w:r>
            <w:r>
              <w:rPr>
                <w:rFonts w:hint="eastAsia" w:ascii="Times New Roman" w:hAnsi="Times New Roman"/>
                <w:szCs w:val="21"/>
                <w:highlight w:val="none"/>
                <w:lang w:val="en-US" w:eastAsia="zh-CN"/>
              </w:rPr>
              <w:t>55</w:t>
            </w:r>
            <w:r>
              <w:rPr>
                <w:rFonts w:hint="eastAsia" w:ascii="Times New Roman" w:hAnsi="Times New Roman"/>
                <w:szCs w:val="21"/>
                <w:highlight w:val="none"/>
              </w:rPr>
              <w:t>分）</w:t>
            </w:r>
          </w:p>
        </w:tc>
        <w:tc>
          <w:tcPr>
            <w:tcW w:w="2147" w:type="dxa"/>
            <w:noWrap/>
            <w:vAlign w:val="center"/>
          </w:tcPr>
          <w:p>
            <w:pPr>
              <w:widowControl/>
              <w:shd w:val="clear" w:color="auto" w:fill="FFFFFF"/>
              <w:adjustRightInd w:val="0"/>
              <w:snapToGrid w:val="0"/>
              <w:spacing w:line="360" w:lineRule="auto"/>
              <w:jc w:val="center"/>
              <w:rPr>
                <w:rFonts w:ascii="Times New Roman" w:hAnsi="Times New Roman"/>
                <w:highlight w:val="none"/>
              </w:rPr>
            </w:pPr>
            <w:r>
              <w:rPr>
                <w:rFonts w:ascii="Times New Roman" w:hAnsi="Times New Roman"/>
                <w:szCs w:val="21"/>
                <w:highlight w:val="none"/>
              </w:rPr>
              <w:t>投标报价</w:t>
            </w:r>
          </w:p>
          <w:p>
            <w:pPr>
              <w:widowControl/>
              <w:shd w:val="clear" w:color="auto" w:fill="FFFFFF"/>
              <w:adjustRightInd w:val="0"/>
              <w:snapToGrid w:val="0"/>
              <w:spacing w:line="360" w:lineRule="auto"/>
              <w:jc w:val="center"/>
              <w:rPr>
                <w:rFonts w:ascii="Times New Roman" w:hAnsi="Times New Roman"/>
                <w:szCs w:val="21"/>
                <w:highlight w:val="none"/>
              </w:rPr>
            </w:pPr>
            <w:r>
              <w:rPr>
                <w:rFonts w:hint="eastAsia" w:ascii="Times New Roman" w:hAnsi="Times New Roman"/>
                <w:highlight w:val="none"/>
              </w:rPr>
              <w:t>（55分）</w:t>
            </w:r>
          </w:p>
        </w:tc>
        <w:tc>
          <w:tcPr>
            <w:tcW w:w="4950" w:type="dxa"/>
            <w:noWrap/>
            <w:vAlign w:val="center"/>
          </w:tcPr>
          <w:p>
            <w:pPr>
              <w:wordWrap w:val="0"/>
              <w:snapToGrid w:val="0"/>
              <w:spacing w:line="400" w:lineRule="exact"/>
              <w:jc w:val="left"/>
              <w:rPr>
                <w:szCs w:val="21"/>
                <w:highlight w:val="none"/>
              </w:rPr>
            </w:pPr>
            <w:r>
              <w:rPr>
                <w:rFonts w:hint="eastAsia"/>
                <w:szCs w:val="21"/>
                <w:highlight w:val="none"/>
              </w:rPr>
              <w:t>方法一：投标人的投标价等于评标基准价者得</w:t>
            </w:r>
            <w:r>
              <w:rPr>
                <w:rFonts w:hint="eastAsia"/>
                <w:szCs w:val="21"/>
                <w:highlight w:val="none"/>
                <w:u w:val="single"/>
              </w:rPr>
              <w:t>55</w:t>
            </w:r>
            <w:r>
              <w:rPr>
                <w:rFonts w:hint="eastAsia"/>
                <w:szCs w:val="21"/>
                <w:highlight w:val="none"/>
              </w:rPr>
              <w:t>分；</w:t>
            </w:r>
          </w:p>
          <w:p>
            <w:pPr>
              <w:wordWrap w:val="0"/>
              <w:snapToGrid w:val="0"/>
              <w:spacing w:line="400" w:lineRule="exact"/>
              <w:jc w:val="left"/>
              <w:rPr>
                <w:szCs w:val="21"/>
                <w:highlight w:val="none"/>
              </w:rPr>
            </w:pPr>
            <w:r>
              <w:rPr>
                <w:rFonts w:hint="eastAsia"/>
                <w:szCs w:val="21"/>
                <w:highlight w:val="none"/>
              </w:rPr>
              <w:t>（1）每高于评标基准价</w:t>
            </w:r>
            <w:r>
              <w:rPr>
                <w:szCs w:val="21"/>
                <w:highlight w:val="none"/>
                <w:u w:val="single"/>
              </w:rPr>
              <w:t xml:space="preserve"> </w:t>
            </w:r>
            <w:r>
              <w:rPr>
                <w:rFonts w:hint="eastAsia"/>
                <w:szCs w:val="21"/>
                <w:highlight w:val="none"/>
                <w:u w:val="single"/>
              </w:rPr>
              <w:t xml:space="preserve">1 </w:t>
            </w:r>
            <w:r>
              <w:rPr>
                <w:rFonts w:hint="eastAsia"/>
                <w:szCs w:val="21"/>
                <w:highlight w:val="none"/>
              </w:rPr>
              <w:t>%的减</w:t>
            </w:r>
            <w:r>
              <w:rPr>
                <w:szCs w:val="21"/>
                <w:highlight w:val="none"/>
                <w:u w:val="single"/>
              </w:rPr>
              <w:t xml:space="preserve"> </w:t>
            </w:r>
            <w:r>
              <w:rPr>
                <w:rFonts w:hint="eastAsia"/>
                <w:szCs w:val="21"/>
                <w:highlight w:val="none"/>
                <w:u w:val="single"/>
              </w:rPr>
              <w:t xml:space="preserve">0.1 </w:t>
            </w:r>
            <w:r>
              <w:rPr>
                <w:rFonts w:hint="eastAsia"/>
                <w:szCs w:val="21"/>
                <w:highlight w:val="none"/>
              </w:rPr>
              <w:t>分；</w:t>
            </w:r>
          </w:p>
          <w:p>
            <w:pPr>
              <w:wordWrap w:val="0"/>
              <w:snapToGrid w:val="0"/>
              <w:spacing w:line="400" w:lineRule="exact"/>
              <w:jc w:val="left"/>
              <w:rPr>
                <w:szCs w:val="21"/>
                <w:highlight w:val="none"/>
              </w:rPr>
            </w:pPr>
            <w:r>
              <w:rPr>
                <w:rFonts w:hint="eastAsia"/>
                <w:szCs w:val="21"/>
                <w:highlight w:val="none"/>
              </w:rPr>
              <w:t>（2）每低于评标基准价</w:t>
            </w:r>
            <w:r>
              <w:rPr>
                <w:szCs w:val="21"/>
                <w:highlight w:val="none"/>
                <w:u w:val="single"/>
              </w:rPr>
              <w:t xml:space="preserve"> </w:t>
            </w:r>
            <w:r>
              <w:rPr>
                <w:rFonts w:hint="eastAsia"/>
                <w:szCs w:val="21"/>
                <w:highlight w:val="none"/>
                <w:u w:val="single"/>
              </w:rPr>
              <w:t xml:space="preserve">1 </w:t>
            </w:r>
            <w:r>
              <w:rPr>
                <w:rFonts w:hint="eastAsia"/>
                <w:szCs w:val="21"/>
                <w:highlight w:val="none"/>
              </w:rPr>
              <w:t>%的减</w:t>
            </w:r>
            <w:r>
              <w:rPr>
                <w:szCs w:val="21"/>
                <w:highlight w:val="none"/>
                <w:u w:val="single"/>
              </w:rPr>
              <w:t xml:space="preserve"> </w:t>
            </w:r>
            <w:r>
              <w:rPr>
                <w:rFonts w:hint="eastAsia"/>
                <w:szCs w:val="21"/>
                <w:highlight w:val="none"/>
                <w:u w:val="single"/>
              </w:rPr>
              <w:t xml:space="preserve">0.1 </w:t>
            </w:r>
            <w:r>
              <w:rPr>
                <w:rFonts w:hint="eastAsia"/>
                <w:szCs w:val="21"/>
                <w:highlight w:val="none"/>
              </w:rPr>
              <w:t>分。</w:t>
            </w:r>
          </w:p>
          <w:p>
            <w:pPr>
              <w:pStyle w:val="139"/>
              <w:spacing w:before="63" w:line="247" w:lineRule="auto"/>
              <w:ind w:left="164" w:right="154"/>
              <w:rPr>
                <w:highlight w:val="none"/>
                <w:lang w:eastAsia="zh-CN"/>
              </w:rPr>
            </w:pPr>
            <w:r>
              <w:rPr>
                <w:spacing w:val="-10"/>
                <w:highlight w:val="none"/>
                <w:lang w:eastAsia="zh-CN"/>
              </w:rPr>
              <w:t>不足</w:t>
            </w:r>
            <w:r>
              <w:rPr>
                <w:spacing w:val="-29"/>
                <w:highlight w:val="none"/>
                <w:lang w:eastAsia="zh-CN"/>
              </w:rPr>
              <w:t xml:space="preserve"> </w:t>
            </w:r>
            <w:r>
              <w:rPr>
                <w:spacing w:val="-10"/>
                <w:highlight w:val="none"/>
                <w:lang w:eastAsia="zh-CN"/>
              </w:rPr>
              <w:t>1%时按内插法</w:t>
            </w:r>
            <w:r>
              <w:rPr>
                <w:spacing w:val="-1"/>
                <w:highlight w:val="none"/>
                <w:lang w:eastAsia="zh-CN"/>
              </w:rPr>
              <w:t>计算。得分保留两位小数，</w:t>
            </w:r>
          </w:p>
          <w:p>
            <w:pPr>
              <w:widowControl/>
              <w:jc w:val="left"/>
              <w:rPr>
                <w:rFonts w:ascii="Times New Roman" w:hAnsi="Times New Roman" w:cs="Arial"/>
                <w:highlight w:val="none"/>
              </w:rPr>
            </w:pPr>
            <w:r>
              <w:rPr>
                <w:spacing w:val="-1"/>
                <w:highlight w:val="none"/>
              </w:rPr>
              <w:t>第三位四舍五入。</w:t>
            </w:r>
            <w:r>
              <w:rPr>
                <w:rFonts w:hint="eastAsia"/>
                <w:spacing w:val="-1"/>
                <w:highlight w:val="none"/>
              </w:rPr>
              <w:t>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2.2.4(4)</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其他因素评分标准</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（15分）</w:t>
            </w:r>
          </w:p>
          <w:p>
            <w:pPr>
              <w:spacing w:line="351" w:lineRule="auto"/>
              <w:rPr>
                <w:rFonts w:ascii="Arial"/>
                <w:highlight w:val="none"/>
              </w:rPr>
            </w:pPr>
          </w:p>
          <w:p>
            <w:pPr>
              <w:pStyle w:val="139"/>
              <w:spacing w:before="68" w:line="221" w:lineRule="auto"/>
              <w:ind w:left="238"/>
              <w:rPr>
                <w:highlight w:val="none"/>
                <w:lang w:eastAsia="zh-CN"/>
              </w:rPr>
            </w:pPr>
          </w:p>
          <w:p>
            <w:pPr>
              <w:spacing w:line="286" w:lineRule="auto"/>
              <w:rPr>
                <w:rFonts w:ascii="Arial"/>
                <w:highlight w:val="none"/>
              </w:rPr>
            </w:pPr>
          </w:p>
          <w:p>
            <w:pPr>
              <w:pStyle w:val="139"/>
              <w:spacing w:before="68" w:line="221" w:lineRule="auto"/>
              <w:ind w:left="339"/>
              <w:rPr>
                <w:highlight w:val="none"/>
                <w:lang w:eastAsia="zh-CN"/>
              </w:rPr>
            </w:pPr>
          </w:p>
          <w:p>
            <w:pPr>
              <w:spacing w:line="243" w:lineRule="auto"/>
              <w:rPr>
                <w:rFonts w:ascii="Arial"/>
                <w:highlight w:val="none"/>
              </w:rPr>
            </w:pPr>
          </w:p>
          <w:p>
            <w:pPr>
              <w:pStyle w:val="139"/>
              <w:spacing w:before="68" w:line="221" w:lineRule="auto"/>
              <w:ind w:left="550"/>
              <w:rPr>
                <w:highlight w:val="none"/>
                <w:lang w:eastAsia="zh-CN"/>
              </w:rPr>
            </w:pPr>
          </w:p>
        </w:tc>
        <w:tc>
          <w:tcPr>
            <w:tcW w:w="2147" w:type="dxa"/>
            <w:noWrap/>
            <w:vAlign w:val="center"/>
          </w:tcPr>
          <w:p>
            <w:pPr>
              <w:pStyle w:val="141"/>
              <w:jc w:val="center"/>
              <w:rPr>
                <w:rFonts w:ascii="Times New Roman" w:cs="Times New Roman"/>
                <w:color w:val="auto"/>
                <w:szCs w:val="21"/>
                <w:highlight w:val="none"/>
              </w:rPr>
            </w:pPr>
            <w:r>
              <w:rPr>
                <w:rFonts w:hint="eastAsia" w:ascii="Times New Roman" w:cs="Times New Roman"/>
                <w:color w:val="auto"/>
                <w:sz w:val="21"/>
                <w:szCs w:val="21"/>
                <w:highlight w:val="none"/>
              </w:rPr>
              <w:t>企业业绩（3分）</w:t>
            </w:r>
          </w:p>
        </w:tc>
        <w:tc>
          <w:tcPr>
            <w:tcW w:w="4950" w:type="dxa"/>
            <w:noWrap/>
            <w:vAlign w:val="center"/>
          </w:tcPr>
          <w:p>
            <w:pPr>
              <w:spacing w:line="400" w:lineRule="exact"/>
              <w:rPr>
                <w:highlight w:val="none"/>
              </w:rPr>
            </w:pPr>
            <w:r>
              <w:rPr>
                <w:spacing w:val="-9"/>
                <w:highlight w:val="none"/>
              </w:rPr>
              <w:t>20</w:t>
            </w:r>
            <w:r>
              <w:rPr>
                <w:rFonts w:hint="eastAsia"/>
                <w:spacing w:val="-9"/>
                <w:highlight w:val="none"/>
              </w:rPr>
              <w:t>19</w:t>
            </w:r>
            <w:r>
              <w:rPr>
                <w:spacing w:val="-31"/>
                <w:highlight w:val="none"/>
              </w:rPr>
              <w:t xml:space="preserve"> </w:t>
            </w:r>
            <w:r>
              <w:rPr>
                <w:spacing w:val="-9"/>
                <w:highlight w:val="none"/>
              </w:rPr>
              <w:t>年</w:t>
            </w:r>
            <w:r>
              <w:rPr>
                <w:spacing w:val="-28"/>
                <w:highlight w:val="none"/>
              </w:rPr>
              <w:t xml:space="preserve"> </w:t>
            </w:r>
            <w:r>
              <w:rPr>
                <w:spacing w:val="-9"/>
                <w:highlight w:val="none"/>
              </w:rPr>
              <w:t>1</w:t>
            </w:r>
            <w:r>
              <w:rPr>
                <w:spacing w:val="-41"/>
                <w:highlight w:val="none"/>
              </w:rPr>
              <w:t xml:space="preserve"> </w:t>
            </w:r>
            <w:r>
              <w:rPr>
                <w:spacing w:val="-9"/>
                <w:highlight w:val="none"/>
              </w:rPr>
              <w:t>月</w:t>
            </w:r>
            <w:r>
              <w:rPr>
                <w:spacing w:val="-29"/>
                <w:highlight w:val="none"/>
              </w:rPr>
              <w:t xml:space="preserve"> </w:t>
            </w:r>
            <w:r>
              <w:rPr>
                <w:spacing w:val="-9"/>
                <w:highlight w:val="none"/>
              </w:rPr>
              <w:t>1 日至</w:t>
            </w:r>
            <w:r>
              <w:rPr>
                <w:rFonts w:hint="eastAsia"/>
                <w:spacing w:val="-9"/>
                <w:highlight w:val="none"/>
              </w:rPr>
              <w:t>2024年4月</w:t>
            </w:r>
            <w:r>
              <w:rPr>
                <w:spacing w:val="-7"/>
                <w:highlight w:val="none"/>
              </w:rPr>
              <w:t>，每完成</w:t>
            </w:r>
            <w:r>
              <w:rPr>
                <w:spacing w:val="-19"/>
                <w:highlight w:val="none"/>
              </w:rPr>
              <w:t xml:space="preserve"> </w:t>
            </w:r>
            <w:r>
              <w:rPr>
                <w:spacing w:val="-7"/>
                <w:highlight w:val="none"/>
              </w:rPr>
              <w:t>1</w:t>
            </w:r>
            <w:r>
              <w:rPr>
                <w:spacing w:val="-47"/>
                <w:highlight w:val="none"/>
              </w:rPr>
              <w:t xml:space="preserve"> </w:t>
            </w:r>
            <w:r>
              <w:rPr>
                <w:spacing w:val="-7"/>
                <w:highlight w:val="none"/>
              </w:rPr>
              <w:t>个与招标项</w:t>
            </w:r>
            <w:r>
              <w:rPr>
                <w:spacing w:val="-1"/>
                <w:highlight w:val="none"/>
              </w:rPr>
              <w:t>目内容类似的工程施工项目得</w:t>
            </w:r>
            <w:r>
              <w:rPr>
                <w:rFonts w:hint="eastAsia"/>
                <w:spacing w:val="-44"/>
                <w:highlight w:val="none"/>
              </w:rPr>
              <w:t>1</w:t>
            </w:r>
            <w:r>
              <w:rPr>
                <w:spacing w:val="-6"/>
                <w:highlight w:val="none"/>
              </w:rPr>
              <w:t>分，最多得</w:t>
            </w:r>
            <w:r>
              <w:rPr>
                <w:rFonts w:hint="eastAsia"/>
                <w:spacing w:val="-38"/>
                <w:highlight w:val="none"/>
              </w:rPr>
              <w:t>3</w:t>
            </w:r>
            <w:r>
              <w:rPr>
                <w:spacing w:val="-6"/>
                <w:highlight w:val="none"/>
              </w:rPr>
              <w:t>分。（以中标通知</w:t>
            </w:r>
            <w:r>
              <w:rPr>
                <w:spacing w:val="-5"/>
                <w:highlight w:val="none"/>
              </w:rPr>
              <w:t>书、施工合同、完工验收证明材料为准，缺一不可，业绩需在全</w:t>
            </w:r>
            <w:r>
              <w:rPr>
                <w:spacing w:val="4"/>
                <w:highlight w:val="none"/>
              </w:rPr>
              <w:t xml:space="preserve">国水利建设市场监管服务平台 可查或在全国建筑市场监管公 </w:t>
            </w:r>
            <w:r>
              <w:rPr>
                <w:spacing w:val="-5"/>
                <w:highlight w:val="none"/>
              </w:rPr>
              <w:t>共服务平台可查，需附网站查询截图。）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900" w:type="dxa"/>
            <w:vMerge w:val="continue"/>
            <w:noWrap/>
          </w:tcPr>
          <w:p>
            <w:pPr>
              <w:pStyle w:val="139"/>
              <w:spacing w:before="69" w:line="182" w:lineRule="auto"/>
              <w:ind w:left="536"/>
              <w:rPr>
                <w:highlight w:val="none"/>
                <w:lang w:eastAsia="zh-CN"/>
              </w:rPr>
            </w:pPr>
          </w:p>
        </w:tc>
        <w:tc>
          <w:tcPr>
            <w:tcW w:w="1124" w:type="dxa"/>
            <w:vMerge w:val="continue"/>
            <w:noWrap/>
          </w:tcPr>
          <w:p>
            <w:pPr>
              <w:pStyle w:val="139"/>
              <w:spacing w:before="68" w:line="221" w:lineRule="auto"/>
              <w:ind w:left="238"/>
              <w:rPr>
                <w:highlight w:val="none"/>
                <w:lang w:eastAsia="zh-CN"/>
              </w:rPr>
            </w:pPr>
          </w:p>
        </w:tc>
        <w:tc>
          <w:tcPr>
            <w:tcW w:w="2147" w:type="dxa"/>
            <w:noWrap/>
          </w:tcPr>
          <w:p>
            <w:pPr>
              <w:spacing w:line="245" w:lineRule="auto"/>
              <w:rPr>
                <w:rFonts w:ascii="Arial"/>
                <w:highlight w:val="none"/>
              </w:rPr>
            </w:pPr>
          </w:p>
          <w:p>
            <w:pPr>
              <w:spacing w:line="245" w:lineRule="auto"/>
              <w:rPr>
                <w:rFonts w:ascii="Arial"/>
                <w:highlight w:val="none"/>
              </w:rPr>
            </w:pPr>
          </w:p>
          <w:p>
            <w:pPr>
              <w:spacing w:line="246" w:lineRule="auto"/>
              <w:rPr>
                <w:rFonts w:ascii="Arial"/>
                <w:highlight w:val="none"/>
              </w:rPr>
            </w:pPr>
            <w:r>
              <w:rPr>
                <w:spacing w:val="-2"/>
                <w:highlight w:val="none"/>
              </w:rPr>
              <w:t>安全生产标准化</w:t>
            </w:r>
          </w:p>
          <w:p>
            <w:pPr>
              <w:pStyle w:val="139"/>
              <w:spacing w:before="69" w:line="182" w:lineRule="auto"/>
              <w:ind w:left="432"/>
              <w:rPr>
                <w:highlight w:val="none"/>
                <w:lang w:eastAsia="zh-CN"/>
              </w:rPr>
            </w:pPr>
            <w:r>
              <w:rPr>
                <w:rFonts w:hint="eastAsia"/>
                <w:spacing w:val="-2"/>
                <w:highlight w:val="none"/>
                <w:lang w:eastAsia="zh-CN"/>
              </w:rPr>
              <w:t>（2分）</w:t>
            </w:r>
          </w:p>
        </w:tc>
        <w:tc>
          <w:tcPr>
            <w:tcW w:w="4950" w:type="dxa"/>
            <w:noWrap/>
          </w:tcPr>
          <w:p>
            <w:pPr>
              <w:pStyle w:val="139"/>
              <w:spacing w:before="149" w:line="261" w:lineRule="auto"/>
              <w:ind w:left="112" w:right="101" w:firstLine="80"/>
              <w:rPr>
                <w:highlight w:val="none"/>
                <w:lang w:eastAsia="zh-CN"/>
              </w:rPr>
            </w:pPr>
            <w:r>
              <w:rPr>
                <w:spacing w:val="-2"/>
                <w:highlight w:val="none"/>
                <w:lang w:eastAsia="zh-CN"/>
              </w:rPr>
              <w:t xml:space="preserve">安全生产标准化一级达标企业 </w:t>
            </w:r>
            <w:r>
              <w:rPr>
                <w:spacing w:val="3"/>
                <w:highlight w:val="none"/>
                <w:lang w:eastAsia="zh-CN"/>
              </w:rPr>
              <w:t>得</w:t>
            </w:r>
            <w:r>
              <w:rPr>
                <w:spacing w:val="-33"/>
                <w:highlight w:val="none"/>
                <w:lang w:eastAsia="zh-CN"/>
              </w:rPr>
              <w:t xml:space="preserve"> </w:t>
            </w:r>
            <w:r>
              <w:rPr>
                <w:spacing w:val="3"/>
                <w:highlight w:val="none"/>
                <w:lang w:eastAsia="zh-CN"/>
              </w:rPr>
              <w:t>2</w:t>
            </w:r>
            <w:r>
              <w:rPr>
                <w:spacing w:val="-41"/>
                <w:highlight w:val="none"/>
                <w:lang w:eastAsia="zh-CN"/>
              </w:rPr>
              <w:t xml:space="preserve"> </w:t>
            </w:r>
            <w:r>
              <w:rPr>
                <w:spacing w:val="3"/>
                <w:highlight w:val="none"/>
                <w:lang w:eastAsia="zh-CN"/>
              </w:rPr>
              <w:t>分，二级达标企业得</w:t>
            </w:r>
            <w:r>
              <w:rPr>
                <w:spacing w:val="-32"/>
                <w:highlight w:val="none"/>
                <w:lang w:eastAsia="zh-CN"/>
              </w:rPr>
              <w:t xml:space="preserve"> </w:t>
            </w:r>
            <w:r>
              <w:rPr>
                <w:spacing w:val="3"/>
                <w:highlight w:val="none"/>
                <w:lang w:eastAsia="zh-CN"/>
              </w:rPr>
              <w:t>1.5</w:t>
            </w:r>
            <w:r>
              <w:rPr>
                <w:highlight w:val="none"/>
                <w:lang w:eastAsia="zh-CN"/>
              </w:rPr>
              <w:t xml:space="preserve">  </w:t>
            </w:r>
            <w:r>
              <w:rPr>
                <w:spacing w:val="-7"/>
                <w:highlight w:val="none"/>
                <w:lang w:eastAsia="zh-CN"/>
              </w:rPr>
              <w:t>分，三级达标企业得</w:t>
            </w:r>
            <w:r>
              <w:rPr>
                <w:spacing w:val="-26"/>
                <w:highlight w:val="none"/>
                <w:lang w:eastAsia="zh-CN"/>
              </w:rPr>
              <w:t xml:space="preserve"> </w:t>
            </w:r>
            <w:r>
              <w:rPr>
                <w:spacing w:val="-7"/>
                <w:highlight w:val="none"/>
                <w:lang w:eastAsia="zh-CN"/>
              </w:rPr>
              <w:t>1</w:t>
            </w:r>
            <w:r>
              <w:rPr>
                <w:spacing w:val="-44"/>
                <w:highlight w:val="none"/>
                <w:lang w:eastAsia="zh-CN"/>
              </w:rPr>
              <w:t xml:space="preserve"> </w:t>
            </w:r>
            <w:r>
              <w:rPr>
                <w:spacing w:val="-7"/>
                <w:highlight w:val="none"/>
                <w:lang w:eastAsia="zh-CN"/>
              </w:rPr>
              <w:t>分，未达</w:t>
            </w:r>
            <w:r>
              <w:rPr>
                <w:highlight w:val="none"/>
                <w:lang w:eastAsia="zh-CN"/>
              </w:rPr>
              <w:t xml:space="preserve"> </w:t>
            </w:r>
            <w:r>
              <w:rPr>
                <w:spacing w:val="-5"/>
                <w:highlight w:val="none"/>
                <w:lang w:eastAsia="zh-CN"/>
              </w:rPr>
              <w:t>标的企业不得分。以安全生产标</w:t>
            </w:r>
            <w:r>
              <w:rPr>
                <w:spacing w:val="-4"/>
                <w:highlight w:val="none"/>
                <w:lang w:eastAsia="zh-CN"/>
              </w:rPr>
              <w:t>准化证书为准。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900" w:type="dxa"/>
            <w:vMerge w:val="continue"/>
            <w:noWrap/>
          </w:tcPr>
          <w:p>
            <w:pPr>
              <w:pStyle w:val="139"/>
              <w:spacing w:before="69" w:line="182" w:lineRule="auto"/>
              <w:ind w:left="537"/>
              <w:rPr>
                <w:highlight w:val="none"/>
                <w:lang w:eastAsia="zh-CN"/>
              </w:rPr>
            </w:pPr>
          </w:p>
        </w:tc>
        <w:tc>
          <w:tcPr>
            <w:tcW w:w="1124" w:type="dxa"/>
            <w:vMerge w:val="continue"/>
            <w:noWrap/>
          </w:tcPr>
          <w:p>
            <w:pPr>
              <w:pStyle w:val="139"/>
              <w:spacing w:before="68" w:line="221" w:lineRule="auto"/>
              <w:ind w:left="339"/>
              <w:rPr>
                <w:highlight w:val="none"/>
                <w:lang w:eastAsia="zh-CN"/>
              </w:rPr>
            </w:pPr>
          </w:p>
        </w:tc>
        <w:tc>
          <w:tcPr>
            <w:tcW w:w="2147" w:type="dxa"/>
            <w:noWrap/>
          </w:tcPr>
          <w:p>
            <w:pPr>
              <w:spacing w:line="298" w:lineRule="auto"/>
              <w:rPr>
                <w:rFonts w:ascii="Arial"/>
                <w:highlight w:val="none"/>
              </w:rPr>
            </w:pPr>
          </w:p>
          <w:p>
            <w:pPr>
              <w:pStyle w:val="139"/>
              <w:spacing w:before="68" w:line="182" w:lineRule="auto"/>
              <w:rPr>
                <w:spacing w:val="-3"/>
                <w:highlight w:val="none"/>
              </w:rPr>
            </w:pPr>
            <w:r>
              <w:rPr>
                <w:spacing w:val="-1"/>
                <w:highlight w:val="none"/>
              </w:rPr>
              <w:t>信用等级标准</w:t>
            </w:r>
          </w:p>
          <w:p>
            <w:pPr>
              <w:pStyle w:val="139"/>
              <w:spacing w:before="68" w:line="182" w:lineRule="auto"/>
              <w:ind w:left="433"/>
              <w:rPr>
                <w:highlight w:val="none"/>
              </w:rPr>
            </w:pPr>
            <w:r>
              <w:rPr>
                <w:rFonts w:hint="eastAsia"/>
                <w:spacing w:val="-3"/>
                <w:highlight w:val="none"/>
                <w:lang w:eastAsia="zh-CN"/>
              </w:rPr>
              <w:t>（3分）</w:t>
            </w:r>
          </w:p>
        </w:tc>
        <w:tc>
          <w:tcPr>
            <w:tcW w:w="4950" w:type="dxa"/>
            <w:noWrap/>
          </w:tcPr>
          <w:p>
            <w:pPr>
              <w:pStyle w:val="139"/>
              <w:spacing w:before="149" w:line="264" w:lineRule="auto"/>
              <w:ind w:left="122" w:right="101" w:firstLine="67"/>
              <w:rPr>
                <w:highlight w:val="none"/>
                <w:lang w:eastAsia="zh-CN"/>
              </w:rPr>
            </w:pPr>
            <w:r>
              <w:rPr>
                <w:spacing w:val="-1"/>
                <w:highlight w:val="none"/>
                <w:lang w:eastAsia="zh-CN"/>
              </w:rPr>
              <w:t xml:space="preserve">按照投标人在水利部平台或辽 </w:t>
            </w:r>
            <w:r>
              <w:rPr>
                <w:spacing w:val="4"/>
                <w:highlight w:val="none"/>
                <w:lang w:eastAsia="zh-CN"/>
              </w:rPr>
              <w:t xml:space="preserve">宁平台公开的信用等级计算得 </w:t>
            </w:r>
            <w:r>
              <w:rPr>
                <w:spacing w:val="-11"/>
                <w:highlight w:val="none"/>
                <w:lang w:eastAsia="zh-CN"/>
              </w:rPr>
              <w:t>分， AAA 级得</w:t>
            </w:r>
            <w:r>
              <w:rPr>
                <w:spacing w:val="-28"/>
                <w:highlight w:val="none"/>
                <w:lang w:eastAsia="zh-CN"/>
              </w:rPr>
              <w:t xml:space="preserve"> </w:t>
            </w:r>
            <w:r>
              <w:rPr>
                <w:spacing w:val="-11"/>
                <w:highlight w:val="none"/>
                <w:lang w:eastAsia="zh-CN"/>
              </w:rPr>
              <w:t>3</w:t>
            </w:r>
            <w:r>
              <w:rPr>
                <w:spacing w:val="-44"/>
                <w:highlight w:val="none"/>
                <w:lang w:eastAsia="zh-CN"/>
              </w:rPr>
              <w:t xml:space="preserve"> </w:t>
            </w:r>
            <w:r>
              <w:rPr>
                <w:spacing w:val="-11"/>
                <w:highlight w:val="none"/>
                <w:lang w:eastAsia="zh-CN"/>
              </w:rPr>
              <w:t>分，</w:t>
            </w:r>
            <w:r>
              <w:rPr>
                <w:spacing w:val="-34"/>
                <w:highlight w:val="none"/>
                <w:lang w:eastAsia="zh-CN"/>
              </w:rPr>
              <w:t xml:space="preserve"> </w:t>
            </w:r>
            <w:r>
              <w:rPr>
                <w:spacing w:val="-11"/>
                <w:highlight w:val="none"/>
                <w:lang w:eastAsia="zh-CN"/>
              </w:rPr>
              <w:t>AA</w:t>
            </w:r>
            <w:r>
              <w:rPr>
                <w:spacing w:val="-43"/>
                <w:highlight w:val="none"/>
                <w:lang w:eastAsia="zh-CN"/>
              </w:rPr>
              <w:t xml:space="preserve"> </w:t>
            </w:r>
            <w:r>
              <w:rPr>
                <w:spacing w:val="-11"/>
                <w:highlight w:val="none"/>
                <w:lang w:eastAsia="zh-CN"/>
              </w:rPr>
              <w:t>级得评</w:t>
            </w:r>
            <w:r>
              <w:rPr>
                <w:highlight w:val="none"/>
                <w:lang w:eastAsia="zh-CN"/>
              </w:rPr>
              <w:t xml:space="preserve"> </w:t>
            </w:r>
            <w:r>
              <w:rPr>
                <w:spacing w:val="-9"/>
                <w:highlight w:val="none"/>
                <w:lang w:eastAsia="zh-CN"/>
              </w:rPr>
              <w:t>审总分的</w:t>
            </w:r>
            <w:r>
              <w:rPr>
                <w:spacing w:val="-35"/>
                <w:highlight w:val="none"/>
                <w:lang w:eastAsia="zh-CN"/>
              </w:rPr>
              <w:t xml:space="preserve"> </w:t>
            </w:r>
            <w:r>
              <w:rPr>
                <w:spacing w:val="-9"/>
                <w:highlight w:val="none"/>
                <w:lang w:eastAsia="zh-CN"/>
              </w:rPr>
              <w:t>2</w:t>
            </w:r>
            <w:r>
              <w:rPr>
                <w:spacing w:val="-44"/>
                <w:highlight w:val="none"/>
                <w:lang w:eastAsia="zh-CN"/>
              </w:rPr>
              <w:t xml:space="preserve"> </w:t>
            </w:r>
            <w:r>
              <w:rPr>
                <w:spacing w:val="-9"/>
                <w:highlight w:val="none"/>
                <w:lang w:eastAsia="zh-CN"/>
              </w:rPr>
              <w:t>分，</w:t>
            </w:r>
            <w:r>
              <w:rPr>
                <w:spacing w:val="-35"/>
                <w:highlight w:val="none"/>
                <w:lang w:eastAsia="zh-CN"/>
              </w:rPr>
              <w:t xml:space="preserve"> </w:t>
            </w:r>
            <w:r>
              <w:rPr>
                <w:spacing w:val="-9"/>
                <w:highlight w:val="none"/>
                <w:lang w:eastAsia="zh-CN"/>
              </w:rPr>
              <w:t>A</w:t>
            </w:r>
            <w:r>
              <w:rPr>
                <w:spacing w:val="-40"/>
                <w:highlight w:val="none"/>
                <w:lang w:eastAsia="zh-CN"/>
              </w:rPr>
              <w:t xml:space="preserve"> </w:t>
            </w:r>
            <w:r>
              <w:rPr>
                <w:spacing w:val="-9"/>
                <w:highlight w:val="none"/>
                <w:lang w:eastAsia="zh-CN"/>
              </w:rPr>
              <w:t>级得评审总分</w:t>
            </w:r>
            <w:r>
              <w:rPr>
                <w:highlight w:val="none"/>
                <w:lang w:eastAsia="zh-CN"/>
              </w:rPr>
              <w:t xml:space="preserve"> </w:t>
            </w:r>
            <w:r>
              <w:rPr>
                <w:spacing w:val="-17"/>
                <w:highlight w:val="none"/>
                <w:lang w:eastAsia="zh-CN"/>
              </w:rPr>
              <w:t>的</w:t>
            </w:r>
            <w:r>
              <w:rPr>
                <w:spacing w:val="-28"/>
                <w:highlight w:val="none"/>
                <w:lang w:eastAsia="zh-CN"/>
              </w:rPr>
              <w:t xml:space="preserve"> </w:t>
            </w:r>
            <w:r>
              <w:rPr>
                <w:spacing w:val="-17"/>
                <w:highlight w:val="none"/>
                <w:lang w:eastAsia="zh-CN"/>
              </w:rPr>
              <w:t>1</w:t>
            </w:r>
            <w:r>
              <w:rPr>
                <w:spacing w:val="-42"/>
                <w:highlight w:val="none"/>
                <w:lang w:eastAsia="zh-CN"/>
              </w:rPr>
              <w:t xml:space="preserve"> </w:t>
            </w:r>
            <w:r>
              <w:rPr>
                <w:spacing w:val="-17"/>
                <w:highlight w:val="none"/>
                <w:lang w:eastAsia="zh-CN"/>
              </w:rPr>
              <w:t>分，</w:t>
            </w:r>
            <w:r>
              <w:rPr>
                <w:spacing w:val="52"/>
                <w:highlight w:val="none"/>
                <w:lang w:eastAsia="zh-CN"/>
              </w:rPr>
              <w:t xml:space="preserve"> </w:t>
            </w:r>
            <w:r>
              <w:rPr>
                <w:spacing w:val="-17"/>
                <w:highlight w:val="none"/>
                <w:lang w:eastAsia="zh-CN"/>
              </w:rPr>
              <w:t>B</w:t>
            </w:r>
            <w:r>
              <w:rPr>
                <w:spacing w:val="-43"/>
                <w:highlight w:val="none"/>
                <w:lang w:eastAsia="zh-CN"/>
              </w:rPr>
              <w:t xml:space="preserve"> </w:t>
            </w:r>
            <w:r>
              <w:rPr>
                <w:spacing w:val="-17"/>
                <w:highlight w:val="none"/>
                <w:lang w:eastAsia="zh-CN"/>
              </w:rPr>
              <w:t>级得</w:t>
            </w:r>
            <w:r>
              <w:rPr>
                <w:spacing w:val="-42"/>
                <w:highlight w:val="none"/>
                <w:lang w:eastAsia="zh-CN"/>
              </w:rPr>
              <w:t xml:space="preserve"> </w:t>
            </w:r>
            <w:r>
              <w:rPr>
                <w:spacing w:val="-17"/>
                <w:highlight w:val="none"/>
                <w:lang w:eastAsia="zh-CN"/>
              </w:rPr>
              <w:t>0.5</w:t>
            </w:r>
            <w:r>
              <w:rPr>
                <w:spacing w:val="-44"/>
                <w:highlight w:val="none"/>
                <w:lang w:eastAsia="zh-CN"/>
              </w:rPr>
              <w:t xml:space="preserve"> </w:t>
            </w:r>
            <w:r>
              <w:rPr>
                <w:spacing w:val="-17"/>
                <w:highlight w:val="none"/>
                <w:lang w:eastAsia="zh-CN"/>
              </w:rPr>
              <w:t>分，</w:t>
            </w:r>
            <w:r>
              <w:rPr>
                <w:spacing w:val="-48"/>
                <w:highlight w:val="none"/>
                <w:lang w:eastAsia="zh-CN"/>
              </w:rPr>
              <w:t xml:space="preserve"> </w:t>
            </w:r>
            <w:r>
              <w:rPr>
                <w:spacing w:val="-17"/>
                <w:highlight w:val="none"/>
                <w:lang w:eastAsia="zh-CN"/>
              </w:rPr>
              <w:t>C</w:t>
            </w:r>
            <w:r>
              <w:rPr>
                <w:spacing w:val="-41"/>
                <w:highlight w:val="none"/>
                <w:lang w:eastAsia="zh-CN"/>
              </w:rPr>
              <w:t xml:space="preserve"> </w:t>
            </w:r>
            <w:r>
              <w:rPr>
                <w:spacing w:val="-17"/>
                <w:highlight w:val="none"/>
                <w:lang w:eastAsia="zh-CN"/>
              </w:rPr>
              <w:t>级及</w:t>
            </w:r>
            <w:r>
              <w:rPr>
                <w:spacing w:val="-3"/>
                <w:highlight w:val="none"/>
                <w:lang w:eastAsia="zh-CN"/>
              </w:rPr>
              <w:t>无信用等级不得分。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00" w:type="dxa"/>
            <w:vMerge w:val="continue"/>
            <w:noWrap/>
          </w:tcPr>
          <w:p>
            <w:pPr>
              <w:pStyle w:val="139"/>
              <w:spacing w:before="68" w:line="182" w:lineRule="auto"/>
              <w:ind w:left="532"/>
              <w:rPr>
                <w:highlight w:val="none"/>
                <w:lang w:eastAsia="zh-CN"/>
              </w:rPr>
            </w:pPr>
          </w:p>
        </w:tc>
        <w:tc>
          <w:tcPr>
            <w:tcW w:w="1124" w:type="dxa"/>
            <w:vMerge w:val="continue"/>
            <w:noWrap/>
          </w:tcPr>
          <w:p>
            <w:pPr>
              <w:pStyle w:val="139"/>
              <w:spacing w:before="68" w:line="221" w:lineRule="auto"/>
              <w:ind w:left="550"/>
              <w:rPr>
                <w:highlight w:val="none"/>
                <w:lang w:eastAsia="zh-CN"/>
              </w:rPr>
            </w:pPr>
          </w:p>
        </w:tc>
        <w:tc>
          <w:tcPr>
            <w:tcW w:w="2147" w:type="dxa"/>
            <w:noWrap/>
          </w:tcPr>
          <w:p>
            <w:pPr>
              <w:spacing w:line="247" w:lineRule="auto"/>
              <w:rPr>
                <w:rFonts w:ascii="Arial"/>
                <w:highlight w:val="none"/>
              </w:rPr>
            </w:pPr>
          </w:p>
          <w:p>
            <w:pPr>
              <w:spacing w:line="244" w:lineRule="auto"/>
              <w:rPr>
                <w:rFonts w:ascii="Arial"/>
                <w:highlight w:val="none"/>
              </w:rPr>
            </w:pPr>
          </w:p>
          <w:p>
            <w:pPr>
              <w:spacing w:line="248" w:lineRule="auto"/>
              <w:rPr>
                <w:rFonts w:ascii="宋体" w:hAnsi="宋体" w:cs="宋体"/>
                <w:szCs w:val="21"/>
                <w:highlight w:val="none"/>
              </w:rPr>
            </w:pPr>
            <w:r>
              <w:rPr>
                <w:spacing w:val="-2"/>
                <w:highlight w:val="none"/>
              </w:rPr>
              <w:t>信用动态</w:t>
            </w:r>
            <w:r>
              <w:rPr>
                <w:rFonts w:hint="eastAsia"/>
                <w:spacing w:val="-3"/>
                <w:highlight w:val="none"/>
              </w:rPr>
              <w:t>（7分）</w:t>
            </w:r>
          </w:p>
        </w:tc>
        <w:tc>
          <w:tcPr>
            <w:tcW w:w="4950" w:type="dxa"/>
            <w:noWrap/>
          </w:tcPr>
          <w:p>
            <w:pPr>
              <w:pStyle w:val="139"/>
              <w:spacing w:before="154" w:line="256" w:lineRule="auto"/>
              <w:ind w:left="117" w:right="101" w:firstLine="72"/>
              <w:rPr>
                <w:highlight w:val="none"/>
                <w:lang w:eastAsia="zh-CN"/>
              </w:rPr>
            </w:pPr>
            <w:r>
              <w:rPr>
                <w:spacing w:val="-1"/>
                <w:highlight w:val="none"/>
                <w:lang w:eastAsia="zh-CN"/>
              </w:rPr>
              <w:t>按照开标时投标人提交的在辽</w:t>
            </w:r>
            <w:r>
              <w:rPr>
                <w:spacing w:val="-5"/>
                <w:highlight w:val="none"/>
                <w:lang w:eastAsia="zh-CN"/>
              </w:rPr>
              <w:t>宁平台打印的《辽宁省水利建设市场主体综合信用信息表》中显</w:t>
            </w:r>
            <w:r>
              <w:rPr>
                <w:spacing w:val="-3"/>
                <w:highlight w:val="none"/>
                <w:lang w:eastAsia="zh-CN"/>
              </w:rPr>
              <w:t>示的信用动态得分率乘以</w:t>
            </w:r>
            <w:r>
              <w:rPr>
                <w:spacing w:val="-34"/>
                <w:highlight w:val="none"/>
                <w:lang w:eastAsia="zh-CN"/>
              </w:rPr>
              <w:t xml:space="preserve"> </w:t>
            </w:r>
            <w:r>
              <w:rPr>
                <w:spacing w:val="-3"/>
                <w:highlight w:val="none"/>
                <w:lang w:eastAsia="zh-CN"/>
              </w:rPr>
              <w:t>7</w:t>
            </w:r>
            <w:r>
              <w:rPr>
                <w:spacing w:val="-41"/>
                <w:highlight w:val="none"/>
                <w:lang w:eastAsia="zh-CN"/>
              </w:rPr>
              <w:t xml:space="preserve"> </w:t>
            </w:r>
            <w:r>
              <w:rPr>
                <w:spacing w:val="-3"/>
                <w:highlight w:val="none"/>
                <w:lang w:eastAsia="zh-CN"/>
              </w:rPr>
              <w:t>分</w:t>
            </w:r>
            <w:r>
              <w:rPr>
                <w:spacing w:val="-4"/>
                <w:highlight w:val="none"/>
                <w:lang w:eastAsia="zh-CN"/>
              </w:rPr>
              <w:t>进行赋分。</w:t>
            </w:r>
          </w:p>
          <w:p>
            <w:pPr>
              <w:pStyle w:val="139"/>
              <w:spacing w:before="60" w:line="221" w:lineRule="auto"/>
              <w:ind w:left="114"/>
              <w:rPr>
                <w:highlight w:val="none"/>
                <w:lang w:eastAsia="zh-CN"/>
              </w:rPr>
            </w:pPr>
            <w:r>
              <w:rPr>
                <w:spacing w:val="-5"/>
                <w:highlight w:val="none"/>
                <w:lang w:eastAsia="zh-CN"/>
              </w:rPr>
              <w:t>备注：投标单位的信用等级因疫</w:t>
            </w:r>
            <w:r>
              <w:rPr>
                <w:spacing w:val="-1"/>
                <w:highlight w:val="none"/>
                <w:lang w:eastAsia="zh-CN"/>
              </w:rPr>
              <w:t>情影响导致评定结果未更新或</w:t>
            </w:r>
            <w:r>
              <w:rPr>
                <w:spacing w:val="-5"/>
                <w:highlight w:val="none"/>
                <w:lang w:eastAsia="zh-CN"/>
              </w:rPr>
              <w:t>未在有效期内的，需提供官方证</w:t>
            </w:r>
            <w:r>
              <w:rPr>
                <w:spacing w:val="-6"/>
                <w:highlight w:val="none"/>
                <w:lang w:eastAsia="zh-CN"/>
              </w:rPr>
              <w:t>明材料，如未提供视为未参与评</w:t>
            </w:r>
            <w:r>
              <w:rPr>
                <w:spacing w:val="-4"/>
                <w:highlight w:val="none"/>
                <w:lang w:eastAsia="zh-CN"/>
              </w:rPr>
              <w:t>级，在拟投项目响应截止前，打</w:t>
            </w:r>
          </w:p>
          <w:p>
            <w:pPr>
              <w:pStyle w:val="139"/>
              <w:spacing w:before="62" w:line="220" w:lineRule="auto"/>
              <w:ind w:left="128"/>
              <w:rPr>
                <w:spacing w:val="-3"/>
                <w:highlight w:val="none"/>
                <w:lang w:eastAsia="zh-CN"/>
              </w:rPr>
            </w:pPr>
            <w:r>
              <w:rPr>
                <w:spacing w:val="-11"/>
                <w:highlight w:val="none"/>
                <w:lang w:eastAsia="zh-CN"/>
              </w:rPr>
              <w:t>印相关凭证（见附件</w:t>
            </w:r>
            <w:r>
              <w:rPr>
                <w:spacing w:val="-12"/>
                <w:highlight w:val="none"/>
                <w:lang w:eastAsia="zh-CN"/>
              </w:rPr>
              <w:t>）</w:t>
            </w:r>
            <w:r>
              <w:rPr>
                <w:spacing w:val="-23"/>
                <w:highlight w:val="none"/>
                <w:lang w:eastAsia="zh-CN"/>
              </w:rPr>
              <w:t xml:space="preserve"> </w:t>
            </w:r>
            <w:r>
              <w:rPr>
                <w:spacing w:val="-12"/>
                <w:highlight w:val="none"/>
                <w:lang w:eastAsia="zh-CN"/>
              </w:rPr>
              <w:t>，</w:t>
            </w:r>
            <w:r>
              <w:rPr>
                <w:spacing w:val="-11"/>
                <w:highlight w:val="none"/>
                <w:lang w:eastAsia="zh-CN"/>
              </w:rPr>
              <w:t>经企业</w:t>
            </w:r>
            <w:r>
              <w:rPr>
                <w:spacing w:val="-5"/>
                <w:highlight w:val="none"/>
                <w:lang w:eastAsia="zh-CN"/>
              </w:rPr>
              <w:t>加盖公章后，作为响应文件组成</w:t>
            </w:r>
            <w:r>
              <w:rPr>
                <w:spacing w:val="-3"/>
                <w:highlight w:val="none"/>
                <w:lang w:eastAsia="zh-CN"/>
              </w:rPr>
              <w:t>部分</w:t>
            </w:r>
            <w:r>
              <w:rPr>
                <w:rFonts w:hint="eastAsia"/>
                <w:spacing w:val="-3"/>
                <w:highlight w:val="none"/>
                <w:lang w:eastAsia="zh-CN"/>
              </w:rPr>
              <w:t>。</w:t>
            </w:r>
          </w:p>
          <w:p>
            <w:pPr>
              <w:pStyle w:val="139"/>
              <w:spacing w:before="62" w:line="220" w:lineRule="auto"/>
              <w:ind w:left="128"/>
              <w:rPr>
                <w:spacing w:val="-3"/>
                <w:highlight w:val="none"/>
                <w:lang w:eastAsia="zh-CN"/>
              </w:rPr>
            </w:pPr>
            <w:r>
              <w:rPr>
                <w:rFonts w:hint="eastAsia"/>
                <w:spacing w:val="-3"/>
                <w:highlight w:val="none"/>
                <w:lang w:eastAsia="zh-CN"/>
              </w:rPr>
              <w:t>因为辽宁省水利建设市场监管平台近期无法提供市场主体信用信息查询结果，信用动态评分结合辽宁省水利厅建设与运行管理处2024年3月14日发布的信用动态扣分情况表进行评分。</w:t>
            </w:r>
          </w:p>
          <w:p>
            <w:pPr>
              <w:pStyle w:val="139"/>
              <w:spacing w:before="62" w:line="220" w:lineRule="auto"/>
              <w:ind w:left="128"/>
              <w:rPr>
                <w:spacing w:val="-3"/>
                <w:highlight w:val="none"/>
                <w:lang w:eastAsia="zh-CN"/>
              </w:rPr>
            </w:pPr>
          </w:p>
        </w:tc>
      </w:tr>
    </w:tbl>
    <w:p>
      <w:pPr>
        <w:rPr>
          <w:highlight w:val="none"/>
        </w:rPr>
      </w:pPr>
    </w:p>
    <w:p>
      <w:pPr>
        <w:pStyle w:val="4"/>
        <w:spacing w:line="400" w:lineRule="exact"/>
        <w:rPr>
          <w:color w:val="000000"/>
          <w:sz w:val="27"/>
          <w:szCs w:val="27"/>
          <w:highlight w:val="none"/>
        </w:rPr>
      </w:pPr>
      <w:r>
        <w:rPr>
          <w:color w:val="000000"/>
          <w:sz w:val="27"/>
          <w:szCs w:val="27"/>
          <w:highlight w:val="none"/>
        </w:rPr>
        <w:br w:type="page"/>
      </w:r>
      <w:bookmarkStart w:id="117" w:name="_Toc20260"/>
      <w:bookmarkStart w:id="118" w:name="_Toc49869993"/>
      <w:r>
        <w:rPr>
          <w:rFonts w:hint="eastAsia"/>
          <w:color w:val="000000"/>
          <w:sz w:val="27"/>
          <w:szCs w:val="27"/>
          <w:highlight w:val="none"/>
        </w:rPr>
        <w:t>1. 评标方法</w:t>
      </w:r>
      <w:bookmarkEnd w:id="117"/>
      <w:bookmarkEnd w:id="118"/>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pPr>
        <w:pStyle w:val="4"/>
        <w:spacing w:line="400" w:lineRule="exact"/>
        <w:rPr>
          <w:color w:val="000000"/>
          <w:sz w:val="27"/>
          <w:szCs w:val="27"/>
          <w:highlight w:val="none"/>
        </w:rPr>
      </w:pPr>
      <w:bookmarkStart w:id="119" w:name="_Toc18999"/>
      <w:bookmarkStart w:id="120" w:name="_Toc49869994"/>
      <w:r>
        <w:rPr>
          <w:rFonts w:hint="eastAsia"/>
          <w:color w:val="000000"/>
          <w:sz w:val="27"/>
          <w:szCs w:val="27"/>
          <w:highlight w:val="none"/>
        </w:rPr>
        <w:t>2. 评审标准</w:t>
      </w:r>
      <w:bookmarkEnd w:id="119"/>
      <w:bookmarkEnd w:id="120"/>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2.1初步评审标准</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2.1.1形式评审标准:</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见评标办法前附表</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2.1.2资格评审标准：（适用于未进行资格预审的）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见评标办法前附表</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2.1.3响应性评审标准:</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见评标办法前附表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2.2评标基准价计算公式</w:t>
      </w:r>
    </w:p>
    <w:p>
      <w:pPr>
        <w:spacing w:line="400" w:lineRule="exact"/>
        <w:rPr>
          <w:rFonts w:ascii="宋体" w:hAnsi="宋体"/>
          <w:b/>
          <w:color w:val="000000"/>
          <w:sz w:val="23"/>
          <w:szCs w:val="23"/>
          <w:highlight w:val="none"/>
        </w:rPr>
      </w:pPr>
      <w:r>
        <w:rPr>
          <w:rFonts w:hint="eastAsia" w:ascii="宋体" w:hAnsi="宋体"/>
          <w:color w:val="000000"/>
          <w:szCs w:val="21"/>
          <w:highlight w:val="none"/>
        </w:rPr>
        <w:t>见评标办法前附表</w:t>
      </w:r>
    </w:p>
    <w:p>
      <w:pPr>
        <w:pStyle w:val="4"/>
        <w:spacing w:line="400" w:lineRule="exact"/>
        <w:rPr>
          <w:color w:val="000000"/>
          <w:sz w:val="27"/>
          <w:szCs w:val="27"/>
          <w:highlight w:val="none"/>
        </w:rPr>
      </w:pPr>
      <w:bookmarkStart w:id="121" w:name="_Toc14021"/>
      <w:bookmarkStart w:id="122" w:name="_Toc49869995"/>
      <w:r>
        <w:rPr>
          <w:rFonts w:hint="eastAsia"/>
          <w:color w:val="000000"/>
          <w:sz w:val="27"/>
          <w:szCs w:val="27"/>
          <w:highlight w:val="none"/>
        </w:rPr>
        <w:t>3. 评标程序</w:t>
      </w:r>
      <w:bookmarkEnd w:id="121"/>
      <w:bookmarkEnd w:id="122"/>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3.1 初步评审</w:t>
      </w:r>
    </w:p>
    <w:p>
      <w:pPr>
        <w:spacing w:line="400" w:lineRule="exact"/>
        <w:ind w:firstLine="420" w:firstLineChars="200"/>
        <w:rPr>
          <w:color w:val="000000"/>
          <w:highlight w:val="none"/>
        </w:rPr>
      </w:pPr>
      <w:r>
        <w:rPr>
          <w:rFonts w:hint="eastAsia"/>
          <w:color w:val="000000"/>
          <w:highlight w:val="none"/>
        </w:rPr>
        <w:t>3.1.1 评标委员会可以要求投标人提交第二章“投标人须知”第</w:t>
      </w:r>
      <w:r>
        <w:rPr>
          <w:color w:val="000000"/>
          <w:highlight w:val="none"/>
        </w:rPr>
        <w:t>3.5.1</w:t>
      </w:r>
      <w:r>
        <w:rPr>
          <w:rFonts w:hint="eastAsia"/>
          <w:color w:val="000000"/>
          <w:highlight w:val="none"/>
        </w:rPr>
        <w:t>项至</w:t>
      </w:r>
      <w:r>
        <w:rPr>
          <w:color w:val="000000"/>
          <w:highlight w:val="none"/>
        </w:rPr>
        <w:t>3.5.3</w:t>
      </w:r>
      <w:r>
        <w:rPr>
          <w:rFonts w:hint="eastAsia"/>
          <w:color w:val="000000"/>
          <w:highlight w:val="none"/>
        </w:rPr>
        <w:t>项规定的有关证明和证件的原件，以便核验。评标委员会依据本章第2.1款规定的标准对投标文件进行初步评审。有一项不符合评审标准的，作废标处理。（适用于未进行资格预审的）</w:t>
      </w:r>
    </w:p>
    <w:p>
      <w:pPr>
        <w:spacing w:line="400" w:lineRule="exact"/>
        <w:ind w:firstLine="420" w:firstLineChars="200"/>
        <w:rPr>
          <w:color w:val="000000"/>
          <w:highlight w:val="none"/>
        </w:rPr>
      </w:pPr>
      <w:r>
        <w:rPr>
          <w:rFonts w:hint="eastAsia"/>
          <w:color w:val="000000"/>
          <w:highlight w:val="none"/>
        </w:rPr>
        <w:t>3.1.1 评标委员会依据本章第2.1.1项、第2.1.3项规定的评审标准对投标文件进行初步评审。有一项不符合评审标准的，作废标处理。当投标人资格预审申请文件的内容发生重大变化时，评标委员会依据本章第2.1.2项规定的标准对其更新资料进行评审。（适用于已进行资格预审的）</w:t>
      </w:r>
    </w:p>
    <w:p>
      <w:pPr>
        <w:spacing w:line="400" w:lineRule="exact"/>
        <w:ind w:firstLine="420" w:firstLineChars="200"/>
        <w:rPr>
          <w:color w:val="000000"/>
          <w:highlight w:val="none"/>
        </w:rPr>
      </w:pPr>
      <w:r>
        <w:rPr>
          <w:rFonts w:hint="eastAsia"/>
          <w:color w:val="000000"/>
          <w:highlight w:val="none"/>
        </w:rPr>
        <w:t>3.1.2 投标人有以下情形之一的，其投标作废标处理：</w:t>
      </w:r>
    </w:p>
    <w:p>
      <w:pPr>
        <w:spacing w:line="400" w:lineRule="exact"/>
        <w:ind w:firstLine="718" w:firstLineChars="342"/>
        <w:rPr>
          <w:color w:val="000000"/>
          <w:highlight w:val="none"/>
        </w:rPr>
      </w:pPr>
      <w:r>
        <w:rPr>
          <w:rFonts w:hint="eastAsia"/>
          <w:color w:val="000000"/>
          <w:highlight w:val="none"/>
        </w:rPr>
        <w:t>（1）第二章“投标人须知”第1.4.3项规定的任何一种情形的；</w:t>
      </w:r>
    </w:p>
    <w:p>
      <w:pPr>
        <w:spacing w:line="400" w:lineRule="exact"/>
        <w:ind w:firstLine="718" w:firstLineChars="342"/>
        <w:rPr>
          <w:color w:val="000000"/>
          <w:highlight w:val="none"/>
        </w:rPr>
      </w:pPr>
      <w:r>
        <w:rPr>
          <w:rFonts w:hint="eastAsia"/>
          <w:color w:val="000000"/>
          <w:highlight w:val="none"/>
        </w:rPr>
        <w:t>（2）串通投标或弄虚作假或有其他违法行为的；</w:t>
      </w:r>
    </w:p>
    <w:p>
      <w:pPr>
        <w:spacing w:line="400" w:lineRule="exact"/>
        <w:ind w:firstLine="718" w:firstLineChars="342"/>
        <w:rPr>
          <w:color w:val="000000"/>
          <w:highlight w:val="none"/>
        </w:rPr>
      </w:pPr>
      <w:r>
        <w:rPr>
          <w:rFonts w:hint="eastAsia"/>
          <w:color w:val="000000"/>
          <w:highlight w:val="none"/>
        </w:rPr>
        <w:t>（3）不按评标委员会要求澄清、说明或补正的。</w:t>
      </w:r>
    </w:p>
    <w:p>
      <w:pPr>
        <w:spacing w:line="400" w:lineRule="exact"/>
        <w:ind w:firstLine="420" w:firstLineChars="200"/>
        <w:rPr>
          <w:color w:val="000000"/>
          <w:highlight w:val="none"/>
        </w:rPr>
      </w:pPr>
      <w:r>
        <w:rPr>
          <w:rFonts w:hint="eastAsia"/>
          <w:color w:val="000000"/>
          <w:highlight w:val="none"/>
        </w:rPr>
        <w:t>3.1.3投标报价有算术错误的，评标委员会按以下原则对投标报价进行修正，修正的价格经投标人书面确认后具有约束力。投标人不接受修正价格的，其投标作废标处理。</w:t>
      </w:r>
    </w:p>
    <w:p>
      <w:pPr>
        <w:spacing w:line="400" w:lineRule="exact"/>
        <w:ind w:firstLine="718" w:firstLineChars="342"/>
        <w:rPr>
          <w:color w:val="000000"/>
          <w:highlight w:val="none"/>
        </w:rPr>
      </w:pPr>
      <w:r>
        <w:rPr>
          <w:rFonts w:hint="eastAsia"/>
          <w:color w:val="000000"/>
          <w:highlight w:val="none"/>
        </w:rPr>
        <w:t>（1）投标文件中的大写金额与小写金额不一致的，以大写金额为准；</w:t>
      </w:r>
    </w:p>
    <w:p>
      <w:pPr>
        <w:spacing w:line="400" w:lineRule="exact"/>
        <w:ind w:firstLine="718" w:firstLineChars="342"/>
        <w:rPr>
          <w:color w:val="000000"/>
          <w:highlight w:val="none"/>
        </w:rPr>
      </w:pPr>
      <w:r>
        <w:rPr>
          <w:rFonts w:hint="eastAsia"/>
          <w:color w:val="000000"/>
          <w:highlight w:val="none"/>
        </w:rPr>
        <w:t>（2）总价金额与依据单价计算出的结果不一致的，以单价金额为准修正总价，但单价金额小数点有明显错误的除外。</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3.2 详细评审</w:t>
      </w:r>
    </w:p>
    <w:p>
      <w:pPr>
        <w:spacing w:line="400" w:lineRule="exact"/>
        <w:ind w:firstLine="420" w:firstLineChars="200"/>
        <w:rPr>
          <w:color w:val="000000"/>
          <w:highlight w:val="none"/>
        </w:rPr>
      </w:pPr>
      <w:r>
        <w:rPr>
          <w:rFonts w:hint="eastAsia"/>
          <w:color w:val="000000"/>
          <w:highlight w:val="none"/>
        </w:rPr>
        <w:t>3.2.1 评标委员会按本章第2.2款规定的量化因素和分值进行打分，并计算出综合评估得分。</w:t>
      </w:r>
    </w:p>
    <w:p>
      <w:pPr>
        <w:spacing w:line="400" w:lineRule="exact"/>
        <w:ind w:firstLine="718" w:firstLineChars="342"/>
        <w:rPr>
          <w:color w:val="000000"/>
          <w:highlight w:val="none"/>
        </w:rPr>
      </w:pPr>
      <w:r>
        <w:rPr>
          <w:rFonts w:hint="eastAsia"/>
          <w:color w:val="000000"/>
          <w:highlight w:val="none"/>
        </w:rPr>
        <w:t>（1）按本章第2.2.4（1）目规定的评审因素和分值对施工组织设计计算出得分A；</w:t>
      </w:r>
    </w:p>
    <w:p>
      <w:pPr>
        <w:spacing w:line="400" w:lineRule="exact"/>
        <w:ind w:firstLine="718" w:firstLineChars="342"/>
        <w:rPr>
          <w:color w:val="000000"/>
          <w:highlight w:val="none"/>
        </w:rPr>
      </w:pPr>
      <w:r>
        <w:rPr>
          <w:rFonts w:hint="eastAsia"/>
          <w:color w:val="000000"/>
          <w:highlight w:val="none"/>
        </w:rPr>
        <w:t>（2）按本章第2.2.4（2）目规定的评审因素和分值对项目管理机构计算出得分B；</w:t>
      </w:r>
    </w:p>
    <w:p>
      <w:pPr>
        <w:spacing w:line="400" w:lineRule="exact"/>
        <w:ind w:firstLine="718" w:firstLineChars="342"/>
        <w:rPr>
          <w:color w:val="000000"/>
          <w:highlight w:val="none"/>
        </w:rPr>
      </w:pPr>
      <w:r>
        <w:rPr>
          <w:rFonts w:hint="eastAsia"/>
          <w:color w:val="000000"/>
          <w:highlight w:val="none"/>
        </w:rPr>
        <w:t>（3）按本章第2.2.4（3）目规定的评审因素和分值对投标报价计算出得分C；</w:t>
      </w:r>
    </w:p>
    <w:p>
      <w:pPr>
        <w:spacing w:line="400" w:lineRule="exact"/>
        <w:ind w:firstLine="718" w:firstLineChars="342"/>
        <w:rPr>
          <w:color w:val="000000"/>
          <w:highlight w:val="none"/>
        </w:rPr>
      </w:pPr>
      <w:r>
        <w:rPr>
          <w:rFonts w:hint="eastAsia"/>
          <w:color w:val="000000"/>
          <w:highlight w:val="none"/>
        </w:rPr>
        <w:t>（4）按本章第2.2.4（4）目规定的评审因素和分值对其他部分计算出得分D。</w:t>
      </w:r>
    </w:p>
    <w:p>
      <w:pPr>
        <w:spacing w:line="400" w:lineRule="exact"/>
        <w:ind w:firstLine="420" w:firstLineChars="200"/>
        <w:rPr>
          <w:color w:val="000000"/>
          <w:highlight w:val="none"/>
        </w:rPr>
      </w:pPr>
      <w:r>
        <w:rPr>
          <w:rFonts w:hint="eastAsia"/>
          <w:color w:val="000000"/>
          <w:highlight w:val="none"/>
        </w:rPr>
        <w:t>3.2.2 评分分值计算保留小数点后两位，小数点后第三位“四舍五入”。</w:t>
      </w:r>
    </w:p>
    <w:p>
      <w:pPr>
        <w:spacing w:line="400" w:lineRule="exact"/>
        <w:ind w:firstLine="420" w:firstLineChars="200"/>
        <w:rPr>
          <w:color w:val="000000"/>
          <w:highlight w:val="none"/>
        </w:rPr>
      </w:pPr>
      <w:r>
        <w:rPr>
          <w:rFonts w:hint="eastAsia"/>
          <w:color w:val="000000"/>
          <w:highlight w:val="none"/>
        </w:rPr>
        <w:t>3.2.3 投标人得分=A+B+C+D。</w:t>
      </w:r>
    </w:p>
    <w:p>
      <w:pPr>
        <w:spacing w:line="400" w:lineRule="exact"/>
        <w:ind w:firstLine="420" w:firstLineChars="200"/>
        <w:rPr>
          <w:color w:val="000000"/>
          <w:highlight w:val="none"/>
        </w:rPr>
      </w:pPr>
      <w:r>
        <w:rPr>
          <w:rFonts w:hint="eastAsia"/>
          <w:color w:val="000000"/>
          <w:highlight w:val="none"/>
        </w:rPr>
        <w:t>3.2.4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3.3 投标文件的澄清和补正</w:t>
      </w:r>
    </w:p>
    <w:p>
      <w:pPr>
        <w:spacing w:line="400" w:lineRule="exact"/>
        <w:ind w:firstLine="420" w:firstLineChars="200"/>
        <w:rPr>
          <w:color w:val="000000"/>
          <w:highlight w:val="none"/>
        </w:rPr>
      </w:pPr>
      <w:r>
        <w:rPr>
          <w:rFonts w:hint="eastAsia"/>
          <w:color w:val="000000"/>
          <w:highlight w:val="none"/>
        </w:rPr>
        <w:t>3.3.1在评标过程中，评标委员会可以书面形式要求投标人对所提交投标文件中不明确的内容进行书面澄清或说明，或者对细微偏差进行补正。评标委员会不接受投标人主动提出的澄清、说明或补正。</w:t>
      </w:r>
    </w:p>
    <w:p>
      <w:pPr>
        <w:spacing w:line="400" w:lineRule="exact"/>
        <w:ind w:firstLine="420" w:firstLineChars="200"/>
        <w:rPr>
          <w:color w:val="000000"/>
          <w:highlight w:val="none"/>
        </w:rPr>
      </w:pPr>
      <w:r>
        <w:rPr>
          <w:rFonts w:hint="eastAsia"/>
          <w:color w:val="000000"/>
          <w:highlight w:val="none"/>
        </w:rPr>
        <w:t>3.3.2 澄清、说明和补正不得改变投标文件的实质性内容（算术性错误修正的除外）。投标人的书面澄清、说明和补正属于投标文件的组成部分。</w:t>
      </w:r>
    </w:p>
    <w:p>
      <w:pPr>
        <w:spacing w:line="400" w:lineRule="exact"/>
        <w:ind w:firstLine="420" w:firstLineChars="200"/>
        <w:rPr>
          <w:color w:val="000000"/>
          <w:highlight w:val="none"/>
        </w:rPr>
      </w:pPr>
      <w:r>
        <w:rPr>
          <w:rFonts w:hint="eastAsia"/>
          <w:color w:val="000000"/>
          <w:highlight w:val="none"/>
        </w:rPr>
        <w:t>3.3.3 评标委员会对投标人提交的澄清、说明或补正有疑问的，可以要求投标人进一步澄清、说明或补正，直至满足评标委员会的要求。</w:t>
      </w:r>
    </w:p>
    <w:p>
      <w:pPr>
        <w:spacing w:line="400" w:lineRule="exact"/>
        <w:ind w:right="248" w:firstLine="400" w:firstLineChars="200"/>
        <w:rPr>
          <w:color w:val="000000"/>
          <w:sz w:val="20"/>
          <w:szCs w:val="20"/>
          <w:highlight w:val="none"/>
        </w:rPr>
      </w:pP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3.4评标结果</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3.4.1 评标委员会依据本章第2.2条评分标准进行评分，按评标办法前附表的约定计算投标人最终得分，根据得分由高到低的顺序推荐3名中标候选人，并标明推荐顺序。</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3.4.2 评标委员会完成评标后，应当向招标人提交书面评标报告。</w:t>
      </w:r>
    </w:p>
    <w:p>
      <w:pPr>
        <w:pStyle w:val="4"/>
        <w:spacing w:line="400" w:lineRule="exact"/>
        <w:rPr>
          <w:rFonts w:ascii="宋体" w:hAnsi="宋体" w:eastAsia="宋体"/>
          <w:color w:val="000000"/>
          <w:sz w:val="23"/>
          <w:szCs w:val="23"/>
          <w:highlight w:val="none"/>
        </w:rPr>
      </w:pPr>
      <w:bookmarkStart w:id="123" w:name="_Toc23734"/>
      <w:r>
        <w:rPr>
          <w:rFonts w:hint="eastAsia" w:ascii="宋体" w:hAnsi="宋体" w:eastAsia="宋体"/>
          <w:color w:val="000000"/>
          <w:sz w:val="23"/>
          <w:szCs w:val="23"/>
          <w:highlight w:val="none"/>
        </w:rPr>
        <w:t>4. 评标办法其他说明</w:t>
      </w:r>
      <w:bookmarkEnd w:id="123"/>
    </w:p>
    <w:p>
      <w:pPr>
        <w:rPr>
          <w:highlight w:val="none"/>
        </w:rPr>
      </w:pPr>
      <w:r>
        <w:rPr>
          <w:rFonts w:hint="eastAsia" w:ascii="宋体" w:hAnsi="宋体"/>
          <w:color w:val="000000"/>
          <w:szCs w:val="21"/>
          <w:highlight w:val="none"/>
        </w:rPr>
        <w:t>见评标办法前附表</w:t>
      </w:r>
    </w:p>
    <w:p>
      <w:pPr>
        <w:spacing w:line="400" w:lineRule="exact"/>
        <w:rPr>
          <w:color w:val="000000"/>
          <w:sz w:val="20"/>
          <w:szCs w:val="20"/>
          <w:highlight w:val="none"/>
        </w:rPr>
      </w:pPr>
      <w:r>
        <w:rPr>
          <w:color w:val="000000"/>
          <w:sz w:val="20"/>
          <w:szCs w:val="20"/>
          <w:highlight w:val="none"/>
        </w:rPr>
        <w:br w:type="page"/>
      </w:r>
    </w:p>
    <w:p>
      <w:pPr>
        <w:pStyle w:val="4"/>
        <w:spacing w:line="400" w:lineRule="exact"/>
        <w:rPr>
          <w:color w:val="000000"/>
          <w:sz w:val="27"/>
          <w:szCs w:val="27"/>
          <w:highlight w:val="none"/>
        </w:rPr>
      </w:pPr>
      <w:bookmarkStart w:id="124" w:name="_Toc49869996"/>
      <w:bookmarkStart w:id="125" w:name="_Toc21573"/>
      <w:r>
        <w:rPr>
          <w:color w:val="000000"/>
          <w:sz w:val="27"/>
          <w:szCs w:val="27"/>
          <w:highlight w:val="none"/>
        </w:rPr>
        <w:t>附表</w:t>
      </w:r>
      <w:r>
        <w:rPr>
          <w:rFonts w:hint="eastAsia"/>
          <w:color w:val="000000"/>
          <w:sz w:val="27"/>
          <w:szCs w:val="27"/>
          <w:highlight w:val="none"/>
        </w:rPr>
        <w:t>一</w:t>
      </w:r>
      <w:r>
        <w:rPr>
          <w:color w:val="000000"/>
          <w:sz w:val="27"/>
          <w:szCs w:val="27"/>
          <w:highlight w:val="none"/>
        </w:rPr>
        <w:t>：</w:t>
      </w:r>
      <w:r>
        <w:rPr>
          <w:rFonts w:hint="eastAsia"/>
          <w:color w:val="000000"/>
          <w:sz w:val="27"/>
          <w:szCs w:val="27"/>
          <w:highlight w:val="none"/>
        </w:rPr>
        <w:t>投标文件</w:t>
      </w:r>
      <w:r>
        <w:rPr>
          <w:color w:val="000000"/>
          <w:sz w:val="27"/>
          <w:szCs w:val="27"/>
          <w:highlight w:val="none"/>
        </w:rPr>
        <w:t>澄清通知</w:t>
      </w:r>
      <w:r>
        <w:rPr>
          <w:rFonts w:hint="eastAsia"/>
          <w:color w:val="000000"/>
          <w:sz w:val="27"/>
          <w:szCs w:val="27"/>
          <w:highlight w:val="none"/>
        </w:rPr>
        <w:t>（格式）</w:t>
      </w:r>
      <w:bookmarkEnd w:id="124"/>
      <w:bookmarkEnd w:id="125"/>
    </w:p>
    <w:p>
      <w:pPr>
        <w:spacing w:line="400" w:lineRule="exact"/>
        <w:jc w:val="center"/>
        <w:rPr>
          <w:color w:val="000000"/>
          <w:sz w:val="20"/>
          <w:szCs w:val="20"/>
          <w:highlight w:val="none"/>
        </w:rPr>
      </w:pPr>
    </w:p>
    <w:p>
      <w:pPr>
        <w:spacing w:line="400" w:lineRule="exact"/>
        <w:jc w:val="center"/>
        <w:rPr>
          <w:rFonts w:ascii="黑体" w:eastAsia="黑体"/>
          <w:b/>
          <w:color w:val="000000"/>
          <w:sz w:val="23"/>
          <w:szCs w:val="21"/>
          <w:highlight w:val="none"/>
        </w:rPr>
      </w:pPr>
      <w:r>
        <w:rPr>
          <w:rFonts w:hint="eastAsia" w:eastAsia="黑体"/>
          <w:b/>
          <w:color w:val="000000"/>
          <w:sz w:val="23"/>
          <w:szCs w:val="21"/>
          <w:highlight w:val="none"/>
        </w:rPr>
        <w:t>投标文件</w:t>
      </w:r>
      <w:r>
        <w:rPr>
          <w:rFonts w:eastAsia="黑体"/>
          <w:b/>
          <w:color w:val="000000"/>
          <w:sz w:val="23"/>
          <w:szCs w:val="21"/>
          <w:highlight w:val="none"/>
        </w:rPr>
        <w:t>澄清通知</w:t>
      </w:r>
      <w:r>
        <w:rPr>
          <w:rFonts w:hint="eastAsia" w:ascii="黑体" w:eastAsia="黑体"/>
          <w:b/>
          <w:color w:val="000000"/>
          <w:sz w:val="23"/>
          <w:szCs w:val="21"/>
          <w:highlight w:val="none"/>
        </w:rPr>
        <w:t>（格式）</w:t>
      </w:r>
    </w:p>
    <w:p>
      <w:pPr>
        <w:spacing w:line="400" w:lineRule="exact"/>
        <w:jc w:val="center"/>
        <w:rPr>
          <w:rFonts w:eastAsia="黑体"/>
          <w:color w:val="000000"/>
          <w:szCs w:val="21"/>
          <w:highlight w:val="none"/>
        </w:rPr>
      </w:pPr>
    </w:p>
    <w:p>
      <w:pPr>
        <w:spacing w:line="400" w:lineRule="exact"/>
        <w:rPr>
          <w:color w:val="000000"/>
          <w:szCs w:val="21"/>
          <w:highlight w:val="none"/>
        </w:rPr>
      </w:pPr>
      <w:r>
        <w:rPr>
          <w:color w:val="000000"/>
          <w:szCs w:val="21"/>
          <w:highlight w:val="none"/>
        </w:rPr>
        <w:t xml:space="preserve">                               编号：</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投标人名称</w:t>
      </w:r>
      <w:r>
        <w:rPr>
          <w:color w:val="000000"/>
          <w:szCs w:val="21"/>
          <w:highlight w:val="none"/>
        </w:rPr>
        <w:t>）：</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r>
        <w:rPr>
          <w:color w:val="000000"/>
          <w:szCs w:val="21"/>
          <w:highlight w:val="none"/>
        </w:rPr>
        <w:t>评标委员会对你方的投标文件进行了仔细的审查，现需你方对下列问题以书面形式予以澄清：</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xml:space="preserve">    1.</w:t>
      </w:r>
    </w:p>
    <w:p>
      <w:pPr>
        <w:spacing w:line="400" w:lineRule="exact"/>
        <w:rPr>
          <w:color w:val="000000"/>
          <w:szCs w:val="21"/>
          <w:highlight w:val="none"/>
        </w:rPr>
      </w:pPr>
      <w:r>
        <w:rPr>
          <w:color w:val="000000"/>
          <w:szCs w:val="21"/>
          <w:highlight w:val="none"/>
        </w:rPr>
        <w:t xml:space="preserve">    2.</w:t>
      </w:r>
    </w:p>
    <w:p>
      <w:pPr>
        <w:spacing w:line="400" w:lineRule="exact"/>
        <w:rPr>
          <w:color w:val="000000"/>
          <w:szCs w:val="21"/>
          <w:highlight w:val="none"/>
        </w:rPr>
      </w:pPr>
      <w:r>
        <w:rPr>
          <w:color w:val="000000"/>
          <w:szCs w:val="21"/>
          <w:highlight w:val="none"/>
        </w:rPr>
        <w:t xml:space="preserve">     ......   </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请将上述问题的澄清于</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年</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月</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日</w:t>
      </w:r>
      <w:r>
        <w:rPr>
          <w:color w:val="000000"/>
          <w:szCs w:val="21"/>
          <w:highlight w:val="none"/>
          <w:u w:val="single"/>
        </w:rPr>
        <w:t xml:space="preserve">      </w:t>
      </w:r>
      <w:r>
        <w:rPr>
          <w:color w:val="000000"/>
          <w:szCs w:val="21"/>
          <w:highlight w:val="none"/>
        </w:rPr>
        <w:t>时前递交至</w:t>
      </w:r>
      <w:r>
        <w:rPr>
          <w:color w:val="000000"/>
          <w:szCs w:val="21"/>
          <w:highlight w:val="none"/>
          <w:u w:val="single"/>
        </w:rPr>
        <w:t xml:space="preserve">      </w:t>
      </w:r>
      <w:r>
        <w:rPr>
          <w:color w:val="000000"/>
          <w:szCs w:val="21"/>
          <w:highlight w:val="none"/>
        </w:rPr>
        <w:t>（详细地址）</w:t>
      </w:r>
      <w:r>
        <w:rPr>
          <w:rFonts w:hint="eastAsia"/>
          <w:color w:val="000000"/>
          <w:szCs w:val="21"/>
          <w:highlight w:val="none"/>
        </w:rPr>
        <w:t>或传真至</w:t>
      </w:r>
      <w:r>
        <w:rPr>
          <w:color w:val="000000"/>
          <w:szCs w:val="21"/>
          <w:highlight w:val="none"/>
          <w:u w:val="single"/>
        </w:rPr>
        <w:t xml:space="preserve">      </w:t>
      </w:r>
      <w:r>
        <w:rPr>
          <w:color w:val="000000"/>
          <w:szCs w:val="21"/>
          <w:highlight w:val="none"/>
        </w:rPr>
        <w:t>（</w:t>
      </w:r>
      <w:r>
        <w:rPr>
          <w:rFonts w:hint="eastAsia"/>
          <w:color w:val="000000"/>
          <w:szCs w:val="21"/>
          <w:highlight w:val="none"/>
        </w:rPr>
        <w:t>传真号码</w:t>
      </w:r>
      <w:r>
        <w:rPr>
          <w:color w:val="000000"/>
          <w:szCs w:val="21"/>
          <w:highlight w:val="none"/>
        </w:rPr>
        <w:t>）。</w:t>
      </w:r>
      <w:r>
        <w:rPr>
          <w:rFonts w:hint="eastAsia"/>
          <w:color w:val="000000"/>
          <w:szCs w:val="21"/>
          <w:highlight w:val="none"/>
        </w:rPr>
        <w:t>采用传真方式的，应在</w:t>
      </w:r>
      <w:r>
        <w:rPr>
          <w:color w:val="000000"/>
          <w:szCs w:val="21"/>
          <w:highlight w:val="none"/>
          <w:u w:val="single"/>
        </w:rPr>
        <w:t xml:space="preserve">      </w:t>
      </w:r>
      <w:r>
        <w:rPr>
          <w:rFonts w:hint="eastAsia"/>
          <w:color w:val="000000"/>
          <w:szCs w:val="21"/>
          <w:highlight w:val="none"/>
        </w:rPr>
        <w:t>年</w:t>
      </w:r>
      <w:r>
        <w:rPr>
          <w:color w:val="000000"/>
          <w:szCs w:val="21"/>
          <w:highlight w:val="none"/>
          <w:u w:val="single"/>
        </w:rPr>
        <w:t xml:space="preserve">      </w:t>
      </w:r>
      <w:r>
        <w:rPr>
          <w:rFonts w:hint="eastAsia"/>
          <w:color w:val="000000"/>
          <w:szCs w:val="21"/>
          <w:highlight w:val="none"/>
        </w:rPr>
        <w:t>月</w:t>
      </w:r>
      <w:r>
        <w:rPr>
          <w:color w:val="000000"/>
          <w:szCs w:val="21"/>
          <w:highlight w:val="none"/>
          <w:u w:val="single"/>
        </w:rPr>
        <w:t xml:space="preserve">      </w:t>
      </w:r>
      <w:r>
        <w:rPr>
          <w:rFonts w:hint="eastAsia"/>
          <w:color w:val="000000"/>
          <w:szCs w:val="21"/>
          <w:highlight w:val="none"/>
        </w:rPr>
        <w:t>日</w:t>
      </w:r>
      <w:r>
        <w:rPr>
          <w:color w:val="000000"/>
          <w:szCs w:val="21"/>
          <w:highlight w:val="none"/>
          <w:u w:val="single"/>
        </w:rPr>
        <w:t xml:space="preserve">      </w:t>
      </w:r>
      <w:r>
        <w:rPr>
          <w:rFonts w:hint="eastAsia"/>
          <w:color w:val="000000"/>
          <w:szCs w:val="21"/>
          <w:highlight w:val="none"/>
        </w:rPr>
        <w:t>时前将原件递交至</w:t>
      </w:r>
      <w:r>
        <w:rPr>
          <w:color w:val="000000"/>
          <w:szCs w:val="21"/>
          <w:highlight w:val="none"/>
          <w:u w:val="single"/>
        </w:rPr>
        <w:t xml:space="preserve">      </w:t>
      </w:r>
      <w:r>
        <w:rPr>
          <w:color w:val="000000"/>
          <w:szCs w:val="21"/>
          <w:highlight w:val="none"/>
        </w:rPr>
        <w:t>（详细</w:t>
      </w:r>
      <w:r>
        <w:rPr>
          <w:rFonts w:hint="eastAsia"/>
          <w:color w:val="000000"/>
          <w:szCs w:val="21"/>
          <w:highlight w:val="none"/>
        </w:rPr>
        <w:t>地址）。</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评标委员会负责人</w:t>
      </w:r>
      <w:r>
        <w:rPr>
          <w:color w:val="000000"/>
          <w:szCs w:val="21"/>
          <w:highlight w:val="none"/>
        </w:rPr>
        <w:t>：</w:t>
      </w:r>
      <w:r>
        <w:rPr>
          <w:rFonts w:hint="eastAsia"/>
          <w:color w:val="000000"/>
          <w:szCs w:val="21"/>
          <w:highlight w:val="none"/>
          <w:u w:val="single"/>
        </w:rPr>
        <w:t xml:space="preserve">                 </w:t>
      </w:r>
      <w:r>
        <w:rPr>
          <w:rFonts w:hint="eastAsia"/>
          <w:color w:val="000000"/>
          <w:szCs w:val="21"/>
          <w:highlight w:val="none"/>
        </w:rPr>
        <w:t xml:space="preserve">   </w:t>
      </w:r>
      <w:r>
        <w:rPr>
          <w:color w:val="000000"/>
          <w:szCs w:val="21"/>
          <w:highlight w:val="none"/>
        </w:rPr>
        <w:t>（</w:t>
      </w:r>
      <w:r>
        <w:rPr>
          <w:rFonts w:hint="eastAsia"/>
          <w:color w:val="000000"/>
          <w:szCs w:val="21"/>
          <w:highlight w:val="none"/>
        </w:rPr>
        <w:t>签字</w:t>
      </w:r>
      <w:r>
        <w:rPr>
          <w:color w:val="000000"/>
          <w:szCs w:val="21"/>
          <w:highlight w:val="none"/>
        </w:rPr>
        <w:t>）</w:t>
      </w:r>
    </w:p>
    <w:p>
      <w:pPr>
        <w:spacing w:line="400" w:lineRule="exact"/>
        <w:rPr>
          <w:color w:val="000000"/>
          <w:szCs w:val="21"/>
          <w:highlight w:val="none"/>
        </w:rPr>
      </w:pPr>
      <w:r>
        <w:rPr>
          <w:rFonts w:hint="eastAsia"/>
          <w:color w:val="000000"/>
          <w:szCs w:val="21"/>
          <w:highlight w:val="none"/>
        </w:rPr>
        <w:t xml:space="preserve">                                          </w:t>
      </w:r>
    </w:p>
    <w:p>
      <w:pPr>
        <w:spacing w:line="400" w:lineRule="exact"/>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 xml:space="preserve"> 年 </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 xml:space="preserve">月 </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日</w:t>
      </w:r>
    </w:p>
    <w:p>
      <w:pPr>
        <w:spacing w:line="400" w:lineRule="exact"/>
        <w:rPr>
          <w:color w:val="000000"/>
          <w:sz w:val="20"/>
          <w:szCs w:val="20"/>
          <w:highlight w:val="none"/>
        </w:rPr>
      </w:pPr>
    </w:p>
    <w:p>
      <w:pPr>
        <w:spacing w:line="400" w:lineRule="exact"/>
        <w:rPr>
          <w:color w:val="000000"/>
          <w:sz w:val="20"/>
          <w:szCs w:val="20"/>
          <w:highlight w:val="none"/>
        </w:rPr>
      </w:pPr>
      <w:r>
        <w:rPr>
          <w:color w:val="000000"/>
          <w:sz w:val="20"/>
          <w:szCs w:val="20"/>
          <w:highlight w:val="none"/>
        </w:rPr>
        <w:br w:type="page"/>
      </w:r>
    </w:p>
    <w:p>
      <w:pPr>
        <w:pStyle w:val="4"/>
        <w:spacing w:line="400" w:lineRule="exact"/>
        <w:rPr>
          <w:color w:val="000000"/>
          <w:sz w:val="27"/>
          <w:szCs w:val="27"/>
          <w:highlight w:val="none"/>
        </w:rPr>
      </w:pPr>
      <w:bookmarkStart w:id="126" w:name="_Toc8676"/>
      <w:bookmarkStart w:id="127" w:name="_Toc49869997"/>
      <w:r>
        <w:rPr>
          <w:rFonts w:hint="eastAsia"/>
          <w:color w:val="000000"/>
          <w:sz w:val="27"/>
          <w:szCs w:val="27"/>
          <w:highlight w:val="none"/>
        </w:rPr>
        <w:t>附表二：投标文件澄清函（格式）</w:t>
      </w:r>
      <w:bookmarkEnd w:id="126"/>
      <w:bookmarkEnd w:id="127"/>
    </w:p>
    <w:p>
      <w:pPr>
        <w:spacing w:line="400" w:lineRule="exact"/>
        <w:jc w:val="center"/>
        <w:rPr>
          <w:rFonts w:ascii="黑体" w:eastAsia="黑体"/>
          <w:color w:val="000000"/>
          <w:sz w:val="27"/>
          <w:szCs w:val="27"/>
          <w:highlight w:val="none"/>
        </w:rPr>
      </w:pPr>
    </w:p>
    <w:p>
      <w:pPr>
        <w:spacing w:line="400" w:lineRule="exact"/>
        <w:jc w:val="center"/>
        <w:rPr>
          <w:rFonts w:ascii="黑体" w:eastAsia="黑体"/>
          <w:b/>
          <w:color w:val="000000"/>
          <w:sz w:val="23"/>
          <w:szCs w:val="21"/>
          <w:highlight w:val="none"/>
        </w:rPr>
      </w:pPr>
      <w:r>
        <w:rPr>
          <w:rFonts w:hint="eastAsia" w:ascii="黑体" w:eastAsia="黑体"/>
          <w:b/>
          <w:color w:val="000000"/>
          <w:sz w:val="23"/>
          <w:szCs w:val="21"/>
          <w:highlight w:val="none"/>
        </w:rPr>
        <w:t>投标文件澄清函（格式）</w:t>
      </w:r>
    </w:p>
    <w:p>
      <w:pPr>
        <w:spacing w:line="400" w:lineRule="exact"/>
        <w:jc w:val="center"/>
        <w:rPr>
          <w:rFonts w:ascii="黑体" w:eastAsia="黑体"/>
          <w:color w:val="000000"/>
          <w:szCs w:val="21"/>
          <w:highlight w:val="none"/>
        </w:rPr>
      </w:pPr>
    </w:p>
    <w:p>
      <w:pPr>
        <w:spacing w:line="400" w:lineRule="exact"/>
        <w:ind w:firstLine="3465" w:firstLineChars="1650"/>
        <w:rPr>
          <w:color w:val="000000"/>
          <w:szCs w:val="21"/>
          <w:highlight w:val="none"/>
        </w:rPr>
      </w:pPr>
      <w:r>
        <w:rPr>
          <w:rFonts w:hint="eastAsia"/>
          <w:color w:val="000000"/>
          <w:szCs w:val="21"/>
          <w:highlight w:val="none"/>
        </w:rPr>
        <w:t xml:space="preserve">编号： </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u w:val="singl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r>
        <w:rPr>
          <w:rFonts w:hint="eastAsia"/>
          <w:color w:val="000000"/>
          <w:szCs w:val="21"/>
          <w:highlight w:val="none"/>
        </w:rPr>
        <w:t>）</w:t>
      </w:r>
      <w:r>
        <w:rPr>
          <w:color w:val="000000"/>
          <w:szCs w:val="21"/>
          <w:highlight w:val="none"/>
        </w:rPr>
        <w:t>评标委员会：</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w:t>
      </w:r>
      <w:r>
        <w:rPr>
          <w:rFonts w:hint="eastAsia"/>
          <w:color w:val="000000"/>
          <w:szCs w:val="21"/>
          <w:highlight w:val="none"/>
        </w:rPr>
        <w:t>投标文件</w:t>
      </w:r>
      <w:r>
        <w:rPr>
          <w:color w:val="000000"/>
          <w:szCs w:val="21"/>
          <w:highlight w:val="none"/>
        </w:rPr>
        <w:t>澄清通知（编号：</w:t>
      </w:r>
      <w:r>
        <w:rPr>
          <w:color w:val="000000"/>
          <w:szCs w:val="21"/>
          <w:highlight w:val="none"/>
          <w:u w:val="single"/>
        </w:rPr>
        <w:t xml:space="preserve">        </w:t>
      </w:r>
      <w:r>
        <w:rPr>
          <w:color w:val="000000"/>
          <w:szCs w:val="21"/>
          <w:highlight w:val="none"/>
        </w:rPr>
        <w:t>）已收悉，现</w:t>
      </w:r>
      <w:r>
        <w:rPr>
          <w:rFonts w:hint="eastAsia"/>
          <w:color w:val="000000"/>
          <w:szCs w:val="21"/>
          <w:highlight w:val="none"/>
        </w:rPr>
        <w:t>就有关问题</w:t>
      </w:r>
      <w:r>
        <w:rPr>
          <w:color w:val="000000"/>
          <w:szCs w:val="21"/>
          <w:highlight w:val="none"/>
        </w:rPr>
        <w:t>澄清如下：</w:t>
      </w:r>
    </w:p>
    <w:p>
      <w:pPr>
        <w:spacing w:line="400" w:lineRule="exact"/>
        <w:rPr>
          <w:color w:val="000000"/>
          <w:szCs w:val="21"/>
          <w:highlight w:val="none"/>
        </w:rPr>
      </w:pPr>
      <w:r>
        <w:rPr>
          <w:color w:val="000000"/>
          <w:szCs w:val="21"/>
          <w:highlight w:val="none"/>
        </w:rPr>
        <w:t>　     1.</w:t>
      </w:r>
    </w:p>
    <w:p>
      <w:pPr>
        <w:spacing w:line="400" w:lineRule="exact"/>
        <w:rPr>
          <w:color w:val="000000"/>
          <w:szCs w:val="21"/>
          <w:highlight w:val="none"/>
        </w:rPr>
      </w:pPr>
      <w:r>
        <w:rPr>
          <w:color w:val="000000"/>
          <w:szCs w:val="21"/>
          <w:highlight w:val="none"/>
        </w:rPr>
        <w:t>　     2.</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投标人：</w:t>
      </w:r>
      <w:r>
        <w:rPr>
          <w:color w:val="000000"/>
          <w:szCs w:val="21"/>
          <w:highlight w:val="none"/>
          <w:u w:val="single"/>
        </w:rPr>
        <w:t xml:space="preserve">               </w:t>
      </w:r>
      <w:r>
        <w:rPr>
          <w:color w:val="000000"/>
          <w:szCs w:val="21"/>
          <w:highlight w:val="none"/>
        </w:rPr>
        <w:t>（盖单位章）</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法定代表人或其</w:t>
      </w:r>
      <w:r>
        <w:rPr>
          <w:rFonts w:hint="eastAsia"/>
          <w:color w:val="000000"/>
          <w:szCs w:val="21"/>
          <w:highlight w:val="none"/>
        </w:rPr>
        <w:t>委托</w:t>
      </w:r>
      <w:r>
        <w:rPr>
          <w:color w:val="000000"/>
          <w:szCs w:val="21"/>
          <w:highlight w:val="none"/>
        </w:rPr>
        <w:t>代理人：</w:t>
      </w:r>
      <w:r>
        <w:rPr>
          <w:color w:val="000000"/>
          <w:szCs w:val="21"/>
          <w:highlight w:val="none"/>
          <w:u w:val="single"/>
        </w:rPr>
        <w:t xml:space="preserve">          </w:t>
      </w:r>
      <w:r>
        <w:rPr>
          <w:color w:val="000000"/>
          <w:szCs w:val="21"/>
          <w:highlight w:val="none"/>
        </w:rPr>
        <w:t>（签字）</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年</w:t>
      </w:r>
      <w:r>
        <w:rPr>
          <w:color w:val="000000"/>
          <w:szCs w:val="21"/>
          <w:highlight w:val="none"/>
          <w:u w:val="single"/>
        </w:rPr>
        <w:t xml:space="preserve">      </w:t>
      </w:r>
      <w:r>
        <w:rPr>
          <w:color w:val="000000"/>
          <w:szCs w:val="21"/>
          <w:highlight w:val="none"/>
        </w:rPr>
        <w:t>月</w:t>
      </w:r>
      <w:r>
        <w:rPr>
          <w:color w:val="000000"/>
          <w:szCs w:val="21"/>
          <w:highlight w:val="none"/>
          <w:u w:val="single"/>
        </w:rPr>
        <w:t xml:space="preserve">      </w:t>
      </w:r>
      <w:r>
        <w:rPr>
          <w:color w:val="000000"/>
          <w:szCs w:val="21"/>
          <w:highlight w:val="none"/>
        </w:rPr>
        <w:t>日</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ind w:firstLine="400" w:firstLineChars="200"/>
        <w:rPr>
          <w:color w:val="000000"/>
          <w:sz w:val="20"/>
          <w:szCs w:val="20"/>
          <w:highlight w:val="none"/>
        </w:rPr>
      </w:pPr>
    </w:p>
    <w:p>
      <w:pPr>
        <w:rPr>
          <w:highlight w:val="none"/>
        </w:rPr>
      </w:pPr>
      <w:bookmarkStart w:id="128" w:name="_Toc49869998"/>
    </w:p>
    <w:bookmarkEnd w:id="128"/>
    <w:p>
      <w:pPr>
        <w:spacing w:line="400" w:lineRule="exact"/>
        <w:rPr>
          <w:color w:val="000000"/>
          <w:sz w:val="20"/>
          <w:szCs w:val="20"/>
          <w:highlight w:val="none"/>
        </w:rPr>
      </w:pPr>
    </w:p>
    <w:p>
      <w:pPr>
        <w:pStyle w:val="3"/>
        <w:spacing w:before="120" w:after="120" w:line="400" w:lineRule="exact"/>
        <w:jc w:val="center"/>
        <w:rPr>
          <w:rFonts w:ascii="黑体" w:hAnsi="黑体" w:eastAsia="黑体"/>
          <w:bCs w:val="0"/>
          <w:color w:val="000000"/>
          <w:sz w:val="31"/>
          <w:szCs w:val="31"/>
          <w:highlight w:val="none"/>
        </w:rPr>
      </w:pPr>
      <w:bookmarkStart w:id="129" w:name="_Toc49869999"/>
      <w:bookmarkStart w:id="130" w:name="_Toc168475883"/>
      <w:bookmarkStart w:id="131" w:name="_Toc229305402"/>
      <w:bookmarkStart w:id="132" w:name="_Toc168476286"/>
      <w:bookmarkStart w:id="133" w:name="_Toc144974826"/>
      <w:bookmarkStart w:id="134" w:name="EBeabbe39b5933463e8fb010377b73f354"/>
    </w:p>
    <w:p>
      <w:pPr>
        <w:rPr>
          <w:rFonts w:ascii="黑体" w:hAnsi="黑体" w:eastAsia="黑体"/>
          <w:bCs w:val="0"/>
          <w:color w:val="000000"/>
          <w:sz w:val="31"/>
          <w:szCs w:val="31"/>
          <w:highlight w:val="none"/>
        </w:rPr>
      </w:pPr>
    </w:p>
    <w:p>
      <w:pPr>
        <w:pStyle w:val="2"/>
        <w:rPr>
          <w:highlight w:val="none"/>
        </w:rPr>
      </w:pPr>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 w:val="0"/>
          <w:bCs w:val="0"/>
          <w:color w:val="000000"/>
          <w:sz w:val="31"/>
          <w:szCs w:val="31"/>
          <w:highlight w:val="none"/>
        </w:rPr>
      </w:pPr>
      <w:bookmarkStart w:id="135" w:name="_Toc2771"/>
      <w:r>
        <w:rPr>
          <w:rFonts w:hint="eastAsia" w:ascii="黑体" w:hAnsi="黑体" w:eastAsia="黑体"/>
          <w:bCs w:val="0"/>
          <w:color w:val="000000"/>
          <w:sz w:val="31"/>
          <w:szCs w:val="31"/>
          <w:highlight w:val="none"/>
        </w:rPr>
        <w:t>第四章 合同条款及格式</w:t>
      </w:r>
      <w:bookmarkEnd w:id="129"/>
      <w:bookmarkEnd w:id="135"/>
    </w:p>
    <w:bookmarkEnd w:id="130"/>
    <w:bookmarkEnd w:id="131"/>
    <w:bookmarkEnd w:id="132"/>
    <w:bookmarkEnd w:id="133"/>
    <w:bookmarkEnd w:id="134"/>
    <w:p>
      <w:pPr>
        <w:spacing w:line="490" w:lineRule="exact"/>
        <w:rPr>
          <w:sz w:val="20"/>
          <w:highlight w:val="none"/>
        </w:rPr>
      </w:pPr>
      <w:bookmarkStart w:id="136" w:name="_Toc49870005"/>
    </w:p>
    <w:p>
      <w:pPr>
        <w:spacing w:line="490" w:lineRule="exact"/>
        <w:jc w:val="center"/>
        <w:outlineLvl w:val="1"/>
        <w:rPr>
          <w:b/>
          <w:sz w:val="32"/>
          <w:szCs w:val="40"/>
          <w:highlight w:val="none"/>
        </w:rPr>
      </w:pPr>
      <w:bookmarkStart w:id="137" w:name="_Toc304541317"/>
      <w:bookmarkStart w:id="138" w:name="_Toc20502"/>
      <w:bookmarkStart w:id="139" w:name="_Toc304541305"/>
      <w:bookmarkStart w:id="140" w:name="_Toc20114"/>
      <w:r>
        <w:rPr>
          <w:b/>
          <w:sz w:val="32"/>
          <w:szCs w:val="40"/>
          <w:highlight w:val="none"/>
        </w:rPr>
        <w:t>第1节  通用合同条款</w:t>
      </w:r>
      <w:bookmarkEnd w:id="137"/>
      <w:bookmarkEnd w:id="138"/>
      <w:bookmarkEnd w:id="139"/>
      <w:bookmarkEnd w:id="140"/>
    </w:p>
    <w:p>
      <w:pPr>
        <w:spacing w:line="490" w:lineRule="exact"/>
        <w:rPr>
          <w:sz w:val="20"/>
          <w:highlight w:val="none"/>
        </w:rPr>
      </w:pPr>
      <w:bookmarkStart w:id="141" w:name="_Toc189386103"/>
    </w:p>
    <w:p>
      <w:pPr>
        <w:pStyle w:val="5"/>
        <w:keepNext w:val="0"/>
        <w:keepLines w:val="0"/>
        <w:spacing w:before="0" w:after="0" w:line="490" w:lineRule="exact"/>
        <w:ind w:firstLine="422" w:firstLineChars="200"/>
        <w:rPr>
          <w:bCs w:val="0"/>
          <w:color w:val="auto"/>
          <w:sz w:val="21"/>
          <w:szCs w:val="21"/>
          <w:highlight w:val="none"/>
        </w:rPr>
      </w:pPr>
      <w:bookmarkStart w:id="142" w:name="_Toc23610"/>
      <w:bookmarkStart w:id="143" w:name="_Toc27618"/>
      <w:r>
        <w:rPr>
          <w:bCs w:val="0"/>
          <w:color w:val="auto"/>
          <w:sz w:val="21"/>
          <w:szCs w:val="21"/>
          <w:highlight w:val="none"/>
        </w:rPr>
        <w:t>1</w:t>
      </w:r>
      <w:r>
        <w:rPr>
          <w:rFonts w:hint="eastAsia"/>
          <w:bCs w:val="0"/>
          <w:color w:val="auto"/>
          <w:sz w:val="21"/>
          <w:szCs w:val="21"/>
          <w:highlight w:val="none"/>
        </w:rPr>
        <w:t>.</w:t>
      </w:r>
      <w:r>
        <w:rPr>
          <w:bCs w:val="0"/>
          <w:color w:val="auto"/>
          <w:sz w:val="21"/>
          <w:szCs w:val="21"/>
          <w:highlight w:val="none"/>
        </w:rPr>
        <w:t>一般约定</w:t>
      </w:r>
      <w:bookmarkEnd w:id="141"/>
      <w:bookmarkEnd w:id="142"/>
      <w:bookmarkEnd w:id="143"/>
    </w:p>
    <w:p>
      <w:pPr>
        <w:spacing w:line="490" w:lineRule="exact"/>
        <w:ind w:firstLine="422" w:firstLineChars="200"/>
        <w:outlineLvl w:val="3"/>
        <w:rPr>
          <w:b/>
          <w:bCs/>
          <w:kern w:val="0"/>
          <w:szCs w:val="21"/>
          <w:highlight w:val="none"/>
        </w:rPr>
      </w:pPr>
      <w:bookmarkStart w:id="144" w:name="_Toc511318046"/>
      <w:bookmarkStart w:id="145" w:name="_Toc511317297"/>
      <w:bookmarkStart w:id="146" w:name="_Toc189386104"/>
      <w:r>
        <w:rPr>
          <w:b/>
          <w:bCs/>
          <w:kern w:val="0"/>
          <w:szCs w:val="21"/>
          <w:highlight w:val="none"/>
        </w:rPr>
        <w:t>1.1 词语定义</w:t>
      </w:r>
      <w:bookmarkEnd w:id="144"/>
      <w:bookmarkEnd w:id="145"/>
      <w:bookmarkEnd w:id="146"/>
    </w:p>
    <w:p>
      <w:pPr>
        <w:spacing w:line="490" w:lineRule="exact"/>
        <w:ind w:firstLine="420" w:firstLineChars="200"/>
        <w:rPr>
          <w:kern w:val="0"/>
          <w:szCs w:val="21"/>
          <w:highlight w:val="none"/>
        </w:rPr>
      </w:pPr>
      <w:r>
        <w:rPr>
          <w:kern w:val="0"/>
          <w:szCs w:val="21"/>
          <w:highlight w:val="none"/>
        </w:rPr>
        <w:t>通用合同条款、专用合同条款中的下列词语应具有本款所赋予的含义。</w:t>
      </w:r>
    </w:p>
    <w:p>
      <w:pPr>
        <w:spacing w:line="490" w:lineRule="exact"/>
        <w:ind w:firstLine="422" w:firstLineChars="200"/>
        <w:rPr>
          <w:b/>
          <w:kern w:val="0"/>
          <w:szCs w:val="21"/>
          <w:highlight w:val="none"/>
        </w:rPr>
      </w:pPr>
      <w:r>
        <w:rPr>
          <w:b/>
          <w:kern w:val="0"/>
          <w:szCs w:val="21"/>
          <w:highlight w:val="none"/>
        </w:rPr>
        <w:t>1.1.1 合同</w:t>
      </w:r>
    </w:p>
    <w:p>
      <w:pPr>
        <w:spacing w:line="490" w:lineRule="exact"/>
        <w:ind w:firstLine="420" w:firstLineChars="200"/>
        <w:rPr>
          <w:kern w:val="0"/>
          <w:szCs w:val="21"/>
          <w:highlight w:val="none"/>
        </w:rPr>
      </w:pPr>
      <w:r>
        <w:rPr>
          <w:kern w:val="0"/>
          <w:szCs w:val="21"/>
          <w:highlight w:val="none"/>
        </w:rPr>
        <w:t>1.1.1.1 合同文件（或称合同）：指合同协议书、中标通知书、投标函及投标函附录、专用合同条款、通用合同条款、技术标准和要求、图纸、已标价工程量清单，以及其他合同文件。</w:t>
      </w:r>
    </w:p>
    <w:p>
      <w:pPr>
        <w:spacing w:line="490" w:lineRule="exact"/>
        <w:ind w:firstLine="420" w:firstLineChars="200"/>
        <w:rPr>
          <w:kern w:val="0"/>
          <w:szCs w:val="21"/>
          <w:highlight w:val="none"/>
        </w:rPr>
      </w:pPr>
      <w:r>
        <w:rPr>
          <w:kern w:val="0"/>
          <w:szCs w:val="21"/>
          <w:highlight w:val="none"/>
        </w:rPr>
        <w:t>1.1.1.2 合同协议书：指第1.5款所指的合同协议书。</w:t>
      </w:r>
    </w:p>
    <w:p>
      <w:pPr>
        <w:spacing w:line="490" w:lineRule="exact"/>
        <w:ind w:firstLine="420" w:firstLineChars="200"/>
        <w:rPr>
          <w:kern w:val="0"/>
          <w:szCs w:val="21"/>
          <w:highlight w:val="none"/>
        </w:rPr>
      </w:pPr>
      <w:r>
        <w:rPr>
          <w:kern w:val="0"/>
          <w:szCs w:val="21"/>
          <w:highlight w:val="none"/>
        </w:rPr>
        <w:t>1.1.1.3 中标通知书：指发包人通知承包人中标的函件。</w:t>
      </w:r>
    </w:p>
    <w:p>
      <w:pPr>
        <w:spacing w:line="490" w:lineRule="exact"/>
        <w:ind w:firstLine="420" w:firstLineChars="200"/>
        <w:rPr>
          <w:kern w:val="0"/>
          <w:szCs w:val="21"/>
          <w:highlight w:val="none"/>
        </w:rPr>
      </w:pPr>
      <w:r>
        <w:rPr>
          <w:kern w:val="0"/>
          <w:szCs w:val="21"/>
          <w:highlight w:val="none"/>
        </w:rPr>
        <w:t>1.1.1.4 投标函：指构成合同文件组成部分的由承包人填写并签署的投标函。</w:t>
      </w:r>
    </w:p>
    <w:p>
      <w:pPr>
        <w:spacing w:line="490" w:lineRule="exact"/>
        <w:ind w:firstLine="420" w:firstLineChars="200"/>
        <w:rPr>
          <w:kern w:val="0"/>
          <w:szCs w:val="21"/>
          <w:highlight w:val="none"/>
        </w:rPr>
      </w:pPr>
      <w:r>
        <w:rPr>
          <w:kern w:val="0"/>
          <w:szCs w:val="21"/>
          <w:highlight w:val="none"/>
        </w:rPr>
        <w:t>1.1.1.5 投标函附录：指附在投标函后构成合同文件的投标函附录。</w:t>
      </w:r>
    </w:p>
    <w:p>
      <w:pPr>
        <w:spacing w:line="490" w:lineRule="exact"/>
        <w:ind w:firstLine="420" w:firstLineChars="200"/>
        <w:rPr>
          <w:kern w:val="0"/>
          <w:szCs w:val="21"/>
          <w:highlight w:val="none"/>
        </w:rPr>
      </w:pPr>
      <w:r>
        <w:rPr>
          <w:kern w:val="0"/>
          <w:szCs w:val="21"/>
          <w:highlight w:val="none"/>
        </w:rPr>
        <w:t>1.1.1.6 技术标准和要求：指构成合同文件组成部分的名为技术标准和要求（合同技术条款）的文件，包括合同双方当事人约定对其所作的修改或补充。</w:t>
      </w:r>
    </w:p>
    <w:p>
      <w:pPr>
        <w:spacing w:line="490" w:lineRule="exact"/>
        <w:ind w:firstLine="420" w:firstLineChars="200"/>
        <w:rPr>
          <w:kern w:val="0"/>
          <w:szCs w:val="21"/>
          <w:highlight w:val="none"/>
        </w:rPr>
      </w:pPr>
      <w:r>
        <w:rPr>
          <w:kern w:val="0"/>
          <w:szCs w:val="21"/>
          <w:highlight w:val="none"/>
        </w:rPr>
        <w:t>1.1.1.7 图纸：指列入合同的招标图纸、投标图纸和发包人按合同约定向承包人提供的施工图纸和其它图纸（包括配套说明和有关资料）。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pPr>
        <w:spacing w:line="490" w:lineRule="exact"/>
        <w:ind w:firstLine="420" w:firstLineChars="200"/>
        <w:rPr>
          <w:kern w:val="0"/>
          <w:szCs w:val="21"/>
          <w:highlight w:val="none"/>
        </w:rPr>
      </w:pPr>
      <w:r>
        <w:rPr>
          <w:kern w:val="0"/>
          <w:szCs w:val="21"/>
          <w:highlight w:val="none"/>
        </w:rPr>
        <w:t>1.1.1.8 已标价工程量清单：指构成合同文件组成部分的由承包人按照规定的格式和要求填写并标明价格的工程量清单。</w:t>
      </w:r>
    </w:p>
    <w:p>
      <w:pPr>
        <w:spacing w:line="490" w:lineRule="exact"/>
        <w:ind w:firstLine="420" w:firstLineChars="200"/>
        <w:rPr>
          <w:kern w:val="0"/>
          <w:szCs w:val="21"/>
          <w:highlight w:val="none"/>
        </w:rPr>
      </w:pPr>
      <w:r>
        <w:rPr>
          <w:kern w:val="0"/>
          <w:szCs w:val="21"/>
          <w:highlight w:val="none"/>
        </w:rPr>
        <w:t>1.1.1.9 其他合同文件：指经合同双方当事人确认构成合同文件的其他文件。</w:t>
      </w:r>
    </w:p>
    <w:p>
      <w:pPr>
        <w:spacing w:line="490" w:lineRule="exact"/>
        <w:ind w:firstLine="422" w:firstLineChars="200"/>
        <w:rPr>
          <w:b/>
          <w:kern w:val="0"/>
          <w:szCs w:val="21"/>
          <w:highlight w:val="none"/>
        </w:rPr>
      </w:pPr>
      <w:r>
        <w:rPr>
          <w:b/>
          <w:kern w:val="0"/>
          <w:szCs w:val="21"/>
          <w:highlight w:val="none"/>
        </w:rPr>
        <w:t>1.1.2 合同当事人和人员</w:t>
      </w:r>
    </w:p>
    <w:p>
      <w:pPr>
        <w:spacing w:line="490" w:lineRule="exact"/>
        <w:ind w:firstLine="420" w:firstLineChars="200"/>
        <w:rPr>
          <w:kern w:val="0"/>
          <w:szCs w:val="21"/>
          <w:highlight w:val="none"/>
        </w:rPr>
      </w:pPr>
      <w:r>
        <w:rPr>
          <w:kern w:val="0"/>
          <w:szCs w:val="21"/>
          <w:highlight w:val="none"/>
        </w:rPr>
        <w:t>1.1.2.1 合同当事人:指发包人和（或）承包人。</w:t>
      </w:r>
    </w:p>
    <w:p>
      <w:pPr>
        <w:spacing w:line="490" w:lineRule="exact"/>
        <w:ind w:firstLine="420" w:firstLineChars="200"/>
        <w:rPr>
          <w:kern w:val="0"/>
          <w:szCs w:val="21"/>
          <w:highlight w:val="none"/>
        </w:rPr>
      </w:pPr>
      <w:r>
        <w:rPr>
          <w:kern w:val="0"/>
          <w:szCs w:val="21"/>
          <w:highlight w:val="none"/>
        </w:rPr>
        <w:t>1.1.2.2 发包人：指专用合同条款中指明并与承包人在合同协议书中签字的当事人。</w:t>
      </w:r>
    </w:p>
    <w:p>
      <w:pPr>
        <w:spacing w:line="490" w:lineRule="exact"/>
        <w:ind w:firstLine="420" w:firstLineChars="200"/>
        <w:rPr>
          <w:kern w:val="0"/>
          <w:szCs w:val="21"/>
          <w:highlight w:val="none"/>
        </w:rPr>
      </w:pPr>
      <w:r>
        <w:rPr>
          <w:kern w:val="0"/>
          <w:szCs w:val="21"/>
          <w:highlight w:val="none"/>
        </w:rPr>
        <w:t>1.1.2.3 承包人：指专用合同条款中指明并与发包人在合同协议书中签字的当事人。</w:t>
      </w:r>
    </w:p>
    <w:p>
      <w:pPr>
        <w:spacing w:line="490" w:lineRule="exact"/>
        <w:ind w:firstLine="420" w:firstLineChars="200"/>
        <w:rPr>
          <w:kern w:val="0"/>
          <w:szCs w:val="21"/>
          <w:highlight w:val="none"/>
        </w:rPr>
      </w:pPr>
      <w:r>
        <w:rPr>
          <w:kern w:val="0"/>
          <w:szCs w:val="21"/>
          <w:highlight w:val="none"/>
        </w:rPr>
        <w:t>1.1.2.4 承包人项目经理：指承包人派驻施工场地的全权负责人。</w:t>
      </w:r>
    </w:p>
    <w:p>
      <w:pPr>
        <w:spacing w:line="490" w:lineRule="exact"/>
        <w:ind w:firstLine="420" w:firstLineChars="200"/>
        <w:rPr>
          <w:kern w:val="0"/>
          <w:szCs w:val="21"/>
          <w:highlight w:val="none"/>
        </w:rPr>
      </w:pPr>
      <w:r>
        <w:rPr>
          <w:kern w:val="0"/>
          <w:szCs w:val="21"/>
          <w:highlight w:val="none"/>
        </w:rPr>
        <w:t>1.1.2.5 分包人：指专用合同条款中指明的，从承包人处分包合同中某一部分工程，并与其签订分包合同的分包人。</w:t>
      </w:r>
    </w:p>
    <w:p>
      <w:pPr>
        <w:spacing w:line="490" w:lineRule="exact"/>
        <w:ind w:firstLine="420" w:firstLineChars="200"/>
        <w:rPr>
          <w:kern w:val="0"/>
          <w:szCs w:val="21"/>
          <w:highlight w:val="none"/>
        </w:rPr>
      </w:pPr>
      <w:r>
        <w:rPr>
          <w:kern w:val="0"/>
          <w:szCs w:val="21"/>
          <w:highlight w:val="none"/>
        </w:rPr>
        <w:t>1.1.2.6 监理人：指在专用合同条款中指明的，受发包人委托对合同履行实施管理的法人或其他组织。</w:t>
      </w:r>
    </w:p>
    <w:p>
      <w:pPr>
        <w:spacing w:line="490" w:lineRule="exact"/>
        <w:ind w:firstLine="420" w:firstLineChars="200"/>
        <w:rPr>
          <w:kern w:val="0"/>
          <w:szCs w:val="21"/>
          <w:highlight w:val="none"/>
        </w:rPr>
      </w:pPr>
      <w:r>
        <w:rPr>
          <w:kern w:val="0"/>
          <w:szCs w:val="21"/>
          <w:highlight w:val="none"/>
        </w:rPr>
        <w:t>1.1.2.7 总监理工程师（总监）：指由监理人委派常驻施工场地对合同履行实施管理的全权负责人。</w:t>
      </w:r>
    </w:p>
    <w:p>
      <w:pPr>
        <w:spacing w:line="490" w:lineRule="exact"/>
        <w:ind w:firstLine="422" w:firstLineChars="200"/>
        <w:rPr>
          <w:b/>
          <w:kern w:val="0"/>
          <w:szCs w:val="21"/>
          <w:highlight w:val="none"/>
        </w:rPr>
      </w:pPr>
      <w:r>
        <w:rPr>
          <w:b/>
          <w:kern w:val="0"/>
          <w:szCs w:val="21"/>
          <w:highlight w:val="none"/>
        </w:rPr>
        <w:t>1.1.3 工程和设备</w:t>
      </w:r>
    </w:p>
    <w:p>
      <w:pPr>
        <w:spacing w:line="490" w:lineRule="exact"/>
        <w:ind w:firstLine="420" w:firstLineChars="200"/>
        <w:rPr>
          <w:kern w:val="0"/>
          <w:szCs w:val="21"/>
          <w:highlight w:val="none"/>
        </w:rPr>
      </w:pPr>
      <w:r>
        <w:rPr>
          <w:kern w:val="0"/>
          <w:szCs w:val="21"/>
          <w:highlight w:val="none"/>
        </w:rPr>
        <w:t>1.1.3.1 工程：指永久工程和（或）临时工程。</w:t>
      </w:r>
    </w:p>
    <w:p>
      <w:pPr>
        <w:spacing w:line="490" w:lineRule="exact"/>
        <w:ind w:firstLine="420" w:firstLineChars="200"/>
        <w:rPr>
          <w:kern w:val="0"/>
          <w:szCs w:val="21"/>
          <w:highlight w:val="none"/>
        </w:rPr>
      </w:pPr>
      <w:r>
        <w:rPr>
          <w:kern w:val="0"/>
          <w:szCs w:val="21"/>
          <w:highlight w:val="none"/>
        </w:rPr>
        <w:t>1.1.3.2 永久工程：指按合同约定建造并移交给发包人的工程，包括工程设备。</w:t>
      </w:r>
    </w:p>
    <w:p>
      <w:pPr>
        <w:spacing w:line="490" w:lineRule="exact"/>
        <w:ind w:firstLine="420" w:firstLineChars="200"/>
        <w:rPr>
          <w:kern w:val="0"/>
          <w:szCs w:val="21"/>
          <w:highlight w:val="none"/>
        </w:rPr>
      </w:pPr>
      <w:r>
        <w:rPr>
          <w:kern w:val="0"/>
          <w:szCs w:val="21"/>
          <w:highlight w:val="none"/>
        </w:rPr>
        <w:t>1.1.3.3 临时工程：指为完成合同约定的永久工程所修建的各类临时性工程，不包括施工设备。</w:t>
      </w:r>
    </w:p>
    <w:p>
      <w:pPr>
        <w:spacing w:line="490" w:lineRule="exact"/>
        <w:ind w:firstLine="420" w:firstLineChars="200"/>
        <w:rPr>
          <w:kern w:val="0"/>
          <w:szCs w:val="21"/>
          <w:highlight w:val="none"/>
        </w:rPr>
      </w:pPr>
      <w:r>
        <w:rPr>
          <w:kern w:val="0"/>
          <w:szCs w:val="21"/>
          <w:highlight w:val="none"/>
        </w:rPr>
        <w:t>1.1.3.4 单位工程：指专用合同条款中指明特定范围的永久工程。</w:t>
      </w:r>
    </w:p>
    <w:p>
      <w:pPr>
        <w:spacing w:line="490" w:lineRule="exact"/>
        <w:ind w:firstLine="420" w:firstLineChars="200"/>
        <w:rPr>
          <w:kern w:val="0"/>
          <w:szCs w:val="21"/>
          <w:highlight w:val="none"/>
        </w:rPr>
      </w:pPr>
      <w:r>
        <w:rPr>
          <w:kern w:val="0"/>
          <w:szCs w:val="21"/>
          <w:highlight w:val="none"/>
        </w:rPr>
        <w:t>1.1.3.5 工程设备：指构成或计划构成永久工程一部分的机电设备、金属结构设备、仪器装置及其他类似的设备和装置。</w:t>
      </w:r>
    </w:p>
    <w:p>
      <w:pPr>
        <w:spacing w:line="490" w:lineRule="exact"/>
        <w:ind w:firstLine="420" w:firstLineChars="200"/>
        <w:rPr>
          <w:kern w:val="0"/>
          <w:szCs w:val="21"/>
          <w:highlight w:val="none"/>
        </w:rPr>
      </w:pPr>
      <w:r>
        <w:rPr>
          <w:kern w:val="0"/>
          <w:szCs w:val="21"/>
          <w:highlight w:val="none"/>
        </w:rPr>
        <w:t>1.1.3.6 施工设备：指为完成合同约定的各项工作所需的设备、器具和其他物品，不包括临时工程和材料。</w:t>
      </w:r>
    </w:p>
    <w:p>
      <w:pPr>
        <w:spacing w:line="490" w:lineRule="exact"/>
        <w:ind w:firstLine="420" w:firstLineChars="200"/>
        <w:rPr>
          <w:kern w:val="0"/>
          <w:szCs w:val="21"/>
          <w:highlight w:val="none"/>
        </w:rPr>
      </w:pPr>
      <w:r>
        <w:rPr>
          <w:kern w:val="0"/>
          <w:szCs w:val="21"/>
          <w:highlight w:val="none"/>
        </w:rPr>
        <w:t>1.1.3.7 临时设施：指为完成合同约定的各项工作所服务的临时性生产和生活设施。</w:t>
      </w:r>
    </w:p>
    <w:p>
      <w:pPr>
        <w:spacing w:line="490" w:lineRule="exact"/>
        <w:ind w:firstLine="420" w:firstLineChars="200"/>
        <w:rPr>
          <w:kern w:val="0"/>
          <w:szCs w:val="21"/>
          <w:highlight w:val="none"/>
        </w:rPr>
      </w:pPr>
      <w:r>
        <w:rPr>
          <w:kern w:val="0"/>
          <w:szCs w:val="21"/>
          <w:highlight w:val="none"/>
        </w:rPr>
        <w:t>1.1.3.8 承包人设备：指承包人自带的施工设备。</w:t>
      </w:r>
    </w:p>
    <w:p>
      <w:pPr>
        <w:spacing w:line="490" w:lineRule="exact"/>
        <w:ind w:firstLine="420" w:firstLineChars="200"/>
        <w:rPr>
          <w:kern w:val="0"/>
          <w:szCs w:val="21"/>
          <w:highlight w:val="none"/>
        </w:rPr>
      </w:pPr>
      <w:r>
        <w:rPr>
          <w:kern w:val="0"/>
          <w:szCs w:val="21"/>
          <w:highlight w:val="none"/>
        </w:rPr>
        <w:t>1.1.3.9 施工场地（或称工地、现场）：指用于合同工程施工的场所，以及在合同中指定作为施工场地组成部分的其他场所，包括永久占地和临时占地。</w:t>
      </w:r>
    </w:p>
    <w:p>
      <w:pPr>
        <w:spacing w:line="490" w:lineRule="exact"/>
        <w:ind w:firstLine="420" w:firstLineChars="200"/>
        <w:rPr>
          <w:kern w:val="0"/>
          <w:szCs w:val="21"/>
          <w:highlight w:val="none"/>
        </w:rPr>
      </w:pPr>
      <w:r>
        <w:rPr>
          <w:kern w:val="0"/>
          <w:szCs w:val="21"/>
          <w:highlight w:val="none"/>
        </w:rPr>
        <w:t>1.1.3.10 永久占地：指发包人为建设本合同工程永久征用的场地。</w:t>
      </w:r>
    </w:p>
    <w:p>
      <w:pPr>
        <w:spacing w:line="490" w:lineRule="exact"/>
        <w:ind w:firstLine="420" w:firstLineChars="200"/>
        <w:rPr>
          <w:kern w:val="0"/>
          <w:szCs w:val="21"/>
          <w:highlight w:val="none"/>
        </w:rPr>
      </w:pPr>
      <w:r>
        <w:rPr>
          <w:kern w:val="0"/>
          <w:szCs w:val="21"/>
          <w:highlight w:val="none"/>
        </w:rPr>
        <w:t>1.1.3.11 临时占地：指发包人为建设本合同工程临时征用，承包人在完工后须按合同要求退还的场地。</w:t>
      </w:r>
    </w:p>
    <w:p>
      <w:pPr>
        <w:spacing w:line="490" w:lineRule="exact"/>
        <w:ind w:firstLine="422" w:firstLineChars="200"/>
        <w:rPr>
          <w:b/>
          <w:kern w:val="0"/>
          <w:szCs w:val="21"/>
          <w:highlight w:val="none"/>
        </w:rPr>
      </w:pPr>
      <w:r>
        <w:rPr>
          <w:b/>
          <w:kern w:val="0"/>
          <w:szCs w:val="21"/>
          <w:highlight w:val="none"/>
        </w:rPr>
        <w:t>1.1.4 日期</w:t>
      </w:r>
    </w:p>
    <w:p>
      <w:pPr>
        <w:spacing w:line="490" w:lineRule="exact"/>
        <w:ind w:firstLine="420" w:firstLineChars="200"/>
        <w:rPr>
          <w:kern w:val="0"/>
          <w:szCs w:val="21"/>
          <w:highlight w:val="none"/>
        </w:rPr>
      </w:pPr>
      <w:r>
        <w:rPr>
          <w:kern w:val="0"/>
          <w:szCs w:val="21"/>
          <w:highlight w:val="none"/>
        </w:rPr>
        <w:t>1.1.4.1 开工通知：指监理人按第11.1款通知承包人开工的函件。</w:t>
      </w:r>
    </w:p>
    <w:p>
      <w:pPr>
        <w:spacing w:line="490" w:lineRule="exact"/>
        <w:ind w:firstLine="420" w:firstLineChars="200"/>
        <w:rPr>
          <w:kern w:val="0"/>
          <w:szCs w:val="21"/>
          <w:highlight w:val="none"/>
        </w:rPr>
      </w:pPr>
      <w:r>
        <w:rPr>
          <w:kern w:val="0"/>
          <w:szCs w:val="21"/>
          <w:highlight w:val="none"/>
        </w:rPr>
        <w:t>1.1.4.2 开工日期：指监理人按第11.1款发出的开工通知中写明的开工日期。</w:t>
      </w:r>
    </w:p>
    <w:p>
      <w:pPr>
        <w:spacing w:line="490" w:lineRule="exact"/>
        <w:ind w:firstLine="420" w:firstLineChars="200"/>
        <w:rPr>
          <w:kern w:val="0"/>
          <w:szCs w:val="21"/>
          <w:highlight w:val="none"/>
        </w:rPr>
      </w:pPr>
      <w:r>
        <w:rPr>
          <w:kern w:val="0"/>
          <w:szCs w:val="21"/>
          <w:highlight w:val="none"/>
        </w:rPr>
        <w:t>1.1.4.3 工期：指承包人在投标函中承诺的完成合同工程所需的期限，包括按第11.3 款、第11.4款和第11.6款约定所作的变更。</w:t>
      </w:r>
    </w:p>
    <w:p>
      <w:pPr>
        <w:spacing w:line="490" w:lineRule="exact"/>
        <w:ind w:firstLine="420" w:firstLineChars="200"/>
        <w:rPr>
          <w:kern w:val="0"/>
          <w:szCs w:val="21"/>
          <w:highlight w:val="none"/>
        </w:rPr>
      </w:pPr>
      <w:r>
        <w:rPr>
          <w:kern w:val="0"/>
          <w:szCs w:val="21"/>
          <w:highlight w:val="none"/>
        </w:rPr>
        <w:t>1.1.4.4 竣工日期：即合同工程完工日期，指第1.1.4.3目约定工期届满时的日期。实际完工日期以合同工程完工证书中写明的日期为准。</w:t>
      </w:r>
    </w:p>
    <w:p>
      <w:pPr>
        <w:spacing w:line="490" w:lineRule="exact"/>
        <w:ind w:firstLine="420" w:firstLineChars="200"/>
        <w:rPr>
          <w:kern w:val="0"/>
          <w:szCs w:val="21"/>
          <w:highlight w:val="none"/>
        </w:rPr>
      </w:pPr>
      <w:r>
        <w:rPr>
          <w:kern w:val="0"/>
          <w:szCs w:val="21"/>
          <w:highlight w:val="none"/>
        </w:rPr>
        <w:t>1.1.4.5 缺陷责任期：即工程质量保修期，指履行第19.2款约定的缺陷责任的期限，包括根据第19.3款约定所作的延长，具体期限由专用合同条款约定。</w:t>
      </w:r>
    </w:p>
    <w:p>
      <w:pPr>
        <w:spacing w:line="490" w:lineRule="exact"/>
        <w:ind w:firstLine="420" w:firstLineChars="200"/>
        <w:rPr>
          <w:kern w:val="0"/>
          <w:szCs w:val="21"/>
          <w:highlight w:val="none"/>
        </w:rPr>
      </w:pPr>
      <w:r>
        <w:rPr>
          <w:kern w:val="0"/>
          <w:szCs w:val="21"/>
          <w:highlight w:val="none"/>
        </w:rPr>
        <w:t>1.1.4.6 基准日期：指投标截止时间前28天的日期。</w:t>
      </w:r>
    </w:p>
    <w:p>
      <w:pPr>
        <w:spacing w:line="490" w:lineRule="exact"/>
        <w:ind w:firstLine="420" w:firstLineChars="200"/>
        <w:rPr>
          <w:kern w:val="0"/>
          <w:szCs w:val="21"/>
          <w:highlight w:val="none"/>
        </w:rPr>
      </w:pPr>
      <w:r>
        <w:rPr>
          <w:kern w:val="0"/>
          <w:szCs w:val="21"/>
          <w:highlight w:val="none"/>
        </w:rPr>
        <w:t>1.1.4.7 天：除特别指明外，指日历天。合同中按天计算时间的，开始当天不计入，从次日开始计算。期限最后一天的截止时间为当天24:00。</w:t>
      </w:r>
    </w:p>
    <w:p>
      <w:pPr>
        <w:spacing w:line="490" w:lineRule="exact"/>
        <w:ind w:firstLine="422" w:firstLineChars="200"/>
        <w:rPr>
          <w:b/>
          <w:kern w:val="0"/>
          <w:szCs w:val="21"/>
          <w:highlight w:val="none"/>
        </w:rPr>
      </w:pPr>
      <w:r>
        <w:rPr>
          <w:b/>
          <w:kern w:val="0"/>
          <w:szCs w:val="21"/>
          <w:highlight w:val="none"/>
        </w:rPr>
        <w:t>1.1.5 合同价格和费用</w:t>
      </w:r>
    </w:p>
    <w:p>
      <w:pPr>
        <w:spacing w:line="490" w:lineRule="exact"/>
        <w:ind w:firstLine="420" w:firstLineChars="200"/>
        <w:rPr>
          <w:kern w:val="0"/>
          <w:szCs w:val="21"/>
          <w:highlight w:val="none"/>
        </w:rPr>
      </w:pPr>
      <w:r>
        <w:rPr>
          <w:kern w:val="0"/>
          <w:szCs w:val="21"/>
          <w:highlight w:val="none"/>
        </w:rPr>
        <w:t>1.1.5.1 签约合同价：指签定合同时合同协议书中写明的，包括了暂列金额、暂估价的合同总金额。</w:t>
      </w:r>
    </w:p>
    <w:p>
      <w:pPr>
        <w:spacing w:line="490" w:lineRule="exact"/>
        <w:ind w:firstLine="420" w:firstLineChars="200"/>
        <w:rPr>
          <w:kern w:val="0"/>
          <w:szCs w:val="21"/>
          <w:highlight w:val="none"/>
        </w:rPr>
      </w:pPr>
      <w:r>
        <w:rPr>
          <w:kern w:val="0"/>
          <w:szCs w:val="21"/>
          <w:highlight w:val="none"/>
        </w:rPr>
        <w:t>1.1.5.2 合同价格：指承包人按合同约定完成了包括缺陷责任期内的全部承包工作后，发包人应付给承包人的金额，包括在履行合同过程中按合同约定进行的变更和调整。</w:t>
      </w:r>
    </w:p>
    <w:p>
      <w:pPr>
        <w:spacing w:line="490" w:lineRule="exact"/>
        <w:ind w:firstLine="420" w:firstLineChars="200"/>
        <w:rPr>
          <w:kern w:val="0"/>
          <w:szCs w:val="21"/>
          <w:highlight w:val="none"/>
        </w:rPr>
      </w:pPr>
      <w:r>
        <w:rPr>
          <w:kern w:val="0"/>
          <w:szCs w:val="21"/>
          <w:highlight w:val="none"/>
        </w:rPr>
        <w:t>1.1.5.3 费用：指为履行合同所发生的或将要发生的所有合理开支，包括管理费和应分摊的其他费用，但不包括利润。</w:t>
      </w:r>
    </w:p>
    <w:p>
      <w:pPr>
        <w:spacing w:line="490" w:lineRule="exact"/>
        <w:ind w:firstLine="420" w:firstLineChars="200"/>
        <w:rPr>
          <w:kern w:val="0"/>
          <w:szCs w:val="21"/>
          <w:highlight w:val="none"/>
        </w:rPr>
      </w:pPr>
      <w:r>
        <w:rPr>
          <w:kern w:val="0"/>
          <w:szCs w:val="21"/>
          <w:highlight w:val="none"/>
        </w:rPr>
        <w:t>1.1.5.4 暂列金额：指已标价工程量清单中所列的暂列金额，用于在签订协议书时尚未确定或不可预见变更的施工及其所需材料、工程设备、服务等的金额，包括以计日工方式支付的金额。</w:t>
      </w:r>
    </w:p>
    <w:p>
      <w:pPr>
        <w:spacing w:line="490" w:lineRule="exact"/>
        <w:ind w:firstLine="420" w:firstLineChars="200"/>
        <w:rPr>
          <w:kern w:val="0"/>
          <w:szCs w:val="21"/>
          <w:highlight w:val="none"/>
        </w:rPr>
      </w:pPr>
      <w:r>
        <w:rPr>
          <w:kern w:val="0"/>
          <w:szCs w:val="21"/>
          <w:highlight w:val="none"/>
        </w:rPr>
        <w:t>1.1.5.5 暂估价：指发包人在工程量清单中给定的用于支付必然发生但暂时不能确定价格的材料、设备以及专业工程的金额。</w:t>
      </w:r>
    </w:p>
    <w:p>
      <w:pPr>
        <w:spacing w:line="490" w:lineRule="exact"/>
        <w:ind w:firstLine="420" w:firstLineChars="200"/>
        <w:rPr>
          <w:kern w:val="0"/>
          <w:szCs w:val="21"/>
          <w:highlight w:val="none"/>
        </w:rPr>
      </w:pPr>
      <w:r>
        <w:rPr>
          <w:kern w:val="0"/>
          <w:szCs w:val="21"/>
          <w:highlight w:val="none"/>
        </w:rPr>
        <w:t>1.1.5.6 计日工：指对零星工作采取的一种计价方式，按合同中的计日工子目及其单价计价付款。</w:t>
      </w:r>
    </w:p>
    <w:p>
      <w:pPr>
        <w:spacing w:line="490" w:lineRule="exact"/>
        <w:ind w:firstLine="420" w:firstLineChars="200"/>
        <w:rPr>
          <w:kern w:val="0"/>
          <w:szCs w:val="21"/>
          <w:highlight w:val="none"/>
        </w:rPr>
      </w:pPr>
      <w:r>
        <w:rPr>
          <w:kern w:val="0"/>
          <w:szCs w:val="21"/>
          <w:highlight w:val="none"/>
        </w:rPr>
        <w:t>1.1.5.7 质量保证金（或称保留金）：指按第17.4.1项约定用于保证在缺陷责任期内履行缺陷修复义务的金额。</w:t>
      </w:r>
    </w:p>
    <w:p>
      <w:pPr>
        <w:spacing w:line="490" w:lineRule="exact"/>
        <w:ind w:firstLine="422" w:firstLineChars="200"/>
        <w:rPr>
          <w:b/>
          <w:kern w:val="0"/>
          <w:szCs w:val="21"/>
          <w:highlight w:val="none"/>
        </w:rPr>
      </w:pPr>
      <w:r>
        <w:rPr>
          <w:b/>
          <w:kern w:val="0"/>
          <w:szCs w:val="21"/>
          <w:highlight w:val="none"/>
        </w:rPr>
        <w:t>1.1.6 其他</w:t>
      </w:r>
    </w:p>
    <w:p>
      <w:pPr>
        <w:spacing w:line="490" w:lineRule="exact"/>
        <w:ind w:firstLine="420" w:firstLineChars="200"/>
        <w:rPr>
          <w:kern w:val="0"/>
          <w:szCs w:val="21"/>
          <w:highlight w:val="none"/>
        </w:rPr>
      </w:pPr>
      <w:r>
        <w:rPr>
          <w:kern w:val="0"/>
          <w:szCs w:val="21"/>
          <w:highlight w:val="none"/>
        </w:rPr>
        <w:t>1.1.6.1 书面形式：指合同文件、信函、电报、传真等可以有形地表现所载内容的形式。</w:t>
      </w:r>
    </w:p>
    <w:p>
      <w:pPr>
        <w:spacing w:line="490" w:lineRule="exact"/>
        <w:ind w:firstLine="422" w:firstLineChars="200"/>
        <w:outlineLvl w:val="3"/>
        <w:rPr>
          <w:b/>
          <w:bCs/>
          <w:kern w:val="0"/>
          <w:szCs w:val="21"/>
          <w:highlight w:val="none"/>
        </w:rPr>
      </w:pPr>
      <w:bookmarkStart w:id="147" w:name="_Toc189386105"/>
      <w:bookmarkStart w:id="148" w:name="_Toc511317298"/>
      <w:bookmarkStart w:id="149" w:name="_Toc511318047"/>
      <w:r>
        <w:rPr>
          <w:b/>
          <w:bCs/>
          <w:kern w:val="0"/>
          <w:szCs w:val="21"/>
          <w:highlight w:val="none"/>
        </w:rPr>
        <w:t>1.2 语言文字</w:t>
      </w:r>
      <w:bookmarkEnd w:id="147"/>
      <w:bookmarkEnd w:id="148"/>
      <w:bookmarkEnd w:id="149"/>
    </w:p>
    <w:p>
      <w:pPr>
        <w:spacing w:line="490" w:lineRule="exact"/>
        <w:ind w:firstLine="420" w:firstLineChars="200"/>
        <w:rPr>
          <w:kern w:val="0"/>
          <w:szCs w:val="21"/>
          <w:highlight w:val="none"/>
        </w:rPr>
      </w:pPr>
      <w:r>
        <w:rPr>
          <w:kern w:val="0"/>
          <w:szCs w:val="21"/>
          <w:highlight w:val="none"/>
        </w:rPr>
        <w:t>除专用术语外，合同使用的语言文字为中文。必要时专用术语应附有中文注释。</w:t>
      </w:r>
    </w:p>
    <w:p>
      <w:pPr>
        <w:spacing w:line="490" w:lineRule="exact"/>
        <w:ind w:firstLine="422" w:firstLineChars="200"/>
        <w:outlineLvl w:val="3"/>
        <w:rPr>
          <w:b/>
          <w:bCs/>
          <w:kern w:val="0"/>
          <w:szCs w:val="21"/>
          <w:highlight w:val="none"/>
        </w:rPr>
      </w:pPr>
      <w:bookmarkStart w:id="150" w:name="_Toc189386106"/>
      <w:bookmarkStart w:id="151" w:name="_Toc511317299"/>
      <w:bookmarkStart w:id="152" w:name="_Toc511318048"/>
      <w:r>
        <w:rPr>
          <w:b/>
          <w:bCs/>
          <w:kern w:val="0"/>
          <w:szCs w:val="21"/>
          <w:highlight w:val="none"/>
        </w:rPr>
        <w:t>1.3 法律</w:t>
      </w:r>
      <w:bookmarkEnd w:id="150"/>
      <w:bookmarkEnd w:id="151"/>
      <w:bookmarkEnd w:id="152"/>
    </w:p>
    <w:p>
      <w:pPr>
        <w:spacing w:line="490" w:lineRule="exact"/>
        <w:ind w:firstLine="420" w:firstLineChars="200"/>
        <w:rPr>
          <w:kern w:val="0"/>
          <w:szCs w:val="21"/>
          <w:highlight w:val="none"/>
        </w:rPr>
      </w:pPr>
      <w:r>
        <w:rPr>
          <w:kern w:val="0"/>
          <w:szCs w:val="21"/>
          <w:highlight w:val="none"/>
        </w:rPr>
        <w:t>适用于合同的法律包括中华人民共和国法律、行政法规、部门规章，以及工程所在地的地方法规、自治条例、单行条例和地方政府规章。</w:t>
      </w:r>
    </w:p>
    <w:p>
      <w:pPr>
        <w:spacing w:line="490" w:lineRule="exact"/>
        <w:ind w:firstLine="422" w:firstLineChars="200"/>
        <w:outlineLvl w:val="3"/>
        <w:rPr>
          <w:b/>
          <w:bCs/>
          <w:kern w:val="0"/>
          <w:szCs w:val="21"/>
          <w:highlight w:val="none"/>
        </w:rPr>
      </w:pPr>
      <w:bookmarkStart w:id="153" w:name="_Toc511317300"/>
      <w:bookmarkStart w:id="154" w:name="_Toc511318049"/>
      <w:bookmarkStart w:id="155" w:name="_Toc189386107"/>
      <w:r>
        <w:rPr>
          <w:b/>
          <w:bCs/>
          <w:kern w:val="0"/>
          <w:szCs w:val="21"/>
          <w:highlight w:val="none"/>
        </w:rPr>
        <w:t>1.4 合同文件的优先顺序</w:t>
      </w:r>
      <w:bookmarkEnd w:id="153"/>
      <w:bookmarkEnd w:id="154"/>
      <w:bookmarkEnd w:id="155"/>
    </w:p>
    <w:p>
      <w:pPr>
        <w:spacing w:line="490" w:lineRule="exact"/>
        <w:ind w:firstLine="420" w:firstLineChars="200"/>
        <w:rPr>
          <w:kern w:val="0"/>
          <w:szCs w:val="21"/>
          <w:highlight w:val="none"/>
        </w:rPr>
      </w:pPr>
      <w:r>
        <w:rPr>
          <w:kern w:val="0"/>
          <w:szCs w:val="21"/>
          <w:highlight w:val="none"/>
        </w:rPr>
        <w:t>组成合同的各项文件应互相解释，互为说明。除专用合同条款另有约定外，解释合同文件的优先顺序如下：</w:t>
      </w:r>
    </w:p>
    <w:p>
      <w:pPr>
        <w:spacing w:line="490" w:lineRule="exact"/>
        <w:ind w:firstLine="420" w:firstLineChars="200"/>
        <w:rPr>
          <w:kern w:val="0"/>
          <w:szCs w:val="21"/>
          <w:highlight w:val="none"/>
        </w:rPr>
      </w:pPr>
      <w:r>
        <w:rPr>
          <w:kern w:val="0"/>
          <w:szCs w:val="21"/>
          <w:highlight w:val="none"/>
        </w:rPr>
        <w:t>（1）合同协议书；</w:t>
      </w:r>
    </w:p>
    <w:p>
      <w:pPr>
        <w:spacing w:line="490" w:lineRule="exact"/>
        <w:ind w:firstLine="420" w:firstLineChars="200"/>
        <w:rPr>
          <w:kern w:val="0"/>
          <w:szCs w:val="21"/>
          <w:highlight w:val="none"/>
        </w:rPr>
      </w:pPr>
      <w:r>
        <w:rPr>
          <w:kern w:val="0"/>
          <w:szCs w:val="21"/>
          <w:highlight w:val="none"/>
        </w:rPr>
        <w:t>（2）中标通知书；</w:t>
      </w:r>
    </w:p>
    <w:p>
      <w:pPr>
        <w:spacing w:line="490" w:lineRule="exact"/>
        <w:ind w:firstLine="420" w:firstLineChars="200"/>
        <w:rPr>
          <w:kern w:val="0"/>
          <w:szCs w:val="21"/>
          <w:highlight w:val="none"/>
        </w:rPr>
      </w:pPr>
      <w:r>
        <w:rPr>
          <w:kern w:val="0"/>
          <w:szCs w:val="21"/>
          <w:highlight w:val="none"/>
        </w:rPr>
        <w:t>（3）投标函及投标函附录；</w:t>
      </w:r>
    </w:p>
    <w:p>
      <w:pPr>
        <w:spacing w:line="490" w:lineRule="exact"/>
        <w:ind w:firstLine="420" w:firstLineChars="200"/>
        <w:rPr>
          <w:kern w:val="0"/>
          <w:szCs w:val="21"/>
          <w:highlight w:val="none"/>
        </w:rPr>
      </w:pPr>
      <w:r>
        <w:rPr>
          <w:kern w:val="0"/>
          <w:szCs w:val="21"/>
          <w:highlight w:val="none"/>
        </w:rPr>
        <w:t>（4）专用合同条款；</w:t>
      </w:r>
    </w:p>
    <w:p>
      <w:pPr>
        <w:spacing w:line="490" w:lineRule="exact"/>
        <w:ind w:firstLine="420" w:firstLineChars="200"/>
        <w:rPr>
          <w:kern w:val="0"/>
          <w:szCs w:val="21"/>
          <w:highlight w:val="none"/>
        </w:rPr>
      </w:pPr>
      <w:r>
        <w:rPr>
          <w:kern w:val="0"/>
          <w:szCs w:val="21"/>
          <w:highlight w:val="none"/>
        </w:rPr>
        <w:t>（5）通用合同条款；</w:t>
      </w:r>
    </w:p>
    <w:p>
      <w:pPr>
        <w:spacing w:line="490" w:lineRule="exact"/>
        <w:ind w:firstLine="420" w:firstLineChars="200"/>
        <w:rPr>
          <w:kern w:val="0"/>
          <w:szCs w:val="21"/>
          <w:highlight w:val="none"/>
        </w:rPr>
      </w:pPr>
      <w:r>
        <w:rPr>
          <w:kern w:val="0"/>
          <w:szCs w:val="21"/>
          <w:highlight w:val="none"/>
        </w:rPr>
        <w:t>（6）技术标准和要求；</w:t>
      </w:r>
    </w:p>
    <w:p>
      <w:pPr>
        <w:spacing w:line="490" w:lineRule="exact"/>
        <w:ind w:firstLine="420" w:firstLineChars="200"/>
        <w:rPr>
          <w:kern w:val="0"/>
          <w:szCs w:val="21"/>
          <w:highlight w:val="none"/>
        </w:rPr>
      </w:pPr>
      <w:r>
        <w:rPr>
          <w:kern w:val="0"/>
          <w:szCs w:val="21"/>
          <w:highlight w:val="none"/>
        </w:rPr>
        <w:t>（7）图纸；</w:t>
      </w:r>
    </w:p>
    <w:p>
      <w:pPr>
        <w:spacing w:line="490" w:lineRule="exact"/>
        <w:ind w:firstLine="420" w:firstLineChars="200"/>
        <w:rPr>
          <w:kern w:val="0"/>
          <w:szCs w:val="21"/>
          <w:highlight w:val="none"/>
        </w:rPr>
      </w:pPr>
      <w:r>
        <w:rPr>
          <w:kern w:val="0"/>
          <w:szCs w:val="21"/>
          <w:highlight w:val="none"/>
        </w:rPr>
        <w:t>（8）已标价工程量清单；</w:t>
      </w:r>
    </w:p>
    <w:p>
      <w:pPr>
        <w:spacing w:line="490" w:lineRule="exact"/>
        <w:ind w:firstLine="420" w:firstLineChars="200"/>
        <w:rPr>
          <w:kern w:val="0"/>
          <w:szCs w:val="21"/>
          <w:highlight w:val="none"/>
        </w:rPr>
      </w:pPr>
      <w:r>
        <w:rPr>
          <w:kern w:val="0"/>
          <w:szCs w:val="21"/>
          <w:highlight w:val="none"/>
        </w:rPr>
        <w:t>（9）其他合同文件。</w:t>
      </w:r>
    </w:p>
    <w:p>
      <w:pPr>
        <w:spacing w:line="490" w:lineRule="exact"/>
        <w:ind w:firstLine="422" w:firstLineChars="200"/>
        <w:outlineLvl w:val="3"/>
        <w:rPr>
          <w:b/>
          <w:bCs/>
          <w:kern w:val="0"/>
          <w:szCs w:val="21"/>
          <w:highlight w:val="none"/>
        </w:rPr>
      </w:pPr>
      <w:bookmarkStart w:id="156" w:name="_Toc189386108"/>
      <w:bookmarkStart w:id="157" w:name="_Toc511317301"/>
      <w:bookmarkStart w:id="158" w:name="_Toc511318050"/>
      <w:r>
        <w:rPr>
          <w:b/>
          <w:bCs/>
          <w:kern w:val="0"/>
          <w:szCs w:val="21"/>
          <w:highlight w:val="none"/>
        </w:rPr>
        <w:t>1.5 合同协议书</w:t>
      </w:r>
      <w:bookmarkEnd w:id="156"/>
      <w:bookmarkEnd w:id="157"/>
      <w:bookmarkEnd w:id="158"/>
    </w:p>
    <w:p>
      <w:pPr>
        <w:spacing w:line="490" w:lineRule="exact"/>
        <w:ind w:firstLine="420" w:firstLineChars="200"/>
        <w:rPr>
          <w:kern w:val="0"/>
          <w:szCs w:val="21"/>
          <w:highlight w:val="none"/>
        </w:rPr>
      </w:pPr>
      <w:r>
        <w:rPr>
          <w:kern w:val="0"/>
          <w:szCs w:val="21"/>
          <w:highlight w:val="none"/>
        </w:rPr>
        <w:t>承包人按中标通知书规定的时间与发包人签订合同协议书。除法律另有规定或合同另有约定外，发包人和承包人的法定代表人或其委托代理人在合同协议书上签字并盖单位章后，合同生效。</w:t>
      </w:r>
    </w:p>
    <w:p>
      <w:pPr>
        <w:spacing w:line="490" w:lineRule="exact"/>
        <w:ind w:firstLine="422" w:firstLineChars="200"/>
        <w:outlineLvl w:val="3"/>
        <w:rPr>
          <w:b/>
          <w:bCs/>
          <w:kern w:val="0"/>
          <w:szCs w:val="21"/>
          <w:highlight w:val="none"/>
        </w:rPr>
      </w:pPr>
      <w:bookmarkStart w:id="159" w:name="_Toc511317302"/>
      <w:bookmarkStart w:id="160" w:name="_Toc189386109"/>
      <w:bookmarkStart w:id="161" w:name="_Toc511318051"/>
      <w:r>
        <w:rPr>
          <w:b/>
          <w:bCs/>
          <w:kern w:val="0"/>
          <w:szCs w:val="21"/>
          <w:highlight w:val="none"/>
        </w:rPr>
        <w:t>1.6 图纸和承包人文件</w:t>
      </w:r>
      <w:bookmarkEnd w:id="159"/>
      <w:bookmarkEnd w:id="160"/>
      <w:bookmarkEnd w:id="161"/>
    </w:p>
    <w:p>
      <w:pPr>
        <w:spacing w:line="490" w:lineRule="exact"/>
        <w:ind w:firstLine="422" w:firstLineChars="200"/>
        <w:rPr>
          <w:b/>
          <w:kern w:val="0"/>
          <w:szCs w:val="21"/>
          <w:highlight w:val="none"/>
        </w:rPr>
      </w:pPr>
      <w:r>
        <w:rPr>
          <w:b/>
          <w:kern w:val="0"/>
          <w:szCs w:val="21"/>
          <w:highlight w:val="none"/>
        </w:rPr>
        <w:t>1.6.1 图纸的提供</w:t>
      </w:r>
    </w:p>
    <w:p>
      <w:pPr>
        <w:spacing w:line="490" w:lineRule="exact"/>
        <w:ind w:firstLine="420" w:firstLineChars="200"/>
        <w:rPr>
          <w:kern w:val="0"/>
          <w:szCs w:val="21"/>
          <w:highlight w:val="none"/>
        </w:rPr>
      </w:pPr>
      <w:r>
        <w:rPr>
          <w:kern w:val="0"/>
          <w:szCs w:val="21"/>
          <w:highlight w:val="none"/>
        </w:rPr>
        <w:t>发包人应按技术标准和要求（合同技术条款）约定的期限和数量将施工图纸以及其它图纸（包括配套说明和有关资料）提供给承包人。由于发包人未按时提供图纸造成工期延误的，按第11.3款的约定办理。</w:t>
      </w:r>
    </w:p>
    <w:p>
      <w:pPr>
        <w:spacing w:line="490" w:lineRule="exact"/>
        <w:ind w:firstLine="422" w:firstLineChars="200"/>
        <w:rPr>
          <w:b/>
          <w:kern w:val="0"/>
          <w:szCs w:val="21"/>
          <w:highlight w:val="none"/>
        </w:rPr>
      </w:pPr>
      <w:r>
        <w:rPr>
          <w:b/>
          <w:kern w:val="0"/>
          <w:szCs w:val="21"/>
          <w:highlight w:val="none"/>
        </w:rPr>
        <w:t>1.6.2 承包人提供的文件</w:t>
      </w:r>
    </w:p>
    <w:p>
      <w:pPr>
        <w:spacing w:line="490" w:lineRule="exact"/>
        <w:ind w:firstLine="420" w:firstLineChars="200"/>
        <w:rPr>
          <w:kern w:val="0"/>
          <w:szCs w:val="21"/>
          <w:highlight w:val="none"/>
        </w:rPr>
      </w:pPr>
      <w:r>
        <w:rPr>
          <w:kern w:val="0"/>
          <w:szCs w:val="21"/>
          <w:highlight w:val="none"/>
        </w:rPr>
        <w:t>承包人提供的文件应按技术标准和要求（合同技术条款）约定的期限和数量提供给监理人。监理人应按技术标准和要求（合同技术条款）约定的期限批复承包人。</w:t>
      </w:r>
    </w:p>
    <w:p>
      <w:pPr>
        <w:spacing w:line="490" w:lineRule="exact"/>
        <w:ind w:firstLine="422" w:firstLineChars="200"/>
        <w:rPr>
          <w:b/>
          <w:kern w:val="0"/>
          <w:szCs w:val="21"/>
          <w:highlight w:val="none"/>
        </w:rPr>
      </w:pPr>
      <w:r>
        <w:rPr>
          <w:b/>
          <w:kern w:val="0"/>
          <w:szCs w:val="21"/>
          <w:highlight w:val="none"/>
        </w:rPr>
        <w:t>1.6.3 图纸的修改</w:t>
      </w:r>
    </w:p>
    <w:p>
      <w:pPr>
        <w:spacing w:line="490" w:lineRule="exact"/>
        <w:ind w:firstLine="420" w:firstLineChars="200"/>
        <w:rPr>
          <w:kern w:val="0"/>
          <w:szCs w:val="21"/>
          <w:highlight w:val="none"/>
        </w:rPr>
      </w:pPr>
      <w:r>
        <w:rPr>
          <w:kern w:val="0"/>
          <w:szCs w:val="21"/>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pPr>
        <w:spacing w:line="490" w:lineRule="exact"/>
        <w:ind w:firstLine="422" w:firstLineChars="200"/>
        <w:rPr>
          <w:b/>
          <w:kern w:val="0"/>
          <w:szCs w:val="21"/>
          <w:highlight w:val="none"/>
        </w:rPr>
      </w:pPr>
      <w:r>
        <w:rPr>
          <w:b/>
          <w:kern w:val="0"/>
          <w:szCs w:val="21"/>
          <w:highlight w:val="none"/>
        </w:rPr>
        <w:t>1.6.4 图纸的错误</w:t>
      </w:r>
    </w:p>
    <w:p>
      <w:pPr>
        <w:spacing w:line="490" w:lineRule="exact"/>
        <w:ind w:firstLine="420" w:firstLineChars="200"/>
        <w:rPr>
          <w:kern w:val="0"/>
          <w:szCs w:val="21"/>
          <w:highlight w:val="none"/>
        </w:rPr>
      </w:pPr>
      <w:r>
        <w:rPr>
          <w:kern w:val="0"/>
          <w:szCs w:val="21"/>
          <w:highlight w:val="none"/>
        </w:rPr>
        <w:t>承包人发现发包人提供的图纸存在明显错误或疏忽，应及时通知监理人。</w:t>
      </w:r>
    </w:p>
    <w:p>
      <w:pPr>
        <w:spacing w:line="490" w:lineRule="exact"/>
        <w:ind w:firstLine="422" w:firstLineChars="200"/>
        <w:rPr>
          <w:b/>
          <w:kern w:val="0"/>
          <w:szCs w:val="21"/>
          <w:highlight w:val="none"/>
        </w:rPr>
      </w:pPr>
      <w:r>
        <w:rPr>
          <w:b/>
          <w:kern w:val="0"/>
          <w:szCs w:val="21"/>
          <w:highlight w:val="none"/>
        </w:rPr>
        <w:t>1.6.5 图纸和承包人文件的保管</w:t>
      </w:r>
    </w:p>
    <w:p>
      <w:pPr>
        <w:spacing w:line="490" w:lineRule="exact"/>
        <w:ind w:firstLine="420" w:firstLineChars="200"/>
        <w:rPr>
          <w:kern w:val="0"/>
          <w:szCs w:val="21"/>
          <w:highlight w:val="none"/>
        </w:rPr>
      </w:pPr>
      <w:r>
        <w:rPr>
          <w:kern w:val="0"/>
          <w:szCs w:val="21"/>
          <w:highlight w:val="none"/>
        </w:rPr>
        <w:t>监理人和承包人均应在施工场地各保存一套完整的包含第1.6.1项、第1.6.2 项、第1.6.3 项约定内容的图纸和承包人文件。</w:t>
      </w:r>
    </w:p>
    <w:p>
      <w:pPr>
        <w:spacing w:line="490" w:lineRule="exact"/>
        <w:ind w:firstLine="422" w:firstLineChars="200"/>
        <w:outlineLvl w:val="3"/>
        <w:rPr>
          <w:b/>
          <w:bCs/>
          <w:kern w:val="0"/>
          <w:szCs w:val="21"/>
          <w:highlight w:val="none"/>
        </w:rPr>
      </w:pPr>
      <w:bookmarkStart w:id="162" w:name="_Toc511317303"/>
      <w:bookmarkStart w:id="163" w:name="_Toc189386110"/>
      <w:bookmarkStart w:id="164" w:name="_Toc511318052"/>
      <w:r>
        <w:rPr>
          <w:b/>
          <w:bCs/>
          <w:kern w:val="0"/>
          <w:szCs w:val="21"/>
          <w:highlight w:val="none"/>
        </w:rPr>
        <w:t>1.7 联络</w:t>
      </w:r>
      <w:bookmarkEnd w:id="162"/>
      <w:bookmarkEnd w:id="163"/>
      <w:bookmarkEnd w:id="164"/>
    </w:p>
    <w:p>
      <w:pPr>
        <w:spacing w:line="490" w:lineRule="exact"/>
        <w:ind w:firstLine="420" w:firstLineChars="200"/>
        <w:rPr>
          <w:kern w:val="0"/>
          <w:szCs w:val="21"/>
          <w:highlight w:val="none"/>
        </w:rPr>
      </w:pPr>
      <w:r>
        <w:rPr>
          <w:kern w:val="0"/>
          <w:szCs w:val="21"/>
          <w:highlight w:val="none"/>
        </w:rPr>
        <w:t>1.7.1 与合同有关的通知、批准、证明、证书、指示、要求、请求、同意、意见、确定和决定等，均应采用书面形式。</w:t>
      </w:r>
    </w:p>
    <w:p>
      <w:pPr>
        <w:spacing w:line="490" w:lineRule="exact"/>
        <w:ind w:firstLine="420" w:firstLineChars="200"/>
        <w:rPr>
          <w:kern w:val="0"/>
          <w:szCs w:val="21"/>
          <w:highlight w:val="none"/>
        </w:rPr>
      </w:pPr>
      <w:r>
        <w:rPr>
          <w:kern w:val="0"/>
          <w:szCs w:val="21"/>
          <w:highlight w:val="none"/>
        </w:rPr>
        <w:t>1.7.2 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pPr>
        <w:spacing w:line="490" w:lineRule="exact"/>
        <w:ind w:firstLine="420" w:firstLineChars="200"/>
        <w:rPr>
          <w:kern w:val="0"/>
          <w:szCs w:val="21"/>
          <w:highlight w:val="none"/>
        </w:rPr>
      </w:pPr>
      <w:r>
        <w:rPr>
          <w:kern w:val="0"/>
          <w:szCs w:val="21"/>
          <w:highlight w:val="none"/>
        </w:rPr>
        <w:t>1.7.3 来往函件均应按合同约定的期限及时发出和答复，不得无故扣压和拖延，亦不得拒收。否则，由此造成的后果由责任方负责。</w:t>
      </w:r>
    </w:p>
    <w:p>
      <w:pPr>
        <w:spacing w:line="490" w:lineRule="exact"/>
        <w:ind w:firstLine="422" w:firstLineChars="200"/>
        <w:outlineLvl w:val="3"/>
        <w:rPr>
          <w:b/>
          <w:bCs/>
          <w:kern w:val="0"/>
          <w:szCs w:val="21"/>
          <w:highlight w:val="none"/>
        </w:rPr>
      </w:pPr>
      <w:bookmarkStart w:id="165" w:name="_Toc511318053"/>
      <w:bookmarkStart w:id="166" w:name="_Toc189386111"/>
      <w:bookmarkStart w:id="167" w:name="_Toc511317304"/>
      <w:r>
        <w:rPr>
          <w:b/>
          <w:bCs/>
          <w:kern w:val="0"/>
          <w:szCs w:val="21"/>
          <w:highlight w:val="none"/>
        </w:rPr>
        <w:t>1.8 转让</w:t>
      </w:r>
      <w:bookmarkEnd w:id="165"/>
      <w:bookmarkEnd w:id="166"/>
      <w:bookmarkEnd w:id="167"/>
    </w:p>
    <w:p>
      <w:pPr>
        <w:spacing w:line="490" w:lineRule="exact"/>
        <w:ind w:firstLine="420" w:firstLineChars="200"/>
        <w:rPr>
          <w:kern w:val="0"/>
          <w:szCs w:val="21"/>
          <w:highlight w:val="none"/>
        </w:rPr>
      </w:pPr>
      <w:r>
        <w:rPr>
          <w:kern w:val="0"/>
          <w:szCs w:val="21"/>
          <w:highlight w:val="none"/>
        </w:rPr>
        <w:t>除合同另有约定外，未经对方当事人同意，一方当事人不得将合同权利全部或部分转让给第三人，也不得全部或部分转移合同义务。</w:t>
      </w:r>
    </w:p>
    <w:p>
      <w:pPr>
        <w:spacing w:line="490" w:lineRule="exact"/>
        <w:ind w:firstLine="422" w:firstLineChars="200"/>
        <w:outlineLvl w:val="3"/>
        <w:rPr>
          <w:b/>
          <w:bCs/>
          <w:kern w:val="0"/>
          <w:szCs w:val="21"/>
          <w:highlight w:val="none"/>
        </w:rPr>
      </w:pPr>
      <w:bookmarkStart w:id="168" w:name="_Toc189386112"/>
      <w:bookmarkStart w:id="169" w:name="_Toc511318054"/>
      <w:bookmarkStart w:id="170" w:name="_Toc511317305"/>
      <w:r>
        <w:rPr>
          <w:b/>
          <w:bCs/>
          <w:kern w:val="0"/>
          <w:szCs w:val="21"/>
          <w:highlight w:val="none"/>
        </w:rPr>
        <w:t>1.9 严禁贿赂</w:t>
      </w:r>
      <w:bookmarkEnd w:id="168"/>
      <w:bookmarkEnd w:id="169"/>
      <w:bookmarkEnd w:id="170"/>
    </w:p>
    <w:p>
      <w:pPr>
        <w:spacing w:line="490" w:lineRule="exact"/>
        <w:ind w:firstLine="420" w:firstLineChars="200"/>
        <w:rPr>
          <w:kern w:val="0"/>
          <w:szCs w:val="21"/>
          <w:highlight w:val="none"/>
        </w:rPr>
      </w:pPr>
      <w:r>
        <w:rPr>
          <w:kern w:val="0"/>
          <w:szCs w:val="21"/>
          <w:highlight w:val="none"/>
        </w:rPr>
        <w:t>合同双方当事人不得以贿赂或变相贿赂的方式，谋取不当利益或损害对方权益。因贿赂造成对方损失的，行为人应赔偿损失，并承担相应的法律责任。</w:t>
      </w:r>
    </w:p>
    <w:p>
      <w:pPr>
        <w:spacing w:line="490" w:lineRule="exact"/>
        <w:ind w:firstLine="422" w:firstLineChars="200"/>
        <w:outlineLvl w:val="3"/>
        <w:rPr>
          <w:b/>
          <w:bCs/>
          <w:kern w:val="0"/>
          <w:szCs w:val="21"/>
          <w:highlight w:val="none"/>
        </w:rPr>
      </w:pPr>
      <w:bookmarkStart w:id="171" w:name="_Toc511318055"/>
      <w:bookmarkStart w:id="172" w:name="_Toc189386113"/>
      <w:bookmarkStart w:id="173" w:name="_Toc511317306"/>
      <w:r>
        <w:rPr>
          <w:b/>
          <w:bCs/>
          <w:kern w:val="0"/>
          <w:szCs w:val="21"/>
          <w:highlight w:val="none"/>
        </w:rPr>
        <w:t>1.10 化石、文物</w:t>
      </w:r>
      <w:bookmarkEnd w:id="171"/>
      <w:bookmarkEnd w:id="172"/>
      <w:bookmarkEnd w:id="173"/>
    </w:p>
    <w:p>
      <w:pPr>
        <w:spacing w:line="490" w:lineRule="exact"/>
        <w:ind w:firstLine="420" w:firstLineChars="200"/>
        <w:rPr>
          <w:kern w:val="0"/>
          <w:szCs w:val="21"/>
          <w:highlight w:val="none"/>
        </w:rPr>
      </w:pPr>
      <w:r>
        <w:rPr>
          <w:kern w:val="0"/>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spacing w:line="490" w:lineRule="exact"/>
        <w:ind w:firstLine="420" w:firstLineChars="200"/>
        <w:rPr>
          <w:kern w:val="0"/>
          <w:szCs w:val="21"/>
          <w:highlight w:val="none"/>
        </w:rPr>
      </w:pPr>
      <w:r>
        <w:rPr>
          <w:kern w:val="0"/>
          <w:szCs w:val="21"/>
          <w:highlight w:val="none"/>
        </w:rPr>
        <w:t>1.10.2 承包人发现文物后不及时报告或隐瞒不报，致使文物丢失或损坏的，应赔偿损失，并承担相应的法律责任。</w:t>
      </w:r>
    </w:p>
    <w:p>
      <w:pPr>
        <w:spacing w:line="490" w:lineRule="exact"/>
        <w:ind w:firstLine="422" w:firstLineChars="200"/>
        <w:outlineLvl w:val="3"/>
        <w:rPr>
          <w:b/>
          <w:bCs/>
          <w:kern w:val="0"/>
          <w:szCs w:val="21"/>
          <w:highlight w:val="none"/>
        </w:rPr>
      </w:pPr>
      <w:bookmarkStart w:id="174" w:name="_Toc511317307"/>
      <w:bookmarkStart w:id="175" w:name="_Toc511318056"/>
      <w:bookmarkStart w:id="176" w:name="_Toc189386114"/>
      <w:r>
        <w:rPr>
          <w:b/>
          <w:bCs/>
          <w:kern w:val="0"/>
          <w:szCs w:val="21"/>
          <w:highlight w:val="none"/>
        </w:rPr>
        <w:t>1.11 专利技术</w:t>
      </w:r>
      <w:bookmarkEnd w:id="174"/>
      <w:bookmarkEnd w:id="175"/>
      <w:bookmarkEnd w:id="176"/>
    </w:p>
    <w:p>
      <w:pPr>
        <w:spacing w:line="490" w:lineRule="exact"/>
        <w:ind w:firstLine="420" w:firstLineChars="200"/>
        <w:rPr>
          <w:kern w:val="0"/>
          <w:szCs w:val="21"/>
          <w:highlight w:val="none"/>
        </w:rPr>
      </w:pPr>
      <w:r>
        <w:rPr>
          <w:kern w:val="0"/>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pPr>
        <w:spacing w:line="490" w:lineRule="exact"/>
        <w:ind w:firstLine="420" w:firstLineChars="200"/>
        <w:rPr>
          <w:kern w:val="0"/>
          <w:szCs w:val="21"/>
          <w:highlight w:val="none"/>
        </w:rPr>
      </w:pPr>
      <w:r>
        <w:rPr>
          <w:kern w:val="0"/>
          <w:szCs w:val="21"/>
          <w:highlight w:val="none"/>
        </w:rPr>
        <w:t>1.11.2 承包人在投标文件中采用专利技术的，专利技术的使用费包含在投标报价内。</w:t>
      </w:r>
    </w:p>
    <w:p>
      <w:pPr>
        <w:spacing w:line="490" w:lineRule="exact"/>
        <w:ind w:firstLine="420" w:firstLineChars="200"/>
        <w:rPr>
          <w:kern w:val="0"/>
          <w:szCs w:val="21"/>
          <w:highlight w:val="none"/>
        </w:rPr>
      </w:pPr>
      <w:r>
        <w:rPr>
          <w:kern w:val="0"/>
          <w:szCs w:val="21"/>
          <w:highlight w:val="none"/>
        </w:rPr>
        <w:t>1.11.3 承包人的技术秘密和声明需要保密的资料和信息，发包人和监理人不得为合同以外的目的泄露给他人。</w:t>
      </w:r>
    </w:p>
    <w:p>
      <w:pPr>
        <w:spacing w:line="490" w:lineRule="exact"/>
        <w:ind w:firstLine="420" w:firstLineChars="200"/>
        <w:rPr>
          <w:kern w:val="0"/>
          <w:szCs w:val="21"/>
          <w:highlight w:val="none"/>
        </w:rPr>
      </w:pPr>
      <w:r>
        <w:rPr>
          <w:kern w:val="0"/>
          <w:szCs w:val="21"/>
          <w:highlight w:val="none"/>
        </w:rPr>
        <w:t>1.11.4 合同实施过程中，发包人要求承包人采用专利技术的，发包人应办理相应的使用手续，承包人应按发包人约定的条件使用，并承担使用专利技术的相关试验工作，所需费用由发包人承担。</w:t>
      </w:r>
    </w:p>
    <w:p>
      <w:pPr>
        <w:spacing w:line="490" w:lineRule="exact"/>
        <w:ind w:firstLine="422" w:firstLineChars="200"/>
        <w:outlineLvl w:val="3"/>
        <w:rPr>
          <w:b/>
          <w:bCs/>
          <w:kern w:val="0"/>
          <w:szCs w:val="21"/>
          <w:highlight w:val="none"/>
        </w:rPr>
      </w:pPr>
      <w:bookmarkStart w:id="177" w:name="_Toc511317308"/>
      <w:bookmarkStart w:id="178" w:name="_Toc189386115"/>
      <w:bookmarkStart w:id="179" w:name="_Toc511318057"/>
      <w:r>
        <w:rPr>
          <w:b/>
          <w:bCs/>
          <w:kern w:val="0"/>
          <w:szCs w:val="21"/>
          <w:highlight w:val="none"/>
        </w:rPr>
        <w:t>1.12 图纸和文件的保密</w:t>
      </w:r>
      <w:bookmarkEnd w:id="177"/>
      <w:bookmarkEnd w:id="178"/>
      <w:bookmarkEnd w:id="179"/>
    </w:p>
    <w:p>
      <w:pPr>
        <w:spacing w:line="490" w:lineRule="exact"/>
        <w:ind w:firstLine="420" w:firstLineChars="200"/>
        <w:rPr>
          <w:kern w:val="0"/>
          <w:szCs w:val="21"/>
          <w:highlight w:val="none"/>
        </w:rPr>
      </w:pPr>
      <w:r>
        <w:rPr>
          <w:kern w:val="0"/>
          <w:szCs w:val="21"/>
          <w:highlight w:val="none"/>
        </w:rPr>
        <w:t>1.12.1 发包人提供的图纸和文件，未经发包人同意，承包人不得为合同以外的目的泄露给他人或公开发表与引用。</w:t>
      </w:r>
    </w:p>
    <w:p>
      <w:pPr>
        <w:spacing w:line="490" w:lineRule="exact"/>
        <w:ind w:firstLine="420" w:firstLineChars="200"/>
        <w:rPr>
          <w:kern w:val="0"/>
          <w:szCs w:val="21"/>
          <w:highlight w:val="none"/>
        </w:rPr>
      </w:pPr>
      <w:r>
        <w:rPr>
          <w:kern w:val="0"/>
          <w:szCs w:val="21"/>
          <w:highlight w:val="none"/>
        </w:rPr>
        <w:t>1.12.2 承包人提供的文件，未经承包人同意，发包人和监理人不得为合同以外的目的泄露给他人或公开发表与引用。</w:t>
      </w:r>
    </w:p>
    <w:p>
      <w:pPr>
        <w:pStyle w:val="5"/>
        <w:keepNext w:val="0"/>
        <w:keepLines w:val="0"/>
        <w:spacing w:before="0" w:after="0" w:line="490" w:lineRule="exact"/>
        <w:ind w:firstLine="422" w:firstLineChars="200"/>
        <w:rPr>
          <w:bCs w:val="0"/>
          <w:color w:val="auto"/>
          <w:sz w:val="21"/>
          <w:szCs w:val="21"/>
          <w:highlight w:val="none"/>
        </w:rPr>
      </w:pPr>
      <w:bookmarkStart w:id="180" w:name="_Toc15957"/>
      <w:bookmarkStart w:id="181" w:name="_Toc28087"/>
      <w:bookmarkStart w:id="182" w:name="_Toc189386116"/>
      <w:r>
        <w:rPr>
          <w:bCs w:val="0"/>
          <w:color w:val="auto"/>
          <w:sz w:val="21"/>
          <w:szCs w:val="21"/>
          <w:highlight w:val="none"/>
        </w:rPr>
        <w:t>2</w:t>
      </w:r>
      <w:r>
        <w:rPr>
          <w:rFonts w:hint="eastAsia"/>
          <w:bCs w:val="0"/>
          <w:color w:val="auto"/>
          <w:sz w:val="21"/>
          <w:szCs w:val="21"/>
          <w:highlight w:val="none"/>
        </w:rPr>
        <w:t>.</w:t>
      </w:r>
      <w:r>
        <w:rPr>
          <w:bCs w:val="0"/>
          <w:color w:val="auto"/>
          <w:sz w:val="21"/>
          <w:szCs w:val="21"/>
          <w:highlight w:val="none"/>
        </w:rPr>
        <w:t>发包人义务</w:t>
      </w:r>
      <w:bookmarkEnd w:id="180"/>
      <w:bookmarkEnd w:id="181"/>
      <w:bookmarkEnd w:id="182"/>
    </w:p>
    <w:p>
      <w:pPr>
        <w:spacing w:line="490" w:lineRule="exact"/>
        <w:ind w:firstLine="422" w:firstLineChars="200"/>
        <w:outlineLvl w:val="3"/>
        <w:rPr>
          <w:b/>
          <w:bCs/>
          <w:kern w:val="0"/>
          <w:szCs w:val="21"/>
          <w:highlight w:val="none"/>
        </w:rPr>
      </w:pPr>
      <w:bookmarkStart w:id="183" w:name="_Toc511317310"/>
      <w:bookmarkStart w:id="184" w:name="_Toc511318059"/>
      <w:bookmarkStart w:id="185" w:name="_Toc189386117"/>
      <w:r>
        <w:rPr>
          <w:b/>
          <w:bCs/>
          <w:kern w:val="0"/>
          <w:szCs w:val="21"/>
          <w:highlight w:val="none"/>
        </w:rPr>
        <w:t>2.1 遵守法律</w:t>
      </w:r>
      <w:bookmarkEnd w:id="183"/>
      <w:bookmarkEnd w:id="184"/>
      <w:bookmarkEnd w:id="185"/>
    </w:p>
    <w:p>
      <w:pPr>
        <w:spacing w:line="490" w:lineRule="exact"/>
        <w:ind w:firstLine="420" w:firstLineChars="200"/>
        <w:rPr>
          <w:kern w:val="0"/>
          <w:szCs w:val="21"/>
          <w:highlight w:val="none"/>
        </w:rPr>
      </w:pPr>
      <w:r>
        <w:rPr>
          <w:kern w:val="0"/>
          <w:szCs w:val="21"/>
          <w:highlight w:val="none"/>
        </w:rPr>
        <w:t>发包人在履行合同过程中应遵守法律，并保证承包人免于承担因发包人违反法律而引起的任何责任。</w:t>
      </w:r>
    </w:p>
    <w:p>
      <w:pPr>
        <w:spacing w:line="490" w:lineRule="exact"/>
        <w:ind w:firstLine="422" w:firstLineChars="200"/>
        <w:outlineLvl w:val="3"/>
        <w:rPr>
          <w:b/>
          <w:bCs/>
          <w:kern w:val="0"/>
          <w:szCs w:val="21"/>
          <w:highlight w:val="none"/>
        </w:rPr>
      </w:pPr>
      <w:bookmarkStart w:id="186" w:name="_Toc511317311"/>
      <w:bookmarkStart w:id="187" w:name="_Toc189386118"/>
      <w:bookmarkStart w:id="188" w:name="_Toc511318060"/>
      <w:r>
        <w:rPr>
          <w:b/>
          <w:bCs/>
          <w:kern w:val="0"/>
          <w:szCs w:val="21"/>
          <w:highlight w:val="none"/>
        </w:rPr>
        <w:t>2.2 发出开工通知</w:t>
      </w:r>
      <w:bookmarkEnd w:id="186"/>
      <w:bookmarkEnd w:id="187"/>
      <w:bookmarkEnd w:id="188"/>
    </w:p>
    <w:p>
      <w:pPr>
        <w:spacing w:line="490" w:lineRule="exact"/>
        <w:ind w:firstLine="420" w:firstLineChars="200"/>
        <w:rPr>
          <w:kern w:val="0"/>
          <w:szCs w:val="21"/>
          <w:highlight w:val="none"/>
        </w:rPr>
      </w:pPr>
      <w:r>
        <w:rPr>
          <w:kern w:val="0"/>
          <w:szCs w:val="21"/>
          <w:highlight w:val="none"/>
        </w:rPr>
        <w:t>发包人应委托监理人按第11.1款的约定向承包人发出开工通知。</w:t>
      </w:r>
    </w:p>
    <w:p>
      <w:pPr>
        <w:spacing w:line="490" w:lineRule="exact"/>
        <w:ind w:firstLine="422" w:firstLineChars="200"/>
        <w:outlineLvl w:val="3"/>
        <w:rPr>
          <w:b/>
          <w:bCs/>
          <w:kern w:val="0"/>
          <w:szCs w:val="21"/>
          <w:highlight w:val="none"/>
        </w:rPr>
      </w:pPr>
      <w:bookmarkStart w:id="189" w:name="_Toc511318061"/>
      <w:bookmarkStart w:id="190" w:name="_Toc511317312"/>
      <w:bookmarkStart w:id="191" w:name="_Toc189386119"/>
      <w:r>
        <w:rPr>
          <w:b/>
          <w:bCs/>
          <w:kern w:val="0"/>
          <w:szCs w:val="21"/>
          <w:highlight w:val="none"/>
        </w:rPr>
        <w:t>2.3 提供施工场地</w:t>
      </w:r>
      <w:bookmarkEnd w:id="189"/>
      <w:bookmarkEnd w:id="190"/>
      <w:bookmarkEnd w:id="191"/>
    </w:p>
    <w:p>
      <w:pPr>
        <w:spacing w:line="490" w:lineRule="exact"/>
        <w:ind w:firstLine="420" w:firstLineChars="200"/>
        <w:rPr>
          <w:kern w:val="0"/>
          <w:szCs w:val="21"/>
          <w:highlight w:val="none"/>
        </w:rPr>
      </w:pPr>
      <w:r>
        <w:rPr>
          <w:kern w:val="0"/>
          <w:szCs w:val="21"/>
          <w:highlight w:val="none"/>
        </w:rPr>
        <w:t>2.3.1 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pPr>
        <w:spacing w:line="490" w:lineRule="exact"/>
        <w:ind w:firstLine="420" w:firstLineChars="200"/>
        <w:rPr>
          <w:kern w:val="0"/>
          <w:szCs w:val="21"/>
          <w:highlight w:val="none"/>
        </w:rPr>
      </w:pPr>
      <w:r>
        <w:rPr>
          <w:kern w:val="0"/>
          <w:szCs w:val="21"/>
          <w:highlight w:val="none"/>
        </w:rPr>
        <w:t>2.3.2 发包人提供的施工用地范围在专用合同条款中约定。</w:t>
      </w:r>
    </w:p>
    <w:p>
      <w:pPr>
        <w:spacing w:line="490" w:lineRule="exact"/>
        <w:ind w:firstLine="420" w:firstLineChars="200"/>
        <w:rPr>
          <w:kern w:val="0"/>
          <w:szCs w:val="21"/>
          <w:highlight w:val="none"/>
        </w:rPr>
      </w:pPr>
      <w:r>
        <w:rPr>
          <w:kern w:val="0"/>
          <w:szCs w:val="21"/>
          <w:highlight w:val="none"/>
        </w:rPr>
        <w:t>2.3.3 除专用合同条款另有约定外，发包人应按技术标准和要求（合同技术条款）的约定，向承包人提供施工场地内的工程地质图纸和报告，以及地下障碍物图纸等施工场地有关资料，并保证资料的真实、准确、完整。</w:t>
      </w:r>
    </w:p>
    <w:p>
      <w:pPr>
        <w:spacing w:line="490" w:lineRule="exact"/>
        <w:ind w:firstLine="422" w:firstLineChars="200"/>
        <w:outlineLvl w:val="3"/>
        <w:rPr>
          <w:b/>
          <w:bCs/>
          <w:kern w:val="0"/>
          <w:szCs w:val="21"/>
          <w:highlight w:val="none"/>
        </w:rPr>
      </w:pPr>
      <w:bookmarkStart w:id="192" w:name="_Toc189386120"/>
      <w:bookmarkStart w:id="193" w:name="_Toc511318062"/>
      <w:bookmarkStart w:id="194" w:name="_Toc511317313"/>
      <w:r>
        <w:rPr>
          <w:b/>
          <w:bCs/>
          <w:kern w:val="0"/>
          <w:szCs w:val="21"/>
          <w:highlight w:val="none"/>
        </w:rPr>
        <w:t>2.4 协助承包人办理证件和批件</w:t>
      </w:r>
      <w:bookmarkEnd w:id="192"/>
      <w:bookmarkEnd w:id="193"/>
      <w:bookmarkEnd w:id="194"/>
    </w:p>
    <w:p>
      <w:pPr>
        <w:spacing w:line="490" w:lineRule="exact"/>
        <w:ind w:firstLine="420" w:firstLineChars="200"/>
        <w:rPr>
          <w:kern w:val="0"/>
          <w:szCs w:val="21"/>
          <w:highlight w:val="none"/>
        </w:rPr>
      </w:pPr>
      <w:r>
        <w:rPr>
          <w:kern w:val="0"/>
          <w:szCs w:val="21"/>
          <w:highlight w:val="none"/>
        </w:rPr>
        <w:t>发包人应协助承包人办理法律规定的有关施工证件和批件。</w:t>
      </w:r>
    </w:p>
    <w:p>
      <w:pPr>
        <w:spacing w:line="490" w:lineRule="exact"/>
        <w:ind w:firstLine="422" w:firstLineChars="200"/>
        <w:outlineLvl w:val="3"/>
        <w:rPr>
          <w:b/>
          <w:bCs/>
          <w:kern w:val="0"/>
          <w:szCs w:val="21"/>
          <w:highlight w:val="none"/>
        </w:rPr>
      </w:pPr>
      <w:bookmarkStart w:id="195" w:name="_Toc511317314"/>
      <w:bookmarkStart w:id="196" w:name="_Toc511318063"/>
      <w:bookmarkStart w:id="197" w:name="_Toc189386121"/>
      <w:r>
        <w:rPr>
          <w:b/>
          <w:bCs/>
          <w:kern w:val="0"/>
          <w:szCs w:val="21"/>
          <w:highlight w:val="none"/>
        </w:rPr>
        <w:t>2.5 组织设计交底</w:t>
      </w:r>
      <w:bookmarkEnd w:id="195"/>
      <w:bookmarkEnd w:id="196"/>
      <w:bookmarkEnd w:id="197"/>
    </w:p>
    <w:p>
      <w:pPr>
        <w:spacing w:line="490" w:lineRule="exact"/>
        <w:ind w:firstLine="420" w:firstLineChars="200"/>
        <w:rPr>
          <w:kern w:val="0"/>
          <w:szCs w:val="21"/>
          <w:highlight w:val="none"/>
        </w:rPr>
      </w:pPr>
      <w:r>
        <w:rPr>
          <w:kern w:val="0"/>
          <w:szCs w:val="21"/>
          <w:highlight w:val="none"/>
        </w:rPr>
        <w:t>发包人应根据合同进度计划，组织设计单位向承包人进行设计交底。</w:t>
      </w:r>
    </w:p>
    <w:p>
      <w:pPr>
        <w:spacing w:line="490" w:lineRule="exact"/>
        <w:ind w:firstLine="422" w:firstLineChars="200"/>
        <w:outlineLvl w:val="3"/>
        <w:rPr>
          <w:b/>
          <w:bCs/>
          <w:kern w:val="0"/>
          <w:szCs w:val="21"/>
          <w:highlight w:val="none"/>
        </w:rPr>
      </w:pPr>
      <w:bookmarkStart w:id="198" w:name="_Toc511317315"/>
      <w:bookmarkStart w:id="199" w:name="_Toc189386122"/>
      <w:bookmarkStart w:id="200" w:name="_Toc511318064"/>
      <w:r>
        <w:rPr>
          <w:b/>
          <w:bCs/>
          <w:kern w:val="0"/>
          <w:szCs w:val="21"/>
          <w:highlight w:val="none"/>
        </w:rPr>
        <w:t>2.6 支付合同价款</w:t>
      </w:r>
      <w:bookmarkEnd w:id="198"/>
      <w:bookmarkEnd w:id="199"/>
      <w:bookmarkEnd w:id="200"/>
    </w:p>
    <w:p>
      <w:pPr>
        <w:spacing w:line="490" w:lineRule="exact"/>
        <w:ind w:firstLine="420" w:firstLineChars="200"/>
        <w:rPr>
          <w:kern w:val="0"/>
          <w:szCs w:val="21"/>
          <w:highlight w:val="none"/>
        </w:rPr>
      </w:pPr>
      <w:r>
        <w:rPr>
          <w:kern w:val="0"/>
          <w:szCs w:val="21"/>
          <w:highlight w:val="none"/>
        </w:rPr>
        <w:t>发包人应按合同约定向承包人及时支付合同价款。</w:t>
      </w:r>
    </w:p>
    <w:p>
      <w:pPr>
        <w:spacing w:line="490" w:lineRule="exact"/>
        <w:ind w:firstLine="422" w:firstLineChars="200"/>
        <w:outlineLvl w:val="3"/>
        <w:rPr>
          <w:b/>
          <w:bCs/>
          <w:kern w:val="0"/>
          <w:szCs w:val="21"/>
          <w:highlight w:val="none"/>
        </w:rPr>
      </w:pPr>
      <w:bookmarkStart w:id="201" w:name="_Toc511317316"/>
      <w:bookmarkStart w:id="202" w:name="_Toc511318065"/>
      <w:r>
        <w:rPr>
          <w:b/>
          <w:bCs/>
          <w:kern w:val="0"/>
          <w:szCs w:val="21"/>
          <w:highlight w:val="none"/>
        </w:rPr>
        <w:t>2.7 组织竣工验收（组织法人验收）</w:t>
      </w:r>
      <w:bookmarkEnd w:id="201"/>
      <w:bookmarkEnd w:id="202"/>
    </w:p>
    <w:p>
      <w:pPr>
        <w:spacing w:line="490" w:lineRule="exact"/>
        <w:ind w:firstLine="420" w:firstLineChars="200"/>
        <w:rPr>
          <w:szCs w:val="21"/>
          <w:highlight w:val="none"/>
        </w:rPr>
      </w:pPr>
      <w:r>
        <w:rPr>
          <w:szCs w:val="21"/>
          <w:highlight w:val="none"/>
        </w:rPr>
        <w:t>发包人应按合同约定及时组织法人验收。</w:t>
      </w:r>
    </w:p>
    <w:p>
      <w:pPr>
        <w:spacing w:line="490" w:lineRule="exact"/>
        <w:ind w:firstLine="422" w:firstLineChars="200"/>
        <w:outlineLvl w:val="3"/>
        <w:rPr>
          <w:b/>
          <w:bCs/>
          <w:kern w:val="0"/>
          <w:szCs w:val="21"/>
          <w:highlight w:val="none"/>
        </w:rPr>
      </w:pPr>
      <w:bookmarkStart w:id="203" w:name="_Toc511318066"/>
      <w:bookmarkStart w:id="204" w:name="_Toc189386124"/>
      <w:bookmarkStart w:id="205" w:name="_Toc511317317"/>
      <w:r>
        <w:rPr>
          <w:b/>
          <w:bCs/>
          <w:kern w:val="0"/>
          <w:szCs w:val="21"/>
          <w:highlight w:val="none"/>
        </w:rPr>
        <w:t>2.8 其他义务</w:t>
      </w:r>
      <w:bookmarkEnd w:id="203"/>
      <w:bookmarkEnd w:id="204"/>
      <w:bookmarkEnd w:id="205"/>
    </w:p>
    <w:p>
      <w:pPr>
        <w:spacing w:line="490" w:lineRule="exact"/>
        <w:ind w:firstLine="420" w:firstLineChars="200"/>
        <w:rPr>
          <w:kern w:val="0"/>
          <w:szCs w:val="21"/>
          <w:highlight w:val="none"/>
        </w:rPr>
      </w:pPr>
      <w:r>
        <w:rPr>
          <w:kern w:val="0"/>
          <w:szCs w:val="21"/>
          <w:highlight w:val="none"/>
        </w:rPr>
        <w:t>其它义务在专用合同条款中补充约定。</w:t>
      </w:r>
    </w:p>
    <w:p>
      <w:pPr>
        <w:pStyle w:val="5"/>
        <w:keepNext w:val="0"/>
        <w:keepLines w:val="0"/>
        <w:spacing w:before="0" w:after="0" w:line="490" w:lineRule="exact"/>
        <w:ind w:firstLine="422" w:firstLineChars="200"/>
        <w:rPr>
          <w:bCs w:val="0"/>
          <w:color w:val="auto"/>
          <w:sz w:val="21"/>
          <w:szCs w:val="21"/>
          <w:highlight w:val="none"/>
        </w:rPr>
      </w:pPr>
      <w:bookmarkStart w:id="206" w:name="_Toc18657"/>
      <w:bookmarkStart w:id="207" w:name="_Toc24729"/>
      <w:bookmarkStart w:id="208" w:name="_Toc189386125"/>
      <w:r>
        <w:rPr>
          <w:bCs w:val="0"/>
          <w:color w:val="auto"/>
          <w:sz w:val="21"/>
          <w:szCs w:val="21"/>
          <w:highlight w:val="none"/>
        </w:rPr>
        <w:t>3</w:t>
      </w:r>
      <w:r>
        <w:rPr>
          <w:rFonts w:hint="eastAsia"/>
          <w:bCs w:val="0"/>
          <w:color w:val="auto"/>
          <w:sz w:val="21"/>
          <w:szCs w:val="21"/>
          <w:highlight w:val="none"/>
        </w:rPr>
        <w:t>.</w:t>
      </w:r>
      <w:r>
        <w:rPr>
          <w:bCs w:val="0"/>
          <w:color w:val="auto"/>
          <w:sz w:val="21"/>
          <w:szCs w:val="21"/>
          <w:highlight w:val="none"/>
        </w:rPr>
        <w:t>监理人</w:t>
      </w:r>
      <w:bookmarkEnd w:id="206"/>
      <w:bookmarkEnd w:id="207"/>
      <w:bookmarkEnd w:id="208"/>
    </w:p>
    <w:p>
      <w:pPr>
        <w:spacing w:line="490" w:lineRule="exact"/>
        <w:ind w:firstLine="422" w:firstLineChars="200"/>
        <w:outlineLvl w:val="3"/>
        <w:rPr>
          <w:b/>
          <w:bCs/>
          <w:kern w:val="0"/>
          <w:szCs w:val="21"/>
          <w:highlight w:val="none"/>
        </w:rPr>
      </w:pPr>
      <w:bookmarkStart w:id="209" w:name="_Toc189386126"/>
      <w:bookmarkStart w:id="210" w:name="_Toc511317319"/>
      <w:bookmarkStart w:id="211" w:name="_Toc511318068"/>
      <w:r>
        <w:rPr>
          <w:b/>
          <w:bCs/>
          <w:kern w:val="0"/>
          <w:szCs w:val="21"/>
          <w:highlight w:val="none"/>
        </w:rPr>
        <w:t>3.1 监理人的职责和权力</w:t>
      </w:r>
      <w:bookmarkEnd w:id="209"/>
      <w:bookmarkEnd w:id="210"/>
      <w:bookmarkEnd w:id="211"/>
    </w:p>
    <w:p>
      <w:pPr>
        <w:spacing w:line="490" w:lineRule="exact"/>
        <w:ind w:firstLine="420" w:firstLineChars="200"/>
        <w:rPr>
          <w:kern w:val="0"/>
          <w:szCs w:val="21"/>
          <w:highlight w:val="none"/>
        </w:rPr>
      </w:pPr>
      <w:r>
        <w:rPr>
          <w:kern w:val="0"/>
          <w:szCs w:val="21"/>
          <w:highlight w:val="none"/>
        </w:rPr>
        <w:t>3.1.1 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pPr>
        <w:spacing w:line="490" w:lineRule="exact"/>
        <w:ind w:firstLine="420" w:firstLineChars="200"/>
        <w:rPr>
          <w:kern w:val="0"/>
          <w:szCs w:val="21"/>
          <w:highlight w:val="none"/>
        </w:rPr>
      </w:pPr>
      <w:r>
        <w:rPr>
          <w:kern w:val="0"/>
          <w:szCs w:val="21"/>
          <w:highlight w:val="none"/>
        </w:rPr>
        <w:t>3.1.2 监理人发出的任何指示应视为已得到发包人的批准，但监理人无权免除或变更合同约定的发包人和承包人的权利、义务和责任。</w:t>
      </w:r>
    </w:p>
    <w:p>
      <w:pPr>
        <w:spacing w:line="490" w:lineRule="exact"/>
        <w:ind w:firstLine="420" w:firstLineChars="200"/>
        <w:rPr>
          <w:kern w:val="0"/>
          <w:szCs w:val="21"/>
          <w:highlight w:val="none"/>
        </w:rPr>
      </w:pPr>
      <w:r>
        <w:rPr>
          <w:kern w:val="0"/>
          <w:szCs w:val="21"/>
          <w:highlight w:val="none"/>
        </w:rPr>
        <w:t>3.1.3 合同约定应由承包人承担的义务和责任，不因监理人对承包人提交文件的审查或批准，对工程、材料和设备的检查和检验，以及为实施监理作出的指示等职务行为而减轻或解除。</w:t>
      </w:r>
    </w:p>
    <w:p>
      <w:pPr>
        <w:spacing w:line="490" w:lineRule="exact"/>
        <w:ind w:firstLine="422" w:firstLineChars="200"/>
        <w:outlineLvl w:val="3"/>
        <w:rPr>
          <w:b/>
          <w:bCs/>
          <w:kern w:val="0"/>
          <w:szCs w:val="21"/>
          <w:highlight w:val="none"/>
        </w:rPr>
      </w:pPr>
      <w:bookmarkStart w:id="212" w:name="_Toc511317320"/>
      <w:bookmarkStart w:id="213" w:name="_Toc511318069"/>
      <w:bookmarkStart w:id="214" w:name="_Toc189386127"/>
      <w:r>
        <w:rPr>
          <w:b/>
          <w:bCs/>
          <w:kern w:val="0"/>
          <w:szCs w:val="21"/>
          <w:highlight w:val="none"/>
        </w:rPr>
        <w:t>3.2 总监理工程师</w:t>
      </w:r>
      <w:bookmarkEnd w:id="212"/>
      <w:bookmarkEnd w:id="213"/>
      <w:bookmarkEnd w:id="214"/>
    </w:p>
    <w:p>
      <w:pPr>
        <w:spacing w:line="490" w:lineRule="exact"/>
        <w:ind w:firstLine="420" w:firstLineChars="200"/>
        <w:rPr>
          <w:kern w:val="0"/>
          <w:szCs w:val="21"/>
          <w:highlight w:val="none"/>
        </w:rPr>
      </w:pPr>
      <w:r>
        <w:rPr>
          <w:kern w:val="0"/>
          <w:szCs w:val="21"/>
          <w:highlight w:val="none"/>
        </w:rPr>
        <w:t>发包人应在发出开工通知前将总监理工程师的任命通知承包人。总监理工程师更换时，应在调离14天前通知承包人。总监理工程师短期离开施工场地的，应委派代表代行其职责，并通知承包人。</w:t>
      </w:r>
    </w:p>
    <w:p>
      <w:pPr>
        <w:spacing w:line="490" w:lineRule="exact"/>
        <w:ind w:firstLine="422" w:firstLineChars="200"/>
        <w:outlineLvl w:val="3"/>
        <w:rPr>
          <w:b/>
          <w:bCs/>
          <w:kern w:val="0"/>
          <w:szCs w:val="21"/>
          <w:highlight w:val="none"/>
        </w:rPr>
      </w:pPr>
      <w:bookmarkStart w:id="215" w:name="_Toc189386128"/>
      <w:bookmarkStart w:id="216" w:name="_Toc511318070"/>
      <w:bookmarkStart w:id="217" w:name="_Toc511317321"/>
      <w:r>
        <w:rPr>
          <w:b/>
          <w:bCs/>
          <w:kern w:val="0"/>
          <w:szCs w:val="21"/>
          <w:highlight w:val="none"/>
        </w:rPr>
        <w:t>3.3 监理人员</w:t>
      </w:r>
      <w:bookmarkEnd w:id="215"/>
      <w:bookmarkEnd w:id="216"/>
      <w:bookmarkEnd w:id="217"/>
    </w:p>
    <w:p>
      <w:pPr>
        <w:spacing w:line="490" w:lineRule="exact"/>
        <w:ind w:firstLine="420" w:firstLineChars="200"/>
        <w:rPr>
          <w:kern w:val="0"/>
          <w:szCs w:val="21"/>
          <w:highlight w:val="none"/>
        </w:rPr>
      </w:pPr>
      <w:r>
        <w:rPr>
          <w:kern w:val="0"/>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spacing w:line="490" w:lineRule="exact"/>
        <w:ind w:firstLine="420" w:firstLineChars="200"/>
        <w:rPr>
          <w:kern w:val="0"/>
          <w:szCs w:val="21"/>
          <w:highlight w:val="none"/>
        </w:rPr>
      </w:pPr>
      <w:r>
        <w:rPr>
          <w:kern w:val="0"/>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pPr>
        <w:spacing w:line="490" w:lineRule="exact"/>
        <w:ind w:firstLine="420" w:firstLineChars="200"/>
        <w:rPr>
          <w:kern w:val="0"/>
          <w:szCs w:val="21"/>
          <w:highlight w:val="none"/>
        </w:rPr>
      </w:pPr>
      <w:r>
        <w:rPr>
          <w:kern w:val="0"/>
          <w:szCs w:val="21"/>
          <w:highlight w:val="none"/>
        </w:rPr>
        <w:t>3.3.3 承包人对总监理工程师授权的监理人员发出的指示有疑问的，可向总监理工程师提出书面异议，总监理工程师应在48小时内对该指示予以确认、更改或撤销。</w:t>
      </w:r>
    </w:p>
    <w:p>
      <w:pPr>
        <w:spacing w:line="490" w:lineRule="exact"/>
        <w:ind w:firstLine="420" w:firstLineChars="200"/>
        <w:rPr>
          <w:kern w:val="0"/>
          <w:szCs w:val="21"/>
          <w:highlight w:val="none"/>
        </w:rPr>
      </w:pPr>
      <w:r>
        <w:rPr>
          <w:kern w:val="0"/>
          <w:szCs w:val="21"/>
          <w:highlight w:val="none"/>
        </w:rPr>
        <w:t>3.3.4 除专用合同条款另有约定外，总监理工程师不应将第3.5款约定应由总监理工程师作出确定的权力授权或委托给其他监理人员。</w:t>
      </w:r>
    </w:p>
    <w:p>
      <w:pPr>
        <w:spacing w:line="490" w:lineRule="exact"/>
        <w:ind w:firstLine="422" w:firstLineChars="200"/>
        <w:outlineLvl w:val="3"/>
        <w:rPr>
          <w:b/>
          <w:bCs/>
          <w:kern w:val="0"/>
          <w:szCs w:val="21"/>
          <w:highlight w:val="none"/>
        </w:rPr>
      </w:pPr>
      <w:bookmarkStart w:id="218" w:name="_Toc511317322"/>
      <w:bookmarkStart w:id="219" w:name="_Toc189386129"/>
      <w:bookmarkStart w:id="220" w:name="_Toc511318071"/>
      <w:r>
        <w:rPr>
          <w:b/>
          <w:bCs/>
          <w:kern w:val="0"/>
          <w:szCs w:val="21"/>
          <w:highlight w:val="none"/>
        </w:rPr>
        <w:t>3.4 监理人的指示</w:t>
      </w:r>
      <w:bookmarkEnd w:id="218"/>
      <w:bookmarkEnd w:id="219"/>
      <w:bookmarkEnd w:id="220"/>
    </w:p>
    <w:p>
      <w:pPr>
        <w:spacing w:line="490" w:lineRule="exact"/>
        <w:ind w:firstLine="420" w:firstLineChars="200"/>
        <w:rPr>
          <w:kern w:val="0"/>
          <w:szCs w:val="21"/>
          <w:highlight w:val="none"/>
        </w:rPr>
      </w:pPr>
      <w:r>
        <w:rPr>
          <w:kern w:val="0"/>
          <w:szCs w:val="21"/>
          <w:highlight w:val="none"/>
        </w:rPr>
        <w:t>3.4.1 监理人应按第3.1款的约定向承包人发出指示，监理人的指示应盖有监理人授权的施工场地机构章，并由总监理工程师或总监理工程师按第3.3.1项约定授权的监理人员签字。</w:t>
      </w:r>
    </w:p>
    <w:p>
      <w:pPr>
        <w:spacing w:line="490" w:lineRule="exact"/>
        <w:ind w:firstLine="420" w:firstLineChars="200"/>
        <w:rPr>
          <w:kern w:val="0"/>
          <w:szCs w:val="21"/>
          <w:highlight w:val="none"/>
        </w:rPr>
      </w:pPr>
      <w:r>
        <w:rPr>
          <w:kern w:val="0"/>
          <w:szCs w:val="21"/>
          <w:highlight w:val="none"/>
        </w:rPr>
        <w:t>3.4.2 承包人收到监理人按第3.4.1 项作出的指示后应遵照执行。指示构成变更的，应按第15 条处理。</w:t>
      </w:r>
    </w:p>
    <w:p>
      <w:pPr>
        <w:spacing w:line="490" w:lineRule="exact"/>
        <w:ind w:firstLine="420" w:firstLineChars="200"/>
        <w:rPr>
          <w:kern w:val="0"/>
          <w:szCs w:val="21"/>
          <w:highlight w:val="none"/>
        </w:rPr>
      </w:pPr>
      <w:r>
        <w:rPr>
          <w:kern w:val="0"/>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pPr>
        <w:spacing w:line="490" w:lineRule="exact"/>
        <w:ind w:firstLine="420" w:firstLineChars="200"/>
        <w:rPr>
          <w:kern w:val="0"/>
          <w:szCs w:val="21"/>
          <w:highlight w:val="none"/>
        </w:rPr>
      </w:pPr>
      <w:r>
        <w:rPr>
          <w:kern w:val="0"/>
          <w:szCs w:val="21"/>
          <w:highlight w:val="none"/>
        </w:rPr>
        <w:t>3.4.4 除合同另有约定外，承包人只从总监理工程师或按第3.3.1 项被授权的监理人员处取得指示。</w:t>
      </w:r>
    </w:p>
    <w:p>
      <w:pPr>
        <w:spacing w:line="490" w:lineRule="exact"/>
        <w:ind w:firstLine="420" w:firstLineChars="200"/>
        <w:rPr>
          <w:kern w:val="0"/>
          <w:szCs w:val="21"/>
          <w:highlight w:val="none"/>
        </w:rPr>
      </w:pPr>
      <w:r>
        <w:rPr>
          <w:kern w:val="0"/>
          <w:szCs w:val="21"/>
          <w:highlight w:val="none"/>
        </w:rPr>
        <w:t>3.4.5 由于监理人未能按合同约定发出指示、指示延误或指示错误而导致承包人费用增加和（或）工期延误的，由发包人承担赔偿责任。</w:t>
      </w:r>
    </w:p>
    <w:p>
      <w:pPr>
        <w:spacing w:line="490" w:lineRule="exact"/>
        <w:ind w:firstLine="422" w:firstLineChars="200"/>
        <w:outlineLvl w:val="3"/>
        <w:rPr>
          <w:b/>
          <w:bCs/>
          <w:kern w:val="0"/>
          <w:szCs w:val="21"/>
          <w:highlight w:val="none"/>
        </w:rPr>
      </w:pPr>
      <w:bookmarkStart w:id="221" w:name="_Toc189386130"/>
      <w:bookmarkStart w:id="222" w:name="_Toc511318072"/>
      <w:bookmarkStart w:id="223" w:name="_Toc511317323"/>
      <w:r>
        <w:rPr>
          <w:b/>
          <w:bCs/>
          <w:kern w:val="0"/>
          <w:szCs w:val="21"/>
          <w:highlight w:val="none"/>
        </w:rPr>
        <w:t>3.5 商定或确定</w:t>
      </w:r>
      <w:bookmarkEnd w:id="221"/>
      <w:bookmarkEnd w:id="222"/>
      <w:bookmarkEnd w:id="223"/>
    </w:p>
    <w:p>
      <w:pPr>
        <w:spacing w:line="490" w:lineRule="exact"/>
        <w:ind w:firstLine="420" w:firstLineChars="200"/>
        <w:rPr>
          <w:kern w:val="0"/>
          <w:szCs w:val="21"/>
          <w:highlight w:val="none"/>
        </w:rPr>
      </w:pPr>
      <w:r>
        <w:rPr>
          <w:kern w:val="0"/>
          <w:szCs w:val="21"/>
          <w:highlight w:val="none"/>
        </w:rPr>
        <w:t>3.5.1 合同约定总监理工程师应按照本款对任何事项进行商定或确定时，总监理工程师应与合同当事人协商，尽量达成一致。不能达成一致的，总监理工程师应认真研究后审慎确定。</w:t>
      </w:r>
    </w:p>
    <w:p>
      <w:pPr>
        <w:spacing w:line="490" w:lineRule="exact"/>
        <w:ind w:firstLine="420" w:firstLineChars="200"/>
        <w:rPr>
          <w:kern w:val="0"/>
          <w:szCs w:val="21"/>
          <w:highlight w:val="none"/>
        </w:rPr>
      </w:pPr>
      <w:r>
        <w:rPr>
          <w:kern w:val="0"/>
          <w:szCs w:val="21"/>
          <w:highlight w:val="none"/>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pPr>
        <w:pStyle w:val="5"/>
        <w:keepNext w:val="0"/>
        <w:keepLines w:val="0"/>
        <w:spacing w:before="0" w:after="0" w:line="490" w:lineRule="exact"/>
        <w:ind w:firstLine="422" w:firstLineChars="200"/>
        <w:rPr>
          <w:bCs w:val="0"/>
          <w:color w:val="auto"/>
          <w:sz w:val="21"/>
          <w:szCs w:val="21"/>
          <w:highlight w:val="none"/>
        </w:rPr>
      </w:pPr>
      <w:bookmarkStart w:id="224" w:name="_Toc189386131"/>
      <w:bookmarkStart w:id="225" w:name="_Toc19909"/>
      <w:bookmarkStart w:id="226" w:name="_Toc2389"/>
      <w:r>
        <w:rPr>
          <w:bCs w:val="0"/>
          <w:color w:val="auto"/>
          <w:sz w:val="21"/>
          <w:szCs w:val="21"/>
          <w:highlight w:val="none"/>
        </w:rPr>
        <w:t>4</w:t>
      </w:r>
      <w:r>
        <w:rPr>
          <w:rFonts w:hint="eastAsia"/>
          <w:bCs w:val="0"/>
          <w:color w:val="auto"/>
          <w:sz w:val="21"/>
          <w:szCs w:val="21"/>
          <w:highlight w:val="none"/>
        </w:rPr>
        <w:t>.</w:t>
      </w:r>
      <w:r>
        <w:rPr>
          <w:bCs w:val="0"/>
          <w:color w:val="auto"/>
          <w:sz w:val="21"/>
          <w:szCs w:val="21"/>
          <w:highlight w:val="none"/>
        </w:rPr>
        <w:t>承包人</w:t>
      </w:r>
      <w:bookmarkEnd w:id="224"/>
      <w:bookmarkEnd w:id="225"/>
      <w:bookmarkEnd w:id="226"/>
    </w:p>
    <w:p>
      <w:pPr>
        <w:spacing w:line="490" w:lineRule="exact"/>
        <w:ind w:firstLine="422" w:firstLineChars="200"/>
        <w:outlineLvl w:val="3"/>
        <w:rPr>
          <w:b/>
          <w:bCs/>
          <w:kern w:val="0"/>
          <w:szCs w:val="21"/>
          <w:highlight w:val="none"/>
        </w:rPr>
      </w:pPr>
      <w:bookmarkStart w:id="227" w:name="_Toc511318074"/>
      <w:bookmarkStart w:id="228" w:name="_Toc189386132"/>
      <w:bookmarkStart w:id="229" w:name="_Toc511317325"/>
      <w:r>
        <w:rPr>
          <w:b/>
          <w:bCs/>
          <w:kern w:val="0"/>
          <w:szCs w:val="21"/>
          <w:highlight w:val="none"/>
        </w:rPr>
        <w:t>4.1 承包人的一般义务</w:t>
      </w:r>
      <w:bookmarkEnd w:id="227"/>
      <w:bookmarkEnd w:id="228"/>
      <w:bookmarkEnd w:id="229"/>
    </w:p>
    <w:p>
      <w:pPr>
        <w:spacing w:line="490" w:lineRule="exact"/>
        <w:ind w:firstLine="422" w:firstLineChars="200"/>
        <w:rPr>
          <w:b/>
          <w:kern w:val="0"/>
          <w:szCs w:val="21"/>
          <w:highlight w:val="none"/>
        </w:rPr>
      </w:pPr>
      <w:r>
        <w:rPr>
          <w:b/>
          <w:kern w:val="0"/>
          <w:szCs w:val="21"/>
          <w:highlight w:val="none"/>
        </w:rPr>
        <w:t>4.1.1 遵守法律</w:t>
      </w:r>
    </w:p>
    <w:p>
      <w:pPr>
        <w:spacing w:line="490" w:lineRule="exact"/>
        <w:ind w:firstLine="420" w:firstLineChars="200"/>
        <w:rPr>
          <w:kern w:val="0"/>
          <w:szCs w:val="21"/>
          <w:highlight w:val="none"/>
        </w:rPr>
      </w:pPr>
      <w:r>
        <w:rPr>
          <w:kern w:val="0"/>
          <w:szCs w:val="21"/>
          <w:highlight w:val="none"/>
        </w:rPr>
        <w:t>承包人在履行合同过程中应遵守法律，并保证发包人免于承担因承包人违反法律而引起的任何责任。</w:t>
      </w:r>
    </w:p>
    <w:p>
      <w:pPr>
        <w:spacing w:line="490" w:lineRule="exact"/>
        <w:ind w:firstLine="422" w:firstLineChars="200"/>
        <w:rPr>
          <w:b/>
          <w:kern w:val="0"/>
          <w:szCs w:val="21"/>
          <w:highlight w:val="none"/>
        </w:rPr>
      </w:pPr>
      <w:r>
        <w:rPr>
          <w:b/>
          <w:kern w:val="0"/>
          <w:szCs w:val="21"/>
          <w:highlight w:val="none"/>
        </w:rPr>
        <w:t>4.1.2 依法纳税</w:t>
      </w:r>
    </w:p>
    <w:p>
      <w:pPr>
        <w:spacing w:line="490" w:lineRule="exact"/>
        <w:ind w:firstLine="420" w:firstLineChars="200"/>
        <w:rPr>
          <w:kern w:val="0"/>
          <w:szCs w:val="21"/>
          <w:highlight w:val="none"/>
        </w:rPr>
      </w:pPr>
      <w:r>
        <w:rPr>
          <w:kern w:val="0"/>
          <w:szCs w:val="21"/>
          <w:highlight w:val="none"/>
        </w:rPr>
        <w:t>承包人应按有关法律规定纳税，应缴纳的税金包括在合同价格内。</w:t>
      </w:r>
    </w:p>
    <w:p>
      <w:pPr>
        <w:spacing w:line="490" w:lineRule="exact"/>
        <w:ind w:firstLine="422" w:firstLineChars="200"/>
        <w:rPr>
          <w:b/>
          <w:kern w:val="0"/>
          <w:szCs w:val="21"/>
          <w:highlight w:val="none"/>
        </w:rPr>
      </w:pPr>
      <w:r>
        <w:rPr>
          <w:b/>
          <w:kern w:val="0"/>
          <w:szCs w:val="21"/>
          <w:highlight w:val="none"/>
        </w:rPr>
        <w:t>4.1.3 完成各项承包工作</w:t>
      </w:r>
    </w:p>
    <w:p>
      <w:pPr>
        <w:spacing w:line="490" w:lineRule="exact"/>
        <w:ind w:firstLine="420" w:firstLineChars="200"/>
        <w:rPr>
          <w:kern w:val="0"/>
          <w:szCs w:val="21"/>
          <w:highlight w:val="none"/>
        </w:rPr>
      </w:pPr>
      <w:r>
        <w:rPr>
          <w:kern w:val="0"/>
          <w:szCs w:val="21"/>
          <w:highlight w:val="none"/>
        </w:rPr>
        <w:t>承包人应按合同约定以及监理人根据第3.4款作出的指示，实施、完成全部工程，并修补工程中的任何缺陷。除第5.2款、第6.2款另有约定外，承包人应提供为完成合同工作所需的劳务、材料、施工设备、工程设备和其它物品，并按合同约定负责临时设施的设计、建造、运行、维护、管理和拆除。</w:t>
      </w:r>
    </w:p>
    <w:p>
      <w:pPr>
        <w:spacing w:line="490" w:lineRule="exact"/>
        <w:ind w:firstLine="422" w:firstLineChars="200"/>
        <w:rPr>
          <w:b/>
          <w:kern w:val="0"/>
          <w:szCs w:val="21"/>
          <w:highlight w:val="none"/>
        </w:rPr>
      </w:pPr>
      <w:r>
        <w:rPr>
          <w:b/>
          <w:kern w:val="0"/>
          <w:szCs w:val="21"/>
          <w:highlight w:val="none"/>
        </w:rPr>
        <w:t>4.1.4 对施工作业和施工方法的完备性负责</w:t>
      </w:r>
    </w:p>
    <w:p>
      <w:pPr>
        <w:spacing w:line="490" w:lineRule="exact"/>
        <w:ind w:firstLine="420" w:firstLineChars="200"/>
        <w:rPr>
          <w:kern w:val="0"/>
          <w:szCs w:val="21"/>
          <w:highlight w:val="none"/>
        </w:rPr>
      </w:pPr>
      <w:r>
        <w:rPr>
          <w:kern w:val="0"/>
          <w:szCs w:val="21"/>
          <w:highlight w:val="none"/>
        </w:rPr>
        <w:t>承包人应按合同约定的工作内容和施工进度要求，编制施工组织设计和施工措施计划，并对所有施工作业和施工方法的完备性和安全可靠性负责。</w:t>
      </w:r>
    </w:p>
    <w:p>
      <w:pPr>
        <w:spacing w:line="490" w:lineRule="exact"/>
        <w:ind w:firstLine="422" w:firstLineChars="200"/>
        <w:rPr>
          <w:b/>
          <w:kern w:val="0"/>
          <w:szCs w:val="21"/>
          <w:highlight w:val="none"/>
        </w:rPr>
      </w:pPr>
      <w:r>
        <w:rPr>
          <w:b/>
          <w:kern w:val="0"/>
          <w:szCs w:val="21"/>
          <w:highlight w:val="none"/>
        </w:rPr>
        <w:t>4.1.5 保证工程施工和人员的安全</w:t>
      </w:r>
    </w:p>
    <w:p>
      <w:pPr>
        <w:spacing w:line="490" w:lineRule="exact"/>
        <w:ind w:firstLine="420" w:firstLineChars="200"/>
        <w:rPr>
          <w:kern w:val="0"/>
          <w:szCs w:val="21"/>
          <w:highlight w:val="none"/>
        </w:rPr>
      </w:pPr>
      <w:r>
        <w:rPr>
          <w:kern w:val="0"/>
          <w:szCs w:val="21"/>
          <w:highlight w:val="none"/>
        </w:rPr>
        <w:t>承包人应按第9.2 款约定采取施工安全措施，确保工程及其人员、材料、设备和设施的安全，防止因工程施工造成的人身伤害和财产损失。</w:t>
      </w:r>
    </w:p>
    <w:p>
      <w:pPr>
        <w:spacing w:line="490" w:lineRule="exact"/>
        <w:ind w:firstLine="422" w:firstLineChars="200"/>
        <w:rPr>
          <w:b/>
          <w:kern w:val="0"/>
          <w:szCs w:val="21"/>
          <w:highlight w:val="none"/>
        </w:rPr>
      </w:pPr>
      <w:r>
        <w:rPr>
          <w:b/>
          <w:kern w:val="0"/>
          <w:szCs w:val="21"/>
          <w:highlight w:val="none"/>
        </w:rPr>
        <w:t>4.1.6 负责施工场地及其周边环境与生态的保护工作</w:t>
      </w:r>
    </w:p>
    <w:p>
      <w:pPr>
        <w:spacing w:line="490" w:lineRule="exact"/>
        <w:ind w:firstLine="420" w:firstLineChars="200"/>
        <w:rPr>
          <w:kern w:val="0"/>
          <w:szCs w:val="21"/>
          <w:highlight w:val="none"/>
        </w:rPr>
      </w:pPr>
      <w:r>
        <w:rPr>
          <w:kern w:val="0"/>
          <w:szCs w:val="21"/>
          <w:highlight w:val="none"/>
        </w:rPr>
        <w:t>承包人应按照第9.4 款约定负责施工场地及其周边环境与生态的保护工作。</w:t>
      </w:r>
    </w:p>
    <w:p>
      <w:pPr>
        <w:spacing w:line="490" w:lineRule="exact"/>
        <w:ind w:firstLine="422" w:firstLineChars="200"/>
        <w:rPr>
          <w:b/>
          <w:kern w:val="0"/>
          <w:szCs w:val="21"/>
          <w:highlight w:val="none"/>
        </w:rPr>
      </w:pPr>
      <w:r>
        <w:rPr>
          <w:b/>
          <w:kern w:val="0"/>
          <w:szCs w:val="21"/>
          <w:highlight w:val="none"/>
        </w:rPr>
        <w:t>4.1.7 避免施工对公众与他人的利益造成损害</w:t>
      </w:r>
    </w:p>
    <w:p>
      <w:pPr>
        <w:spacing w:line="490" w:lineRule="exact"/>
        <w:ind w:firstLine="420" w:firstLineChars="200"/>
        <w:rPr>
          <w:kern w:val="0"/>
          <w:szCs w:val="21"/>
          <w:highlight w:val="none"/>
        </w:rPr>
      </w:pPr>
      <w:r>
        <w:rPr>
          <w:kern w:val="0"/>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spacing w:line="490" w:lineRule="exact"/>
        <w:ind w:firstLine="422" w:firstLineChars="200"/>
        <w:rPr>
          <w:b/>
          <w:kern w:val="0"/>
          <w:szCs w:val="21"/>
          <w:highlight w:val="none"/>
        </w:rPr>
      </w:pPr>
      <w:r>
        <w:rPr>
          <w:b/>
          <w:kern w:val="0"/>
          <w:szCs w:val="21"/>
          <w:highlight w:val="none"/>
        </w:rPr>
        <w:t>4.1.8 为他人提供方便</w:t>
      </w:r>
    </w:p>
    <w:p>
      <w:pPr>
        <w:spacing w:line="490" w:lineRule="exact"/>
        <w:ind w:firstLine="420" w:firstLineChars="200"/>
        <w:rPr>
          <w:kern w:val="0"/>
          <w:szCs w:val="21"/>
          <w:highlight w:val="none"/>
        </w:rPr>
      </w:pPr>
      <w:r>
        <w:rPr>
          <w:kern w:val="0"/>
          <w:szCs w:val="21"/>
          <w:highlight w:val="none"/>
        </w:rPr>
        <w:t>承包人应按监理人的指示为他人在施工场地或附近实施与工程有关的其他各项工作提供可能的条件。除合同另有约定外，提供有关条件的内容和可能发生的费用，由监理人按第3.5 款商定或确定。</w:t>
      </w:r>
    </w:p>
    <w:p>
      <w:pPr>
        <w:spacing w:line="490" w:lineRule="exact"/>
        <w:ind w:firstLine="422" w:firstLineChars="200"/>
        <w:rPr>
          <w:b/>
          <w:kern w:val="0"/>
          <w:szCs w:val="21"/>
          <w:highlight w:val="none"/>
        </w:rPr>
      </w:pPr>
      <w:r>
        <w:rPr>
          <w:b/>
          <w:kern w:val="0"/>
          <w:szCs w:val="21"/>
          <w:highlight w:val="none"/>
        </w:rPr>
        <w:t>4.1.9 工程的维护和照管</w:t>
      </w:r>
    </w:p>
    <w:p>
      <w:pPr>
        <w:spacing w:line="490" w:lineRule="exact"/>
        <w:ind w:firstLine="420" w:firstLineChars="200"/>
        <w:rPr>
          <w:kern w:val="0"/>
          <w:szCs w:val="21"/>
          <w:highlight w:val="none"/>
        </w:rPr>
      </w:pPr>
      <w:r>
        <w:rPr>
          <w:kern w:val="0"/>
          <w:szCs w:val="21"/>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pPr>
        <w:spacing w:line="490" w:lineRule="exact"/>
        <w:ind w:firstLine="422" w:firstLineChars="200"/>
        <w:rPr>
          <w:b/>
          <w:kern w:val="0"/>
          <w:szCs w:val="21"/>
          <w:highlight w:val="none"/>
        </w:rPr>
      </w:pPr>
      <w:r>
        <w:rPr>
          <w:b/>
          <w:kern w:val="0"/>
          <w:szCs w:val="21"/>
          <w:highlight w:val="none"/>
        </w:rPr>
        <w:t>4.1.10 其他义务</w:t>
      </w:r>
    </w:p>
    <w:p>
      <w:pPr>
        <w:spacing w:line="490" w:lineRule="exact"/>
        <w:ind w:firstLine="420" w:firstLineChars="200"/>
        <w:rPr>
          <w:kern w:val="0"/>
          <w:szCs w:val="21"/>
          <w:highlight w:val="none"/>
        </w:rPr>
      </w:pPr>
      <w:r>
        <w:rPr>
          <w:kern w:val="0"/>
          <w:szCs w:val="21"/>
          <w:highlight w:val="none"/>
        </w:rPr>
        <w:t>其它义务在专用合同条款中补充约定。</w:t>
      </w:r>
    </w:p>
    <w:p>
      <w:pPr>
        <w:spacing w:line="490" w:lineRule="exact"/>
        <w:ind w:firstLine="422" w:firstLineChars="200"/>
        <w:outlineLvl w:val="3"/>
        <w:rPr>
          <w:b/>
          <w:bCs/>
          <w:kern w:val="0"/>
          <w:szCs w:val="21"/>
          <w:highlight w:val="none"/>
        </w:rPr>
      </w:pPr>
      <w:bookmarkStart w:id="230" w:name="_Toc511318075"/>
      <w:bookmarkStart w:id="231" w:name="_Toc189386133"/>
      <w:bookmarkStart w:id="232" w:name="_Toc511317326"/>
      <w:r>
        <w:rPr>
          <w:b/>
          <w:bCs/>
          <w:kern w:val="0"/>
          <w:szCs w:val="21"/>
          <w:highlight w:val="none"/>
        </w:rPr>
        <w:t>4.2 履约担保</w:t>
      </w:r>
      <w:bookmarkEnd w:id="230"/>
      <w:bookmarkEnd w:id="231"/>
      <w:bookmarkEnd w:id="232"/>
    </w:p>
    <w:p>
      <w:pPr>
        <w:spacing w:line="490" w:lineRule="exact"/>
        <w:ind w:firstLine="420" w:firstLineChars="200"/>
        <w:rPr>
          <w:kern w:val="0"/>
          <w:szCs w:val="21"/>
          <w:highlight w:val="none"/>
        </w:rPr>
      </w:pPr>
      <w:r>
        <w:rPr>
          <w:kern w:val="0"/>
          <w:szCs w:val="21"/>
          <w:highlight w:val="none"/>
        </w:rPr>
        <w:t>承包人应保证其履约担保在发包人颁发合同工程完工证书前一直有效。发包人应在合同工程完工证书颁发后28天内将履约担保退还给承包人。</w:t>
      </w:r>
    </w:p>
    <w:p>
      <w:pPr>
        <w:spacing w:line="490" w:lineRule="exact"/>
        <w:ind w:firstLine="422" w:firstLineChars="200"/>
        <w:outlineLvl w:val="3"/>
        <w:rPr>
          <w:b/>
          <w:bCs/>
          <w:kern w:val="0"/>
          <w:szCs w:val="21"/>
          <w:highlight w:val="none"/>
        </w:rPr>
      </w:pPr>
      <w:bookmarkStart w:id="233" w:name="_Toc511318076"/>
      <w:bookmarkStart w:id="234" w:name="_Toc189386134"/>
      <w:bookmarkStart w:id="235" w:name="_Toc511317327"/>
      <w:r>
        <w:rPr>
          <w:b/>
          <w:bCs/>
          <w:kern w:val="0"/>
          <w:szCs w:val="21"/>
          <w:highlight w:val="none"/>
        </w:rPr>
        <w:t>4.3 分包</w:t>
      </w:r>
      <w:bookmarkEnd w:id="233"/>
      <w:bookmarkEnd w:id="234"/>
      <w:bookmarkEnd w:id="235"/>
    </w:p>
    <w:p>
      <w:pPr>
        <w:spacing w:line="490" w:lineRule="exact"/>
        <w:ind w:firstLine="420" w:firstLineChars="200"/>
        <w:rPr>
          <w:kern w:val="0"/>
          <w:szCs w:val="21"/>
          <w:highlight w:val="none"/>
        </w:rPr>
      </w:pPr>
      <w:r>
        <w:rPr>
          <w:kern w:val="0"/>
          <w:szCs w:val="21"/>
          <w:highlight w:val="none"/>
        </w:rPr>
        <w:t>4.3.1 承包人不得将其承包的全部工程转包给第三人，或将其承包的全部工程肢解后以分包的名义转包给第三人。</w:t>
      </w:r>
    </w:p>
    <w:p>
      <w:pPr>
        <w:spacing w:line="490" w:lineRule="exact"/>
        <w:ind w:firstLine="420" w:firstLineChars="200"/>
        <w:rPr>
          <w:kern w:val="0"/>
          <w:szCs w:val="21"/>
          <w:highlight w:val="none"/>
        </w:rPr>
      </w:pPr>
      <w:r>
        <w:rPr>
          <w:kern w:val="0"/>
          <w:szCs w:val="21"/>
          <w:highlight w:val="none"/>
        </w:rPr>
        <w:t>4.3.2 承包人不得将工程主体、关键性工作分包给第三人。除专用合同条款另有约定外，未经发包人同意，承包人不得将工程的其他部分或工作分包给第三人。</w:t>
      </w:r>
    </w:p>
    <w:p>
      <w:pPr>
        <w:spacing w:line="490" w:lineRule="exact"/>
        <w:ind w:firstLine="420" w:firstLineChars="200"/>
        <w:rPr>
          <w:kern w:val="0"/>
          <w:szCs w:val="21"/>
          <w:highlight w:val="none"/>
        </w:rPr>
      </w:pPr>
      <w:r>
        <w:rPr>
          <w:kern w:val="0"/>
          <w:szCs w:val="21"/>
          <w:highlight w:val="none"/>
        </w:rPr>
        <w:t>4.3.3 分包人的资格能力应与其分包工程的标准和规模相适应。</w:t>
      </w:r>
    </w:p>
    <w:p>
      <w:pPr>
        <w:spacing w:line="490" w:lineRule="exact"/>
        <w:ind w:firstLine="420" w:firstLineChars="200"/>
        <w:rPr>
          <w:kern w:val="0"/>
          <w:szCs w:val="21"/>
          <w:highlight w:val="none"/>
        </w:rPr>
      </w:pPr>
      <w:r>
        <w:rPr>
          <w:kern w:val="0"/>
          <w:szCs w:val="21"/>
          <w:highlight w:val="none"/>
        </w:rPr>
        <w:t>4.3.4 按投标函附录约定分包工程的，承包人应向发包人和监理人提交分包合同副本。</w:t>
      </w:r>
    </w:p>
    <w:p>
      <w:pPr>
        <w:spacing w:line="490" w:lineRule="exact"/>
        <w:ind w:firstLine="420" w:firstLineChars="200"/>
        <w:rPr>
          <w:kern w:val="0"/>
          <w:szCs w:val="21"/>
          <w:highlight w:val="none"/>
        </w:rPr>
      </w:pPr>
      <w:r>
        <w:rPr>
          <w:kern w:val="0"/>
          <w:szCs w:val="21"/>
          <w:highlight w:val="none"/>
        </w:rPr>
        <w:t>4.3.5 承包人应与分包人就分包工程向发包人承担连带责任。</w:t>
      </w:r>
    </w:p>
    <w:p>
      <w:pPr>
        <w:spacing w:line="490" w:lineRule="exact"/>
        <w:ind w:firstLine="420" w:firstLineChars="200"/>
        <w:rPr>
          <w:kern w:val="0"/>
          <w:szCs w:val="21"/>
          <w:highlight w:val="none"/>
        </w:rPr>
      </w:pPr>
      <w:r>
        <w:rPr>
          <w:kern w:val="0"/>
          <w:szCs w:val="21"/>
          <w:highlight w:val="none"/>
        </w:rPr>
        <w:t>4.3.6 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pPr>
        <w:spacing w:line="490" w:lineRule="exact"/>
        <w:ind w:firstLine="420" w:firstLineChars="200"/>
        <w:rPr>
          <w:kern w:val="0"/>
          <w:szCs w:val="21"/>
          <w:highlight w:val="none"/>
        </w:rPr>
      </w:pPr>
      <w:r>
        <w:rPr>
          <w:kern w:val="0"/>
          <w:szCs w:val="21"/>
          <w:highlight w:val="none"/>
        </w:rPr>
        <w:t>4.3.7 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pPr>
        <w:spacing w:line="490" w:lineRule="exact"/>
        <w:ind w:firstLine="420" w:firstLineChars="200"/>
        <w:rPr>
          <w:kern w:val="0"/>
          <w:szCs w:val="21"/>
          <w:highlight w:val="none"/>
        </w:rPr>
      </w:pPr>
      <w:r>
        <w:rPr>
          <w:kern w:val="0"/>
          <w:szCs w:val="21"/>
          <w:highlight w:val="none"/>
        </w:rPr>
        <w:t>由指定分包人造成的与其分包工作有关的一切索赔、诉讼和损失赔偿由指定分包人直接对发包人负责，承包人不对此承担责任。</w:t>
      </w:r>
    </w:p>
    <w:p>
      <w:pPr>
        <w:spacing w:line="490" w:lineRule="exact"/>
        <w:ind w:firstLine="420" w:firstLineChars="200"/>
        <w:rPr>
          <w:kern w:val="0"/>
          <w:szCs w:val="21"/>
          <w:highlight w:val="none"/>
        </w:rPr>
      </w:pPr>
      <w:r>
        <w:rPr>
          <w:kern w:val="0"/>
          <w:szCs w:val="21"/>
          <w:highlight w:val="none"/>
        </w:rPr>
        <w:t>4.3.8 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pPr>
        <w:spacing w:line="490" w:lineRule="exact"/>
        <w:ind w:firstLine="420" w:firstLineChars="200"/>
        <w:rPr>
          <w:kern w:val="0"/>
          <w:szCs w:val="21"/>
          <w:highlight w:val="none"/>
        </w:rPr>
      </w:pPr>
      <w:r>
        <w:rPr>
          <w:kern w:val="0"/>
          <w:szCs w:val="21"/>
          <w:highlight w:val="none"/>
        </w:rPr>
        <w:t>4.3.9 除第4.3.7项规定的指定分包外，承包人对其分包项目的实施以及分包人的行为向发包人负全部责任。承包人应对分包项目的工程进度、质量、安全、计量和验收等实施监督和管理。</w:t>
      </w:r>
    </w:p>
    <w:p>
      <w:pPr>
        <w:spacing w:line="490" w:lineRule="exact"/>
        <w:ind w:firstLine="420" w:firstLineChars="200"/>
        <w:rPr>
          <w:kern w:val="0"/>
          <w:szCs w:val="21"/>
          <w:highlight w:val="none"/>
        </w:rPr>
      </w:pPr>
      <w:r>
        <w:rPr>
          <w:kern w:val="0"/>
          <w:szCs w:val="21"/>
          <w:highlight w:val="none"/>
        </w:rPr>
        <w:t>4.3.10 分包人应按专用合同条款的约定设立项目管理机构组织管理分包工程的施工活动。</w:t>
      </w:r>
    </w:p>
    <w:p>
      <w:pPr>
        <w:spacing w:line="490" w:lineRule="exact"/>
        <w:ind w:firstLine="422" w:firstLineChars="200"/>
        <w:outlineLvl w:val="3"/>
        <w:rPr>
          <w:b/>
          <w:bCs/>
          <w:kern w:val="0"/>
          <w:szCs w:val="21"/>
          <w:highlight w:val="none"/>
        </w:rPr>
      </w:pPr>
      <w:bookmarkStart w:id="236" w:name="_Toc511318077"/>
      <w:bookmarkStart w:id="237" w:name="_Toc511317328"/>
      <w:bookmarkStart w:id="238" w:name="_Toc189386135"/>
      <w:r>
        <w:rPr>
          <w:b/>
          <w:bCs/>
          <w:kern w:val="0"/>
          <w:szCs w:val="21"/>
          <w:highlight w:val="none"/>
        </w:rPr>
        <w:t>4.4 联合体</w:t>
      </w:r>
      <w:bookmarkEnd w:id="236"/>
      <w:bookmarkEnd w:id="237"/>
      <w:bookmarkEnd w:id="238"/>
    </w:p>
    <w:p>
      <w:pPr>
        <w:spacing w:line="490" w:lineRule="exact"/>
        <w:ind w:firstLine="420" w:firstLineChars="200"/>
        <w:rPr>
          <w:kern w:val="0"/>
          <w:szCs w:val="21"/>
          <w:highlight w:val="none"/>
        </w:rPr>
      </w:pPr>
      <w:r>
        <w:rPr>
          <w:kern w:val="0"/>
          <w:szCs w:val="21"/>
          <w:highlight w:val="none"/>
        </w:rPr>
        <w:t>4.4.1 联合体各方应共同与发包人签订合同协议书。联合体各方应为履行合同承担连带责任。</w:t>
      </w:r>
    </w:p>
    <w:p>
      <w:pPr>
        <w:spacing w:line="490" w:lineRule="exact"/>
        <w:ind w:firstLine="420" w:firstLineChars="200"/>
        <w:rPr>
          <w:kern w:val="0"/>
          <w:szCs w:val="21"/>
          <w:highlight w:val="none"/>
        </w:rPr>
      </w:pPr>
      <w:r>
        <w:rPr>
          <w:kern w:val="0"/>
          <w:szCs w:val="21"/>
          <w:highlight w:val="none"/>
        </w:rPr>
        <w:t>4.4.2 联合体协议经发包人确认后作为合同附件。在履行合同过程中，未经发包人同意，不得修改联合体协议。</w:t>
      </w:r>
    </w:p>
    <w:p>
      <w:pPr>
        <w:spacing w:line="490" w:lineRule="exact"/>
        <w:ind w:firstLine="420" w:firstLineChars="200"/>
        <w:rPr>
          <w:kern w:val="0"/>
          <w:szCs w:val="21"/>
          <w:highlight w:val="none"/>
        </w:rPr>
      </w:pPr>
      <w:r>
        <w:rPr>
          <w:kern w:val="0"/>
          <w:szCs w:val="21"/>
          <w:highlight w:val="none"/>
        </w:rPr>
        <w:t>4.4.3 联合体牵头人负责与发包人和监理人联系，并接受指示，负责组织联合体各成员全面履行合同。</w:t>
      </w:r>
    </w:p>
    <w:p>
      <w:pPr>
        <w:spacing w:line="490" w:lineRule="exact"/>
        <w:ind w:firstLine="422" w:firstLineChars="200"/>
        <w:outlineLvl w:val="3"/>
        <w:rPr>
          <w:b/>
          <w:bCs/>
          <w:kern w:val="0"/>
          <w:szCs w:val="21"/>
          <w:highlight w:val="none"/>
        </w:rPr>
      </w:pPr>
      <w:bookmarkStart w:id="239" w:name="_Toc511318078"/>
      <w:bookmarkStart w:id="240" w:name="_Toc189386136"/>
      <w:bookmarkStart w:id="241" w:name="_Toc511317329"/>
      <w:r>
        <w:rPr>
          <w:b/>
          <w:kern w:val="0"/>
          <w:szCs w:val="21"/>
          <w:highlight w:val="none"/>
        </w:rPr>
        <w:t>4.5 承包人项目经理</w:t>
      </w:r>
      <w:bookmarkEnd w:id="239"/>
      <w:bookmarkEnd w:id="240"/>
      <w:bookmarkEnd w:id="241"/>
    </w:p>
    <w:p>
      <w:pPr>
        <w:spacing w:line="490" w:lineRule="exact"/>
        <w:ind w:firstLine="420" w:firstLineChars="200"/>
        <w:rPr>
          <w:kern w:val="0"/>
          <w:szCs w:val="21"/>
          <w:highlight w:val="none"/>
        </w:rPr>
      </w:pPr>
      <w:r>
        <w:rPr>
          <w:kern w:val="0"/>
          <w:szCs w:val="21"/>
          <w:highlight w:val="none"/>
        </w:rPr>
        <w:t>4.5.1 承包人应按合同约定指派项目经理，并在约定的期限内到职。承包人更换项目经理应事先征得发包人同意，并应在更换14 天前通知发包人和监理人。承包人项目经理短期离开施工场地，应事先征得监理人同意，并委派代表代行其职责。</w:t>
      </w:r>
    </w:p>
    <w:p>
      <w:pPr>
        <w:spacing w:line="490" w:lineRule="exact"/>
        <w:ind w:firstLine="420" w:firstLineChars="200"/>
        <w:rPr>
          <w:kern w:val="0"/>
          <w:szCs w:val="21"/>
          <w:highlight w:val="none"/>
        </w:rPr>
      </w:pPr>
      <w:r>
        <w:rPr>
          <w:kern w:val="0"/>
          <w:szCs w:val="21"/>
          <w:highlight w:val="none"/>
        </w:rPr>
        <w:t>4.5.2 承包人项目经理应按合同约定以及监理人按第3.4 款作出的指示，负责组织合同工程的实施。在情况紧急且无法与监理人取得联系时，可采取保证工程和人员生命财产安全的紧急措施，并在采取措施后24 小时内向监理人提交书面报告。</w:t>
      </w:r>
    </w:p>
    <w:p>
      <w:pPr>
        <w:spacing w:line="490" w:lineRule="exact"/>
        <w:ind w:firstLine="420" w:firstLineChars="200"/>
        <w:rPr>
          <w:kern w:val="0"/>
          <w:szCs w:val="21"/>
          <w:highlight w:val="none"/>
        </w:rPr>
      </w:pPr>
      <w:r>
        <w:rPr>
          <w:kern w:val="0"/>
          <w:szCs w:val="21"/>
          <w:highlight w:val="none"/>
        </w:rPr>
        <w:t>4.5.3 承包人为履行合同发出的一切函件均应盖有承包人授权的施工场地管理机构章，并由承包人项目经理或其授权代表签字。</w:t>
      </w:r>
    </w:p>
    <w:p>
      <w:pPr>
        <w:spacing w:line="490" w:lineRule="exact"/>
        <w:ind w:firstLine="420" w:firstLineChars="200"/>
        <w:rPr>
          <w:kern w:val="0"/>
          <w:szCs w:val="21"/>
          <w:highlight w:val="none"/>
        </w:rPr>
      </w:pPr>
      <w:r>
        <w:rPr>
          <w:kern w:val="0"/>
          <w:szCs w:val="21"/>
          <w:highlight w:val="none"/>
        </w:rPr>
        <w:t>4.5.4 承包人项目经理可以授权其下属人员履行其某项职责，但事先应将这些人员的姓名和授权范围通知监理人。</w:t>
      </w:r>
    </w:p>
    <w:p>
      <w:pPr>
        <w:spacing w:line="490" w:lineRule="exact"/>
        <w:ind w:firstLine="422" w:firstLineChars="200"/>
        <w:outlineLvl w:val="3"/>
        <w:rPr>
          <w:b/>
          <w:bCs/>
          <w:kern w:val="0"/>
          <w:szCs w:val="21"/>
          <w:highlight w:val="none"/>
        </w:rPr>
      </w:pPr>
      <w:bookmarkStart w:id="242" w:name="_Toc511318079"/>
      <w:bookmarkStart w:id="243" w:name="_Toc511317330"/>
      <w:bookmarkStart w:id="244" w:name="_Toc189386137"/>
      <w:r>
        <w:rPr>
          <w:b/>
          <w:bCs/>
          <w:kern w:val="0"/>
          <w:szCs w:val="21"/>
          <w:highlight w:val="none"/>
        </w:rPr>
        <w:t>4.6 承包人人员的管理</w:t>
      </w:r>
      <w:bookmarkEnd w:id="242"/>
      <w:bookmarkEnd w:id="243"/>
      <w:bookmarkEnd w:id="244"/>
    </w:p>
    <w:p>
      <w:pPr>
        <w:spacing w:line="490" w:lineRule="exact"/>
        <w:ind w:firstLine="420" w:firstLineChars="200"/>
        <w:rPr>
          <w:kern w:val="0"/>
          <w:szCs w:val="21"/>
          <w:highlight w:val="none"/>
        </w:rPr>
      </w:pPr>
      <w:r>
        <w:rPr>
          <w:kern w:val="0"/>
          <w:szCs w:val="21"/>
          <w:highlight w:val="none"/>
        </w:rPr>
        <w:t>4.6.1 承包人应在接到开工通知后28 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spacing w:line="490" w:lineRule="exact"/>
        <w:ind w:firstLine="420" w:firstLineChars="200"/>
        <w:rPr>
          <w:kern w:val="0"/>
          <w:szCs w:val="21"/>
          <w:highlight w:val="none"/>
        </w:rPr>
      </w:pPr>
      <w:r>
        <w:rPr>
          <w:kern w:val="0"/>
          <w:szCs w:val="21"/>
          <w:highlight w:val="none"/>
        </w:rPr>
        <w:t>4.6.2 为完成合同约定的各项工作，承包人应向施工场地派遣或雇佣足够数量的下列人员：</w:t>
      </w:r>
    </w:p>
    <w:p>
      <w:pPr>
        <w:spacing w:line="490" w:lineRule="exact"/>
        <w:ind w:firstLine="420" w:firstLineChars="200"/>
        <w:rPr>
          <w:kern w:val="0"/>
          <w:szCs w:val="21"/>
          <w:highlight w:val="none"/>
        </w:rPr>
      </w:pPr>
      <w:r>
        <w:rPr>
          <w:kern w:val="0"/>
          <w:szCs w:val="21"/>
          <w:highlight w:val="none"/>
        </w:rPr>
        <w:t>（1）具有相应资格的专业技工和合格的普工；</w:t>
      </w:r>
    </w:p>
    <w:p>
      <w:pPr>
        <w:spacing w:line="490" w:lineRule="exact"/>
        <w:ind w:firstLine="420" w:firstLineChars="200"/>
        <w:rPr>
          <w:kern w:val="0"/>
          <w:szCs w:val="21"/>
          <w:highlight w:val="none"/>
        </w:rPr>
      </w:pPr>
      <w:r>
        <w:rPr>
          <w:kern w:val="0"/>
          <w:szCs w:val="21"/>
          <w:highlight w:val="none"/>
        </w:rPr>
        <w:t>（2）具有相应施工经验的技术人员；</w:t>
      </w:r>
    </w:p>
    <w:p>
      <w:pPr>
        <w:spacing w:line="490" w:lineRule="exact"/>
        <w:ind w:firstLine="420" w:firstLineChars="200"/>
        <w:rPr>
          <w:kern w:val="0"/>
          <w:szCs w:val="21"/>
          <w:highlight w:val="none"/>
        </w:rPr>
      </w:pPr>
      <w:r>
        <w:rPr>
          <w:kern w:val="0"/>
          <w:szCs w:val="21"/>
          <w:highlight w:val="none"/>
        </w:rPr>
        <w:t>（3）具有相应岗位资格的各级管理人员。</w:t>
      </w:r>
    </w:p>
    <w:p>
      <w:pPr>
        <w:spacing w:line="490" w:lineRule="exact"/>
        <w:ind w:firstLine="420" w:firstLineChars="200"/>
        <w:rPr>
          <w:kern w:val="0"/>
          <w:szCs w:val="21"/>
          <w:highlight w:val="none"/>
        </w:rPr>
      </w:pPr>
      <w:r>
        <w:rPr>
          <w:kern w:val="0"/>
          <w:szCs w:val="21"/>
          <w:highlight w:val="none"/>
        </w:rPr>
        <w:t>4.6.3 承包人安排在施工场地的主要管理人员和技术骨干应相对稳定。承包人更换主要管理人员和技术骨干时，应取得监理人的同意。</w:t>
      </w:r>
    </w:p>
    <w:p>
      <w:pPr>
        <w:spacing w:line="490" w:lineRule="exact"/>
        <w:ind w:firstLine="420" w:firstLineChars="200"/>
        <w:rPr>
          <w:kern w:val="0"/>
          <w:szCs w:val="21"/>
          <w:highlight w:val="none"/>
        </w:rPr>
      </w:pPr>
      <w:r>
        <w:rPr>
          <w:kern w:val="0"/>
          <w:szCs w:val="21"/>
          <w:highlight w:val="none"/>
        </w:rPr>
        <w:t>4.6.4 特殊岗位的工作人员均应持有相应的资格证明，监理人有权随时检查。监理人认为有必要时，可进行现场考核。</w:t>
      </w:r>
    </w:p>
    <w:p>
      <w:pPr>
        <w:spacing w:line="490" w:lineRule="exact"/>
        <w:ind w:firstLine="422" w:firstLineChars="200"/>
        <w:outlineLvl w:val="3"/>
        <w:rPr>
          <w:b/>
          <w:bCs/>
          <w:kern w:val="0"/>
          <w:szCs w:val="21"/>
          <w:highlight w:val="none"/>
        </w:rPr>
      </w:pPr>
      <w:bookmarkStart w:id="245" w:name="_Toc511318080"/>
      <w:bookmarkStart w:id="246" w:name="_Toc511317331"/>
      <w:bookmarkStart w:id="247" w:name="_Toc189386138"/>
      <w:r>
        <w:rPr>
          <w:b/>
          <w:bCs/>
          <w:kern w:val="0"/>
          <w:szCs w:val="21"/>
          <w:highlight w:val="none"/>
        </w:rPr>
        <w:t>4.7 撤换承包人项目经理和其他人员</w:t>
      </w:r>
      <w:bookmarkEnd w:id="245"/>
      <w:bookmarkEnd w:id="246"/>
      <w:bookmarkEnd w:id="247"/>
    </w:p>
    <w:p>
      <w:pPr>
        <w:spacing w:line="490" w:lineRule="exact"/>
        <w:ind w:firstLine="420" w:firstLineChars="200"/>
        <w:rPr>
          <w:kern w:val="0"/>
          <w:szCs w:val="21"/>
          <w:highlight w:val="none"/>
        </w:rPr>
      </w:pPr>
      <w:r>
        <w:rPr>
          <w:kern w:val="0"/>
          <w:szCs w:val="21"/>
          <w:highlight w:val="none"/>
        </w:rPr>
        <w:t>承包人应对其项目经理和其他人员进行有效管理。监理人要求撤换不能胜任本职工作、行为不端或玩忽职守的承包人项目经理和其他人员的，承包人应予以撤换。</w:t>
      </w:r>
    </w:p>
    <w:p>
      <w:pPr>
        <w:spacing w:line="490" w:lineRule="exact"/>
        <w:ind w:firstLine="422" w:firstLineChars="200"/>
        <w:outlineLvl w:val="3"/>
        <w:rPr>
          <w:b/>
          <w:bCs/>
          <w:kern w:val="0"/>
          <w:szCs w:val="21"/>
          <w:highlight w:val="none"/>
        </w:rPr>
      </w:pPr>
      <w:bookmarkStart w:id="248" w:name="_Toc189386139"/>
      <w:bookmarkStart w:id="249" w:name="_Toc511317332"/>
      <w:bookmarkStart w:id="250" w:name="_Toc511318081"/>
      <w:r>
        <w:rPr>
          <w:b/>
          <w:bCs/>
          <w:kern w:val="0"/>
          <w:szCs w:val="21"/>
          <w:highlight w:val="none"/>
        </w:rPr>
        <w:t>4.8 保障承包人人员的合法权益</w:t>
      </w:r>
      <w:bookmarkEnd w:id="248"/>
      <w:bookmarkEnd w:id="249"/>
      <w:bookmarkEnd w:id="250"/>
    </w:p>
    <w:p>
      <w:pPr>
        <w:spacing w:line="490" w:lineRule="exact"/>
        <w:ind w:firstLine="420" w:firstLineChars="200"/>
        <w:rPr>
          <w:kern w:val="0"/>
          <w:szCs w:val="21"/>
          <w:highlight w:val="none"/>
        </w:rPr>
      </w:pPr>
      <w:r>
        <w:rPr>
          <w:kern w:val="0"/>
          <w:szCs w:val="21"/>
          <w:highlight w:val="none"/>
        </w:rPr>
        <w:t>4.8.1 承包人应与其雇佣的人员签订劳动合同，并按时发放工资。</w:t>
      </w:r>
    </w:p>
    <w:p>
      <w:pPr>
        <w:spacing w:line="490" w:lineRule="exact"/>
        <w:ind w:firstLine="420" w:firstLineChars="200"/>
        <w:rPr>
          <w:kern w:val="0"/>
          <w:szCs w:val="21"/>
          <w:highlight w:val="none"/>
        </w:rPr>
      </w:pPr>
      <w:r>
        <w:rPr>
          <w:kern w:val="0"/>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pPr>
        <w:spacing w:line="490" w:lineRule="exact"/>
        <w:ind w:firstLine="420" w:firstLineChars="200"/>
        <w:rPr>
          <w:kern w:val="0"/>
          <w:szCs w:val="21"/>
          <w:highlight w:val="none"/>
        </w:rPr>
      </w:pPr>
      <w:r>
        <w:rPr>
          <w:kern w:val="0"/>
          <w:szCs w:val="21"/>
          <w:highlight w:val="none"/>
        </w:rPr>
        <w:t>4.8.3 承包人应为其雇佣人员提供必要的食宿条件，以及符合环境保护和卫生要求的生活环境，在远离城镇的施工场地，还应配备必要的伤病防治和急救的医务人员与医疗设施。</w:t>
      </w:r>
    </w:p>
    <w:p>
      <w:pPr>
        <w:spacing w:line="490" w:lineRule="exact"/>
        <w:ind w:firstLine="420" w:firstLineChars="200"/>
        <w:rPr>
          <w:kern w:val="0"/>
          <w:szCs w:val="21"/>
          <w:highlight w:val="none"/>
        </w:rPr>
      </w:pPr>
      <w:r>
        <w:rPr>
          <w:kern w:val="0"/>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spacing w:line="490" w:lineRule="exact"/>
        <w:ind w:firstLine="420" w:firstLineChars="200"/>
        <w:rPr>
          <w:kern w:val="0"/>
          <w:szCs w:val="21"/>
          <w:highlight w:val="none"/>
        </w:rPr>
      </w:pPr>
      <w:r>
        <w:rPr>
          <w:kern w:val="0"/>
          <w:szCs w:val="21"/>
          <w:highlight w:val="none"/>
        </w:rPr>
        <w:t>4.8.5 承包人应按有关法律规定和合同约定，为其雇佣人员办理保险。</w:t>
      </w:r>
    </w:p>
    <w:p>
      <w:pPr>
        <w:spacing w:line="490" w:lineRule="exact"/>
        <w:ind w:firstLine="420" w:firstLineChars="200"/>
        <w:rPr>
          <w:kern w:val="0"/>
          <w:szCs w:val="21"/>
          <w:highlight w:val="none"/>
        </w:rPr>
      </w:pPr>
      <w:r>
        <w:rPr>
          <w:kern w:val="0"/>
          <w:szCs w:val="21"/>
          <w:highlight w:val="none"/>
        </w:rPr>
        <w:t>4.8.6 承包人应负责处理其雇佣人员因工伤亡事故的善后事宜。</w:t>
      </w:r>
    </w:p>
    <w:p>
      <w:pPr>
        <w:spacing w:line="490" w:lineRule="exact"/>
        <w:ind w:firstLine="422" w:firstLineChars="200"/>
        <w:outlineLvl w:val="3"/>
        <w:rPr>
          <w:b/>
          <w:bCs/>
          <w:kern w:val="0"/>
          <w:szCs w:val="21"/>
          <w:highlight w:val="none"/>
        </w:rPr>
      </w:pPr>
      <w:bookmarkStart w:id="251" w:name="_Toc511317333"/>
      <w:bookmarkStart w:id="252" w:name="_Toc189386140"/>
      <w:bookmarkStart w:id="253" w:name="_Toc511318082"/>
      <w:r>
        <w:rPr>
          <w:b/>
          <w:bCs/>
          <w:kern w:val="0"/>
          <w:szCs w:val="21"/>
          <w:highlight w:val="none"/>
        </w:rPr>
        <w:t>4.9 工程价款应专款专用</w:t>
      </w:r>
      <w:bookmarkEnd w:id="251"/>
      <w:bookmarkEnd w:id="252"/>
      <w:bookmarkEnd w:id="253"/>
    </w:p>
    <w:p>
      <w:pPr>
        <w:spacing w:line="490" w:lineRule="exact"/>
        <w:ind w:firstLine="420" w:firstLineChars="200"/>
        <w:rPr>
          <w:kern w:val="0"/>
          <w:szCs w:val="21"/>
          <w:highlight w:val="none"/>
        </w:rPr>
      </w:pPr>
      <w:r>
        <w:rPr>
          <w:kern w:val="0"/>
          <w:szCs w:val="21"/>
          <w:highlight w:val="none"/>
        </w:rPr>
        <w:t>发包人按合同约定支付给承包人的各项价款应专用于合同工程。</w:t>
      </w:r>
    </w:p>
    <w:p>
      <w:pPr>
        <w:spacing w:line="490" w:lineRule="exact"/>
        <w:ind w:firstLine="422" w:firstLineChars="200"/>
        <w:outlineLvl w:val="3"/>
        <w:rPr>
          <w:b/>
          <w:bCs/>
          <w:kern w:val="0"/>
          <w:szCs w:val="21"/>
          <w:highlight w:val="none"/>
        </w:rPr>
      </w:pPr>
      <w:bookmarkStart w:id="254" w:name="_Toc189386141"/>
      <w:bookmarkStart w:id="255" w:name="_Toc511318083"/>
      <w:bookmarkStart w:id="256" w:name="_Toc511317334"/>
      <w:r>
        <w:rPr>
          <w:b/>
          <w:bCs/>
          <w:kern w:val="0"/>
          <w:szCs w:val="21"/>
          <w:highlight w:val="none"/>
        </w:rPr>
        <w:t>4.10 承包人现场查勘</w:t>
      </w:r>
      <w:bookmarkEnd w:id="254"/>
      <w:bookmarkEnd w:id="255"/>
      <w:bookmarkEnd w:id="256"/>
    </w:p>
    <w:p>
      <w:pPr>
        <w:spacing w:line="490" w:lineRule="exact"/>
        <w:ind w:firstLine="420" w:firstLineChars="200"/>
        <w:rPr>
          <w:kern w:val="0"/>
          <w:szCs w:val="21"/>
          <w:highlight w:val="none"/>
        </w:rPr>
      </w:pPr>
      <w:r>
        <w:rPr>
          <w:kern w:val="0"/>
          <w:szCs w:val="21"/>
          <w:highlight w:val="none"/>
        </w:rPr>
        <w:t>4.10.1 发包人应将其持有的现场地质勘探资料、水文气象资料提供给承包人，并对其准确性负责。但承包人应对其阅读上述有关资料后所作出的解释和推断负责。</w:t>
      </w:r>
    </w:p>
    <w:p>
      <w:pPr>
        <w:spacing w:line="490" w:lineRule="exact"/>
        <w:ind w:firstLine="420" w:firstLineChars="200"/>
        <w:rPr>
          <w:kern w:val="0"/>
          <w:szCs w:val="21"/>
          <w:highlight w:val="none"/>
        </w:rPr>
      </w:pPr>
      <w:r>
        <w:rPr>
          <w:kern w:val="0"/>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pPr>
        <w:spacing w:line="490" w:lineRule="exact"/>
        <w:ind w:firstLine="422" w:firstLineChars="200"/>
        <w:outlineLvl w:val="3"/>
        <w:rPr>
          <w:b/>
          <w:bCs/>
          <w:kern w:val="0"/>
          <w:szCs w:val="21"/>
          <w:highlight w:val="none"/>
        </w:rPr>
      </w:pPr>
      <w:bookmarkStart w:id="257" w:name="_Toc189386142"/>
      <w:bookmarkStart w:id="258" w:name="_Toc511317335"/>
      <w:bookmarkStart w:id="259" w:name="_Toc511318084"/>
      <w:r>
        <w:rPr>
          <w:b/>
          <w:bCs/>
          <w:kern w:val="0"/>
          <w:szCs w:val="21"/>
          <w:highlight w:val="none"/>
        </w:rPr>
        <w:t>4.11 不利物质条件</w:t>
      </w:r>
      <w:bookmarkEnd w:id="257"/>
      <w:bookmarkEnd w:id="258"/>
      <w:bookmarkEnd w:id="259"/>
    </w:p>
    <w:p>
      <w:pPr>
        <w:spacing w:line="490" w:lineRule="exact"/>
        <w:ind w:firstLine="420" w:firstLineChars="200"/>
        <w:rPr>
          <w:kern w:val="0"/>
          <w:szCs w:val="21"/>
          <w:highlight w:val="none"/>
        </w:rPr>
      </w:pPr>
      <w:r>
        <w:rPr>
          <w:kern w:val="0"/>
          <w:szCs w:val="21"/>
          <w:highlight w:val="none"/>
        </w:rPr>
        <w:t>4.11.1 除专用合同条款另有约定外，不利物质条件是指在施工中遭遇不可预见的外界障碍或自然条件造成施工受阻。</w:t>
      </w:r>
    </w:p>
    <w:p>
      <w:pPr>
        <w:spacing w:line="490" w:lineRule="exact"/>
        <w:ind w:firstLine="420" w:firstLineChars="200"/>
        <w:rPr>
          <w:kern w:val="0"/>
          <w:szCs w:val="21"/>
          <w:highlight w:val="none"/>
        </w:rPr>
      </w:pPr>
      <w:r>
        <w:rPr>
          <w:kern w:val="0"/>
          <w:szCs w:val="21"/>
          <w:highlight w:val="none"/>
        </w:rPr>
        <w:t>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w:t>
      </w:r>
    </w:p>
    <w:p>
      <w:pPr>
        <w:pStyle w:val="5"/>
        <w:keepNext w:val="0"/>
        <w:keepLines w:val="0"/>
        <w:spacing w:before="0" w:after="0" w:line="490" w:lineRule="exact"/>
        <w:ind w:firstLine="422" w:firstLineChars="200"/>
        <w:rPr>
          <w:bCs w:val="0"/>
          <w:color w:val="auto"/>
          <w:sz w:val="21"/>
          <w:szCs w:val="21"/>
          <w:highlight w:val="none"/>
        </w:rPr>
      </w:pPr>
      <w:bookmarkStart w:id="260" w:name="_Toc3997"/>
      <w:bookmarkStart w:id="261" w:name="_Toc189386143"/>
      <w:bookmarkStart w:id="262" w:name="_Toc26616"/>
      <w:r>
        <w:rPr>
          <w:bCs w:val="0"/>
          <w:color w:val="auto"/>
          <w:sz w:val="21"/>
          <w:szCs w:val="21"/>
          <w:highlight w:val="none"/>
        </w:rPr>
        <w:t>5</w:t>
      </w:r>
      <w:r>
        <w:rPr>
          <w:rFonts w:hint="eastAsia"/>
          <w:bCs w:val="0"/>
          <w:color w:val="auto"/>
          <w:sz w:val="21"/>
          <w:szCs w:val="21"/>
          <w:highlight w:val="none"/>
        </w:rPr>
        <w:t>.</w:t>
      </w:r>
      <w:r>
        <w:rPr>
          <w:bCs w:val="0"/>
          <w:color w:val="auto"/>
          <w:sz w:val="21"/>
          <w:szCs w:val="21"/>
          <w:highlight w:val="none"/>
        </w:rPr>
        <w:t>材料和工程设备</w:t>
      </w:r>
      <w:bookmarkEnd w:id="260"/>
      <w:bookmarkEnd w:id="261"/>
      <w:bookmarkEnd w:id="262"/>
    </w:p>
    <w:p>
      <w:pPr>
        <w:spacing w:line="490" w:lineRule="exact"/>
        <w:ind w:firstLine="422" w:firstLineChars="200"/>
        <w:outlineLvl w:val="3"/>
        <w:rPr>
          <w:b/>
          <w:bCs/>
          <w:kern w:val="0"/>
          <w:szCs w:val="21"/>
          <w:highlight w:val="none"/>
        </w:rPr>
      </w:pPr>
      <w:bookmarkStart w:id="263" w:name="_Toc511317337"/>
      <w:bookmarkStart w:id="264" w:name="_Toc189386144"/>
      <w:bookmarkStart w:id="265" w:name="_Toc511318086"/>
      <w:r>
        <w:rPr>
          <w:b/>
          <w:bCs/>
          <w:kern w:val="0"/>
          <w:szCs w:val="21"/>
          <w:highlight w:val="none"/>
        </w:rPr>
        <w:t>5.1承包人提供的材料和工程设备</w:t>
      </w:r>
      <w:bookmarkEnd w:id="263"/>
      <w:bookmarkEnd w:id="264"/>
      <w:bookmarkEnd w:id="265"/>
    </w:p>
    <w:p>
      <w:pPr>
        <w:spacing w:line="490" w:lineRule="exact"/>
        <w:ind w:firstLine="420" w:firstLineChars="200"/>
        <w:rPr>
          <w:kern w:val="0"/>
          <w:szCs w:val="21"/>
          <w:highlight w:val="none"/>
        </w:rPr>
      </w:pPr>
      <w:r>
        <w:rPr>
          <w:kern w:val="0"/>
          <w:szCs w:val="21"/>
          <w:highlight w:val="none"/>
        </w:rPr>
        <w:t>5.1.1 除第5.2款约定由发包人提供的材料和工程设备外，承包人负责采购、运输和保管完成本合同工作所需的材料和工程设备。承包人应对其采购的材料和工程设备负责。</w:t>
      </w:r>
    </w:p>
    <w:p>
      <w:pPr>
        <w:spacing w:line="490" w:lineRule="exact"/>
        <w:ind w:firstLine="420" w:firstLineChars="200"/>
        <w:rPr>
          <w:kern w:val="0"/>
          <w:szCs w:val="21"/>
          <w:highlight w:val="none"/>
        </w:rPr>
      </w:pPr>
      <w:r>
        <w:rPr>
          <w:kern w:val="0"/>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pPr>
        <w:spacing w:line="490" w:lineRule="exact"/>
        <w:ind w:firstLine="420" w:firstLineChars="200"/>
        <w:rPr>
          <w:kern w:val="0"/>
          <w:szCs w:val="21"/>
          <w:highlight w:val="none"/>
        </w:rPr>
      </w:pPr>
      <w:r>
        <w:rPr>
          <w:kern w:val="0"/>
          <w:szCs w:val="21"/>
          <w:highlight w:val="none"/>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spacing w:line="490" w:lineRule="exact"/>
        <w:ind w:firstLine="422" w:firstLineChars="200"/>
        <w:outlineLvl w:val="3"/>
        <w:rPr>
          <w:b/>
          <w:bCs/>
          <w:kern w:val="0"/>
          <w:szCs w:val="21"/>
          <w:highlight w:val="none"/>
        </w:rPr>
      </w:pPr>
      <w:bookmarkStart w:id="266" w:name="_Toc189386145"/>
      <w:r>
        <w:rPr>
          <w:b/>
          <w:bCs/>
          <w:kern w:val="0"/>
          <w:szCs w:val="21"/>
          <w:highlight w:val="none"/>
        </w:rPr>
        <w:t>5.2 发包人提供的材料和工程设备</w:t>
      </w:r>
      <w:bookmarkEnd w:id="266"/>
    </w:p>
    <w:p>
      <w:pPr>
        <w:spacing w:line="490" w:lineRule="exact"/>
        <w:ind w:firstLine="420" w:firstLineChars="200"/>
        <w:rPr>
          <w:kern w:val="0"/>
          <w:szCs w:val="21"/>
          <w:highlight w:val="none"/>
        </w:rPr>
      </w:pPr>
      <w:r>
        <w:rPr>
          <w:kern w:val="0"/>
          <w:szCs w:val="21"/>
          <w:highlight w:val="none"/>
        </w:rPr>
        <w:t>5.2.1 发包人提供的材料和工程设备，应在专用合同条款中写明材料和工程设备的名称、规格、数量、价格、交货方式、交货地点和计划交货日期等。</w:t>
      </w:r>
    </w:p>
    <w:p>
      <w:pPr>
        <w:spacing w:line="490" w:lineRule="exact"/>
        <w:ind w:firstLine="420" w:firstLineChars="200"/>
        <w:rPr>
          <w:kern w:val="0"/>
          <w:szCs w:val="21"/>
          <w:highlight w:val="none"/>
        </w:rPr>
      </w:pPr>
      <w:r>
        <w:rPr>
          <w:kern w:val="0"/>
          <w:szCs w:val="21"/>
          <w:highlight w:val="none"/>
        </w:rPr>
        <w:t>5.2.2 承包人应根据合同进度计划的安排，向监理人报送要求发包人交货的日期计划。发包人应按照监理人与合同双方当事人商定的交货日期，向承包人提交材料和工程设备。</w:t>
      </w:r>
    </w:p>
    <w:p>
      <w:pPr>
        <w:spacing w:line="490" w:lineRule="exact"/>
        <w:ind w:firstLine="420" w:firstLineChars="200"/>
        <w:rPr>
          <w:kern w:val="0"/>
          <w:szCs w:val="21"/>
          <w:highlight w:val="none"/>
        </w:rPr>
      </w:pPr>
      <w:r>
        <w:rPr>
          <w:kern w:val="0"/>
          <w:szCs w:val="21"/>
          <w:highlight w:val="none"/>
        </w:rPr>
        <w:t>5.2.3 发包人应在材料和工程设备到货7天前通知承包人，承包人应会同监理人在约定的时间内，赴交货地点共同进行验收。发包人提供的材料和工程设备运至交货地点验收后，由承包人负责接收、卸货、运输和保管。</w:t>
      </w:r>
    </w:p>
    <w:p>
      <w:pPr>
        <w:spacing w:line="490" w:lineRule="exact"/>
        <w:ind w:firstLine="420" w:firstLineChars="200"/>
        <w:rPr>
          <w:kern w:val="0"/>
          <w:szCs w:val="21"/>
          <w:highlight w:val="none"/>
        </w:rPr>
      </w:pPr>
      <w:r>
        <w:rPr>
          <w:kern w:val="0"/>
          <w:szCs w:val="21"/>
          <w:highlight w:val="none"/>
        </w:rPr>
        <w:t>5.2.4 发包人要求向承包人提前交货的，承包人不得拒绝，但发包人应承担承包人由此增加的费用。</w:t>
      </w:r>
    </w:p>
    <w:p>
      <w:pPr>
        <w:spacing w:line="490" w:lineRule="exact"/>
        <w:ind w:firstLine="420" w:firstLineChars="200"/>
        <w:rPr>
          <w:kern w:val="0"/>
          <w:szCs w:val="21"/>
          <w:highlight w:val="none"/>
        </w:rPr>
      </w:pPr>
      <w:r>
        <w:rPr>
          <w:kern w:val="0"/>
          <w:szCs w:val="21"/>
          <w:highlight w:val="none"/>
        </w:rPr>
        <w:t>5.2.5 承包人要求更改交货日期或地点的，应事先报请监理人批准。由于承包人要求更改交货时间或地点所增加的费用和（或）工期延误由承包人承担。</w:t>
      </w:r>
    </w:p>
    <w:p>
      <w:pPr>
        <w:spacing w:line="490" w:lineRule="exact"/>
        <w:ind w:firstLine="420" w:firstLineChars="200"/>
        <w:rPr>
          <w:kern w:val="0"/>
          <w:szCs w:val="21"/>
          <w:highlight w:val="none"/>
        </w:rPr>
      </w:pPr>
      <w:r>
        <w:rPr>
          <w:kern w:val="0"/>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pPr>
        <w:spacing w:line="490" w:lineRule="exact"/>
        <w:ind w:firstLine="422" w:firstLineChars="200"/>
        <w:outlineLvl w:val="3"/>
        <w:rPr>
          <w:b/>
          <w:bCs/>
          <w:kern w:val="0"/>
          <w:szCs w:val="21"/>
          <w:highlight w:val="none"/>
        </w:rPr>
      </w:pPr>
      <w:bookmarkStart w:id="267" w:name="_Toc189386146"/>
      <w:r>
        <w:rPr>
          <w:b/>
          <w:bCs/>
          <w:kern w:val="0"/>
          <w:szCs w:val="21"/>
          <w:highlight w:val="none"/>
        </w:rPr>
        <w:t>5.3 材料和工程设备专用于合同工程</w:t>
      </w:r>
      <w:bookmarkEnd w:id="267"/>
    </w:p>
    <w:p>
      <w:pPr>
        <w:spacing w:line="490" w:lineRule="exact"/>
        <w:ind w:firstLine="420" w:firstLineChars="200"/>
        <w:rPr>
          <w:kern w:val="0"/>
          <w:szCs w:val="21"/>
          <w:highlight w:val="none"/>
        </w:rPr>
      </w:pPr>
      <w:r>
        <w:rPr>
          <w:kern w:val="0"/>
          <w:szCs w:val="21"/>
          <w:highlight w:val="none"/>
        </w:rPr>
        <w:t>5.3.1 运入施工场地的材料、工程设备，包括备品备件、安装专用工器具与随机资料，必须专用于合同工程，未经监理人同意，承包人不得运出施工场地或挪作他用。</w:t>
      </w:r>
    </w:p>
    <w:p>
      <w:pPr>
        <w:spacing w:line="490" w:lineRule="exact"/>
        <w:ind w:firstLine="420" w:firstLineChars="200"/>
        <w:rPr>
          <w:kern w:val="0"/>
          <w:szCs w:val="21"/>
          <w:highlight w:val="none"/>
        </w:rPr>
      </w:pPr>
      <w:r>
        <w:rPr>
          <w:kern w:val="0"/>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spacing w:line="490" w:lineRule="exact"/>
        <w:ind w:firstLine="422" w:firstLineChars="200"/>
        <w:outlineLvl w:val="3"/>
        <w:rPr>
          <w:b/>
          <w:bCs/>
          <w:kern w:val="0"/>
          <w:szCs w:val="21"/>
          <w:highlight w:val="none"/>
        </w:rPr>
      </w:pPr>
      <w:bookmarkStart w:id="268" w:name="_Toc189386147"/>
      <w:r>
        <w:rPr>
          <w:b/>
          <w:bCs/>
          <w:kern w:val="0"/>
          <w:szCs w:val="21"/>
          <w:highlight w:val="none"/>
        </w:rPr>
        <w:t>5.4 禁止使用不合格的材料和工程设备</w:t>
      </w:r>
      <w:bookmarkEnd w:id="268"/>
    </w:p>
    <w:p>
      <w:pPr>
        <w:spacing w:line="490" w:lineRule="exact"/>
        <w:ind w:firstLine="420" w:firstLineChars="200"/>
        <w:rPr>
          <w:kern w:val="0"/>
          <w:szCs w:val="21"/>
          <w:highlight w:val="none"/>
        </w:rPr>
      </w:pPr>
      <w:r>
        <w:rPr>
          <w:kern w:val="0"/>
          <w:szCs w:val="21"/>
          <w:highlight w:val="none"/>
        </w:rPr>
        <w:t>5.4.1  监理人有权拒绝承包人提供的不合格材料或工程设备，并要求承包人立即进行更换。监理人应在更换后再次进行检查和检验，由此增加的费用和（或）工期延误由承包人承担。</w:t>
      </w:r>
    </w:p>
    <w:p>
      <w:pPr>
        <w:spacing w:line="490" w:lineRule="exact"/>
        <w:ind w:firstLine="420" w:firstLineChars="200"/>
        <w:rPr>
          <w:kern w:val="0"/>
          <w:szCs w:val="21"/>
          <w:highlight w:val="none"/>
        </w:rPr>
      </w:pPr>
      <w:r>
        <w:rPr>
          <w:kern w:val="0"/>
          <w:szCs w:val="21"/>
          <w:highlight w:val="none"/>
        </w:rPr>
        <w:t>5.4.2 监理人发现承包人使用了不合格的材料和工程设备，应即时发出指示要求承包人立即改正，并禁止在工程中继续使用不合格的材料和工程设备。</w:t>
      </w:r>
    </w:p>
    <w:p>
      <w:pPr>
        <w:spacing w:line="490" w:lineRule="exact"/>
        <w:ind w:firstLine="420" w:firstLineChars="200"/>
        <w:rPr>
          <w:kern w:val="0"/>
          <w:szCs w:val="21"/>
          <w:highlight w:val="none"/>
        </w:rPr>
      </w:pPr>
      <w:r>
        <w:rPr>
          <w:kern w:val="0"/>
          <w:szCs w:val="21"/>
          <w:highlight w:val="none"/>
        </w:rPr>
        <w:t>5.4.3 发包人提供的材料或工程设备不符合合同要求的，承包人有权拒绝，并可要求发包人更换，由此增加的费用和（或）工期延误由发包人承担。</w:t>
      </w:r>
    </w:p>
    <w:p>
      <w:pPr>
        <w:pStyle w:val="5"/>
        <w:keepNext w:val="0"/>
        <w:keepLines w:val="0"/>
        <w:spacing w:before="0" w:after="0" w:line="490" w:lineRule="exact"/>
        <w:ind w:firstLine="422" w:firstLineChars="200"/>
        <w:rPr>
          <w:bCs w:val="0"/>
          <w:color w:val="auto"/>
          <w:sz w:val="21"/>
          <w:szCs w:val="21"/>
          <w:highlight w:val="none"/>
        </w:rPr>
      </w:pPr>
      <w:bookmarkStart w:id="269" w:name="_Toc11785"/>
      <w:bookmarkStart w:id="270" w:name="_Toc6826"/>
      <w:bookmarkStart w:id="271" w:name="_Toc189386148"/>
      <w:r>
        <w:rPr>
          <w:bCs w:val="0"/>
          <w:color w:val="auto"/>
          <w:sz w:val="21"/>
          <w:szCs w:val="21"/>
          <w:highlight w:val="none"/>
        </w:rPr>
        <w:t>6</w:t>
      </w:r>
      <w:r>
        <w:rPr>
          <w:rFonts w:hint="eastAsia"/>
          <w:bCs w:val="0"/>
          <w:color w:val="auto"/>
          <w:sz w:val="21"/>
          <w:szCs w:val="21"/>
          <w:highlight w:val="none"/>
        </w:rPr>
        <w:t>.</w:t>
      </w:r>
      <w:r>
        <w:rPr>
          <w:bCs w:val="0"/>
          <w:color w:val="auto"/>
          <w:sz w:val="21"/>
          <w:szCs w:val="21"/>
          <w:highlight w:val="none"/>
        </w:rPr>
        <w:t>施工设备和临时设施</w:t>
      </w:r>
      <w:bookmarkEnd w:id="269"/>
      <w:bookmarkEnd w:id="270"/>
      <w:bookmarkEnd w:id="271"/>
    </w:p>
    <w:p>
      <w:pPr>
        <w:spacing w:line="490" w:lineRule="exact"/>
        <w:ind w:firstLine="422" w:firstLineChars="200"/>
        <w:outlineLvl w:val="3"/>
        <w:rPr>
          <w:b/>
          <w:bCs/>
          <w:kern w:val="0"/>
          <w:szCs w:val="21"/>
          <w:highlight w:val="none"/>
        </w:rPr>
      </w:pPr>
      <w:bookmarkStart w:id="272" w:name="_Toc189386149"/>
      <w:r>
        <w:rPr>
          <w:b/>
          <w:bCs/>
          <w:kern w:val="0"/>
          <w:szCs w:val="21"/>
          <w:highlight w:val="none"/>
        </w:rPr>
        <w:t>6.1承包人提供的施工设备和临时设施</w:t>
      </w:r>
      <w:bookmarkEnd w:id="272"/>
    </w:p>
    <w:p>
      <w:pPr>
        <w:spacing w:line="490" w:lineRule="exact"/>
        <w:ind w:firstLine="420" w:firstLineChars="200"/>
        <w:rPr>
          <w:kern w:val="0"/>
          <w:szCs w:val="21"/>
          <w:highlight w:val="none"/>
        </w:rPr>
      </w:pPr>
      <w:r>
        <w:rPr>
          <w:kern w:val="0"/>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pPr>
        <w:spacing w:line="490" w:lineRule="exact"/>
        <w:ind w:firstLine="420" w:firstLineChars="200"/>
        <w:rPr>
          <w:kern w:val="0"/>
          <w:szCs w:val="21"/>
          <w:highlight w:val="none"/>
        </w:rPr>
      </w:pPr>
      <w:r>
        <w:rPr>
          <w:kern w:val="0"/>
          <w:szCs w:val="21"/>
          <w:highlight w:val="none"/>
        </w:rPr>
        <w:t>6.1.2 除专用合同条款另有约定外，承包人应自行承担修建临时设施的费用，需要临时占地的，应由发包人办理申请手续并承担相应费用。</w:t>
      </w:r>
    </w:p>
    <w:p>
      <w:pPr>
        <w:spacing w:line="490" w:lineRule="exact"/>
        <w:ind w:firstLine="422" w:firstLineChars="200"/>
        <w:outlineLvl w:val="3"/>
        <w:rPr>
          <w:b/>
          <w:bCs/>
          <w:kern w:val="0"/>
          <w:szCs w:val="21"/>
          <w:highlight w:val="none"/>
        </w:rPr>
      </w:pPr>
      <w:bookmarkStart w:id="273" w:name="_Toc189386150"/>
      <w:r>
        <w:rPr>
          <w:b/>
          <w:bCs/>
          <w:kern w:val="0"/>
          <w:szCs w:val="21"/>
          <w:highlight w:val="none"/>
        </w:rPr>
        <w:t>6.2 发包人提供的施工设备和临时设施</w:t>
      </w:r>
      <w:bookmarkEnd w:id="273"/>
    </w:p>
    <w:p>
      <w:pPr>
        <w:spacing w:line="490" w:lineRule="exact"/>
        <w:ind w:firstLine="420" w:firstLineChars="200"/>
        <w:rPr>
          <w:kern w:val="0"/>
          <w:szCs w:val="21"/>
          <w:highlight w:val="none"/>
        </w:rPr>
      </w:pPr>
      <w:r>
        <w:rPr>
          <w:kern w:val="0"/>
          <w:szCs w:val="21"/>
          <w:highlight w:val="none"/>
        </w:rPr>
        <w:t>发包人提供的施工设备或临时设施在专用合同条款中约定。</w:t>
      </w:r>
    </w:p>
    <w:p>
      <w:pPr>
        <w:spacing w:line="490" w:lineRule="exact"/>
        <w:ind w:firstLine="422" w:firstLineChars="200"/>
        <w:outlineLvl w:val="3"/>
        <w:rPr>
          <w:b/>
          <w:bCs/>
          <w:kern w:val="0"/>
          <w:szCs w:val="21"/>
          <w:highlight w:val="none"/>
        </w:rPr>
      </w:pPr>
      <w:bookmarkStart w:id="274" w:name="_Toc189386151"/>
      <w:r>
        <w:rPr>
          <w:b/>
          <w:bCs/>
          <w:kern w:val="0"/>
          <w:szCs w:val="21"/>
          <w:highlight w:val="none"/>
        </w:rPr>
        <w:t>6.3 要求承包人增加或更换施工设备</w:t>
      </w:r>
      <w:bookmarkEnd w:id="274"/>
    </w:p>
    <w:p>
      <w:pPr>
        <w:spacing w:line="490" w:lineRule="exact"/>
        <w:ind w:firstLine="420" w:firstLineChars="200"/>
        <w:rPr>
          <w:kern w:val="0"/>
          <w:szCs w:val="21"/>
          <w:highlight w:val="none"/>
        </w:rPr>
      </w:pPr>
      <w:r>
        <w:rPr>
          <w:kern w:val="0"/>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pPr>
        <w:spacing w:line="490" w:lineRule="exact"/>
        <w:ind w:firstLine="422" w:firstLineChars="200"/>
        <w:outlineLvl w:val="3"/>
        <w:rPr>
          <w:b/>
          <w:bCs/>
          <w:kern w:val="0"/>
          <w:szCs w:val="21"/>
          <w:highlight w:val="none"/>
        </w:rPr>
      </w:pPr>
      <w:bookmarkStart w:id="275" w:name="_Toc189386152"/>
      <w:r>
        <w:rPr>
          <w:b/>
          <w:bCs/>
          <w:kern w:val="0"/>
          <w:szCs w:val="21"/>
          <w:highlight w:val="none"/>
        </w:rPr>
        <w:t>6.4 施工设备和临时设施专用于合同工程</w:t>
      </w:r>
      <w:bookmarkEnd w:id="275"/>
    </w:p>
    <w:p>
      <w:pPr>
        <w:spacing w:line="490" w:lineRule="exact"/>
        <w:ind w:firstLine="420" w:firstLineChars="200"/>
        <w:rPr>
          <w:kern w:val="0"/>
          <w:szCs w:val="21"/>
          <w:highlight w:val="none"/>
        </w:rPr>
      </w:pPr>
      <w:r>
        <w:rPr>
          <w:kern w:val="0"/>
          <w:szCs w:val="21"/>
          <w:highlight w:val="none"/>
        </w:rPr>
        <w:t>6.4.1 除合同另有约定外，运入施工场地的所有施工设备以及在施工场地建设的临时设施应专用于合同工程。未经监理人同意，不得将上述施工设备和临时设施中的任何部分运出施工场地或挪作他用。</w:t>
      </w:r>
    </w:p>
    <w:p>
      <w:pPr>
        <w:spacing w:line="490" w:lineRule="exact"/>
        <w:ind w:firstLine="420" w:firstLineChars="200"/>
        <w:rPr>
          <w:kern w:val="0"/>
          <w:szCs w:val="21"/>
          <w:highlight w:val="none"/>
        </w:rPr>
      </w:pPr>
      <w:r>
        <w:rPr>
          <w:kern w:val="0"/>
          <w:szCs w:val="21"/>
          <w:highlight w:val="none"/>
        </w:rPr>
        <w:t>6.4.2 经监理人同意，承包人可根据合同进度计划撤走闲置的施工设备。</w:t>
      </w:r>
    </w:p>
    <w:p>
      <w:pPr>
        <w:pStyle w:val="5"/>
        <w:keepNext w:val="0"/>
        <w:keepLines w:val="0"/>
        <w:spacing w:before="0" w:after="0" w:line="490" w:lineRule="exact"/>
        <w:ind w:firstLine="422" w:firstLineChars="200"/>
        <w:rPr>
          <w:bCs w:val="0"/>
          <w:color w:val="auto"/>
          <w:sz w:val="21"/>
          <w:szCs w:val="21"/>
          <w:highlight w:val="none"/>
        </w:rPr>
      </w:pPr>
      <w:bookmarkStart w:id="276" w:name="_Toc189386153"/>
      <w:bookmarkStart w:id="277" w:name="_Toc26221"/>
      <w:bookmarkStart w:id="278" w:name="_Toc19298"/>
      <w:r>
        <w:rPr>
          <w:bCs w:val="0"/>
          <w:color w:val="auto"/>
          <w:sz w:val="21"/>
          <w:szCs w:val="21"/>
          <w:highlight w:val="none"/>
        </w:rPr>
        <w:t>7</w:t>
      </w:r>
      <w:r>
        <w:rPr>
          <w:rFonts w:hint="eastAsia"/>
          <w:bCs w:val="0"/>
          <w:color w:val="auto"/>
          <w:sz w:val="21"/>
          <w:szCs w:val="21"/>
          <w:highlight w:val="none"/>
        </w:rPr>
        <w:t>.</w:t>
      </w:r>
      <w:r>
        <w:rPr>
          <w:bCs w:val="0"/>
          <w:color w:val="auto"/>
          <w:sz w:val="21"/>
          <w:szCs w:val="21"/>
          <w:highlight w:val="none"/>
        </w:rPr>
        <w:t>交通运输</w:t>
      </w:r>
      <w:bookmarkEnd w:id="276"/>
      <w:bookmarkEnd w:id="277"/>
      <w:bookmarkEnd w:id="278"/>
    </w:p>
    <w:p>
      <w:pPr>
        <w:spacing w:line="490" w:lineRule="exact"/>
        <w:ind w:firstLine="422" w:firstLineChars="200"/>
        <w:outlineLvl w:val="3"/>
        <w:rPr>
          <w:b/>
          <w:bCs/>
          <w:kern w:val="0"/>
          <w:szCs w:val="21"/>
          <w:highlight w:val="none"/>
        </w:rPr>
      </w:pPr>
      <w:bookmarkStart w:id="279" w:name="_Toc189386154"/>
      <w:r>
        <w:rPr>
          <w:b/>
          <w:bCs/>
          <w:kern w:val="0"/>
          <w:szCs w:val="21"/>
          <w:highlight w:val="none"/>
        </w:rPr>
        <w:t>7.1道路通行权和场外设施</w:t>
      </w:r>
      <w:bookmarkEnd w:id="279"/>
    </w:p>
    <w:p>
      <w:pPr>
        <w:spacing w:line="490" w:lineRule="exact"/>
        <w:ind w:firstLine="420" w:firstLineChars="200"/>
        <w:rPr>
          <w:kern w:val="0"/>
          <w:szCs w:val="21"/>
          <w:highlight w:val="none"/>
        </w:rPr>
      </w:pPr>
      <w:r>
        <w:rPr>
          <w:kern w:val="0"/>
          <w:szCs w:val="21"/>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pPr>
        <w:spacing w:line="490" w:lineRule="exact"/>
        <w:ind w:firstLine="422" w:firstLineChars="200"/>
        <w:outlineLvl w:val="3"/>
        <w:rPr>
          <w:b/>
          <w:bCs/>
          <w:kern w:val="0"/>
          <w:szCs w:val="21"/>
          <w:highlight w:val="none"/>
        </w:rPr>
      </w:pPr>
      <w:bookmarkStart w:id="280" w:name="_Toc511317340"/>
      <w:bookmarkStart w:id="281" w:name="_Toc189386155"/>
      <w:bookmarkStart w:id="282" w:name="_Toc511318089"/>
      <w:r>
        <w:rPr>
          <w:b/>
          <w:bCs/>
          <w:kern w:val="0"/>
          <w:szCs w:val="21"/>
          <w:highlight w:val="none"/>
        </w:rPr>
        <w:t>7.2 场内施工道路</w:t>
      </w:r>
      <w:bookmarkEnd w:id="280"/>
      <w:bookmarkEnd w:id="281"/>
      <w:bookmarkEnd w:id="282"/>
    </w:p>
    <w:p>
      <w:pPr>
        <w:spacing w:line="490" w:lineRule="exact"/>
        <w:ind w:firstLine="420" w:firstLineChars="200"/>
        <w:rPr>
          <w:kern w:val="0"/>
          <w:szCs w:val="21"/>
          <w:highlight w:val="none"/>
        </w:rPr>
      </w:pPr>
      <w:r>
        <w:rPr>
          <w:kern w:val="0"/>
          <w:szCs w:val="21"/>
          <w:highlight w:val="none"/>
        </w:rPr>
        <w:t>7.2.1 除本合同约定由发包人提供的部分道路和交通设施外，承包人应负责修建、维修、养护和管理其施工所需的全部临时道路和交通设施（包括合同约定由发包人提供的部分道路和交通设施的维修、养护和管理），并承担相应费用。</w:t>
      </w:r>
    </w:p>
    <w:p>
      <w:pPr>
        <w:spacing w:line="490" w:lineRule="exact"/>
        <w:ind w:firstLine="420" w:firstLineChars="200"/>
        <w:rPr>
          <w:kern w:val="0"/>
          <w:szCs w:val="21"/>
          <w:highlight w:val="none"/>
        </w:rPr>
      </w:pPr>
      <w:r>
        <w:rPr>
          <w:kern w:val="0"/>
          <w:szCs w:val="21"/>
          <w:highlight w:val="none"/>
        </w:rPr>
        <w:t>7.2.2 承包人修建的临时道路和交通设施，应免费提供发包人、监理人以及与本合同有关的其他承包人使用。</w:t>
      </w:r>
    </w:p>
    <w:p>
      <w:pPr>
        <w:spacing w:line="490" w:lineRule="exact"/>
        <w:ind w:firstLine="422" w:firstLineChars="200"/>
        <w:outlineLvl w:val="3"/>
        <w:rPr>
          <w:b/>
          <w:bCs/>
          <w:kern w:val="0"/>
          <w:szCs w:val="21"/>
          <w:highlight w:val="none"/>
        </w:rPr>
      </w:pPr>
      <w:bookmarkStart w:id="283" w:name="_Toc189386156"/>
      <w:bookmarkStart w:id="284" w:name="_Toc511317341"/>
      <w:bookmarkStart w:id="285" w:name="_Toc511318090"/>
      <w:r>
        <w:rPr>
          <w:b/>
          <w:bCs/>
          <w:kern w:val="0"/>
          <w:szCs w:val="21"/>
          <w:highlight w:val="none"/>
        </w:rPr>
        <w:t>7.3 场外交通</w:t>
      </w:r>
      <w:bookmarkEnd w:id="283"/>
      <w:bookmarkEnd w:id="284"/>
      <w:bookmarkEnd w:id="285"/>
    </w:p>
    <w:p>
      <w:pPr>
        <w:spacing w:line="490" w:lineRule="exact"/>
        <w:ind w:firstLine="420" w:firstLineChars="200"/>
        <w:rPr>
          <w:kern w:val="0"/>
          <w:szCs w:val="21"/>
          <w:highlight w:val="none"/>
        </w:rPr>
      </w:pPr>
      <w:r>
        <w:rPr>
          <w:kern w:val="0"/>
          <w:szCs w:val="21"/>
          <w:highlight w:val="none"/>
        </w:rPr>
        <w:t>7.3.1 承包人车辆外出行驶所需的场外公共道路的通行费、养路费和税款等由承包人承担。</w:t>
      </w:r>
    </w:p>
    <w:p>
      <w:pPr>
        <w:spacing w:line="490" w:lineRule="exact"/>
        <w:ind w:firstLine="420" w:firstLineChars="200"/>
        <w:rPr>
          <w:kern w:val="0"/>
          <w:szCs w:val="21"/>
          <w:highlight w:val="none"/>
        </w:rPr>
      </w:pPr>
      <w:r>
        <w:rPr>
          <w:kern w:val="0"/>
          <w:szCs w:val="21"/>
          <w:highlight w:val="none"/>
        </w:rPr>
        <w:t>7.3.2 承包人应遵守有关交通法规，严格按照道路和桥梁的限制荷重安全行驶，并服从交通管理部门的检查和监督。</w:t>
      </w:r>
    </w:p>
    <w:p>
      <w:pPr>
        <w:spacing w:line="490" w:lineRule="exact"/>
        <w:ind w:firstLine="422" w:firstLineChars="200"/>
        <w:outlineLvl w:val="3"/>
        <w:rPr>
          <w:b/>
          <w:bCs/>
          <w:kern w:val="0"/>
          <w:szCs w:val="21"/>
          <w:highlight w:val="none"/>
        </w:rPr>
      </w:pPr>
      <w:bookmarkStart w:id="286" w:name="_Toc189386157"/>
      <w:bookmarkStart w:id="287" w:name="_Toc511317342"/>
      <w:bookmarkStart w:id="288" w:name="_Toc511318091"/>
      <w:r>
        <w:rPr>
          <w:b/>
          <w:bCs/>
          <w:kern w:val="0"/>
          <w:szCs w:val="21"/>
          <w:highlight w:val="none"/>
        </w:rPr>
        <w:t>7.4 超大件和超重件的运输</w:t>
      </w:r>
      <w:bookmarkEnd w:id="286"/>
      <w:bookmarkEnd w:id="287"/>
      <w:bookmarkEnd w:id="288"/>
    </w:p>
    <w:p>
      <w:pPr>
        <w:spacing w:line="490" w:lineRule="exact"/>
        <w:ind w:firstLine="420" w:firstLineChars="200"/>
        <w:rPr>
          <w:kern w:val="0"/>
          <w:szCs w:val="21"/>
          <w:highlight w:val="none"/>
        </w:rPr>
      </w:pPr>
      <w:r>
        <w:rPr>
          <w:kern w:val="0"/>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490" w:lineRule="exact"/>
        <w:ind w:firstLine="422" w:firstLineChars="200"/>
        <w:outlineLvl w:val="3"/>
        <w:rPr>
          <w:b/>
          <w:bCs/>
          <w:kern w:val="0"/>
          <w:szCs w:val="21"/>
          <w:highlight w:val="none"/>
        </w:rPr>
      </w:pPr>
      <w:bookmarkStart w:id="289" w:name="_Toc511317343"/>
      <w:bookmarkStart w:id="290" w:name="_Toc511318092"/>
      <w:bookmarkStart w:id="291" w:name="_Toc189386158"/>
      <w:r>
        <w:rPr>
          <w:b/>
          <w:bCs/>
          <w:kern w:val="0"/>
          <w:szCs w:val="21"/>
          <w:highlight w:val="none"/>
        </w:rPr>
        <w:t>7.5 道路和桥梁的损坏责任</w:t>
      </w:r>
      <w:bookmarkEnd w:id="289"/>
      <w:bookmarkEnd w:id="290"/>
      <w:bookmarkEnd w:id="291"/>
    </w:p>
    <w:p>
      <w:pPr>
        <w:spacing w:line="490" w:lineRule="exact"/>
        <w:ind w:firstLine="420" w:firstLineChars="200"/>
        <w:rPr>
          <w:kern w:val="0"/>
          <w:szCs w:val="21"/>
          <w:highlight w:val="none"/>
        </w:rPr>
      </w:pPr>
      <w:r>
        <w:rPr>
          <w:kern w:val="0"/>
          <w:szCs w:val="21"/>
          <w:highlight w:val="none"/>
        </w:rPr>
        <w:t>因承包人运输造成施工场地内外公共道路和桥梁损坏的，由承包人承担修复损坏的全部费用和可能引起的赔偿。</w:t>
      </w:r>
    </w:p>
    <w:p>
      <w:pPr>
        <w:spacing w:line="490" w:lineRule="exact"/>
        <w:ind w:firstLine="422" w:firstLineChars="200"/>
        <w:outlineLvl w:val="3"/>
        <w:rPr>
          <w:b/>
          <w:bCs/>
          <w:kern w:val="0"/>
          <w:szCs w:val="21"/>
          <w:highlight w:val="none"/>
        </w:rPr>
      </w:pPr>
      <w:bookmarkStart w:id="292" w:name="_Toc511317344"/>
      <w:bookmarkStart w:id="293" w:name="_Toc189386159"/>
      <w:bookmarkStart w:id="294" w:name="_Toc511318093"/>
      <w:r>
        <w:rPr>
          <w:b/>
          <w:bCs/>
          <w:kern w:val="0"/>
          <w:szCs w:val="21"/>
          <w:highlight w:val="none"/>
        </w:rPr>
        <w:t>7.6 水路和航空运输</w:t>
      </w:r>
      <w:bookmarkEnd w:id="292"/>
      <w:bookmarkEnd w:id="293"/>
      <w:bookmarkEnd w:id="294"/>
    </w:p>
    <w:p>
      <w:pPr>
        <w:spacing w:line="490" w:lineRule="exact"/>
        <w:ind w:firstLine="420" w:firstLineChars="200"/>
        <w:rPr>
          <w:kern w:val="0"/>
          <w:szCs w:val="21"/>
          <w:highlight w:val="none"/>
        </w:rPr>
      </w:pPr>
      <w:r>
        <w:rPr>
          <w:kern w:val="0"/>
          <w:szCs w:val="21"/>
          <w:highlight w:val="none"/>
        </w:rPr>
        <w:t>本条上述各款的内容适用于水路运输和航空运输，其中</w:t>
      </w:r>
      <w:r>
        <w:rPr>
          <w:rFonts w:hint="eastAsia"/>
          <w:kern w:val="0"/>
          <w:szCs w:val="21"/>
          <w:highlight w:val="none"/>
        </w:rPr>
        <w:t>“</w:t>
      </w:r>
      <w:r>
        <w:rPr>
          <w:kern w:val="0"/>
          <w:szCs w:val="21"/>
          <w:highlight w:val="none"/>
        </w:rPr>
        <w:t>道路</w:t>
      </w:r>
      <w:r>
        <w:rPr>
          <w:rFonts w:hint="eastAsia"/>
          <w:kern w:val="0"/>
          <w:szCs w:val="21"/>
          <w:highlight w:val="none"/>
        </w:rPr>
        <w:t>”</w:t>
      </w:r>
      <w:r>
        <w:rPr>
          <w:kern w:val="0"/>
          <w:szCs w:val="21"/>
          <w:highlight w:val="none"/>
        </w:rPr>
        <w:t>一词的涵义包括河道、航线、船闸、机场、码头、堤防以及水路或航空运输中其他相似结构物；</w:t>
      </w:r>
      <w:r>
        <w:rPr>
          <w:rFonts w:hint="eastAsia"/>
          <w:kern w:val="0"/>
          <w:szCs w:val="21"/>
          <w:highlight w:val="none"/>
        </w:rPr>
        <w:t>“</w:t>
      </w:r>
      <w:r>
        <w:rPr>
          <w:kern w:val="0"/>
          <w:szCs w:val="21"/>
          <w:highlight w:val="none"/>
        </w:rPr>
        <w:t>车辆</w:t>
      </w:r>
      <w:r>
        <w:rPr>
          <w:rFonts w:hint="eastAsia"/>
          <w:kern w:val="0"/>
          <w:szCs w:val="21"/>
          <w:highlight w:val="none"/>
        </w:rPr>
        <w:t>”</w:t>
      </w:r>
      <w:r>
        <w:rPr>
          <w:kern w:val="0"/>
          <w:szCs w:val="21"/>
          <w:highlight w:val="none"/>
        </w:rPr>
        <w:t>一词的涵义包括船舶和飞机等。</w:t>
      </w:r>
    </w:p>
    <w:p>
      <w:pPr>
        <w:pStyle w:val="5"/>
        <w:keepNext w:val="0"/>
        <w:keepLines w:val="0"/>
        <w:spacing w:before="0" w:after="0" w:line="490" w:lineRule="exact"/>
        <w:ind w:firstLine="422" w:firstLineChars="200"/>
        <w:rPr>
          <w:bCs w:val="0"/>
          <w:color w:val="auto"/>
          <w:sz w:val="21"/>
          <w:szCs w:val="21"/>
          <w:highlight w:val="none"/>
        </w:rPr>
      </w:pPr>
      <w:bookmarkStart w:id="295" w:name="_Toc189386160"/>
      <w:bookmarkStart w:id="296" w:name="_Toc14529"/>
      <w:bookmarkStart w:id="297" w:name="_Toc19452"/>
      <w:r>
        <w:rPr>
          <w:bCs w:val="0"/>
          <w:color w:val="auto"/>
          <w:sz w:val="21"/>
          <w:szCs w:val="21"/>
          <w:highlight w:val="none"/>
        </w:rPr>
        <w:t>8</w:t>
      </w:r>
      <w:r>
        <w:rPr>
          <w:rFonts w:hint="eastAsia"/>
          <w:bCs w:val="0"/>
          <w:color w:val="auto"/>
          <w:sz w:val="21"/>
          <w:szCs w:val="21"/>
          <w:highlight w:val="none"/>
        </w:rPr>
        <w:t>.</w:t>
      </w:r>
      <w:r>
        <w:rPr>
          <w:bCs w:val="0"/>
          <w:color w:val="auto"/>
          <w:sz w:val="21"/>
          <w:szCs w:val="21"/>
          <w:highlight w:val="none"/>
        </w:rPr>
        <w:t>测量放线</w:t>
      </w:r>
      <w:bookmarkEnd w:id="295"/>
      <w:bookmarkEnd w:id="296"/>
      <w:bookmarkEnd w:id="297"/>
    </w:p>
    <w:p>
      <w:pPr>
        <w:spacing w:line="490" w:lineRule="exact"/>
        <w:ind w:firstLine="422" w:firstLineChars="200"/>
        <w:outlineLvl w:val="3"/>
        <w:rPr>
          <w:b/>
          <w:bCs/>
          <w:kern w:val="0"/>
          <w:szCs w:val="21"/>
          <w:highlight w:val="none"/>
        </w:rPr>
      </w:pPr>
      <w:bookmarkStart w:id="298" w:name="_Toc189386161"/>
      <w:r>
        <w:rPr>
          <w:b/>
          <w:bCs/>
          <w:kern w:val="0"/>
          <w:szCs w:val="21"/>
          <w:highlight w:val="none"/>
        </w:rPr>
        <w:t>8.1施工控制网</w:t>
      </w:r>
      <w:bookmarkEnd w:id="298"/>
    </w:p>
    <w:p>
      <w:pPr>
        <w:spacing w:line="490" w:lineRule="exact"/>
        <w:ind w:firstLine="420" w:firstLineChars="200"/>
        <w:rPr>
          <w:kern w:val="0"/>
          <w:szCs w:val="21"/>
          <w:highlight w:val="none"/>
        </w:rPr>
      </w:pPr>
      <w:r>
        <w:rPr>
          <w:kern w:val="0"/>
          <w:szCs w:val="21"/>
          <w:highlight w:val="none"/>
        </w:rPr>
        <w:t>8.1.1 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pPr>
        <w:spacing w:line="490" w:lineRule="exact"/>
        <w:ind w:firstLine="420" w:firstLineChars="200"/>
        <w:rPr>
          <w:kern w:val="0"/>
          <w:szCs w:val="21"/>
          <w:highlight w:val="none"/>
        </w:rPr>
      </w:pPr>
      <w:r>
        <w:rPr>
          <w:kern w:val="0"/>
          <w:szCs w:val="21"/>
          <w:highlight w:val="none"/>
        </w:rPr>
        <w:t>8.1.2 承包人应负责管理施工控制网点。施工控制网点丢失或损坏的，承包人应及时修复。承包人应承担施工控制网点的管理与修复费用，并在工程竣工后将施工控制网点移交发包人。</w:t>
      </w:r>
    </w:p>
    <w:p>
      <w:pPr>
        <w:spacing w:line="490" w:lineRule="exact"/>
        <w:ind w:firstLine="422" w:firstLineChars="200"/>
        <w:outlineLvl w:val="3"/>
        <w:rPr>
          <w:b/>
          <w:bCs/>
          <w:kern w:val="0"/>
          <w:szCs w:val="21"/>
          <w:highlight w:val="none"/>
        </w:rPr>
      </w:pPr>
      <w:bookmarkStart w:id="299" w:name="_Toc189386162"/>
      <w:r>
        <w:rPr>
          <w:b/>
          <w:bCs/>
          <w:kern w:val="0"/>
          <w:szCs w:val="21"/>
          <w:highlight w:val="none"/>
        </w:rPr>
        <w:t>8.2 施工测量</w:t>
      </w:r>
      <w:bookmarkEnd w:id="299"/>
    </w:p>
    <w:p>
      <w:pPr>
        <w:spacing w:line="490" w:lineRule="exact"/>
        <w:ind w:firstLine="420" w:firstLineChars="200"/>
        <w:rPr>
          <w:kern w:val="0"/>
          <w:szCs w:val="21"/>
          <w:highlight w:val="none"/>
        </w:rPr>
      </w:pPr>
      <w:r>
        <w:rPr>
          <w:kern w:val="0"/>
          <w:szCs w:val="21"/>
          <w:highlight w:val="none"/>
        </w:rPr>
        <w:t>8.2.1 承包人应负责施工过程中的全部施工测量放线工作，并配置合格的人员、仪器、设备和其他物品。</w:t>
      </w:r>
    </w:p>
    <w:p>
      <w:pPr>
        <w:spacing w:line="490" w:lineRule="exact"/>
        <w:ind w:firstLine="420" w:firstLineChars="200"/>
        <w:rPr>
          <w:kern w:val="0"/>
          <w:szCs w:val="21"/>
          <w:highlight w:val="none"/>
        </w:rPr>
      </w:pPr>
      <w:r>
        <w:rPr>
          <w:kern w:val="0"/>
          <w:szCs w:val="21"/>
          <w:highlight w:val="none"/>
        </w:rPr>
        <w:t>8.2.2 监理人可以指示承包人进行抽样复测，当复测中发现错误或出现超过合同约定的误差时，承包人应按监理人指示进行修正或补测，并承担相应的复测费用。</w:t>
      </w:r>
    </w:p>
    <w:p>
      <w:pPr>
        <w:spacing w:line="490" w:lineRule="exact"/>
        <w:ind w:firstLine="422" w:firstLineChars="200"/>
        <w:outlineLvl w:val="3"/>
        <w:rPr>
          <w:b/>
          <w:bCs/>
          <w:kern w:val="0"/>
          <w:szCs w:val="21"/>
          <w:highlight w:val="none"/>
        </w:rPr>
      </w:pPr>
      <w:bookmarkStart w:id="300" w:name="_Toc189386163"/>
      <w:r>
        <w:rPr>
          <w:b/>
          <w:bCs/>
          <w:kern w:val="0"/>
          <w:szCs w:val="21"/>
          <w:highlight w:val="none"/>
        </w:rPr>
        <w:t>8.3 基准资料错误的责任</w:t>
      </w:r>
      <w:bookmarkEnd w:id="300"/>
    </w:p>
    <w:p>
      <w:pPr>
        <w:spacing w:line="490" w:lineRule="exact"/>
        <w:ind w:firstLine="420" w:firstLineChars="200"/>
        <w:rPr>
          <w:kern w:val="0"/>
          <w:szCs w:val="21"/>
          <w:highlight w:val="none"/>
        </w:rPr>
      </w:pPr>
      <w:r>
        <w:rPr>
          <w:kern w:val="0"/>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spacing w:line="490" w:lineRule="exact"/>
        <w:ind w:firstLine="422" w:firstLineChars="200"/>
        <w:outlineLvl w:val="3"/>
        <w:rPr>
          <w:b/>
          <w:bCs/>
          <w:kern w:val="0"/>
          <w:szCs w:val="21"/>
          <w:highlight w:val="none"/>
        </w:rPr>
      </w:pPr>
      <w:bookmarkStart w:id="301" w:name="_Toc189386164"/>
      <w:r>
        <w:rPr>
          <w:b/>
          <w:bCs/>
          <w:kern w:val="0"/>
          <w:szCs w:val="21"/>
          <w:highlight w:val="none"/>
        </w:rPr>
        <w:t>8.4 监理人使用施工控制网</w:t>
      </w:r>
      <w:bookmarkEnd w:id="301"/>
    </w:p>
    <w:p>
      <w:pPr>
        <w:spacing w:line="490" w:lineRule="exact"/>
        <w:ind w:firstLine="420" w:firstLineChars="200"/>
        <w:rPr>
          <w:kern w:val="0"/>
          <w:szCs w:val="21"/>
          <w:highlight w:val="none"/>
        </w:rPr>
      </w:pPr>
      <w:r>
        <w:rPr>
          <w:kern w:val="0"/>
          <w:szCs w:val="21"/>
          <w:highlight w:val="none"/>
        </w:rPr>
        <w:t>监理人需要使用施工控制网的，承包人应提供必要的协助，发包人不再为此支付费用。</w:t>
      </w:r>
    </w:p>
    <w:p>
      <w:pPr>
        <w:spacing w:line="490" w:lineRule="exact"/>
        <w:ind w:firstLine="422" w:firstLineChars="200"/>
        <w:outlineLvl w:val="3"/>
        <w:rPr>
          <w:b/>
          <w:bCs/>
          <w:kern w:val="0"/>
          <w:szCs w:val="21"/>
          <w:highlight w:val="none"/>
        </w:rPr>
      </w:pPr>
      <w:r>
        <w:rPr>
          <w:b/>
          <w:bCs/>
          <w:kern w:val="0"/>
          <w:szCs w:val="21"/>
          <w:highlight w:val="none"/>
        </w:rPr>
        <w:t>8.5 补充地质勘探</w:t>
      </w:r>
    </w:p>
    <w:p>
      <w:pPr>
        <w:spacing w:line="490" w:lineRule="exact"/>
        <w:ind w:firstLine="420" w:firstLineChars="200"/>
        <w:rPr>
          <w:kern w:val="0"/>
          <w:szCs w:val="21"/>
          <w:highlight w:val="none"/>
        </w:rPr>
      </w:pPr>
      <w:r>
        <w:rPr>
          <w:kern w:val="0"/>
          <w:szCs w:val="21"/>
          <w:highlight w:val="none"/>
        </w:rPr>
        <w:t>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p>
    <w:p>
      <w:pPr>
        <w:pStyle w:val="5"/>
        <w:keepNext w:val="0"/>
        <w:keepLines w:val="0"/>
        <w:spacing w:before="0" w:after="0" w:line="490" w:lineRule="exact"/>
        <w:ind w:firstLine="422" w:firstLineChars="200"/>
        <w:rPr>
          <w:bCs w:val="0"/>
          <w:color w:val="auto"/>
          <w:sz w:val="21"/>
          <w:szCs w:val="21"/>
          <w:highlight w:val="none"/>
        </w:rPr>
      </w:pPr>
      <w:bookmarkStart w:id="302" w:name="_Toc21002"/>
      <w:bookmarkStart w:id="303" w:name="_Toc189386165"/>
      <w:bookmarkStart w:id="304" w:name="_Toc9278"/>
      <w:r>
        <w:rPr>
          <w:bCs w:val="0"/>
          <w:color w:val="auto"/>
          <w:sz w:val="21"/>
          <w:szCs w:val="21"/>
          <w:highlight w:val="none"/>
        </w:rPr>
        <w:t>9</w:t>
      </w:r>
      <w:r>
        <w:rPr>
          <w:rFonts w:hint="eastAsia"/>
          <w:bCs w:val="0"/>
          <w:color w:val="auto"/>
          <w:sz w:val="21"/>
          <w:szCs w:val="21"/>
          <w:highlight w:val="none"/>
        </w:rPr>
        <w:t>.</w:t>
      </w:r>
      <w:r>
        <w:rPr>
          <w:bCs w:val="0"/>
          <w:color w:val="auto"/>
          <w:sz w:val="21"/>
          <w:szCs w:val="21"/>
          <w:highlight w:val="none"/>
        </w:rPr>
        <w:t>施工安全、治安保卫和环境保护</w:t>
      </w:r>
      <w:bookmarkEnd w:id="302"/>
      <w:bookmarkEnd w:id="303"/>
      <w:bookmarkEnd w:id="304"/>
    </w:p>
    <w:p>
      <w:pPr>
        <w:spacing w:line="490" w:lineRule="exact"/>
        <w:ind w:firstLine="422" w:firstLineChars="200"/>
        <w:outlineLvl w:val="3"/>
        <w:rPr>
          <w:b/>
          <w:bCs/>
          <w:kern w:val="0"/>
          <w:szCs w:val="21"/>
          <w:highlight w:val="none"/>
        </w:rPr>
      </w:pPr>
      <w:bookmarkStart w:id="305" w:name="_Toc189386166"/>
      <w:r>
        <w:rPr>
          <w:b/>
          <w:bCs/>
          <w:kern w:val="0"/>
          <w:szCs w:val="21"/>
          <w:highlight w:val="none"/>
        </w:rPr>
        <w:t>9.1发包人的施工安全责任</w:t>
      </w:r>
      <w:bookmarkEnd w:id="305"/>
    </w:p>
    <w:p>
      <w:pPr>
        <w:spacing w:line="490" w:lineRule="exact"/>
        <w:ind w:firstLine="420" w:firstLineChars="200"/>
        <w:rPr>
          <w:kern w:val="0"/>
          <w:szCs w:val="21"/>
          <w:highlight w:val="none"/>
        </w:rPr>
      </w:pPr>
      <w:r>
        <w:rPr>
          <w:kern w:val="0"/>
          <w:szCs w:val="21"/>
          <w:highlight w:val="none"/>
        </w:rPr>
        <w:t>9.1.1 发包人应按合同约定履行安全职责。发包人委托监理人根据国家有关安全的法律、法规、强制性标准以及部门规章，对承包人的安全责任履行情况进行监督和检查。监理人的监督检查不减轻承包人应负的安全责任。</w:t>
      </w:r>
    </w:p>
    <w:p>
      <w:pPr>
        <w:spacing w:line="490" w:lineRule="exact"/>
        <w:ind w:firstLine="420" w:firstLineChars="200"/>
        <w:rPr>
          <w:kern w:val="0"/>
          <w:szCs w:val="21"/>
          <w:highlight w:val="none"/>
        </w:rPr>
      </w:pPr>
      <w:r>
        <w:rPr>
          <w:kern w:val="0"/>
          <w:szCs w:val="21"/>
          <w:highlight w:val="none"/>
        </w:rPr>
        <w:t>9.1.2 发包人应对其现场机构雇佣的全部人员的工伤事故承担责任，但由于承包人原因造成发包人人员工伤的，应由承包人承担责任。</w:t>
      </w:r>
    </w:p>
    <w:p>
      <w:pPr>
        <w:spacing w:line="490" w:lineRule="exact"/>
        <w:ind w:firstLine="420" w:firstLineChars="200"/>
        <w:rPr>
          <w:kern w:val="0"/>
          <w:szCs w:val="21"/>
          <w:highlight w:val="none"/>
        </w:rPr>
      </w:pPr>
      <w:r>
        <w:rPr>
          <w:kern w:val="0"/>
          <w:szCs w:val="21"/>
          <w:highlight w:val="none"/>
        </w:rPr>
        <w:t>9.1.3 发包人应负责赔偿以下各种情况造成的第三者人身伤亡和财产损失：</w:t>
      </w:r>
    </w:p>
    <w:p>
      <w:pPr>
        <w:spacing w:line="490" w:lineRule="exact"/>
        <w:ind w:firstLine="420" w:firstLineChars="200"/>
        <w:rPr>
          <w:kern w:val="0"/>
          <w:szCs w:val="21"/>
          <w:highlight w:val="none"/>
        </w:rPr>
      </w:pPr>
      <w:r>
        <w:rPr>
          <w:kern w:val="0"/>
          <w:szCs w:val="21"/>
          <w:highlight w:val="none"/>
        </w:rPr>
        <w:t>（1）工程或工程的任何部分对土地的占用所造成的第三者财产损失；</w:t>
      </w:r>
    </w:p>
    <w:p>
      <w:pPr>
        <w:spacing w:line="490" w:lineRule="exact"/>
        <w:ind w:firstLine="420" w:firstLineChars="200"/>
        <w:rPr>
          <w:kern w:val="0"/>
          <w:szCs w:val="21"/>
          <w:highlight w:val="none"/>
        </w:rPr>
      </w:pPr>
      <w:r>
        <w:rPr>
          <w:kern w:val="0"/>
          <w:szCs w:val="21"/>
          <w:highlight w:val="none"/>
        </w:rPr>
        <w:t>（2）由于发包人原因在施工场地及其毗邻地带造成的第三者人身伤亡和财产损失。</w:t>
      </w:r>
    </w:p>
    <w:p>
      <w:pPr>
        <w:spacing w:line="490" w:lineRule="exact"/>
        <w:ind w:firstLine="420" w:firstLineChars="200"/>
        <w:rPr>
          <w:kern w:val="0"/>
          <w:szCs w:val="21"/>
          <w:highlight w:val="none"/>
        </w:rPr>
      </w:pPr>
      <w:r>
        <w:rPr>
          <w:kern w:val="0"/>
          <w:szCs w:val="21"/>
          <w:highlight w:val="none"/>
        </w:rPr>
        <w:t>9.1.4 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pPr>
        <w:spacing w:line="490" w:lineRule="exact"/>
        <w:ind w:firstLine="420" w:firstLineChars="200"/>
        <w:rPr>
          <w:kern w:val="0"/>
          <w:szCs w:val="21"/>
          <w:highlight w:val="none"/>
        </w:rPr>
      </w:pPr>
      <w:r>
        <w:rPr>
          <w:kern w:val="0"/>
          <w:szCs w:val="21"/>
          <w:highlight w:val="none"/>
        </w:rPr>
        <w:t>9.1.5 发包人按照已标价工程量清单所列金额和合同约定的计量支付规定，支付安全作业环境及安全施工措施所需费用。</w:t>
      </w:r>
    </w:p>
    <w:p>
      <w:pPr>
        <w:spacing w:line="490" w:lineRule="exact"/>
        <w:ind w:firstLine="420" w:firstLineChars="200"/>
        <w:rPr>
          <w:kern w:val="0"/>
          <w:szCs w:val="21"/>
          <w:highlight w:val="none"/>
        </w:rPr>
      </w:pPr>
      <w:r>
        <w:rPr>
          <w:kern w:val="0"/>
          <w:szCs w:val="21"/>
          <w:highlight w:val="none"/>
        </w:rPr>
        <w:t>9.1.6 发包人负责组织工程参建单位编制保证安全生产的措施方案。工程开工前，就落实保证安全生产的措施进行全面系统的布置，进一步明确承包人的安全生产责任。</w:t>
      </w:r>
    </w:p>
    <w:p>
      <w:pPr>
        <w:spacing w:line="490" w:lineRule="exact"/>
        <w:ind w:firstLine="420" w:firstLineChars="200"/>
        <w:rPr>
          <w:kern w:val="0"/>
          <w:szCs w:val="21"/>
          <w:highlight w:val="none"/>
        </w:rPr>
      </w:pPr>
      <w:r>
        <w:rPr>
          <w:kern w:val="0"/>
          <w:szCs w:val="21"/>
          <w:highlight w:val="none"/>
        </w:rPr>
        <w:t>9.1.7 发包人负责在拆除工程和爆破工程施工14天前向有关部门或机构报送相关备案资料。</w:t>
      </w:r>
    </w:p>
    <w:p>
      <w:pPr>
        <w:spacing w:line="490" w:lineRule="exact"/>
        <w:ind w:firstLine="422" w:firstLineChars="200"/>
        <w:outlineLvl w:val="3"/>
        <w:rPr>
          <w:b/>
          <w:bCs/>
          <w:kern w:val="0"/>
          <w:szCs w:val="21"/>
          <w:highlight w:val="none"/>
        </w:rPr>
      </w:pPr>
      <w:bookmarkStart w:id="306" w:name="_Toc189386167"/>
      <w:bookmarkStart w:id="307" w:name="_Toc511318096"/>
      <w:bookmarkStart w:id="308" w:name="_Toc511317347"/>
      <w:r>
        <w:rPr>
          <w:b/>
          <w:bCs/>
          <w:kern w:val="0"/>
          <w:szCs w:val="21"/>
          <w:highlight w:val="none"/>
        </w:rPr>
        <w:t>9.2 承包人的施工安全责任</w:t>
      </w:r>
      <w:bookmarkEnd w:id="306"/>
      <w:bookmarkEnd w:id="307"/>
      <w:bookmarkEnd w:id="308"/>
    </w:p>
    <w:p>
      <w:pPr>
        <w:spacing w:line="490" w:lineRule="exact"/>
        <w:ind w:firstLine="420" w:firstLineChars="200"/>
        <w:rPr>
          <w:kern w:val="0"/>
          <w:szCs w:val="21"/>
          <w:highlight w:val="none"/>
        </w:rPr>
      </w:pPr>
      <w:r>
        <w:rPr>
          <w:kern w:val="0"/>
          <w:szCs w:val="21"/>
          <w:highlight w:val="none"/>
        </w:rPr>
        <w:t>9.2.1 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pPr>
        <w:spacing w:line="490" w:lineRule="exact"/>
        <w:ind w:firstLine="420" w:firstLineChars="200"/>
        <w:rPr>
          <w:kern w:val="0"/>
          <w:szCs w:val="21"/>
          <w:highlight w:val="none"/>
        </w:rPr>
      </w:pPr>
      <w:r>
        <w:rPr>
          <w:kern w:val="0"/>
          <w:szCs w:val="21"/>
          <w:highlight w:val="none"/>
        </w:rPr>
        <w:t>9.2.2 承包人应加强施工作业安全管理，特别应加强易燃、易爆材料、火工器材、有毒与腐蚀性材料和其他危险品的管理，以及对爆破作业和地下工程施工等危险作业的管理。</w:t>
      </w:r>
    </w:p>
    <w:p>
      <w:pPr>
        <w:spacing w:line="490" w:lineRule="exact"/>
        <w:ind w:firstLine="420" w:firstLineChars="200"/>
        <w:rPr>
          <w:kern w:val="0"/>
          <w:szCs w:val="21"/>
          <w:highlight w:val="none"/>
        </w:rPr>
      </w:pPr>
      <w:r>
        <w:rPr>
          <w:kern w:val="0"/>
          <w:szCs w:val="21"/>
          <w:highlight w:val="none"/>
        </w:rPr>
        <w:t>9.2.3 承包人应严格按照国家安全标准制定施工安全操作规程，配备必要的安全生产和劳动保护设施，加强对承包人人员的安全教育，并发放安全工作手册和劳动保护用具。</w:t>
      </w:r>
    </w:p>
    <w:p>
      <w:pPr>
        <w:spacing w:line="490" w:lineRule="exact"/>
        <w:ind w:firstLine="420" w:firstLineChars="200"/>
        <w:rPr>
          <w:kern w:val="0"/>
          <w:szCs w:val="21"/>
          <w:highlight w:val="none"/>
        </w:rPr>
      </w:pPr>
      <w:r>
        <w:rPr>
          <w:kern w:val="0"/>
          <w:szCs w:val="21"/>
          <w:highlight w:val="none"/>
        </w:rPr>
        <w:t>9.2.4 承包人应按监理人的指示制定应对灾害的紧急预案，报送监理人审批。承包人还应按预案做好安全检查，配置必要的救助物资和器材，切实保护好有关人员的人身和财产安全。</w:t>
      </w:r>
    </w:p>
    <w:p>
      <w:pPr>
        <w:spacing w:line="490" w:lineRule="exact"/>
        <w:ind w:firstLine="420" w:firstLineChars="200"/>
        <w:rPr>
          <w:kern w:val="0"/>
          <w:szCs w:val="21"/>
          <w:highlight w:val="none"/>
        </w:rPr>
      </w:pPr>
      <w:r>
        <w:rPr>
          <w:kern w:val="0"/>
          <w:szCs w:val="21"/>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pPr>
        <w:spacing w:line="490" w:lineRule="exact"/>
        <w:ind w:firstLine="420" w:firstLineChars="200"/>
        <w:rPr>
          <w:kern w:val="0"/>
          <w:szCs w:val="21"/>
          <w:highlight w:val="none"/>
        </w:rPr>
      </w:pPr>
      <w:r>
        <w:rPr>
          <w:kern w:val="0"/>
          <w:szCs w:val="21"/>
          <w:highlight w:val="none"/>
        </w:rPr>
        <w:t>9.2.6 承包人应对其履行合同所雇佣的全部人员，包括分包人人员的工伤事故承担责任，但由于发包人原因造成承包人人员工伤事故的，应由发包人承担责任。</w:t>
      </w:r>
    </w:p>
    <w:p>
      <w:pPr>
        <w:spacing w:line="490" w:lineRule="exact"/>
        <w:ind w:firstLine="420" w:firstLineChars="200"/>
        <w:rPr>
          <w:kern w:val="0"/>
          <w:szCs w:val="21"/>
          <w:highlight w:val="none"/>
        </w:rPr>
      </w:pPr>
      <w:r>
        <w:rPr>
          <w:kern w:val="0"/>
          <w:szCs w:val="21"/>
          <w:highlight w:val="none"/>
        </w:rPr>
        <w:t>9.2.7 由于承包人原因在施工场地内及其毗邻地带造成的第三者人员伤亡和财产损失，由承包人负责赔偿。</w:t>
      </w:r>
    </w:p>
    <w:p>
      <w:pPr>
        <w:spacing w:line="490" w:lineRule="exact"/>
        <w:ind w:firstLine="420" w:firstLineChars="200"/>
        <w:rPr>
          <w:kern w:val="0"/>
          <w:szCs w:val="21"/>
          <w:highlight w:val="none"/>
        </w:rPr>
      </w:pPr>
      <w:r>
        <w:rPr>
          <w:kern w:val="0"/>
          <w:szCs w:val="21"/>
          <w:highlight w:val="none"/>
        </w:rPr>
        <w:t>9.2.8 承包人已标价工程量清单应包含工程安全作业环境及安全施工措施所需费用。</w:t>
      </w:r>
    </w:p>
    <w:p>
      <w:pPr>
        <w:spacing w:line="490" w:lineRule="exact"/>
        <w:ind w:firstLine="420" w:firstLineChars="200"/>
        <w:rPr>
          <w:kern w:val="0"/>
          <w:szCs w:val="21"/>
          <w:highlight w:val="none"/>
        </w:rPr>
      </w:pPr>
      <w:r>
        <w:rPr>
          <w:kern w:val="0"/>
          <w:szCs w:val="21"/>
          <w:highlight w:val="none"/>
        </w:rPr>
        <w:t>9.2.9 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pPr>
        <w:spacing w:line="490" w:lineRule="exact"/>
        <w:ind w:firstLine="420" w:firstLineChars="200"/>
        <w:rPr>
          <w:kern w:val="0"/>
          <w:szCs w:val="21"/>
          <w:highlight w:val="none"/>
        </w:rPr>
      </w:pPr>
      <w:r>
        <w:rPr>
          <w:kern w:val="0"/>
          <w:szCs w:val="21"/>
          <w:highlight w:val="none"/>
        </w:rPr>
        <w:t>9.2.10 承包人应设立安全生产管理机构，施工现场应有专职安全生产管理人员。</w:t>
      </w:r>
    </w:p>
    <w:p>
      <w:pPr>
        <w:spacing w:line="490" w:lineRule="exact"/>
        <w:ind w:firstLine="420" w:firstLineChars="200"/>
        <w:rPr>
          <w:kern w:val="0"/>
          <w:szCs w:val="21"/>
          <w:highlight w:val="none"/>
        </w:rPr>
      </w:pPr>
      <w:r>
        <w:rPr>
          <w:kern w:val="0"/>
          <w:szCs w:val="21"/>
          <w:highlight w:val="none"/>
        </w:rPr>
        <w:t>9.2.11 承包人应负责对特种作业人员进行专门的安全作业培训，并保证特种作业人员持证上岗。</w:t>
      </w:r>
    </w:p>
    <w:p>
      <w:pPr>
        <w:spacing w:line="490" w:lineRule="exact"/>
        <w:ind w:firstLine="420" w:firstLineChars="200"/>
        <w:rPr>
          <w:kern w:val="0"/>
          <w:szCs w:val="21"/>
          <w:highlight w:val="none"/>
        </w:rPr>
      </w:pPr>
      <w:r>
        <w:rPr>
          <w:kern w:val="0"/>
          <w:szCs w:val="21"/>
          <w:highlight w:val="none"/>
        </w:rPr>
        <w:t>9.2.12 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pPr>
        <w:spacing w:line="490" w:lineRule="exact"/>
        <w:ind w:firstLine="420" w:firstLineChars="200"/>
        <w:rPr>
          <w:kern w:val="0"/>
          <w:szCs w:val="21"/>
          <w:highlight w:val="none"/>
        </w:rPr>
      </w:pPr>
      <w:r>
        <w:rPr>
          <w:kern w:val="0"/>
          <w:szCs w:val="21"/>
          <w:highlight w:val="none"/>
        </w:rPr>
        <w:t>9.2.13 承包人在使用施工起重机械和整体提升脚手架、模板等自升式架设设施前，应组织有关单位进行验收。</w:t>
      </w:r>
    </w:p>
    <w:p>
      <w:pPr>
        <w:spacing w:line="490" w:lineRule="exact"/>
        <w:ind w:firstLine="422" w:firstLineChars="200"/>
        <w:outlineLvl w:val="3"/>
        <w:rPr>
          <w:b/>
          <w:bCs/>
          <w:kern w:val="0"/>
          <w:szCs w:val="21"/>
          <w:highlight w:val="none"/>
        </w:rPr>
      </w:pPr>
      <w:bookmarkStart w:id="309" w:name="_Toc189386168"/>
      <w:bookmarkStart w:id="310" w:name="_Toc511318097"/>
      <w:bookmarkStart w:id="311" w:name="_Toc511317348"/>
      <w:r>
        <w:rPr>
          <w:b/>
          <w:bCs/>
          <w:kern w:val="0"/>
          <w:szCs w:val="21"/>
          <w:highlight w:val="none"/>
        </w:rPr>
        <w:t>9.3 治安保卫</w:t>
      </w:r>
      <w:bookmarkEnd w:id="309"/>
      <w:bookmarkEnd w:id="310"/>
      <w:bookmarkEnd w:id="311"/>
    </w:p>
    <w:p>
      <w:pPr>
        <w:spacing w:line="490" w:lineRule="exact"/>
        <w:ind w:firstLine="420" w:firstLineChars="200"/>
        <w:rPr>
          <w:kern w:val="0"/>
          <w:szCs w:val="21"/>
          <w:highlight w:val="none"/>
        </w:rPr>
      </w:pPr>
      <w:r>
        <w:rPr>
          <w:kern w:val="0"/>
          <w:szCs w:val="21"/>
          <w:highlight w:val="none"/>
        </w:rPr>
        <w:t>9.3.1 除合同另有约定外，发包人应与当地公安部门协商，在现场建立治安管理机构或联防组织，统一管理施工场地的治安保卫事项，履行合同工程的治安保卫职责。</w:t>
      </w:r>
    </w:p>
    <w:p>
      <w:pPr>
        <w:spacing w:line="490" w:lineRule="exact"/>
        <w:ind w:firstLine="420" w:firstLineChars="200"/>
        <w:rPr>
          <w:kern w:val="0"/>
          <w:szCs w:val="21"/>
          <w:highlight w:val="none"/>
        </w:rPr>
      </w:pPr>
      <w:r>
        <w:rPr>
          <w:kern w:val="0"/>
          <w:szCs w:val="21"/>
          <w:highlight w:val="none"/>
        </w:rPr>
        <w:t>9.3.2 发包人和承包人除应协助现场治安管理机构或联防组织维护施工场地的社会治安外，还应做好包括生活区在内的各自管辖区的治安保卫工作。</w:t>
      </w:r>
    </w:p>
    <w:p>
      <w:pPr>
        <w:spacing w:line="490" w:lineRule="exact"/>
        <w:ind w:firstLine="420" w:firstLineChars="200"/>
        <w:rPr>
          <w:kern w:val="0"/>
          <w:szCs w:val="21"/>
          <w:highlight w:val="none"/>
        </w:rPr>
      </w:pPr>
      <w:r>
        <w:rPr>
          <w:kern w:val="0"/>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spacing w:line="490" w:lineRule="exact"/>
        <w:ind w:firstLine="422" w:firstLineChars="200"/>
        <w:outlineLvl w:val="3"/>
        <w:rPr>
          <w:b/>
          <w:bCs/>
          <w:kern w:val="0"/>
          <w:szCs w:val="21"/>
          <w:highlight w:val="none"/>
        </w:rPr>
      </w:pPr>
      <w:bookmarkStart w:id="312" w:name="_Toc511318098"/>
      <w:bookmarkStart w:id="313" w:name="_Toc511317349"/>
      <w:bookmarkStart w:id="314" w:name="_Toc189386169"/>
      <w:r>
        <w:rPr>
          <w:b/>
          <w:bCs/>
          <w:kern w:val="0"/>
          <w:szCs w:val="21"/>
          <w:highlight w:val="none"/>
        </w:rPr>
        <w:t>9.4 环境保护</w:t>
      </w:r>
      <w:bookmarkEnd w:id="312"/>
      <w:bookmarkEnd w:id="313"/>
      <w:bookmarkEnd w:id="314"/>
    </w:p>
    <w:p>
      <w:pPr>
        <w:spacing w:line="490" w:lineRule="exact"/>
        <w:ind w:firstLine="420" w:firstLineChars="200"/>
        <w:rPr>
          <w:kern w:val="0"/>
          <w:szCs w:val="21"/>
          <w:highlight w:val="none"/>
        </w:rPr>
      </w:pPr>
      <w:r>
        <w:rPr>
          <w:kern w:val="0"/>
          <w:szCs w:val="21"/>
          <w:highlight w:val="none"/>
        </w:rPr>
        <w:t>9.4.1 承包人在施工过程中，应遵守有关环境保护的法律，履行合同约定的环境保护义务，并对违反法律和合同约定义务所造成的环境破坏、人身伤害和财产损失负责。</w:t>
      </w:r>
    </w:p>
    <w:p>
      <w:pPr>
        <w:spacing w:line="490" w:lineRule="exact"/>
        <w:ind w:firstLine="420" w:firstLineChars="200"/>
        <w:rPr>
          <w:kern w:val="0"/>
          <w:szCs w:val="21"/>
          <w:highlight w:val="none"/>
        </w:rPr>
      </w:pPr>
      <w:r>
        <w:rPr>
          <w:kern w:val="0"/>
          <w:szCs w:val="21"/>
          <w:highlight w:val="none"/>
        </w:rPr>
        <w:t>9.4.2 承包人应按合同约定的环保工作内容，编制施工环保措施计划，报送监理人审批。</w:t>
      </w:r>
    </w:p>
    <w:p>
      <w:pPr>
        <w:spacing w:line="490" w:lineRule="exact"/>
        <w:ind w:firstLine="420" w:firstLineChars="200"/>
        <w:rPr>
          <w:kern w:val="0"/>
          <w:szCs w:val="21"/>
          <w:highlight w:val="none"/>
        </w:rPr>
      </w:pPr>
      <w:r>
        <w:rPr>
          <w:kern w:val="0"/>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pPr>
        <w:spacing w:line="490" w:lineRule="exact"/>
        <w:ind w:firstLine="420" w:firstLineChars="200"/>
        <w:rPr>
          <w:kern w:val="0"/>
          <w:szCs w:val="21"/>
          <w:highlight w:val="none"/>
        </w:rPr>
      </w:pPr>
      <w:r>
        <w:rPr>
          <w:kern w:val="0"/>
          <w:szCs w:val="21"/>
          <w:highlight w:val="none"/>
        </w:rPr>
        <w:t>9.4.4 承包人应按合同约定采取有效措施，对施工开挖的边坡及时进行支护,维护排水设施，并进行水土保护，避免因施工造成的地质灾害。</w:t>
      </w:r>
    </w:p>
    <w:p>
      <w:pPr>
        <w:spacing w:line="490" w:lineRule="exact"/>
        <w:ind w:firstLine="420" w:firstLineChars="200"/>
        <w:rPr>
          <w:kern w:val="0"/>
          <w:szCs w:val="21"/>
          <w:highlight w:val="none"/>
        </w:rPr>
      </w:pPr>
      <w:r>
        <w:rPr>
          <w:kern w:val="0"/>
          <w:szCs w:val="21"/>
          <w:highlight w:val="none"/>
        </w:rPr>
        <w:t>9.4.5 承包人应按国家饮用水管理标准定期对饮用水源进行监测，防止施工活动污染饮用水源。</w:t>
      </w:r>
    </w:p>
    <w:p>
      <w:pPr>
        <w:spacing w:line="490" w:lineRule="exact"/>
        <w:ind w:firstLine="420" w:firstLineChars="200"/>
        <w:rPr>
          <w:kern w:val="0"/>
          <w:szCs w:val="21"/>
          <w:highlight w:val="none"/>
        </w:rPr>
      </w:pPr>
      <w:r>
        <w:rPr>
          <w:kern w:val="0"/>
          <w:szCs w:val="21"/>
          <w:highlight w:val="none"/>
        </w:rPr>
        <w:t>9.4.6 承包人应按合同约定，加强对噪声、粉尘、废气、废水和废油的控制，努力降低噪声，控制粉尘和废气浓度，做好废水和废油的治理和排放。</w:t>
      </w:r>
    </w:p>
    <w:p>
      <w:pPr>
        <w:spacing w:line="490" w:lineRule="exact"/>
        <w:ind w:firstLine="422" w:firstLineChars="200"/>
        <w:outlineLvl w:val="3"/>
        <w:rPr>
          <w:b/>
          <w:bCs/>
          <w:kern w:val="0"/>
          <w:szCs w:val="21"/>
          <w:highlight w:val="none"/>
        </w:rPr>
      </w:pPr>
      <w:bookmarkStart w:id="315" w:name="_Toc511317350"/>
      <w:bookmarkStart w:id="316" w:name="_Toc511318099"/>
      <w:bookmarkStart w:id="317" w:name="_Toc189386170"/>
      <w:r>
        <w:rPr>
          <w:b/>
          <w:bCs/>
          <w:kern w:val="0"/>
          <w:szCs w:val="21"/>
          <w:highlight w:val="none"/>
        </w:rPr>
        <w:t>9.5 事故处理</w:t>
      </w:r>
      <w:bookmarkEnd w:id="315"/>
      <w:bookmarkEnd w:id="316"/>
      <w:bookmarkEnd w:id="317"/>
    </w:p>
    <w:p>
      <w:pPr>
        <w:spacing w:line="490" w:lineRule="exact"/>
        <w:ind w:firstLine="420" w:firstLineChars="200"/>
        <w:rPr>
          <w:kern w:val="0"/>
          <w:szCs w:val="21"/>
          <w:highlight w:val="none"/>
        </w:rPr>
      </w:pPr>
      <w:r>
        <w:rPr>
          <w:kern w:val="0"/>
          <w:szCs w:val="21"/>
          <w:highlight w:val="none"/>
        </w:rPr>
        <w:t>9.5.1 发包人负责组织参建单位制定本工程的质量与安全事故应急预案，建立质量与安全事故应急处置指挥部。</w:t>
      </w:r>
    </w:p>
    <w:p>
      <w:pPr>
        <w:spacing w:line="490" w:lineRule="exact"/>
        <w:ind w:firstLine="420" w:firstLineChars="200"/>
        <w:rPr>
          <w:kern w:val="0"/>
          <w:szCs w:val="21"/>
          <w:highlight w:val="none"/>
        </w:rPr>
      </w:pPr>
      <w:r>
        <w:rPr>
          <w:kern w:val="0"/>
          <w:szCs w:val="21"/>
          <w:highlight w:val="none"/>
        </w:rPr>
        <w:t>9.5.2 承包人应对施工现场易发生重大事故的部位、环节进行监控，配备救援器材、设备，并定期组织演练。</w:t>
      </w:r>
    </w:p>
    <w:p>
      <w:pPr>
        <w:spacing w:line="490" w:lineRule="exact"/>
        <w:ind w:firstLine="420" w:firstLineChars="200"/>
        <w:rPr>
          <w:kern w:val="0"/>
          <w:szCs w:val="21"/>
          <w:highlight w:val="none"/>
        </w:rPr>
      </w:pPr>
      <w:r>
        <w:rPr>
          <w:kern w:val="0"/>
          <w:szCs w:val="21"/>
          <w:highlight w:val="none"/>
        </w:rPr>
        <w:t>9.5.3 工程开工前，承包人应根据本工程的特点制定施工现场施工质量与安全事故应急预案，并报发包人备案。</w:t>
      </w:r>
    </w:p>
    <w:p>
      <w:pPr>
        <w:spacing w:line="490" w:lineRule="exact"/>
        <w:ind w:firstLine="420" w:firstLineChars="200"/>
        <w:rPr>
          <w:kern w:val="0"/>
          <w:szCs w:val="21"/>
          <w:highlight w:val="none"/>
        </w:rPr>
      </w:pPr>
      <w:r>
        <w:rPr>
          <w:kern w:val="0"/>
          <w:szCs w:val="21"/>
          <w:highlight w:val="none"/>
        </w:rPr>
        <w:t>9.5.4 施工过程中发生事故时，发包人、承包人应立即启动应急预案。</w:t>
      </w:r>
    </w:p>
    <w:p>
      <w:pPr>
        <w:spacing w:line="490" w:lineRule="exact"/>
        <w:ind w:firstLine="420" w:firstLineChars="200"/>
        <w:rPr>
          <w:kern w:val="0"/>
          <w:szCs w:val="21"/>
          <w:highlight w:val="none"/>
        </w:rPr>
      </w:pPr>
      <w:r>
        <w:rPr>
          <w:kern w:val="0"/>
          <w:szCs w:val="21"/>
          <w:highlight w:val="none"/>
        </w:rPr>
        <w:t>9.5.5 事故调查处理由发包人按相关规定履行手续，承包人应配合。</w:t>
      </w:r>
    </w:p>
    <w:p>
      <w:pPr>
        <w:spacing w:line="490" w:lineRule="exact"/>
        <w:ind w:firstLine="422" w:firstLineChars="200"/>
        <w:outlineLvl w:val="3"/>
        <w:rPr>
          <w:b/>
          <w:bCs/>
          <w:kern w:val="0"/>
          <w:szCs w:val="21"/>
          <w:highlight w:val="none"/>
        </w:rPr>
      </w:pPr>
      <w:bookmarkStart w:id="318" w:name="_Toc511318100"/>
      <w:bookmarkStart w:id="319" w:name="_Toc511317351"/>
      <w:r>
        <w:rPr>
          <w:b/>
          <w:bCs/>
          <w:kern w:val="0"/>
          <w:szCs w:val="21"/>
          <w:highlight w:val="none"/>
        </w:rPr>
        <w:t>9.6  水土保持</w:t>
      </w:r>
      <w:bookmarkEnd w:id="318"/>
      <w:bookmarkEnd w:id="319"/>
    </w:p>
    <w:p>
      <w:pPr>
        <w:spacing w:line="490" w:lineRule="exact"/>
        <w:ind w:firstLine="420" w:firstLineChars="200"/>
        <w:rPr>
          <w:kern w:val="0"/>
          <w:szCs w:val="21"/>
          <w:highlight w:val="none"/>
        </w:rPr>
      </w:pPr>
      <w:r>
        <w:rPr>
          <w:kern w:val="0"/>
          <w:szCs w:val="21"/>
          <w:highlight w:val="none"/>
        </w:rPr>
        <w:t>9.6.1 发包人应及时向承包人提供水土保持方案。</w:t>
      </w:r>
    </w:p>
    <w:p>
      <w:pPr>
        <w:spacing w:line="490" w:lineRule="exact"/>
        <w:ind w:firstLine="420" w:firstLineChars="200"/>
        <w:rPr>
          <w:kern w:val="0"/>
          <w:szCs w:val="21"/>
          <w:highlight w:val="none"/>
        </w:rPr>
      </w:pPr>
      <w:r>
        <w:rPr>
          <w:kern w:val="0"/>
          <w:szCs w:val="21"/>
          <w:highlight w:val="none"/>
        </w:rPr>
        <w:t>9.6.2 承包人在施工过程中，应遵守有关水土保持的法律法规和规章，履行合同约定的水土保持义务，并对其违反法律和合同约定义务所造成的水土流失灾害、人身伤害和财产损失负责。</w:t>
      </w:r>
    </w:p>
    <w:p>
      <w:pPr>
        <w:spacing w:line="490" w:lineRule="exact"/>
        <w:ind w:firstLine="420" w:firstLineChars="200"/>
        <w:rPr>
          <w:kern w:val="0"/>
          <w:szCs w:val="21"/>
          <w:highlight w:val="none"/>
        </w:rPr>
      </w:pPr>
      <w:r>
        <w:rPr>
          <w:kern w:val="0"/>
          <w:szCs w:val="21"/>
          <w:highlight w:val="none"/>
        </w:rPr>
        <w:t>9.6.3 承包人的水土保持措施计划，应满足技术标准和要求（合同技术条款）约定的要求。</w:t>
      </w:r>
    </w:p>
    <w:p>
      <w:pPr>
        <w:spacing w:line="490" w:lineRule="exact"/>
        <w:ind w:firstLine="422" w:firstLineChars="200"/>
        <w:outlineLvl w:val="3"/>
        <w:rPr>
          <w:b/>
          <w:bCs/>
          <w:kern w:val="0"/>
          <w:szCs w:val="21"/>
          <w:highlight w:val="none"/>
        </w:rPr>
      </w:pPr>
      <w:bookmarkStart w:id="320" w:name="_Toc511317352"/>
      <w:bookmarkStart w:id="321" w:name="_Toc511318101"/>
      <w:r>
        <w:rPr>
          <w:b/>
          <w:bCs/>
          <w:kern w:val="0"/>
          <w:szCs w:val="21"/>
          <w:highlight w:val="none"/>
        </w:rPr>
        <w:t>9.7 文明工地</w:t>
      </w:r>
      <w:bookmarkEnd w:id="320"/>
      <w:bookmarkEnd w:id="321"/>
    </w:p>
    <w:p>
      <w:pPr>
        <w:spacing w:line="490" w:lineRule="exact"/>
        <w:ind w:firstLine="420" w:firstLineChars="200"/>
        <w:rPr>
          <w:kern w:val="0"/>
          <w:szCs w:val="21"/>
          <w:highlight w:val="none"/>
        </w:rPr>
      </w:pPr>
      <w:r>
        <w:rPr>
          <w:kern w:val="0"/>
          <w:szCs w:val="21"/>
          <w:highlight w:val="none"/>
        </w:rPr>
        <w:t>9.7.1 发包人应按专用合同条款的约定，负责建立创建文明建设工地的组织机构，制定创建文明建设工地的规划和办法。</w:t>
      </w:r>
    </w:p>
    <w:p>
      <w:pPr>
        <w:spacing w:line="490" w:lineRule="exact"/>
        <w:ind w:firstLine="420" w:firstLineChars="200"/>
        <w:rPr>
          <w:kern w:val="0"/>
          <w:szCs w:val="21"/>
          <w:highlight w:val="none"/>
        </w:rPr>
      </w:pPr>
      <w:r>
        <w:rPr>
          <w:kern w:val="0"/>
          <w:szCs w:val="21"/>
          <w:highlight w:val="none"/>
        </w:rPr>
        <w:t>9.7.2 承包人应按创建文明建设工地的规划和办法，履行职责，承担相应责任。所需费用应含在已标价工程量清单中。</w:t>
      </w:r>
    </w:p>
    <w:p>
      <w:pPr>
        <w:spacing w:line="490" w:lineRule="exact"/>
        <w:ind w:firstLine="422" w:firstLineChars="200"/>
        <w:outlineLvl w:val="3"/>
        <w:rPr>
          <w:b/>
          <w:bCs/>
          <w:kern w:val="0"/>
          <w:szCs w:val="21"/>
          <w:highlight w:val="none"/>
        </w:rPr>
      </w:pPr>
      <w:bookmarkStart w:id="322" w:name="_Toc511317353"/>
      <w:bookmarkStart w:id="323" w:name="_Toc511318102"/>
      <w:r>
        <w:rPr>
          <w:b/>
          <w:bCs/>
          <w:kern w:val="0"/>
          <w:szCs w:val="21"/>
          <w:highlight w:val="none"/>
        </w:rPr>
        <w:t>9.8  防汛度汛</w:t>
      </w:r>
      <w:bookmarkEnd w:id="322"/>
      <w:bookmarkEnd w:id="323"/>
    </w:p>
    <w:p>
      <w:pPr>
        <w:spacing w:line="490" w:lineRule="exact"/>
        <w:ind w:firstLine="420" w:firstLineChars="200"/>
        <w:rPr>
          <w:kern w:val="0"/>
          <w:szCs w:val="21"/>
          <w:highlight w:val="none"/>
        </w:rPr>
      </w:pPr>
      <w:r>
        <w:rPr>
          <w:kern w:val="0"/>
          <w:szCs w:val="21"/>
          <w:highlight w:val="none"/>
        </w:rPr>
        <w:t>9.8.1 发包人负责组织工程参建单位编制本工程的度汛方案和措施。</w:t>
      </w:r>
    </w:p>
    <w:p>
      <w:pPr>
        <w:spacing w:line="490" w:lineRule="exact"/>
        <w:ind w:firstLine="420" w:firstLineChars="200"/>
        <w:rPr>
          <w:kern w:val="0"/>
          <w:szCs w:val="21"/>
          <w:highlight w:val="none"/>
        </w:rPr>
      </w:pPr>
      <w:r>
        <w:rPr>
          <w:kern w:val="0"/>
          <w:szCs w:val="21"/>
          <w:highlight w:val="none"/>
        </w:rPr>
        <w:t>9.8.2 承包人应根据发包人编制的本工程度汛方案和措施，制定相应的度汛方案，报发包人批准后实施。</w:t>
      </w:r>
    </w:p>
    <w:p>
      <w:pPr>
        <w:pStyle w:val="5"/>
        <w:keepNext w:val="0"/>
        <w:keepLines w:val="0"/>
        <w:spacing w:before="0" w:after="0" w:line="490" w:lineRule="exact"/>
        <w:ind w:firstLine="422" w:firstLineChars="200"/>
        <w:rPr>
          <w:bCs w:val="0"/>
          <w:color w:val="auto"/>
          <w:sz w:val="21"/>
          <w:szCs w:val="21"/>
          <w:highlight w:val="none"/>
        </w:rPr>
      </w:pPr>
      <w:bookmarkStart w:id="324" w:name="_Toc13021"/>
      <w:bookmarkStart w:id="325" w:name="_Toc189386171"/>
      <w:bookmarkStart w:id="326" w:name="_Toc28773"/>
      <w:r>
        <w:rPr>
          <w:bCs w:val="0"/>
          <w:color w:val="auto"/>
          <w:sz w:val="21"/>
          <w:szCs w:val="21"/>
          <w:highlight w:val="none"/>
        </w:rPr>
        <w:t>10</w:t>
      </w:r>
      <w:r>
        <w:rPr>
          <w:rFonts w:hint="eastAsia"/>
          <w:bCs w:val="0"/>
          <w:color w:val="auto"/>
          <w:sz w:val="21"/>
          <w:szCs w:val="21"/>
          <w:highlight w:val="none"/>
        </w:rPr>
        <w:t>.</w:t>
      </w:r>
      <w:r>
        <w:rPr>
          <w:bCs w:val="0"/>
          <w:color w:val="auto"/>
          <w:sz w:val="21"/>
          <w:szCs w:val="21"/>
          <w:highlight w:val="none"/>
        </w:rPr>
        <w:t>进度计划</w:t>
      </w:r>
      <w:bookmarkEnd w:id="324"/>
      <w:bookmarkEnd w:id="325"/>
      <w:bookmarkEnd w:id="326"/>
    </w:p>
    <w:p>
      <w:pPr>
        <w:spacing w:line="490" w:lineRule="exact"/>
        <w:ind w:firstLine="422" w:firstLineChars="200"/>
        <w:outlineLvl w:val="3"/>
        <w:rPr>
          <w:b/>
          <w:bCs/>
          <w:kern w:val="0"/>
          <w:szCs w:val="21"/>
          <w:highlight w:val="none"/>
        </w:rPr>
      </w:pPr>
      <w:bookmarkStart w:id="327" w:name="_Toc511317355"/>
      <w:bookmarkStart w:id="328" w:name="_Toc511318104"/>
      <w:bookmarkStart w:id="329" w:name="_Toc189386172"/>
      <w:r>
        <w:rPr>
          <w:b/>
          <w:bCs/>
          <w:kern w:val="0"/>
          <w:szCs w:val="21"/>
          <w:highlight w:val="none"/>
        </w:rPr>
        <w:t>10.1 合同进度计划</w:t>
      </w:r>
      <w:bookmarkEnd w:id="327"/>
      <w:bookmarkEnd w:id="328"/>
      <w:bookmarkEnd w:id="329"/>
    </w:p>
    <w:p>
      <w:pPr>
        <w:spacing w:line="490" w:lineRule="exact"/>
        <w:ind w:firstLine="420" w:firstLineChars="200"/>
        <w:rPr>
          <w:kern w:val="0"/>
          <w:szCs w:val="21"/>
          <w:highlight w:val="none"/>
        </w:rPr>
      </w:pPr>
      <w:r>
        <w:rPr>
          <w:kern w:val="0"/>
          <w:szCs w:val="21"/>
          <w:highlight w:val="none"/>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pPr>
        <w:spacing w:line="490" w:lineRule="exact"/>
        <w:ind w:firstLine="422" w:firstLineChars="200"/>
        <w:outlineLvl w:val="3"/>
        <w:rPr>
          <w:b/>
          <w:bCs/>
          <w:kern w:val="0"/>
          <w:szCs w:val="21"/>
          <w:highlight w:val="none"/>
        </w:rPr>
      </w:pPr>
      <w:bookmarkStart w:id="330" w:name="_Toc511317356"/>
      <w:bookmarkStart w:id="331" w:name="_Toc511318105"/>
      <w:bookmarkStart w:id="332" w:name="_Toc189386173"/>
      <w:r>
        <w:rPr>
          <w:b/>
          <w:bCs/>
          <w:kern w:val="0"/>
          <w:szCs w:val="21"/>
          <w:highlight w:val="none"/>
        </w:rPr>
        <w:t>10.2 合同进度计划的修订</w:t>
      </w:r>
      <w:bookmarkEnd w:id="330"/>
      <w:bookmarkEnd w:id="331"/>
      <w:bookmarkEnd w:id="332"/>
    </w:p>
    <w:p>
      <w:pPr>
        <w:spacing w:line="490" w:lineRule="exact"/>
        <w:ind w:firstLine="420" w:firstLineChars="200"/>
        <w:rPr>
          <w:kern w:val="0"/>
          <w:szCs w:val="21"/>
          <w:highlight w:val="none"/>
        </w:rPr>
      </w:pPr>
      <w:r>
        <w:rPr>
          <w:kern w:val="0"/>
          <w:szCs w:val="21"/>
          <w:highlight w:val="none"/>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pPr>
        <w:spacing w:line="490" w:lineRule="exact"/>
        <w:ind w:firstLine="420" w:firstLineChars="200"/>
        <w:rPr>
          <w:kern w:val="0"/>
          <w:szCs w:val="21"/>
          <w:highlight w:val="none"/>
        </w:rPr>
      </w:pPr>
      <w:r>
        <w:rPr>
          <w:kern w:val="0"/>
          <w:szCs w:val="21"/>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pPr>
        <w:spacing w:line="490" w:lineRule="exact"/>
        <w:ind w:firstLine="422" w:firstLineChars="200"/>
        <w:outlineLvl w:val="3"/>
        <w:rPr>
          <w:b/>
          <w:bCs/>
          <w:kern w:val="0"/>
          <w:szCs w:val="21"/>
          <w:highlight w:val="none"/>
        </w:rPr>
      </w:pPr>
      <w:bookmarkStart w:id="333" w:name="_Toc511317357"/>
      <w:bookmarkStart w:id="334" w:name="_Toc511318106"/>
      <w:r>
        <w:rPr>
          <w:b/>
          <w:bCs/>
          <w:kern w:val="0"/>
          <w:szCs w:val="21"/>
          <w:highlight w:val="none"/>
        </w:rPr>
        <w:t>10.3 单位工程进度计划</w:t>
      </w:r>
      <w:bookmarkEnd w:id="333"/>
      <w:bookmarkEnd w:id="334"/>
    </w:p>
    <w:p>
      <w:pPr>
        <w:spacing w:line="490" w:lineRule="exact"/>
        <w:ind w:firstLine="420" w:firstLineChars="200"/>
        <w:rPr>
          <w:kern w:val="0"/>
          <w:szCs w:val="21"/>
          <w:highlight w:val="none"/>
        </w:rPr>
      </w:pPr>
      <w:r>
        <w:rPr>
          <w:kern w:val="0"/>
          <w:szCs w:val="21"/>
          <w:highlight w:val="none"/>
        </w:rPr>
        <w:t>监理人认为有必要时，承包人应按监理人指示的内容和期限，并根据合同进度计划的进度控制要求，编制单位工程进度计划，提交监理人审批。</w:t>
      </w:r>
    </w:p>
    <w:p>
      <w:pPr>
        <w:spacing w:line="490" w:lineRule="exact"/>
        <w:ind w:firstLine="422" w:firstLineChars="200"/>
        <w:outlineLvl w:val="3"/>
        <w:rPr>
          <w:b/>
          <w:bCs/>
          <w:kern w:val="0"/>
          <w:szCs w:val="21"/>
          <w:highlight w:val="none"/>
        </w:rPr>
      </w:pPr>
      <w:bookmarkStart w:id="335" w:name="_Toc511318107"/>
      <w:bookmarkStart w:id="336" w:name="_Toc511317358"/>
      <w:r>
        <w:rPr>
          <w:b/>
          <w:bCs/>
          <w:kern w:val="0"/>
          <w:szCs w:val="21"/>
          <w:highlight w:val="none"/>
        </w:rPr>
        <w:t>10.4 提交资金流估算表</w:t>
      </w:r>
      <w:bookmarkEnd w:id="335"/>
      <w:bookmarkEnd w:id="336"/>
    </w:p>
    <w:p>
      <w:pPr>
        <w:spacing w:line="490" w:lineRule="exact"/>
        <w:ind w:firstLine="420" w:firstLineChars="200"/>
        <w:rPr>
          <w:kern w:val="0"/>
          <w:szCs w:val="21"/>
          <w:highlight w:val="none"/>
        </w:rPr>
      </w:pPr>
      <w:r>
        <w:rPr>
          <w:kern w:val="0"/>
          <w:szCs w:val="21"/>
          <w:highlight w:val="none"/>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pPr>
        <w:spacing w:beforeLines="50" w:afterLines="50" w:line="490" w:lineRule="exact"/>
        <w:ind w:firstLine="422" w:firstLineChars="200"/>
        <w:jc w:val="center"/>
        <w:rPr>
          <w:b/>
          <w:kern w:val="0"/>
          <w:szCs w:val="21"/>
          <w:highlight w:val="none"/>
        </w:rPr>
      </w:pPr>
      <w:r>
        <w:rPr>
          <w:b/>
          <w:kern w:val="0"/>
          <w:szCs w:val="21"/>
          <w:highlight w:val="none"/>
        </w:rPr>
        <w:t>资金流估算表（参考格式）</w:t>
      </w:r>
    </w:p>
    <w:p>
      <w:pPr>
        <w:spacing w:line="276" w:lineRule="auto"/>
        <w:ind w:firstLine="7560" w:firstLineChars="3600"/>
        <w:rPr>
          <w:kern w:val="0"/>
          <w:szCs w:val="21"/>
          <w:highlight w:val="none"/>
        </w:rPr>
      </w:pPr>
      <w:r>
        <w:rPr>
          <w:kern w:val="0"/>
          <w:szCs w:val="21"/>
          <w:highlight w:val="none"/>
        </w:rPr>
        <w:t>金额单位</w:t>
      </w:r>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426"/>
        <w:gridCol w:w="1187"/>
        <w:gridCol w:w="1062"/>
        <w:gridCol w:w="1206"/>
        <w:gridCol w:w="1151"/>
        <w:gridCol w:w="927"/>
        <w:gridCol w:w="615"/>
        <w:gridCol w:w="851"/>
        <w:gridCol w:w="11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jc w:val="center"/>
              <w:rPr>
                <w:kern w:val="0"/>
                <w:szCs w:val="21"/>
                <w:highlight w:val="none"/>
              </w:rPr>
            </w:pPr>
            <w:r>
              <w:rPr>
                <w:kern w:val="0"/>
                <w:szCs w:val="21"/>
                <w:highlight w:val="none"/>
              </w:rPr>
              <w:t>年</w:t>
            </w:r>
          </w:p>
        </w:tc>
        <w:tc>
          <w:tcPr>
            <w:tcW w:w="426" w:type="dxa"/>
            <w:vAlign w:val="center"/>
          </w:tcPr>
          <w:p>
            <w:pPr>
              <w:jc w:val="center"/>
              <w:rPr>
                <w:kern w:val="0"/>
                <w:szCs w:val="21"/>
                <w:highlight w:val="none"/>
              </w:rPr>
            </w:pPr>
            <w:r>
              <w:rPr>
                <w:kern w:val="0"/>
                <w:szCs w:val="21"/>
                <w:highlight w:val="none"/>
              </w:rPr>
              <w:t>月</w:t>
            </w:r>
          </w:p>
        </w:tc>
        <w:tc>
          <w:tcPr>
            <w:tcW w:w="1187" w:type="dxa"/>
            <w:vAlign w:val="center"/>
          </w:tcPr>
          <w:p>
            <w:pPr>
              <w:jc w:val="center"/>
              <w:rPr>
                <w:kern w:val="0"/>
                <w:szCs w:val="21"/>
                <w:highlight w:val="none"/>
              </w:rPr>
            </w:pPr>
            <w:r>
              <w:rPr>
                <w:kern w:val="0"/>
                <w:szCs w:val="21"/>
                <w:highlight w:val="none"/>
              </w:rPr>
              <w:t>工程预付款</w:t>
            </w:r>
          </w:p>
        </w:tc>
        <w:tc>
          <w:tcPr>
            <w:tcW w:w="1062" w:type="dxa"/>
            <w:vAlign w:val="center"/>
          </w:tcPr>
          <w:p>
            <w:pPr>
              <w:jc w:val="center"/>
              <w:rPr>
                <w:kern w:val="0"/>
                <w:szCs w:val="21"/>
                <w:highlight w:val="none"/>
              </w:rPr>
            </w:pPr>
            <w:r>
              <w:rPr>
                <w:kern w:val="0"/>
                <w:szCs w:val="21"/>
                <w:highlight w:val="none"/>
              </w:rPr>
              <w:t>完成工作量付款</w:t>
            </w:r>
          </w:p>
        </w:tc>
        <w:tc>
          <w:tcPr>
            <w:tcW w:w="1206" w:type="dxa"/>
            <w:vAlign w:val="center"/>
          </w:tcPr>
          <w:p>
            <w:pPr>
              <w:jc w:val="center"/>
              <w:rPr>
                <w:kern w:val="0"/>
                <w:szCs w:val="21"/>
                <w:highlight w:val="none"/>
              </w:rPr>
            </w:pPr>
            <w:r>
              <w:rPr>
                <w:kern w:val="0"/>
                <w:szCs w:val="21"/>
                <w:highlight w:val="none"/>
              </w:rPr>
              <w:t>质量保证金扣留</w:t>
            </w:r>
          </w:p>
        </w:tc>
        <w:tc>
          <w:tcPr>
            <w:tcW w:w="1151" w:type="dxa"/>
            <w:vAlign w:val="center"/>
          </w:tcPr>
          <w:p>
            <w:pPr>
              <w:jc w:val="center"/>
              <w:rPr>
                <w:kern w:val="0"/>
                <w:szCs w:val="21"/>
                <w:highlight w:val="none"/>
              </w:rPr>
            </w:pPr>
            <w:r>
              <w:rPr>
                <w:kern w:val="0"/>
                <w:szCs w:val="21"/>
                <w:highlight w:val="none"/>
              </w:rPr>
              <w:t>材料款扣除</w:t>
            </w:r>
          </w:p>
        </w:tc>
        <w:tc>
          <w:tcPr>
            <w:tcW w:w="927" w:type="dxa"/>
            <w:vAlign w:val="center"/>
          </w:tcPr>
          <w:p>
            <w:pPr>
              <w:jc w:val="center"/>
              <w:rPr>
                <w:kern w:val="0"/>
                <w:szCs w:val="21"/>
                <w:highlight w:val="none"/>
              </w:rPr>
            </w:pPr>
            <w:r>
              <w:rPr>
                <w:kern w:val="0"/>
                <w:szCs w:val="21"/>
                <w:highlight w:val="none"/>
              </w:rPr>
              <w:t>预付款扣还</w:t>
            </w:r>
          </w:p>
        </w:tc>
        <w:tc>
          <w:tcPr>
            <w:tcW w:w="615" w:type="dxa"/>
            <w:vAlign w:val="center"/>
          </w:tcPr>
          <w:p>
            <w:pPr>
              <w:jc w:val="center"/>
              <w:rPr>
                <w:kern w:val="0"/>
                <w:szCs w:val="21"/>
                <w:highlight w:val="none"/>
              </w:rPr>
            </w:pPr>
            <w:r>
              <w:rPr>
                <w:kern w:val="0"/>
                <w:szCs w:val="21"/>
                <w:highlight w:val="none"/>
              </w:rPr>
              <w:t>其它</w:t>
            </w:r>
          </w:p>
        </w:tc>
        <w:tc>
          <w:tcPr>
            <w:tcW w:w="851" w:type="dxa"/>
            <w:vAlign w:val="center"/>
          </w:tcPr>
          <w:p>
            <w:pPr>
              <w:jc w:val="center"/>
              <w:rPr>
                <w:kern w:val="0"/>
                <w:szCs w:val="21"/>
                <w:highlight w:val="none"/>
              </w:rPr>
            </w:pPr>
            <w:r>
              <w:rPr>
                <w:kern w:val="0"/>
                <w:szCs w:val="21"/>
                <w:highlight w:val="none"/>
              </w:rPr>
              <w:t>应收款</w:t>
            </w:r>
          </w:p>
        </w:tc>
        <w:tc>
          <w:tcPr>
            <w:tcW w:w="1158" w:type="dxa"/>
            <w:vAlign w:val="center"/>
          </w:tcPr>
          <w:p>
            <w:pPr>
              <w:jc w:val="center"/>
              <w:rPr>
                <w:kern w:val="0"/>
                <w:szCs w:val="21"/>
                <w:highlight w:val="none"/>
              </w:rPr>
            </w:pPr>
            <w:r>
              <w:rPr>
                <w:kern w:val="0"/>
                <w:szCs w:val="21"/>
                <w:highlight w:val="none"/>
              </w:rPr>
              <w:t>累计应收款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spacing w:line="276" w:lineRule="auto"/>
              <w:ind w:firstLine="420" w:firstLineChars="200"/>
              <w:rPr>
                <w:kern w:val="0"/>
                <w:szCs w:val="21"/>
                <w:highlight w:val="none"/>
              </w:rPr>
            </w:pPr>
          </w:p>
        </w:tc>
        <w:tc>
          <w:tcPr>
            <w:tcW w:w="426" w:type="dxa"/>
            <w:vAlign w:val="center"/>
          </w:tcPr>
          <w:p>
            <w:pPr>
              <w:spacing w:line="276" w:lineRule="auto"/>
              <w:ind w:firstLine="420" w:firstLineChars="200"/>
              <w:rPr>
                <w:kern w:val="0"/>
                <w:szCs w:val="21"/>
                <w:highlight w:val="none"/>
              </w:rPr>
            </w:pPr>
          </w:p>
        </w:tc>
        <w:tc>
          <w:tcPr>
            <w:tcW w:w="1187" w:type="dxa"/>
            <w:vAlign w:val="center"/>
          </w:tcPr>
          <w:p>
            <w:pPr>
              <w:spacing w:line="276" w:lineRule="auto"/>
              <w:ind w:firstLine="420" w:firstLineChars="200"/>
              <w:rPr>
                <w:kern w:val="0"/>
                <w:szCs w:val="21"/>
                <w:highlight w:val="none"/>
              </w:rPr>
            </w:pPr>
          </w:p>
        </w:tc>
        <w:tc>
          <w:tcPr>
            <w:tcW w:w="1062" w:type="dxa"/>
            <w:vAlign w:val="center"/>
          </w:tcPr>
          <w:p>
            <w:pPr>
              <w:spacing w:line="276" w:lineRule="auto"/>
              <w:ind w:firstLine="420" w:firstLineChars="200"/>
              <w:rPr>
                <w:kern w:val="0"/>
                <w:szCs w:val="21"/>
                <w:highlight w:val="none"/>
              </w:rPr>
            </w:pPr>
          </w:p>
        </w:tc>
        <w:tc>
          <w:tcPr>
            <w:tcW w:w="1206" w:type="dxa"/>
            <w:vAlign w:val="center"/>
          </w:tcPr>
          <w:p>
            <w:pPr>
              <w:spacing w:line="276" w:lineRule="auto"/>
              <w:ind w:firstLine="420" w:firstLineChars="200"/>
              <w:rPr>
                <w:kern w:val="0"/>
                <w:szCs w:val="21"/>
                <w:highlight w:val="none"/>
              </w:rPr>
            </w:pPr>
          </w:p>
        </w:tc>
        <w:tc>
          <w:tcPr>
            <w:tcW w:w="1151" w:type="dxa"/>
            <w:vAlign w:val="center"/>
          </w:tcPr>
          <w:p>
            <w:pPr>
              <w:spacing w:line="276" w:lineRule="auto"/>
              <w:ind w:firstLine="420" w:firstLineChars="200"/>
              <w:rPr>
                <w:kern w:val="0"/>
                <w:szCs w:val="21"/>
                <w:highlight w:val="none"/>
              </w:rPr>
            </w:pPr>
          </w:p>
        </w:tc>
        <w:tc>
          <w:tcPr>
            <w:tcW w:w="927" w:type="dxa"/>
            <w:vAlign w:val="center"/>
          </w:tcPr>
          <w:p>
            <w:pPr>
              <w:spacing w:line="276" w:lineRule="auto"/>
              <w:ind w:firstLine="420" w:firstLineChars="200"/>
              <w:rPr>
                <w:kern w:val="0"/>
                <w:szCs w:val="21"/>
                <w:highlight w:val="none"/>
              </w:rPr>
            </w:pPr>
          </w:p>
        </w:tc>
        <w:tc>
          <w:tcPr>
            <w:tcW w:w="615" w:type="dxa"/>
            <w:vAlign w:val="center"/>
          </w:tcPr>
          <w:p>
            <w:pPr>
              <w:spacing w:line="276" w:lineRule="auto"/>
              <w:ind w:firstLine="420" w:firstLineChars="200"/>
              <w:rPr>
                <w:kern w:val="0"/>
                <w:szCs w:val="21"/>
                <w:highlight w:val="none"/>
              </w:rPr>
            </w:pPr>
          </w:p>
        </w:tc>
        <w:tc>
          <w:tcPr>
            <w:tcW w:w="851" w:type="dxa"/>
            <w:vAlign w:val="center"/>
          </w:tcPr>
          <w:p>
            <w:pPr>
              <w:spacing w:line="276" w:lineRule="auto"/>
              <w:ind w:firstLine="420" w:firstLineChars="200"/>
              <w:rPr>
                <w:kern w:val="0"/>
                <w:szCs w:val="21"/>
                <w:highlight w:val="none"/>
              </w:rPr>
            </w:pPr>
          </w:p>
        </w:tc>
        <w:tc>
          <w:tcPr>
            <w:tcW w:w="1158" w:type="dxa"/>
            <w:vAlign w:val="center"/>
          </w:tcPr>
          <w:p>
            <w:pPr>
              <w:spacing w:line="276" w:lineRule="auto"/>
              <w:ind w:firstLine="420" w:firstLineChars="200"/>
              <w:rPr>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spacing w:line="276" w:lineRule="auto"/>
              <w:ind w:firstLine="420" w:firstLineChars="200"/>
              <w:rPr>
                <w:kern w:val="0"/>
                <w:szCs w:val="21"/>
                <w:highlight w:val="none"/>
              </w:rPr>
            </w:pPr>
          </w:p>
        </w:tc>
        <w:tc>
          <w:tcPr>
            <w:tcW w:w="426" w:type="dxa"/>
            <w:vAlign w:val="center"/>
          </w:tcPr>
          <w:p>
            <w:pPr>
              <w:spacing w:line="276" w:lineRule="auto"/>
              <w:ind w:firstLine="420" w:firstLineChars="200"/>
              <w:rPr>
                <w:kern w:val="0"/>
                <w:szCs w:val="21"/>
                <w:highlight w:val="none"/>
              </w:rPr>
            </w:pPr>
          </w:p>
        </w:tc>
        <w:tc>
          <w:tcPr>
            <w:tcW w:w="1187" w:type="dxa"/>
            <w:vAlign w:val="center"/>
          </w:tcPr>
          <w:p>
            <w:pPr>
              <w:spacing w:line="276" w:lineRule="auto"/>
              <w:ind w:firstLine="420" w:firstLineChars="200"/>
              <w:rPr>
                <w:kern w:val="0"/>
                <w:szCs w:val="21"/>
                <w:highlight w:val="none"/>
              </w:rPr>
            </w:pPr>
          </w:p>
        </w:tc>
        <w:tc>
          <w:tcPr>
            <w:tcW w:w="1062" w:type="dxa"/>
            <w:vAlign w:val="center"/>
          </w:tcPr>
          <w:p>
            <w:pPr>
              <w:spacing w:line="276" w:lineRule="auto"/>
              <w:ind w:firstLine="420" w:firstLineChars="200"/>
              <w:rPr>
                <w:kern w:val="0"/>
                <w:szCs w:val="21"/>
                <w:highlight w:val="none"/>
              </w:rPr>
            </w:pPr>
          </w:p>
        </w:tc>
        <w:tc>
          <w:tcPr>
            <w:tcW w:w="1206" w:type="dxa"/>
            <w:vAlign w:val="center"/>
          </w:tcPr>
          <w:p>
            <w:pPr>
              <w:spacing w:line="276" w:lineRule="auto"/>
              <w:ind w:firstLine="420" w:firstLineChars="200"/>
              <w:rPr>
                <w:kern w:val="0"/>
                <w:szCs w:val="21"/>
                <w:highlight w:val="none"/>
              </w:rPr>
            </w:pPr>
          </w:p>
        </w:tc>
        <w:tc>
          <w:tcPr>
            <w:tcW w:w="1151" w:type="dxa"/>
            <w:vAlign w:val="center"/>
          </w:tcPr>
          <w:p>
            <w:pPr>
              <w:spacing w:line="276" w:lineRule="auto"/>
              <w:ind w:firstLine="420" w:firstLineChars="200"/>
              <w:rPr>
                <w:kern w:val="0"/>
                <w:szCs w:val="21"/>
                <w:highlight w:val="none"/>
              </w:rPr>
            </w:pPr>
          </w:p>
        </w:tc>
        <w:tc>
          <w:tcPr>
            <w:tcW w:w="927" w:type="dxa"/>
            <w:vAlign w:val="center"/>
          </w:tcPr>
          <w:p>
            <w:pPr>
              <w:spacing w:line="276" w:lineRule="auto"/>
              <w:ind w:firstLine="420" w:firstLineChars="200"/>
              <w:rPr>
                <w:kern w:val="0"/>
                <w:szCs w:val="21"/>
                <w:highlight w:val="none"/>
              </w:rPr>
            </w:pPr>
          </w:p>
        </w:tc>
        <w:tc>
          <w:tcPr>
            <w:tcW w:w="615" w:type="dxa"/>
            <w:vAlign w:val="center"/>
          </w:tcPr>
          <w:p>
            <w:pPr>
              <w:spacing w:line="276" w:lineRule="auto"/>
              <w:ind w:firstLine="420" w:firstLineChars="200"/>
              <w:rPr>
                <w:kern w:val="0"/>
                <w:szCs w:val="21"/>
                <w:highlight w:val="none"/>
              </w:rPr>
            </w:pPr>
          </w:p>
        </w:tc>
        <w:tc>
          <w:tcPr>
            <w:tcW w:w="851" w:type="dxa"/>
            <w:vAlign w:val="center"/>
          </w:tcPr>
          <w:p>
            <w:pPr>
              <w:spacing w:line="276" w:lineRule="auto"/>
              <w:ind w:firstLine="420" w:firstLineChars="200"/>
              <w:rPr>
                <w:kern w:val="0"/>
                <w:szCs w:val="21"/>
                <w:highlight w:val="none"/>
              </w:rPr>
            </w:pPr>
          </w:p>
        </w:tc>
        <w:tc>
          <w:tcPr>
            <w:tcW w:w="1158" w:type="dxa"/>
            <w:vAlign w:val="center"/>
          </w:tcPr>
          <w:p>
            <w:pPr>
              <w:spacing w:line="276" w:lineRule="auto"/>
              <w:ind w:firstLine="420" w:firstLineChars="200"/>
              <w:rPr>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spacing w:line="276" w:lineRule="auto"/>
              <w:ind w:firstLine="420" w:firstLineChars="200"/>
              <w:rPr>
                <w:kern w:val="0"/>
                <w:szCs w:val="21"/>
                <w:highlight w:val="none"/>
              </w:rPr>
            </w:pPr>
          </w:p>
        </w:tc>
        <w:tc>
          <w:tcPr>
            <w:tcW w:w="426" w:type="dxa"/>
            <w:vAlign w:val="center"/>
          </w:tcPr>
          <w:p>
            <w:pPr>
              <w:spacing w:line="276" w:lineRule="auto"/>
              <w:ind w:firstLine="420" w:firstLineChars="200"/>
              <w:rPr>
                <w:kern w:val="0"/>
                <w:szCs w:val="21"/>
                <w:highlight w:val="none"/>
              </w:rPr>
            </w:pPr>
          </w:p>
        </w:tc>
        <w:tc>
          <w:tcPr>
            <w:tcW w:w="1187" w:type="dxa"/>
            <w:vAlign w:val="center"/>
          </w:tcPr>
          <w:p>
            <w:pPr>
              <w:spacing w:line="276" w:lineRule="auto"/>
              <w:ind w:firstLine="420" w:firstLineChars="200"/>
              <w:rPr>
                <w:kern w:val="0"/>
                <w:szCs w:val="21"/>
                <w:highlight w:val="none"/>
              </w:rPr>
            </w:pPr>
          </w:p>
        </w:tc>
        <w:tc>
          <w:tcPr>
            <w:tcW w:w="1062" w:type="dxa"/>
            <w:vAlign w:val="center"/>
          </w:tcPr>
          <w:p>
            <w:pPr>
              <w:spacing w:line="276" w:lineRule="auto"/>
              <w:ind w:firstLine="420" w:firstLineChars="200"/>
              <w:rPr>
                <w:kern w:val="0"/>
                <w:szCs w:val="21"/>
                <w:highlight w:val="none"/>
              </w:rPr>
            </w:pPr>
          </w:p>
        </w:tc>
        <w:tc>
          <w:tcPr>
            <w:tcW w:w="1206" w:type="dxa"/>
            <w:vAlign w:val="center"/>
          </w:tcPr>
          <w:p>
            <w:pPr>
              <w:spacing w:line="276" w:lineRule="auto"/>
              <w:ind w:firstLine="420" w:firstLineChars="200"/>
              <w:rPr>
                <w:kern w:val="0"/>
                <w:szCs w:val="21"/>
                <w:highlight w:val="none"/>
              </w:rPr>
            </w:pPr>
          </w:p>
        </w:tc>
        <w:tc>
          <w:tcPr>
            <w:tcW w:w="1151" w:type="dxa"/>
            <w:vAlign w:val="center"/>
          </w:tcPr>
          <w:p>
            <w:pPr>
              <w:spacing w:line="276" w:lineRule="auto"/>
              <w:ind w:firstLine="420" w:firstLineChars="200"/>
              <w:rPr>
                <w:kern w:val="0"/>
                <w:szCs w:val="21"/>
                <w:highlight w:val="none"/>
              </w:rPr>
            </w:pPr>
          </w:p>
        </w:tc>
        <w:tc>
          <w:tcPr>
            <w:tcW w:w="927" w:type="dxa"/>
            <w:vAlign w:val="center"/>
          </w:tcPr>
          <w:p>
            <w:pPr>
              <w:spacing w:line="276" w:lineRule="auto"/>
              <w:ind w:firstLine="420" w:firstLineChars="200"/>
              <w:rPr>
                <w:kern w:val="0"/>
                <w:szCs w:val="21"/>
                <w:highlight w:val="none"/>
              </w:rPr>
            </w:pPr>
          </w:p>
        </w:tc>
        <w:tc>
          <w:tcPr>
            <w:tcW w:w="615" w:type="dxa"/>
            <w:vAlign w:val="center"/>
          </w:tcPr>
          <w:p>
            <w:pPr>
              <w:spacing w:line="276" w:lineRule="auto"/>
              <w:ind w:firstLine="420" w:firstLineChars="200"/>
              <w:rPr>
                <w:kern w:val="0"/>
                <w:szCs w:val="21"/>
                <w:highlight w:val="none"/>
              </w:rPr>
            </w:pPr>
          </w:p>
        </w:tc>
        <w:tc>
          <w:tcPr>
            <w:tcW w:w="851" w:type="dxa"/>
            <w:vAlign w:val="center"/>
          </w:tcPr>
          <w:p>
            <w:pPr>
              <w:spacing w:line="276" w:lineRule="auto"/>
              <w:ind w:firstLine="420" w:firstLineChars="200"/>
              <w:rPr>
                <w:kern w:val="0"/>
                <w:szCs w:val="21"/>
                <w:highlight w:val="none"/>
              </w:rPr>
            </w:pPr>
          </w:p>
        </w:tc>
        <w:tc>
          <w:tcPr>
            <w:tcW w:w="1158" w:type="dxa"/>
            <w:vAlign w:val="center"/>
          </w:tcPr>
          <w:p>
            <w:pPr>
              <w:spacing w:line="276" w:lineRule="auto"/>
              <w:ind w:firstLine="420" w:firstLineChars="200"/>
              <w:rPr>
                <w:kern w:val="0"/>
                <w:szCs w:val="21"/>
                <w:highlight w:val="none"/>
              </w:rPr>
            </w:pPr>
          </w:p>
        </w:tc>
      </w:tr>
    </w:tbl>
    <w:p>
      <w:pPr>
        <w:pStyle w:val="5"/>
        <w:keepNext w:val="0"/>
        <w:keepLines w:val="0"/>
        <w:spacing w:before="0" w:after="0" w:line="490" w:lineRule="exact"/>
        <w:ind w:firstLine="422" w:firstLineChars="200"/>
        <w:rPr>
          <w:color w:val="auto"/>
          <w:sz w:val="21"/>
          <w:szCs w:val="21"/>
          <w:highlight w:val="none"/>
        </w:rPr>
      </w:pPr>
      <w:bookmarkStart w:id="337" w:name="_Toc189386174"/>
      <w:bookmarkStart w:id="338" w:name="_Toc12767"/>
      <w:bookmarkStart w:id="339" w:name="_Toc9161"/>
      <w:r>
        <w:rPr>
          <w:rFonts w:hint="eastAsia"/>
          <w:color w:val="auto"/>
          <w:sz w:val="21"/>
          <w:szCs w:val="21"/>
          <w:highlight w:val="none"/>
        </w:rPr>
        <w:t>11.</w:t>
      </w:r>
      <w:r>
        <w:rPr>
          <w:color w:val="auto"/>
          <w:sz w:val="21"/>
          <w:szCs w:val="21"/>
          <w:highlight w:val="none"/>
        </w:rPr>
        <w:t>开工和竣工</w:t>
      </w:r>
      <w:bookmarkEnd w:id="337"/>
      <w:r>
        <w:rPr>
          <w:rFonts w:hint="eastAsia"/>
          <w:color w:val="auto"/>
          <w:sz w:val="21"/>
          <w:szCs w:val="21"/>
          <w:highlight w:val="none"/>
        </w:rPr>
        <w:t>（完工）</w:t>
      </w:r>
      <w:bookmarkEnd w:id="338"/>
      <w:bookmarkEnd w:id="339"/>
    </w:p>
    <w:p>
      <w:pPr>
        <w:spacing w:line="490" w:lineRule="exact"/>
        <w:ind w:firstLine="422" w:firstLineChars="200"/>
        <w:outlineLvl w:val="3"/>
        <w:rPr>
          <w:b/>
          <w:bCs/>
          <w:kern w:val="0"/>
          <w:szCs w:val="21"/>
          <w:highlight w:val="none"/>
        </w:rPr>
      </w:pPr>
      <w:bookmarkStart w:id="340" w:name="_Toc189386175"/>
      <w:bookmarkStart w:id="341" w:name="_Toc511317360"/>
      <w:bookmarkStart w:id="342" w:name="_Toc511318109"/>
      <w:r>
        <w:rPr>
          <w:b/>
          <w:bCs/>
          <w:kern w:val="0"/>
          <w:szCs w:val="21"/>
          <w:highlight w:val="none"/>
        </w:rPr>
        <w:t>11.1 开工</w:t>
      </w:r>
      <w:bookmarkEnd w:id="340"/>
      <w:bookmarkEnd w:id="341"/>
      <w:bookmarkEnd w:id="342"/>
    </w:p>
    <w:p>
      <w:pPr>
        <w:spacing w:line="490" w:lineRule="exact"/>
        <w:ind w:firstLine="420" w:firstLineChars="200"/>
        <w:rPr>
          <w:kern w:val="0"/>
          <w:szCs w:val="21"/>
          <w:highlight w:val="none"/>
        </w:rPr>
      </w:pPr>
      <w:r>
        <w:rPr>
          <w:kern w:val="0"/>
          <w:szCs w:val="21"/>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pPr>
        <w:spacing w:line="490" w:lineRule="exact"/>
        <w:ind w:firstLine="420" w:firstLineChars="200"/>
        <w:rPr>
          <w:kern w:val="0"/>
          <w:szCs w:val="21"/>
          <w:highlight w:val="none"/>
        </w:rPr>
      </w:pPr>
      <w:r>
        <w:rPr>
          <w:kern w:val="0"/>
          <w:szCs w:val="21"/>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pPr>
        <w:spacing w:line="490" w:lineRule="exact"/>
        <w:ind w:firstLine="420" w:firstLineChars="200"/>
        <w:rPr>
          <w:kern w:val="0"/>
          <w:szCs w:val="21"/>
          <w:highlight w:val="none"/>
        </w:rPr>
      </w:pPr>
      <w:r>
        <w:rPr>
          <w:kern w:val="0"/>
          <w:szCs w:val="21"/>
          <w:highlight w:val="none"/>
        </w:rPr>
        <w:t>11.1.3 若发包人未能按合同约定向承包人提供开工的必要条件，承包人有权要求延长工期。监理人应在收到承包人的书面要求后，按第3.5款的约定，与合同双方商定或确定增加的费用和延长的工期。</w:t>
      </w:r>
    </w:p>
    <w:p>
      <w:pPr>
        <w:spacing w:line="490" w:lineRule="exact"/>
        <w:ind w:firstLine="420" w:firstLineChars="200"/>
        <w:rPr>
          <w:kern w:val="0"/>
          <w:szCs w:val="21"/>
          <w:highlight w:val="none"/>
        </w:rPr>
      </w:pPr>
      <w:r>
        <w:rPr>
          <w:kern w:val="0"/>
          <w:szCs w:val="21"/>
          <w:highlight w:val="none"/>
        </w:rPr>
        <w:t>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pPr>
        <w:spacing w:line="490" w:lineRule="exact"/>
        <w:ind w:firstLine="422" w:firstLineChars="200"/>
        <w:outlineLvl w:val="3"/>
        <w:rPr>
          <w:b/>
          <w:bCs/>
          <w:kern w:val="0"/>
          <w:szCs w:val="21"/>
          <w:highlight w:val="none"/>
        </w:rPr>
      </w:pPr>
      <w:bookmarkStart w:id="343" w:name="_Toc189386176"/>
      <w:r>
        <w:rPr>
          <w:b/>
          <w:bCs/>
          <w:kern w:val="0"/>
          <w:szCs w:val="21"/>
          <w:highlight w:val="none"/>
        </w:rPr>
        <w:t>11.2竣工</w:t>
      </w:r>
      <w:bookmarkEnd w:id="343"/>
      <w:r>
        <w:rPr>
          <w:rFonts w:hint="eastAsia"/>
          <w:b/>
          <w:bCs/>
          <w:kern w:val="0"/>
          <w:szCs w:val="21"/>
          <w:highlight w:val="none"/>
        </w:rPr>
        <w:t>（完工）</w:t>
      </w:r>
    </w:p>
    <w:p>
      <w:pPr>
        <w:spacing w:line="490" w:lineRule="exact"/>
        <w:ind w:firstLine="420" w:firstLineChars="200"/>
        <w:rPr>
          <w:kern w:val="0"/>
          <w:szCs w:val="21"/>
          <w:highlight w:val="none"/>
        </w:rPr>
      </w:pPr>
      <w:r>
        <w:rPr>
          <w:kern w:val="0"/>
          <w:szCs w:val="21"/>
          <w:highlight w:val="none"/>
        </w:rPr>
        <w:t>承包人应在第1.1.4.3目约定的期限内完成合同工程。合同工程实际完工日期在合同工程完工证书中明确。</w:t>
      </w:r>
    </w:p>
    <w:p>
      <w:pPr>
        <w:spacing w:line="490" w:lineRule="exact"/>
        <w:ind w:firstLine="422" w:firstLineChars="200"/>
        <w:outlineLvl w:val="3"/>
        <w:rPr>
          <w:b/>
          <w:bCs/>
          <w:kern w:val="0"/>
          <w:szCs w:val="21"/>
          <w:highlight w:val="none"/>
        </w:rPr>
      </w:pPr>
      <w:bookmarkStart w:id="344" w:name="_Toc189386177"/>
      <w:bookmarkStart w:id="345" w:name="_Toc511317361"/>
      <w:bookmarkStart w:id="346" w:name="_Toc511318110"/>
      <w:r>
        <w:rPr>
          <w:b/>
          <w:bCs/>
          <w:kern w:val="0"/>
          <w:szCs w:val="21"/>
          <w:highlight w:val="none"/>
        </w:rPr>
        <w:t>11.3 发包人的工期延误</w:t>
      </w:r>
      <w:bookmarkEnd w:id="344"/>
      <w:bookmarkEnd w:id="345"/>
      <w:bookmarkEnd w:id="346"/>
    </w:p>
    <w:p>
      <w:pPr>
        <w:spacing w:line="490" w:lineRule="exact"/>
        <w:ind w:firstLine="420" w:firstLineChars="200"/>
        <w:rPr>
          <w:kern w:val="0"/>
          <w:szCs w:val="21"/>
          <w:highlight w:val="none"/>
        </w:rPr>
      </w:pPr>
      <w:r>
        <w:rPr>
          <w:kern w:val="0"/>
          <w:szCs w:val="21"/>
          <w:highlight w:val="none"/>
        </w:rPr>
        <w:t>在履行合同过程中，由于发包人的下列原因造成工期延误的，承包人有权要求发包人延长工期和（或）增加费用，并支付合理利润。需要修订合同进度计划的，按照第10.2 款的约定办理。</w:t>
      </w:r>
    </w:p>
    <w:p>
      <w:pPr>
        <w:spacing w:line="490" w:lineRule="exact"/>
        <w:ind w:firstLine="420" w:firstLineChars="200"/>
        <w:rPr>
          <w:kern w:val="0"/>
          <w:szCs w:val="21"/>
          <w:highlight w:val="none"/>
        </w:rPr>
      </w:pPr>
      <w:r>
        <w:rPr>
          <w:kern w:val="0"/>
          <w:szCs w:val="21"/>
          <w:highlight w:val="none"/>
        </w:rPr>
        <w:t>（1）增加合同工作内容；</w:t>
      </w:r>
    </w:p>
    <w:p>
      <w:pPr>
        <w:spacing w:line="490" w:lineRule="exact"/>
        <w:ind w:firstLine="420" w:firstLineChars="200"/>
        <w:rPr>
          <w:kern w:val="0"/>
          <w:szCs w:val="21"/>
          <w:highlight w:val="none"/>
        </w:rPr>
      </w:pPr>
      <w:r>
        <w:rPr>
          <w:kern w:val="0"/>
          <w:szCs w:val="21"/>
          <w:highlight w:val="none"/>
        </w:rPr>
        <w:t>（2）改变合同中任何一项工作的质量要求或其他特性；</w:t>
      </w:r>
    </w:p>
    <w:p>
      <w:pPr>
        <w:spacing w:line="490" w:lineRule="exact"/>
        <w:ind w:firstLine="420" w:firstLineChars="200"/>
        <w:rPr>
          <w:kern w:val="0"/>
          <w:szCs w:val="21"/>
          <w:highlight w:val="none"/>
        </w:rPr>
      </w:pPr>
      <w:r>
        <w:rPr>
          <w:kern w:val="0"/>
          <w:szCs w:val="21"/>
          <w:highlight w:val="none"/>
        </w:rPr>
        <w:t>（3）发包人迟延提供材料、工程设备或变更交货地点的；</w:t>
      </w:r>
    </w:p>
    <w:p>
      <w:pPr>
        <w:spacing w:line="490" w:lineRule="exact"/>
        <w:ind w:firstLine="420" w:firstLineChars="200"/>
        <w:rPr>
          <w:kern w:val="0"/>
          <w:szCs w:val="21"/>
          <w:highlight w:val="none"/>
        </w:rPr>
      </w:pPr>
      <w:r>
        <w:rPr>
          <w:kern w:val="0"/>
          <w:szCs w:val="21"/>
          <w:highlight w:val="none"/>
        </w:rPr>
        <w:t>（4）因发包人原因导致的暂停施工；</w:t>
      </w:r>
    </w:p>
    <w:p>
      <w:pPr>
        <w:spacing w:line="490" w:lineRule="exact"/>
        <w:ind w:firstLine="420" w:firstLineChars="200"/>
        <w:rPr>
          <w:kern w:val="0"/>
          <w:szCs w:val="21"/>
          <w:highlight w:val="none"/>
        </w:rPr>
      </w:pPr>
      <w:r>
        <w:rPr>
          <w:kern w:val="0"/>
          <w:szCs w:val="21"/>
          <w:highlight w:val="none"/>
        </w:rPr>
        <w:t>（5）提供图纸延误；</w:t>
      </w:r>
    </w:p>
    <w:p>
      <w:pPr>
        <w:spacing w:line="490" w:lineRule="exact"/>
        <w:ind w:firstLine="420" w:firstLineChars="200"/>
        <w:rPr>
          <w:kern w:val="0"/>
          <w:szCs w:val="21"/>
          <w:highlight w:val="none"/>
        </w:rPr>
      </w:pPr>
      <w:r>
        <w:rPr>
          <w:kern w:val="0"/>
          <w:szCs w:val="21"/>
          <w:highlight w:val="none"/>
        </w:rPr>
        <w:t>（6）未按合同约定及时支付预付款、进度款；</w:t>
      </w:r>
    </w:p>
    <w:p>
      <w:pPr>
        <w:spacing w:line="490" w:lineRule="exact"/>
        <w:ind w:firstLine="420" w:firstLineChars="200"/>
        <w:rPr>
          <w:kern w:val="0"/>
          <w:szCs w:val="21"/>
          <w:highlight w:val="none"/>
        </w:rPr>
      </w:pPr>
      <w:r>
        <w:rPr>
          <w:kern w:val="0"/>
          <w:szCs w:val="21"/>
          <w:highlight w:val="none"/>
        </w:rPr>
        <w:t>（7）发包人造成工期延误的其他原因。</w:t>
      </w:r>
    </w:p>
    <w:p>
      <w:pPr>
        <w:spacing w:line="490" w:lineRule="exact"/>
        <w:ind w:firstLine="422" w:firstLineChars="200"/>
        <w:outlineLvl w:val="3"/>
        <w:rPr>
          <w:b/>
          <w:bCs/>
          <w:kern w:val="0"/>
          <w:szCs w:val="21"/>
          <w:highlight w:val="none"/>
        </w:rPr>
      </w:pPr>
      <w:bookmarkStart w:id="347" w:name="_Toc189386178"/>
      <w:bookmarkStart w:id="348" w:name="_Toc511317362"/>
      <w:bookmarkStart w:id="349" w:name="_Toc511318111"/>
      <w:r>
        <w:rPr>
          <w:b/>
          <w:bCs/>
          <w:kern w:val="0"/>
          <w:szCs w:val="21"/>
          <w:highlight w:val="none"/>
        </w:rPr>
        <w:t>11.4 异常恶劣的气候条件</w:t>
      </w:r>
      <w:bookmarkEnd w:id="347"/>
      <w:bookmarkEnd w:id="348"/>
      <w:bookmarkEnd w:id="349"/>
    </w:p>
    <w:p>
      <w:pPr>
        <w:spacing w:line="490" w:lineRule="exact"/>
        <w:ind w:firstLine="420" w:firstLineChars="200"/>
        <w:rPr>
          <w:kern w:val="0"/>
          <w:szCs w:val="21"/>
          <w:highlight w:val="none"/>
        </w:rPr>
      </w:pPr>
      <w:r>
        <w:rPr>
          <w:kern w:val="0"/>
          <w:szCs w:val="21"/>
          <w:highlight w:val="none"/>
        </w:rPr>
        <w:t>11.4.1 当工程所在地发生危及施工安全的异常恶劣气候时，发包人和承包人应按本合同通用合同条款第12条的约定，及时采取暂停施工或部分暂停施工措施。异常恶劣气候条件解除后，承包人应及时安排复工。</w:t>
      </w:r>
    </w:p>
    <w:p>
      <w:pPr>
        <w:spacing w:line="490" w:lineRule="exact"/>
        <w:ind w:firstLine="420" w:firstLineChars="200"/>
        <w:rPr>
          <w:kern w:val="0"/>
          <w:szCs w:val="21"/>
          <w:highlight w:val="none"/>
        </w:rPr>
      </w:pPr>
      <w:r>
        <w:rPr>
          <w:kern w:val="0"/>
          <w:szCs w:val="21"/>
          <w:highlight w:val="none"/>
        </w:rPr>
        <w:t>11.4.2 异常恶劣气候条件造成的工期延误和工程损坏，应由发包人与承包人参照本合同通用合同条款第21.3款的约定协商处理。</w:t>
      </w:r>
    </w:p>
    <w:p>
      <w:pPr>
        <w:spacing w:line="490" w:lineRule="exact"/>
        <w:ind w:firstLine="420" w:firstLineChars="200"/>
        <w:rPr>
          <w:kern w:val="0"/>
          <w:szCs w:val="21"/>
          <w:highlight w:val="none"/>
        </w:rPr>
      </w:pPr>
      <w:r>
        <w:rPr>
          <w:kern w:val="0"/>
          <w:szCs w:val="21"/>
          <w:highlight w:val="none"/>
        </w:rPr>
        <w:t>11.4.3 本合同工程界定异常恶劣气候条件的范围在专用合同条款中约定。</w:t>
      </w:r>
    </w:p>
    <w:p>
      <w:pPr>
        <w:spacing w:line="490" w:lineRule="exact"/>
        <w:ind w:firstLine="422" w:firstLineChars="200"/>
        <w:outlineLvl w:val="3"/>
        <w:rPr>
          <w:b/>
          <w:bCs/>
          <w:kern w:val="0"/>
          <w:szCs w:val="21"/>
          <w:highlight w:val="none"/>
        </w:rPr>
      </w:pPr>
      <w:bookmarkStart w:id="350" w:name="_Toc511318112"/>
      <w:bookmarkStart w:id="351" w:name="_Toc189386179"/>
      <w:bookmarkStart w:id="352" w:name="_Toc511317363"/>
      <w:r>
        <w:rPr>
          <w:b/>
          <w:bCs/>
          <w:kern w:val="0"/>
          <w:szCs w:val="21"/>
          <w:highlight w:val="none"/>
        </w:rPr>
        <w:t>11.5 承包人的工期延误</w:t>
      </w:r>
      <w:bookmarkEnd w:id="350"/>
      <w:bookmarkEnd w:id="351"/>
      <w:bookmarkEnd w:id="352"/>
    </w:p>
    <w:p>
      <w:pPr>
        <w:spacing w:line="490" w:lineRule="exact"/>
        <w:ind w:firstLine="420" w:firstLineChars="200"/>
        <w:rPr>
          <w:kern w:val="0"/>
          <w:szCs w:val="21"/>
          <w:highlight w:val="none"/>
        </w:rPr>
      </w:pPr>
      <w:r>
        <w:rPr>
          <w:kern w:val="0"/>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spacing w:line="490" w:lineRule="exact"/>
        <w:ind w:firstLine="422" w:firstLineChars="200"/>
        <w:outlineLvl w:val="3"/>
        <w:rPr>
          <w:b/>
          <w:bCs/>
          <w:kern w:val="0"/>
          <w:szCs w:val="21"/>
          <w:highlight w:val="none"/>
        </w:rPr>
      </w:pPr>
      <w:bookmarkStart w:id="353" w:name="_Toc511317364"/>
      <w:bookmarkStart w:id="354" w:name="_Toc189386180"/>
      <w:bookmarkStart w:id="355" w:name="_Toc511318113"/>
      <w:r>
        <w:rPr>
          <w:b/>
          <w:bCs/>
          <w:kern w:val="0"/>
          <w:szCs w:val="21"/>
          <w:highlight w:val="none"/>
        </w:rPr>
        <w:t>11.6 工期提前</w:t>
      </w:r>
      <w:bookmarkEnd w:id="353"/>
      <w:bookmarkEnd w:id="354"/>
      <w:bookmarkEnd w:id="355"/>
    </w:p>
    <w:p>
      <w:pPr>
        <w:spacing w:line="490" w:lineRule="exact"/>
        <w:ind w:firstLine="420" w:firstLineChars="200"/>
        <w:rPr>
          <w:kern w:val="0"/>
          <w:szCs w:val="21"/>
          <w:highlight w:val="none"/>
        </w:rPr>
      </w:pPr>
      <w:r>
        <w:rPr>
          <w:kern w:val="0"/>
          <w:szCs w:val="21"/>
          <w:highlight w:val="none"/>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pPr>
        <w:spacing w:line="490" w:lineRule="exact"/>
        <w:ind w:firstLine="420" w:firstLineChars="200"/>
        <w:rPr>
          <w:kern w:val="0"/>
          <w:szCs w:val="21"/>
          <w:highlight w:val="none"/>
        </w:rPr>
      </w:pPr>
      <w:r>
        <w:rPr>
          <w:kern w:val="0"/>
          <w:szCs w:val="21"/>
          <w:highlight w:val="none"/>
        </w:rPr>
        <w:t>发包人要求提前完工的，双方协商一致后应签订提前完工协议，协议内容包括：</w:t>
      </w:r>
    </w:p>
    <w:p>
      <w:pPr>
        <w:spacing w:line="490" w:lineRule="exact"/>
        <w:ind w:firstLine="420" w:firstLineChars="200"/>
        <w:rPr>
          <w:kern w:val="0"/>
          <w:szCs w:val="21"/>
          <w:highlight w:val="none"/>
        </w:rPr>
      </w:pPr>
      <w:r>
        <w:rPr>
          <w:kern w:val="0"/>
          <w:szCs w:val="21"/>
          <w:highlight w:val="none"/>
        </w:rPr>
        <w:t>（1）提前的时间和修订后的进度计划；</w:t>
      </w:r>
    </w:p>
    <w:p>
      <w:pPr>
        <w:spacing w:line="490" w:lineRule="exact"/>
        <w:ind w:firstLine="420" w:firstLineChars="200"/>
        <w:rPr>
          <w:kern w:val="0"/>
          <w:szCs w:val="21"/>
          <w:highlight w:val="none"/>
        </w:rPr>
      </w:pPr>
      <w:r>
        <w:rPr>
          <w:kern w:val="0"/>
          <w:szCs w:val="21"/>
          <w:highlight w:val="none"/>
        </w:rPr>
        <w:t>（2）承包人的赶工措施；</w:t>
      </w:r>
    </w:p>
    <w:p>
      <w:pPr>
        <w:spacing w:line="490" w:lineRule="exact"/>
        <w:ind w:firstLine="420" w:firstLineChars="200"/>
        <w:rPr>
          <w:kern w:val="0"/>
          <w:szCs w:val="21"/>
          <w:highlight w:val="none"/>
        </w:rPr>
      </w:pPr>
      <w:r>
        <w:rPr>
          <w:kern w:val="0"/>
          <w:szCs w:val="21"/>
          <w:highlight w:val="none"/>
        </w:rPr>
        <w:t>（3）发包人为赶工提供的条件；</w:t>
      </w:r>
    </w:p>
    <w:p>
      <w:pPr>
        <w:spacing w:line="490" w:lineRule="exact"/>
        <w:ind w:firstLine="420" w:firstLineChars="200"/>
        <w:rPr>
          <w:kern w:val="0"/>
          <w:szCs w:val="21"/>
          <w:highlight w:val="none"/>
        </w:rPr>
      </w:pPr>
      <w:r>
        <w:rPr>
          <w:kern w:val="0"/>
          <w:szCs w:val="21"/>
          <w:highlight w:val="none"/>
        </w:rPr>
        <w:t>（4）赶工费用（包括利润和奖金）。</w:t>
      </w:r>
    </w:p>
    <w:p>
      <w:pPr>
        <w:pStyle w:val="5"/>
        <w:keepNext w:val="0"/>
        <w:keepLines w:val="0"/>
        <w:spacing w:before="0" w:after="0" w:line="490" w:lineRule="exact"/>
        <w:ind w:firstLine="422" w:firstLineChars="200"/>
        <w:rPr>
          <w:bCs w:val="0"/>
          <w:color w:val="auto"/>
          <w:sz w:val="21"/>
          <w:szCs w:val="21"/>
          <w:highlight w:val="none"/>
        </w:rPr>
      </w:pPr>
      <w:bookmarkStart w:id="356" w:name="_Toc189386181"/>
      <w:bookmarkStart w:id="357" w:name="_Toc14083"/>
      <w:bookmarkStart w:id="358" w:name="_Toc8468"/>
      <w:r>
        <w:rPr>
          <w:bCs w:val="0"/>
          <w:color w:val="auto"/>
          <w:sz w:val="21"/>
          <w:szCs w:val="21"/>
          <w:highlight w:val="none"/>
        </w:rPr>
        <w:t>12</w:t>
      </w:r>
      <w:r>
        <w:rPr>
          <w:rFonts w:hint="eastAsia"/>
          <w:bCs w:val="0"/>
          <w:color w:val="auto"/>
          <w:sz w:val="21"/>
          <w:szCs w:val="21"/>
          <w:highlight w:val="none"/>
        </w:rPr>
        <w:t>.</w:t>
      </w:r>
      <w:r>
        <w:rPr>
          <w:bCs w:val="0"/>
          <w:color w:val="auto"/>
          <w:sz w:val="21"/>
          <w:szCs w:val="21"/>
          <w:highlight w:val="none"/>
        </w:rPr>
        <w:t>暂停施工</w:t>
      </w:r>
      <w:bookmarkEnd w:id="356"/>
      <w:bookmarkEnd w:id="357"/>
      <w:bookmarkEnd w:id="358"/>
    </w:p>
    <w:p>
      <w:pPr>
        <w:spacing w:line="490" w:lineRule="exact"/>
        <w:ind w:firstLine="422" w:firstLineChars="200"/>
        <w:outlineLvl w:val="3"/>
        <w:rPr>
          <w:b/>
          <w:bCs/>
          <w:kern w:val="0"/>
          <w:szCs w:val="21"/>
          <w:highlight w:val="none"/>
        </w:rPr>
      </w:pPr>
      <w:bookmarkStart w:id="359" w:name="_Toc511317366"/>
      <w:bookmarkStart w:id="360" w:name="_Toc189386182"/>
      <w:bookmarkStart w:id="361" w:name="_Toc511318115"/>
      <w:r>
        <w:rPr>
          <w:b/>
          <w:bCs/>
          <w:kern w:val="0"/>
          <w:szCs w:val="21"/>
          <w:highlight w:val="none"/>
        </w:rPr>
        <w:t>12.1 承包人暂停施工的责任</w:t>
      </w:r>
      <w:bookmarkEnd w:id="359"/>
      <w:bookmarkEnd w:id="360"/>
      <w:bookmarkEnd w:id="361"/>
    </w:p>
    <w:p>
      <w:pPr>
        <w:spacing w:line="490" w:lineRule="exact"/>
        <w:ind w:firstLine="420" w:firstLineChars="200"/>
        <w:rPr>
          <w:kern w:val="0"/>
          <w:szCs w:val="21"/>
          <w:highlight w:val="none"/>
        </w:rPr>
      </w:pPr>
      <w:r>
        <w:rPr>
          <w:kern w:val="0"/>
          <w:szCs w:val="21"/>
          <w:highlight w:val="none"/>
        </w:rPr>
        <w:t>因下列暂停施工增加的费用和（或）工期延误由承包人承担：</w:t>
      </w:r>
    </w:p>
    <w:p>
      <w:pPr>
        <w:spacing w:line="490" w:lineRule="exact"/>
        <w:ind w:firstLine="420" w:firstLineChars="200"/>
        <w:rPr>
          <w:kern w:val="0"/>
          <w:szCs w:val="21"/>
          <w:highlight w:val="none"/>
        </w:rPr>
      </w:pPr>
      <w:r>
        <w:rPr>
          <w:kern w:val="0"/>
          <w:szCs w:val="21"/>
          <w:highlight w:val="none"/>
        </w:rPr>
        <w:t>（1）承包人违约引起的暂停施工；</w:t>
      </w:r>
    </w:p>
    <w:p>
      <w:pPr>
        <w:spacing w:line="490" w:lineRule="exact"/>
        <w:ind w:firstLine="420" w:firstLineChars="200"/>
        <w:rPr>
          <w:kern w:val="0"/>
          <w:szCs w:val="21"/>
          <w:highlight w:val="none"/>
        </w:rPr>
      </w:pPr>
      <w:r>
        <w:rPr>
          <w:kern w:val="0"/>
          <w:szCs w:val="21"/>
          <w:highlight w:val="none"/>
        </w:rPr>
        <w:t>（2）由于承包人原因为工程合理施工和安全保障所必需的暂停施工；</w:t>
      </w:r>
    </w:p>
    <w:p>
      <w:pPr>
        <w:spacing w:line="490" w:lineRule="exact"/>
        <w:ind w:firstLine="420" w:firstLineChars="200"/>
        <w:rPr>
          <w:kern w:val="0"/>
          <w:szCs w:val="21"/>
          <w:highlight w:val="none"/>
        </w:rPr>
      </w:pPr>
      <w:r>
        <w:rPr>
          <w:kern w:val="0"/>
          <w:szCs w:val="21"/>
          <w:highlight w:val="none"/>
        </w:rPr>
        <w:t>（3）承包人擅自暂停施工；</w:t>
      </w:r>
    </w:p>
    <w:p>
      <w:pPr>
        <w:spacing w:line="490" w:lineRule="exact"/>
        <w:ind w:firstLine="420" w:firstLineChars="200"/>
        <w:rPr>
          <w:kern w:val="0"/>
          <w:szCs w:val="21"/>
          <w:highlight w:val="none"/>
        </w:rPr>
      </w:pPr>
      <w:r>
        <w:rPr>
          <w:kern w:val="0"/>
          <w:szCs w:val="21"/>
          <w:highlight w:val="none"/>
        </w:rPr>
        <w:t>（4）承包人其他原因引起的暂停施工；</w:t>
      </w:r>
    </w:p>
    <w:p>
      <w:pPr>
        <w:spacing w:line="490" w:lineRule="exact"/>
        <w:ind w:firstLine="420" w:firstLineChars="200"/>
        <w:rPr>
          <w:kern w:val="0"/>
          <w:szCs w:val="21"/>
          <w:highlight w:val="none"/>
        </w:rPr>
      </w:pPr>
      <w:r>
        <w:rPr>
          <w:kern w:val="0"/>
          <w:szCs w:val="21"/>
          <w:highlight w:val="none"/>
        </w:rPr>
        <w:t>（5）专用合同条款约定由承包人承担的其他暂停施工。</w:t>
      </w:r>
    </w:p>
    <w:p>
      <w:pPr>
        <w:spacing w:line="490" w:lineRule="exact"/>
        <w:ind w:firstLine="422" w:firstLineChars="200"/>
        <w:outlineLvl w:val="3"/>
        <w:rPr>
          <w:b/>
          <w:bCs/>
          <w:kern w:val="0"/>
          <w:szCs w:val="21"/>
          <w:highlight w:val="none"/>
        </w:rPr>
      </w:pPr>
      <w:bookmarkStart w:id="362" w:name="_Toc511318116"/>
      <w:bookmarkStart w:id="363" w:name="_Toc511317367"/>
      <w:bookmarkStart w:id="364" w:name="_Toc189386183"/>
      <w:r>
        <w:rPr>
          <w:b/>
          <w:bCs/>
          <w:kern w:val="0"/>
          <w:szCs w:val="21"/>
          <w:highlight w:val="none"/>
        </w:rPr>
        <w:t>12.2 发包人暂停施工的责任</w:t>
      </w:r>
      <w:bookmarkEnd w:id="362"/>
      <w:bookmarkEnd w:id="363"/>
      <w:bookmarkEnd w:id="364"/>
    </w:p>
    <w:p>
      <w:pPr>
        <w:spacing w:line="490" w:lineRule="exact"/>
        <w:ind w:firstLine="420" w:firstLineChars="200"/>
        <w:rPr>
          <w:kern w:val="0"/>
          <w:szCs w:val="21"/>
          <w:highlight w:val="none"/>
        </w:rPr>
      </w:pPr>
      <w:r>
        <w:rPr>
          <w:kern w:val="0"/>
          <w:szCs w:val="21"/>
          <w:highlight w:val="none"/>
        </w:rPr>
        <w:t>由于发包人原因引起的暂停施工造成工期延误的，承包人有权要求发包人延长工期和（或）增加费用，并支付合理利润。</w:t>
      </w:r>
    </w:p>
    <w:p>
      <w:pPr>
        <w:spacing w:line="490" w:lineRule="exact"/>
        <w:ind w:firstLine="420" w:firstLineChars="200"/>
        <w:rPr>
          <w:kern w:val="0"/>
          <w:szCs w:val="21"/>
          <w:highlight w:val="none"/>
        </w:rPr>
      </w:pPr>
      <w:r>
        <w:rPr>
          <w:kern w:val="0"/>
          <w:szCs w:val="21"/>
          <w:highlight w:val="none"/>
        </w:rPr>
        <w:t>属于下列任何一种情况引起的暂停施工，均为发包人的责任：</w:t>
      </w:r>
    </w:p>
    <w:p>
      <w:pPr>
        <w:spacing w:line="490" w:lineRule="exact"/>
        <w:ind w:firstLine="420" w:firstLineChars="200"/>
        <w:rPr>
          <w:kern w:val="0"/>
          <w:szCs w:val="21"/>
          <w:highlight w:val="none"/>
        </w:rPr>
      </w:pPr>
      <w:r>
        <w:rPr>
          <w:kern w:val="0"/>
          <w:szCs w:val="21"/>
          <w:highlight w:val="none"/>
        </w:rPr>
        <w:t>（1）由于发包人违约引起的暂停施工；</w:t>
      </w:r>
    </w:p>
    <w:p>
      <w:pPr>
        <w:spacing w:line="490" w:lineRule="exact"/>
        <w:ind w:firstLine="420" w:firstLineChars="200"/>
        <w:rPr>
          <w:kern w:val="0"/>
          <w:szCs w:val="21"/>
          <w:highlight w:val="none"/>
        </w:rPr>
      </w:pPr>
      <w:r>
        <w:rPr>
          <w:kern w:val="0"/>
          <w:szCs w:val="21"/>
          <w:highlight w:val="none"/>
        </w:rPr>
        <w:t>（2）由于不可抗力的自然或社会因素引起的暂停施工；</w:t>
      </w:r>
    </w:p>
    <w:p>
      <w:pPr>
        <w:spacing w:line="490" w:lineRule="exact"/>
        <w:ind w:firstLine="420" w:firstLineChars="200"/>
        <w:rPr>
          <w:kern w:val="0"/>
          <w:szCs w:val="21"/>
          <w:highlight w:val="none"/>
        </w:rPr>
      </w:pPr>
      <w:r>
        <w:rPr>
          <w:kern w:val="0"/>
          <w:szCs w:val="21"/>
          <w:highlight w:val="none"/>
        </w:rPr>
        <w:t>（3）专用合同条款中约定的其它由于发包人原因引起的暂停施工。</w:t>
      </w:r>
    </w:p>
    <w:p>
      <w:pPr>
        <w:spacing w:line="490" w:lineRule="exact"/>
        <w:ind w:firstLine="422" w:firstLineChars="200"/>
        <w:outlineLvl w:val="3"/>
        <w:rPr>
          <w:b/>
          <w:bCs/>
          <w:kern w:val="0"/>
          <w:szCs w:val="21"/>
          <w:highlight w:val="none"/>
        </w:rPr>
      </w:pPr>
      <w:bookmarkStart w:id="365" w:name="_Toc189386184"/>
      <w:r>
        <w:rPr>
          <w:b/>
          <w:bCs/>
          <w:kern w:val="0"/>
          <w:szCs w:val="21"/>
          <w:highlight w:val="none"/>
        </w:rPr>
        <w:t>12.3 监理人暂停施工指示</w:t>
      </w:r>
      <w:bookmarkEnd w:id="365"/>
    </w:p>
    <w:p>
      <w:pPr>
        <w:spacing w:line="490" w:lineRule="exact"/>
        <w:ind w:firstLine="420" w:firstLineChars="200"/>
        <w:rPr>
          <w:kern w:val="0"/>
          <w:szCs w:val="21"/>
          <w:highlight w:val="none"/>
        </w:rPr>
      </w:pPr>
      <w:r>
        <w:rPr>
          <w:kern w:val="0"/>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pPr>
        <w:spacing w:line="490" w:lineRule="exact"/>
        <w:ind w:firstLine="420" w:firstLineChars="200"/>
        <w:rPr>
          <w:kern w:val="0"/>
          <w:szCs w:val="21"/>
          <w:highlight w:val="none"/>
        </w:rPr>
      </w:pPr>
      <w:r>
        <w:rPr>
          <w:kern w:val="0"/>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pPr>
        <w:spacing w:line="490" w:lineRule="exact"/>
        <w:ind w:firstLine="422" w:firstLineChars="200"/>
        <w:outlineLvl w:val="3"/>
        <w:rPr>
          <w:b/>
          <w:bCs/>
          <w:kern w:val="0"/>
          <w:szCs w:val="21"/>
          <w:highlight w:val="none"/>
        </w:rPr>
      </w:pPr>
      <w:bookmarkStart w:id="366" w:name="_Toc189386185"/>
      <w:r>
        <w:rPr>
          <w:b/>
          <w:bCs/>
          <w:kern w:val="0"/>
          <w:szCs w:val="21"/>
          <w:highlight w:val="none"/>
        </w:rPr>
        <w:t>12.4 暂停施工后的复工</w:t>
      </w:r>
      <w:bookmarkEnd w:id="366"/>
    </w:p>
    <w:p>
      <w:pPr>
        <w:spacing w:line="490" w:lineRule="exact"/>
        <w:ind w:firstLine="420" w:firstLineChars="200"/>
        <w:rPr>
          <w:kern w:val="0"/>
          <w:szCs w:val="21"/>
          <w:highlight w:val="none"/>
        </w:rPr>
      </w:pPr>
      <w:r>
        <w:rPr>
          <w:kern w:val="0"/>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pPr>
        <w:spacing w:line="490" w:lineRule="exact"/>
        <w:ind w:firstLine="420" w:firstLineChars="200"/>
        <w:rPr>
          <w:kern w:val="0"/>
          <w:szCs w:val="21"/>
          <w:highlight w:val="none"/>
        </w:rPr>
      </w:pPr>
      <w:r>
        <w:rPr>
          <w:kern w:val="0"/>
          <w:szCs w:val="21"/>
          <w:highlight w:val="none"/>
        </w:rPr>
        <w:t>12.4.2 承包人无故拖延和拒绝复工的，由此增加的费用和工期延误由承包人承担；因发包人原因无法按时复工的，承包人有权要求发包人延长工期和（或）增加费用，并支付合理利润。</w:t>
      </w:r>
    </w:p>
    <w:p>
      <w:pPr>
        <w:spacing w:line="490" w:lineRule="exact"/>
        <w:ind w:firstLine="422" w:firstLineChars="200"/>
        <w:outlineLvl w:val="3"/>
        <w:rPr>
          <w:b/>
          <w:bCs/>
          <w:kern w:val="0"/>
          <w:szCs w:val="21"/>
          <w:highlight w:val="none"/>
        </w:rPr>
      </w:pPr>
      <w:bookmarkStart w:id="367" w:name="_Toc189386186"/>
      <w:r>
        <w:rPr>
          <w:b/>
          <w:bCs/>
          <w:kern w:val="0"/>
          <w:szCs w:val="21"/>
          <w:highlight w:val="none"/>
        </w:rPr>
        <w:t>12.5 暂停施工持续56天以上</w:t>
      </w:r>
      <w:bookmarkEnd w:id="367"/>
    </w:p>
    <w:p>
      <w:pPr>
        <w:spacing w:line="490" w:lineRule="exact"/>
        <w:ind w:firstLine="420" w:firstLineChars="200"/>
        <w:rPr>
          <w:kern w:val="0"/>
          <w:szCs w:val="21"/>
          <w:highlight w:val="none"/>
        </w:rPr>
      </w:pPr>
      <w:r>
        <w:rPr>
          <w:kern w:val="0"/>
          <w:szCs w:val="21"/>
          <w:highlight w:val="none"/>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pPr>
        <w:spacing w:line="490" w:lineRule="exact"/>
        <w:ind w:firstLine="420" w:firstLineChars="200"/>
        <w:rPr>
          <w:kern w:val="0"/>
          <w:szCs w:val="21"/>
          <w:highlight w:val="none"/>
        </w:rPr>
      </w:pPr>
      <w:r>
        <w:rPr>
          <w:kern w:val="0"/>
          <w:szCs w:val="21"/>
          <w:highlight w:val="none"/>
        </w:rPr>
        <w:t>12.5.2 由于承包人责任引起的暂停施工，如承包人在收到监理人暂停施工指示后56 天内不认真采取有效的复工措施，造成工期延误，可视为承包人违约，应按第22.1 款的规定办理。</w:t>
      </w:r>
    </w:p>
    <w:p>
      <w:pPr>
        <w:pStyle w:val="5"/>
        <w:keepNext w:val="0"/>
        <w:keepLines w:val="0"/>
        <w:spacing w:before="0" w:after="0" w:line="490" w:lineRule="exact"/>
        <w:ind w:firstLine="422" w:firstLineChars="200"/>
        <w:rPr>
          <w:bCs w:val="0"/>
          <w:color w:val="auto"/>
          <w:sz w:val="21"/>
          <w:szCs w:val="21"/>
          <w:highlight w:val="none"/>
        </w:rPr>
      </w:pPr>
      <w:bookmarkStart w:id="368" w:name="_Toc23733"/>
      <w:bookmarkStart w:id="369" w:name="_Toc189386187"/>
      <w:bookmarkStart w:id="370" w:name="_Toc22098"/>
      <w:r>
        <w:rPr>
          <w:bCs w:val="0"/>
          <w:color w:val="auto"/>
          <w:sz w:val="21"/>
          <w:szCs w:val="21"/>
          <w:highlight w:val="none"/>
        </w:rPr>
        <w:t>13</w:t>
      </w:r>
      <w:r>
        <w:rPr>
          <w:rFonts w:hint="eastAsia"/>
          <w:bCs w:val="0"/>
          <w:color w:val="auto"/>
          <w:sz w:val="21"/>
          <w:szCs w:val="21"/>
          <w:highlight w:val="none"/>
        </w:rPr>
        <w:t>.</w:t>
      </w:r>
      <w:r>
        <w:rPr>
          <w:bCs w:val="0"/>
          <w:color w:val="auto"/>
          <w:sz w:val="21"/>
          <w:szCs w:val="21"/>
          <w:highlight w:val="none"/>
        </w:rPr>
        <w:t>工程质量</w:t>
      </w:r>
      <w:bookmarkEnd w:id="368"/>
      <w:bookmarkEnd w:id="369"/>
      <w:bookmarkEnd w:id="370"/>
    </w:p>
    <w:p>
      <w:pPr>
        <w:spacing w:line="490" w:lineRule="exact"/>
        <w:ind w:firstLine="422" w:firstLineChars="200"/>
        <w:outlineLvl w:val="3"/>
        <w:rPr>
          <w:b/>
          <w:bCs/>
          <w:kern w:val="0"/>
          <w:szCs w:val="21"/>
          <w:highlight w:val="none"/>
        </w:rPr>
      </w:pPr>
      <w:bookmarkStart w:id="371" w:name="_Toc511318118"/>
      <w:bookmarkStart w:id="372" w:name="_Toc511317369"/>
      <w:bookmarkStart w:id="373" w:name="_Toc189386188"/>
      <w:r>
        <w:rPr>
          <w:b/>
          <w:bCs/>
          <w:kern w:val="0"/>
          <w:szCs w:val="21"/>
          <w:highlight w:val="none"/>
        </w:rPr>
        <w:t>13.1 工程质量要求</w:t>
      </w:r>
      <w:bookmarkEnd w:id="371"/>
      <w:bookmarkEnd w:id="372"/>
      <w:bookmarkEnd w:id="373"/>
    </w:p>
    <w:p>
      <w:pPr>
        <w:spacing w:line="490" w:lineRule="exact"/>
        <w:ind w:firstLine="420" w:firstLineChars="200"/>
        <w:rPr>
          <w:kern w:val="0"/>
          <w:szCs w:val="21"/>
          <w:highlight w:val="none"/>
        </w:rPr>
      </w:pPr>
      <w:r>
        <w:rPr>
          <w:kern w:val="0"/>
          <w:szCs w:val="21"/>
          <w:highlight w:val="none"/>
        </w:rPr>
        <w:t>13.1.1 工程质量验收按合同约定验收标准执行。</w:t>
      </w:r>
    </w:p>
    <w:p>
      <w:pPr>
        <w:spacing w:line="490" w:lineRule="exact"/>
        <w:ind w:firstLine="420" w:firstLineChars="200"/>
        <w:rPr>
          <w:kern w:val="0"/>
          <w:szCs w:val="21"/>
          <w:highlight w:val="none"/>
        </w:rPr>
      </w:pPr>
      <w:r>
        <w:rPr>
          <w:kern w:val="0"/>
          <w:szCs w:val="21"/>
          <w:highlight w:val="none"/>
        </w:rPr>
        <w:t>13.1.2 因承包人原因造成工程质量达不到合同约定验收标准的，监理人有权要求承包人返工直至符合合同要求为止，由此造成的费用增加和（或）工期延误由承包人承担。</w:t>
      </w:r>
    </w:p>
    <w:p>
      <w:pPr>
        <w:spacing w:line="490" w:lineRule="exact"/>
        <w:ind w:firstLine="420" w:firstLineChars="200"/>
        <w:rPr>
          <w:kern w:val="0"/>
          <w:szCs w:val="21"/>
          <w:highlight w:val="none"/>
        </w:rPr>
      </w:pPr>
      <w:r>
        <w:rPr>
          <w:kern w:val="0"/>
          <w:szCs w:val="21"/>
          <w:highlight w:val="none"/>
        </w:rPr>
        <w:t>13.1.3 因发包人原因造成工程质量达不到合同约定验收标准的，发包人应承担由于承包人返工造成的费用增加和（或）工期延误，并支付承包人合理利润。</w:t>
      </w:r>
    </w:p>
    <w:p>
      <w:pPr>
        <w:spacing w:line="490" w:lineRule="exact"/>
        <w:ind w:firstLine="422" w:firstLineChars="200"/>
        <w:outlineLvl w:val="3"/>
        <w:rPr>
          <w:b/>
          <w:bCs/>
          <w:kern w:val="0"/>
          <w:szCs w:val="21"/>
          <w:highlight w:val="none"/>
        </w:rPr>
      </w:pPr>
      <w:bookmarkStart w:id="374" w:name="_Toc189386189"/>
      <w:bookmarkStart w:id="375" w:name="_Toc511317370"/>
      <w:bookmarkStart w:id="376" w:name="_Toc511318119"/>
      <w:r>
        <w:rPr>
          <w:b/>
          <w:bCs/>
          <w:kern w:val="0"/>
          <w:szCs w:val="21"/>
          <w:highlight w:val="none"/>
        </w:rPr>
        <w:t>13.2 承包人的质量管理</w:t>
      </w:r>
      <w:bookmarkEnd w:id="374"/>
      <w:bookmarkEnd w:id="375"/>
      <w:bookmarkEnd w:id="376"/>
    </w:p>
    <w:p>
      <w:pPr>
        <w:spacing w:line="490" w:lineRule="exact"/>
        <w:ind w:firstLine="420" w:firstLineChars="200"/>
        <w:rPr>
          <w:kern w:val="0"/>
          <w:szCs w:val="21"/>
          <w:highlight w:val="none"/>
        </w:rPr>
      </w:pPr>
      <w:r>
        <w:rPr>
          <w:kern w:val="0"/>
          <w:szCs w:val="21"/>
          <w:highlight w:val="none"/>
        </w:rPr>
        <w:t>13.2.1 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pPr>
        <w:spacing w:line="490" w:lineRule="exact"/>
        <w:ind w:firstLine="420" w:firstLineChars="200"/>
        <w:rPr>
          <w:kern w:val="0"/>
          <w:szCs w:val="21"/>
          <w:highlight w:val="none"/>
        </w:rPr>
      </w:pPr>
      <w:r>
        <w:rPr>
          <w:kern w:val="0"/>
          <w:szCs w:val="21"/>
          <w:highlight w:val="none"/>
        </w:rPr>
        <w:t>13.2.2 承包人应加强对施工人员的质量教育和技术培训，定期考核施工人员的劳动技能，严格执行规范和操作规程。</w:t>
      </w:r>
    </w:p>
    <w:p>
      <w:pPr>
        <w:spacing w:line="490" w:lineRule="exact"/>
        <w:ind w:firstLine="422" w:firstLineChars="200"/>
        <w:outlineLvl w:val="3"/>
        <w:rPr>
          <w:b/>
          <w:bCs/>
          <w:kern w:val="0"/>
          <w:szCs w:val="21"/>
          <w:highlight w:val="none"/>
        </w:rPr>
      </w:pPr>
      <w:bookmarkStart w:id="377" w:name="_Toc511318120"/>
      <w:bookmarkStart w:id="378" w:name="_Toc189386190"/>
      <w:bookmarkStart w:id="379" w:name="_Toc511317371"/>
      <w:r>
        <w:rPr>
          <w:b/>
          <w:bCs/>
          <w:kern w:val="0"/>
          <w:szCs w:val="21"/>
          <w:highlight w:val="none"/>
        </w:rPr>
        <w:t>13.3 承包人的质量检查</w:t>
      </w:r>
      <w:bookmarkEnd w:id="377"/>
      <w:bookmarkEnd w:id="378"/>
      <w:bookmarkEnd w:id="379"/>
    </w:p>
    <w:p>
      <w:pPr>
        <w:spacing w:line="490" w:lineRule="exact"/>
        <w:ind w:firstLine="420" w:firstLineChars="200"/>
        <w:rPr>
          <w:kern w:val="0"/>
          <w:szCs w:val="21"/>
          <w:highlight w:val="none"/>
        </w:rPr>
      </w:pPr>
      <w:r>
        <w:rPr>
          <w:kern w:val="0"/>
          <w:szCs w:val="21"/>
          <w:highlight w:val="none"/>
        </w:rPr>
        <w:t>承包人应按合同约定对材料、工程设备以及工程的所有部位及其施工工艺进行全过程的质量检查和检验，并作详细记录，编制工程质量报表，报送监理人审查。</w:t>
      </w:r>
    </w:p>
    <w:p>
      <w:pPr>
        <w:spacing w:line="490" w:lineRule="exact"/>
        <w:ind w:firstLine="422" w:firstLineChars="200"/>
        <w:outlineLvl w:val="3"/>
        <w:rPr>
          <w:b/>
          <w:bCs/>
          <w:kern w:val="0"/>
          <w:szCs w:val="21"/>
          <w:highlight w:val="none"/>
        </w:rPr>
      </w:pPr>
      <w:bookmarkStart w:id="380" w:name="_Toc189386191"/>
      <w:bookmarkStart w:id="381" w:name="_Toc511317372"/>
      <w:bookmarkStart w:id="382" w:name="_Toc511318121"/>
      <w:r>
        <w:rPr>
          <w:b/>
          <w:bCs/>
          <w:kern w:val="0"/>
          <w:szCs w:val="21"/>
          <w:highlight w:val="none"/>
        </w:rPr>
        <w:t>13.4 监理人的质量检查</w:t>
      </w:r>
      <w:bookmarkEnd w:id="380"/>
      <w:bookmarkEnd w:id="381"/>
      <w:bookmarkEnd w:id="382"/>
    </w:p>
    <w:p>
      <w:pPr>
        <w:spacing w:line="490" w:lineRule="exact"/>
        <w:ind w:firstLine="420" w:firstLineChars="200"/>
        <w:rPr>
          <w:kern w:val="0"/>
          <w:szCs w:val="21"/>
          <w:highlight w:val="none"/>
        </w:rPr>
      </w:pPr>
      <w:r>
        <w:rPr>
          <w:kern w:val="0"/>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spacing w:line="490" w:lineRule="exact"/>
        <w:ind w:firstLine="422" w:firstLineChars="200"/>
        <w:outlineLvl w:val="3"/>
        <w:rPr>
          <w:b/>
          <w:bCs/>
          <w:kern w:val="0"/>
          <w:szCs w:val="21"/>
          <w:highlight w:val="none"/>
        </w:rPr>
      </w:pPr>
      <w:bookmarkStart w:id="383" w:name="_Toc189386192"/>
      <w:bookmarkStart w:id="384" w:name="_Toc511317373"/>
      <w:bookmarkStart w:id="385" w:name="_Toc511318122"/>
      <w:r>
        <w:rPr>
          <w:b/>
          <w:bCs/>
          <w:kern w:val="0"/>
          <w:szCs w:val="21"/>
          <w:highlight w:val="none"/>
        </w:rPr>
        <w:t>13.5 工程隐蔽部位覆盖前的检查</w:t>
      </w:r>
      <w:bookmarkEnd w:id="383"/>
      <w:bookmarkEnd w:id="384"/>
      <w:bookmarkEnd w:id="385"/>
    </w:p>
    <w:p>
      <w:pPr>
        <w:spacing w:line="490" w:lineRule="exact"/>
        <w:ind w:firstLine="422" w:firstLineChars="200"/>
        <w:rPr>
          <w:b/>
          <w:kern w:val="0"/>
          <w:szCs w:val="21"/>
          <w:highlight w:val="none"/>
        </w:rPr>
      </w:pPr>
      <w:r>
        <w:rPr>
          <w:b/>
          <w:kern w:val="0"/>
          <w:szCs w:val="21"/>
          <w:highlight w:val="none"/>
        </w:rPr>
        <w:t>13.5.1 通知监理人检查</w:t>
      </w:r>
    </w:p>
    <w:p>
      <w:pPr>
        <w:spacing w:line="490" w:lineRule="exact"/>
        <w:ind w:firstLine="420" w:firstLineChars="200"/>
        <w:rPr>
          <w:kern w:val="0"/>
          <w:szCs w:val="21"/>
          <w:highlight w:val="none"/>
        </w:rPr>
      </w:pPr>
      <w:r>
        <w:rPr>
          <w:kern w:val="0"/>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spacing w:line="490" w:lineRule="exact"/>
        <w:ind w:firstLine="422" w:firstLineChars="200"/>
        <w:rPr>
          <w:b/>
          <w:kern w:val="0"/>
          <w:szCs w:val="21"/>
          <w:highlight w:val="none"/>
        </w:rPr>
      </w:pPr>
      <w:r>
        <w:rPr>
          <w:b/>
          <w:kern w:val="0"/>
          <w:szCs w:val="21"/>
          <w:highlight w:val="none"/>
        </w:rPr>
        <w:t>13.5.2 监理人未到场检查</w:t>
      </w:r>
    </w:p>
    <w:p>
      <w:pPr>
        <w:spacing w:line="490" w:lineRule="exact"/>
        <w:ind w:firstLine="420" w:firstLineChars="200"/>
        <w:rPr>
          <w:kern w:val="0"/>
          <w:szCs w:val="21"/>
          <w:highlight w:val="none"/>
        </w:rPr>
      </w:pPr>
      <w:r>
        <w:rPr>
          <w:kern w:val="0"/>
          <w:szCs w:val="21"/>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pPr>
        <w:spacing w:line="490" w:lineRule="exact"/>
        <w:ind w:firstLine="422" w:firstLineChars="200"/>
        <w:rPr>
          <w:b/>
          <w:kern w:val="0"/>
          <w:szCs w:val="21"/>
          <w:highlight w:val="none"/>
        </w:rPr>
      </w:pPr>
      <w:r>
        <w:rPr>
          <w:b/>
          <w:kern w:val="0"/>
          <w:szCs w:val="21"/>
          <w:highlight w:val="none"/>
        </w:rPr>
        <w:t>13.5.3 监理人重新检查</w:t>
      </w:r>
    </w:p>
    <w:p>
      <w:pPr>
        <w:spacing w:line="490" w:lineRule="exact"/>
        <w:ind w:firstLine="420" w:firstLineChars="200"/>
        <w:rPr>
          <w:kern w:val="0"/>
          <w:szCs w:val="21"/>
          <w:highlight w:val="none"/>
        </w:rPr>
      </w:pPr>
      <w:r>
        <w:rPr>
          <w:kern w:val="0"/>
          <w:szCs w:val="21"/>
          <w:highlight w:val="none"/>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spacing w:line="490" w:lineRule="exact"/>
        <w:ind w:firstLine="422" w:firstLineChars="200"/>
        <w:rPr>
          <w:b/>
          <w:kern w:val="0"/>
          <w:szCs w:val="21"/>
          <w:highlight w:val="none"/>
        </w:rPr>
      </w:pPr>
      <w:r>
        <w:rPr>
          <w:b/>
          <w:kern w:val="0"/>
          <w:szCs w:val="21"/>
          <w:highlight w:val="none"/>
        </w:rPr>
        <w:t>13.5.4 承包人私自覆盖</w:t>
      </w:r>
    </w:p>
    <w:p>
      <w:pPr>
        <w:spacing w:line="490" w:lineRule="exact"/>
        <w:ind w:firstLine="420" w:firstLineChars="200"/>
        <w:rPr>
          <w:kern w:val="0"/>
          <w:szCs w:val="21"/>
          <w:highlight w:val="none"/>
        </w:rPr>
      </w:pPr>
      <w:r>
        <w:rPr>
          <w:kern w:val="0"/>
          <w:szCs w:val="21"/>
          <w:highlight w:val="none"/>
        </w:rPr>
        <w:t>承包人未通知监理人到场检查，私自将工程隐蔽部位覆盖的，监理人有权指示承包人钻孔探测或揭开检查，由此增加的费用和（或）工期延误由承包人承担。</w:t>
      </w:r>
    </w:p>
    <w:p>
      <w:pPr>
        <w:spacing w:line="490" w:lineRule="exact"/>
        <w:ind w:firstLine="422" w:firstLineChars="200"/>
        <w:outlineLvl w:val="3"/>
        <w:rPr>
          <w:b/>
          <w:bCs/>
          <w:kern w:val="0"/>
          <w:szCs w:val="21"/>
          <w:highlight w:val="none"/>
        </w:rPr>
      </w:pPr>
      <w:bookmarkStart w:id="386" w:name="_Toc189386193"/>
      <w:bookmarkStart w:id="387" w:name="_Toc511317374"/>
      <w:bookmarkStart w:id="388" w:name="_Toc511318123"/>
      <w:r>
        <w:rPr>
          <w:b/>
          <w:bCs/>
          <w:kern w:val="0"/>
          <w:szCs w:val="21"/>
          <w:highlight w:val="none"/>
        </w:rPr>
        <w:t>13.6 清除不合格工程</w:t>
      </w:r>
      <w:bookmarkEnd w:id="386"/>
      <w:bookmarkEnd w:id="387"/>
      <w:bookmarkEnd w:id="388"/>
    </w:p>
    <w:p>
      <w:pPr>
        <w:spacing w:line="490" w:lineRule="exact"/>
        <w:ind w:firstLine="420" w:firstLineChars="200"/>
        <w:rPr>
          <w:kern w:val="0"/>
          <w:szCs w:val="21"/>
          <w:highlight w:val="none"/>
        </w:rPr>
      </w:pPr>
      <w:r>
        <w:rPr>
          <w:kern w:val="0"/>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spacing w:line="490" w:lineRule="exact"/>
        <w:ind w:firstLine="420" w:firstLineChars="200"/>
        <w:rPr>
          <w:kern w:val="0"/>
          <w:szCs w:val="21"/>
          <w:highlight w:val="none"/>
        </w:rPr>
      </w:pPr>
      <w:r>
        <w:rPr>
          <w:kern w:val="0"/>
          <w:szCs w:val="21"/>
          <w:highlight w:val="none"/>
        </w:rPr>
        <w:t>13.6.2 由于发包人提供的材料或工程设备不合格造成的工程不合格，需要承包人采取措施补救的，发包人应承担由此增加的费用和（或）工期延误，并支付承包人合理利润。</w:t>
      </w:r>
    </w:p>
    <w:p>
      <w:pPr>
        <w:spacing w:line="490" w:lineRule="exact"/>
        <w:ind w:firstLine="422" w:firstLineChars="200"/>
        <w:outlineLvl w:val="3"/>
        <w:rPr>
          <w:b/>
          <w:bCs/>
          <w:kern w:val="0"/>
          <w:szCs w:val="21"/>
          <w:highlight w:val="none"/>
        </w:rPr>
      </w:pPr>
      <w:bookmarkStart w:id="389" w:name="_Toc511318124"/>
      <w:r>
        <w:rPr>
          <w:b/>
          <w:bCs/>
          <w:kern w:val="0"/>
          <w:szCs w:val="21"/>
          <w:highlight w:val="none"/>
        </w:rPr>
        <w:t>13.7 质量评定</w:t>
      </w:r>
      <w:bookmarkEnd w:id="389"/>
    </w:p>
    <w:p>
      <w:pPr>
        <w:spacing w:line="490" w:lineRule="exact"/>
        <w:ind w:firstLine="420" w:firstLineChars="200"/>
        <w:rPr>
          <w:kern w:val="0"/>
          <w:szCs w:val="21"/>
          <w:highlight w:val="none"/>
        </w:rPr>
      </w:pPr>
      <w:r>
        <w:rPr>
          <w:kern w:val="0"/>
          <w:szCs w:val="21"/>
          <w:highlight w:val="none"/>
        </w:rPr>
        <w:t>13.7.1 发包人应组织承包人进行工程项目划分，并确定单位工程、主要分部工程、重要隐蔽单元工程和关键部位单元工程。</w:t>
      </w:r>
    </w:p>
    <w:p>
      <w:pPr>
        <w:spacing w:line="490" w:lineRule="exact"/>
        <w:ind w:firstLine="420" w:firstLineChars="200"/>
        <w:rPr>
          <w:kern w:val="0"/>
          <w:szCs w:val="21"/>
          <w:highlight w:val="none"/>
        </w:rPr>
      </w:pPr>
      <w:r>
        <w:rPr>
          <w:kern w:val="0"/>
          <w:szCs w:val="21"/>
          <w:highlight w:val="none"/>
        </w:rPr>
        <w:t>13.7.2 工程实施过程中，单位工程、主要分部工程、重要隐蔽单元工程和关键部位单元工程的项目划分需要调整时，承包人应报发包人确认。</w:t>
      </w:r>
    </w:p>
    <w:p>
      <w:pPr>
        <w:spacing w:line="490" w:lineRule="exact"/>
        <w:ind w:firstLine="420" w:firstLineChars="200"/>
        <w:rPr>
          <w:kern w:val="0"/>
          <w:szCs w:val="21"/>
          <w:highlight w:val="none"/>
        </w:rPr>
      </w:pPr>
      <w:r>
        <w:rPr>
          <w:kern w:val="0"/>
          <w:szCs w:val="21"/>
          <w:highlight w:val="none"/>
        </w:rPr>
        <w:t>13.7.3 承包人应在单元（工序）工程质量自评合格后，报监理人核定质量等级并签证认可。</w:t>
      </w:r>
    </w:p>
    <w:p>
      <w:pPr>
        <w:spacing w:line="490" w:lineRule="exact"/>
        <w:ind w:firstLine="420" w:firstLineChars="200"/>
        <w:rPr>
          <w:kern w:val="0"/>
          <w:szCs w:val="21"/>
          <w:highlight w:val="none"/>
        </w:rPr>
      </w:pPr>
      <w:r>
        <w:rPr>
          <w:kern w:val="0"/>
          <w:szCs w:val="21"/>
          <w:highlight w:val="none"/>
        </w:rPr>
        <w:t>13.7.4 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pPr>
        <w:spacing w:line="490" w:lineRule="exact"/>
        <w:ind w:firstLine="420" w:firstLineChars="200"/>
        <w:rPr>
          <w:kern w:val="0"/>
          <w:szCs w:val="21"/>
          <w:highlight w:val="none"/>
        </w:rPr>
      </w:pPr>
      <w:r>
        <w:rPr>
          <w:kern w:val="0"/>
          <w:szCs w:val="21"/>
          <w:highlight w:val="none"/>
        </w:rPr>
        <w:t>13.7.5 承包人应在分部工程质量自评合格后，报监理人复核和发包人认定。发包人负责按有关规定完成分部工程质量结论报工程质量监督机构核备（核定）手续。</w:t>
      </w:r>
    </w:p>
    <w:p>
      <w:pPr>
        <w:spacing w:line="490" w:lineRule="exact"/>
        <w:ind w:firstLine="420" w:firstLineChars="200"/>
        <w:rPr>
          <w:kern w:val="0"/>
          <w:szCs w:val="21"/>
          <w:highlight w:val="none"/>
        </w:rPr>
      </w:pPr>
      <w:r>
        <w:rPr>
          <w:kern w:val="0"/>
          <w:szCs w:val="21"/>
          <w:highlight w:val="none"/>
        </w:rPr>
        <w:t>13.7.6 承包人应在单位工程质量自评合格后，报监理人复核和发包人认定。发包人负责按有关规定完成单位工程质量结论报工程质量监督机构核定手续。</w:t>
      </w:r>
    </w:p>
    <w:p>
      <w:pPr>
        <w:spacing w:line="490" w:lineRule="exact"/>
        <w:ind w:firstLine="420" w:firstLineChars="200"/>
        <w:rPr>
          <w:kern w:val="0"/>
          <w:szCs w:val="21"/>
          <w:highlight w:val="none"/>
        </w:rPr>
      </w:pPr>
      <w:r>
        <w:rPr>
          <w:kern w:val="0"/>
          <w:szCs w:val="21"/>
          <w:highlight w:val="none"/>
        </w:rPr>
        <w:t>13.7.7 除专用合同条款另有约定外，工程质量等级分为合格和优良，应分别达到约定的标准。</w:t>
      </w:r>
    </w:p>
    <w:p>
      <w:pPr>
        <w:spacing w:line="490" w:lineRule="exact"/>
        <w:ind w:firstLine="422" w:firstLineChars="200"/>
        <w:outlineLvl w:val="3"/>
        <w:rPr>
          <w:b/>
          <w:bCs/>
          <w:kern w:val="0"/>
          <w:szCs w:val="21"/>
          <w:highlight w:val="none"/>
        </w:rPr>
      </w:pPr>
      <w:bookmarkStart w:id="390" w:name="_Toc511318125"/>
      <w:r>
        <w:rPr>
          <w:b/>
          <w:bCs/>
          <w:kern w:val="0"/>
          <w:szCs w:val="21"/>
          <w:highlight w:val="none"/>
        </w:rPr>
        <w:t>13.8 质量事故处理</w:t>
      </w:r>
      <w:bookmarkEnd w:id="390"/>
    </w:p>
    <w:p>
      <w:pPr>
        <w:spacing w:line="490" w:lineRule="exact"/>
        <w:ind w:firstLine="420" w:firstLineChars="200"/>
        <w:rPr>
          <w:kern w:val="0"/>
          <w:szCs w:val="21"/>
          <w:highlight w:val="none"/>
        </w:rPr>
      </w:pPr>
      <w:r>
        <w:rPr>
          <w:kern w:val="0"/>
          <w:szCs w:val="21"/>
          <w:highlight w:val="none"/>
        </w:rPr>
        <w:t>13.8.1 发生质量事故时，承包人应及时向发包人和监理人报告。</w:t>
      </w:r>
    </w:p>
    <w:p>
      <w:pPr>
        <w:spacing w:line="490" w:lineRule="exact"/>
        <w:ind w:firstLine="420" w:firstLineChars="200"/>
        <w:rPr>
          <w:kern w:val="0"/>
          <w:szCs w:val="21"/>
          <w:highlight w:val="none"/>
        </w:rPr>
      </w:pPr>
      <w:r>
        <w:rPr>
          <w:kern w:val="0"/>
          <w:szCs w:val="21"/>
          <w:highlight w:val="none"/>
        </w:rPr>
        <w:t>13.8.2 质量事故调查处理由发包人按相关规定履行手续，承包人应配合。</w:t>
      </w:r>
    </w:p>
    <w:p>
      <w:pPr>
        <w:spacing w:line="490" w:lineRule="exact"/>
        <w:ind w:firstLine="420" w:firstLineChars="200"/>
        <w:rPr>
          <w:kern w:val="0"/>
          <w:szCs w:val="21"/>
          <w:highlight w:val="none"/>
        </w:rPr>
      </w:pPr>
      <w:r>
        <w:rPr>
          <w:kern w:val="0"/>
          <w:szCs w:val="21"/>
          <w:highlight w:val="none"/>
        </w:rPr>
        <w:t>13.8.3 承包人应对质量缺陷进行备案。发包人委托监理人对质量缺陷备案情况进行监督检查并履行相关手续。</w:t>
      </w:r>
    </w:p>
    <w:p>
      <w:pPr>
        <w:spacing w:line="490" w:lineRule="exact"/>
        <w:ind w:firstLine="420" w:firstLineChars="200"/>
        <w:rPr>
          <w:kern w:val="0"/>
          <w:szCs w:val="21"/>
          <w:highlight w:val="none"/>
        </w:rPr>
      </w:pPr>
      <w:r>
        <w:rPr>
          <w:kern w:val="0"/>
          <w:szCs w:val="21"/>
          <w:highlight w:val="none"/>
        </w:rPr>
        <w:t>13.8.4 除专用合同条款另有约定外，工程竣工验收时，发包人负责向竣工验收委员会汇报并提交历次质量缺陷处理的备案资料。</w:t>
      </w:r>
    </w:p>
    <w:p>
      <w:pPr>
        <w:pStyle w:val="5"/>
        <w:keepNext w:val="0"/>
        <w:keepLines w:val="0"/>
        <w:spacing w:before="0" w:after="0" w:line="490" w:lineRule="exact"/>
        <w:ind w:firstLine="422" w:firstLineChars="200"/>
        <w:rPr>
          <w:bCs w:val="0"/>
          <w:color w:val="auto"/>
          <w:sz w:val="21"/>
          <w:szCs w:val="21"/>
          <w:highlight w:val="none"/>
        </w:rPr>
      </w:pPr>
      <w:bookmarkStart w:id="391" w:name="_Toc189386194"/>
      <w:bookmarkStart w:id="392" w:name="_Toc25666"/>
      <w:bookmarkStart w:id="393" w:name="_Toc2529"/>
      <w:r>
        <w:rPr>
          <w:bCs w:val="0"/>
          <w:color w:val="auto"/>
          <w:sz w:val="21"/>
          <w:szCs w:val="21"/>
          <w:highlight w:val="none"/>
        </w:rPr>
        <w:t>14</w:t>
      </w:r>
      <w:r>
        <w:rPr>
          <w:rFonts w:hint="eastAsia"/>
          <w:bCs w:val="0"/>
          <w:color w:val="auto"/>
          <w:sz w:val="21"/>
          <w:szCs w:val="21"/>
          <w:highlight w:val="none"/>
        </w:rPr>
        <w:t>.</w:t>
      </w:r>
      <w:r>
        <w:rPr>
          <w:bCs w:val="0"/>
          <w:color w:val="auto"/>
          <w:sz w:val="21"/>
          <w:szCs w:val="21"/>
          <w:highlight w:val="none"/>
        </w:rPr>
        <w:t>试验和检验</w:t>
      </w:r>
      <w:bookmarkEnd w:id="391"/>
      <w:bookmarkEnd w:id="392"/>
      <w:bookmarkEnd w:id="393"/>
    </w:p>
    <w:p>
      <w:pPr>
        <w:spacing w:line="490" w:lineRule="exact"/>
        <w:ind w:firstLine="422" w:firstLineChars="200"/>
        <w:outlineLvl w:val="3"/>
        <w:rPr>
          <w:b/>
          <w:bCs/>
          <w:kern w:val="0"/>
          <w:szCs w:val="21"/>
          <w:highlight w:val="none"/>
        </w:rPr>
      </w:pPr>
      <w:bookmarkStart w:id="394" w:name="_Toc189386195"/>
      <w:r>
        <w:rPr>
          <w:b/>
          <w:bCs/>
          <w:kern w:val="0"/>
          <w:szCs w:val="21"/>
          <w:highlight w:val="none"/>
        </w:rPr>
        <w:t>14.1材料、工程设备和工程的试验和检验</w:t>
      </w:r>
      <w:bookmarkEnd w:id="394"/>
    </w:p>
    <w:p>
      <w:pPr>
        <w:spacing w:line="490" w:lineRule="exact"/>
        <w:ind w:firstLine="420" w:firstLineChars="200"/>
        <w:rPr>
          <w:kern w:val="0"/>
          <w:szCs w:val="21"/>
          <w:highlight w:val="none"/>
        </w:rPr>
      </w:pPr>
      <w:r>
        <w:rPr>
          <w:kern w:val="0"/>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490" w:lineRule="exact"/>
        <w:ind w:firstLine="420" w:firstLineChars="200"/>
        <w:rPr>
          <w:kern w:val="0"/>
          <w:szCs w:val="21"/>
          <w:highlight w:val="none"/>
        </w:rPr>
      </w:pPr>
      <w:r>
        <w:rPr>
          <w:kern w:val="0"/>
          <w:szCs w:val="21"/>
          <w:highlight w:val="none"/>
        </w:rPr>
        <w:t>14.1.2 监理人未按合同约定派员参加试验和检验的，除监理人另有指示外，承包人可自行试验和检验，并应立即将试验和检验结果报送监理人，监理人应签字确认。</w:t>
      </w:r>
    </w:p>
    <w:p>
      <w:pPr>
        <w:spacing w:line="490" w:lineRule="exact"/>
        <w:ind w:firstLine="420" w:firstLineChars="200"/>
        <w:rPr>
          <w:kern w:val="0"/>
          <w:szCs w:val="21"/>
          <w:highlight w:val="none"/>
        </w:rPr>
      </w:pPr>
      <w:r>
        <w:rPr>
          <w:kern w:val="0"/>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spacing w:line="490" w:lineRule="exact"/>
        <w:ind w:firstLine="420" w:firstLineChars="200"/>
        <w:rPr>
          <w:kern w:val="0"/>
          <w:szCs w:val="21"/>
          <w:highlight w:val="none"/>
        </w:rPr>
      </w:pPr>
      <w:r>
        <w:rPr>
          <w:kern w:val="0"/>
          <w:szCs w:val="21"/>
          <w:highlight w:val="none"/>
        </w:rPr>
        <w:t>14.1.4 承包人应按相关规定和标准对水泥、钢材等原材料与中间产品质量进行检验，并报监理人复核。</w:t>
      </w:r>
    </w:p>
    <w:p>
      <w:pPr>
        <w:spacing w:line="490" w:lineRule="exact"/>
        <w:ind w:firstLine="420" w:firstLineChars="200"/>
        <w:rPr>
          <w:kern w:val="0"/>
          <w:szCs w:val="21"/>
          <w:highlight w:val="none"/>
        </w:rPr>
      </w:pPr>
      <w:r>
        <w:rPr>
          <w:kern w:val="0"/>
          <w:szCs w:val="21"/>
          <w:highlight w:val="none"/>
        </w:rPr>
        <w:t>14.1.5 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pPr>
        <w:spacing w:line="490" w:lineRule="exact"/>
        <w:ind w:firstLine="420" w:firstLineChars="200"/>
        <w:rPr>
          <w:kern w:val="0"/>
          <w:szCs w:val="21"/>
          <w:highlight w:val="none"/>
        </w:rPr>
      </w:pPr>
      <w:r>
        <w:rPr>
          <w:kern w:val="0"/>
          <w:szCs w:val="21"/>
          <w:highlight w:val="none"/>
        </w:rPr>
        <w:t>14.1.6 对专用合同条款约定的试块、试件及有关材料，监理人实行见证取样。见证取样资料由承包人制备，记录应真实齐全，监理人、承包人等参与见证取样人员均应在相关文件上签字。</w:t>
      </w:r>
    </w:p>
    <w:p>
      <w:pPr>
        <w:spacing w:line="490" w:lineRule="exact"/>
        <w:ind w:firstLine="422" w:firstLineChars="200"/>
        <w:outlineLvl w:val="3"/>
        <w:rPr>
          <w:b/>
          <w:bCs/>
          <w:kern w:val="0"/>
          <w:szCs w:val="21"/>
          <w:highlight w:val="none"/>
        </w:rPr>
      </w:pPr>
      <w:bookmarkStart w:id="395" w:name="_Toc189386196"/>
      <w:r>
        <w:rPr>
          <w:b/>
          <w:bCs/>
          <w:kern w:val="0"/>
          <w:szCs w:val="21"/>
          <w:highlight w:val="none"/>
        </w:rPr>
        <w:t>14.2 现场材料试验</w:t>
      </w:r>
      <w:bookmarkEnd w:id="395"/>
    </w:p>
    <w:p>
      <w:pPr>
        <w:spacing w:line="490" w:lineRule="exact"/>
        <w:ind w:firstLine="420" w:firstLineChars="200"/>
        <w:rPr>
          <w:kern w:val="0"/>
          <w:szCs w:val="21"/>
          <w:highlight w:val="none"/>
        </w:rPr>
      </w:pPr>
      <w:r>
        <w:rPr>
          <w:kern w:val="0"/>
          <w:szCs w:val="21"/>
          <w:highlight w:val="none"/>
        </w:rPr>
        <w:t>14.2.1 承包人根据合同约定或监理人指示进行的现场材料试验，应由承包人提供试验场所、试验人员、试验设备器材以及其他必要的试验条件。</w:t>
      </w:r>
    </w:p>
    <w:p>
      <w:pPr>
        <w:spacing w:line="490" w:lineRule="exact"/>
        <w:ind w:firstLine="420" w:firstLineChars="200"/>
        <w:rPr>
          <w:kern w:val="0"/>
          <w:szCs w:val="21"/>
          <w:highlight w:val="none"/>
        </w:rPr>
      </w:pPr>
      <w:r>
        <w:rPr>
          <w:kern w:val="0"/>
          <w:szCs w:val="21"/>
          <w:highlight w:val="none"/>
        </w:rPr>
        <w:t>14.2.2 监理人在必要时可以使用承包人的试验场所、试验设备器材以及其他试验条件，进行以工程质量检查为目的的复核性材料试验，承包人应予以协助。</w:t>
      </w:r>
    </w:p>
    <w:p>
      <w:pPr>
        <w:spacing w:line="490" w:lineRule="exact"/>
        <w:ind w:firstLine="422" w:firstLineChars="200"/>
        <w:outlineLvl w:val="3"/>
        <w:rPr>
          <w:b/>
          <w:bCs/>
          <w:kern w:val="0"/>
          <w:szCs w:val="21"/>
          <w:highlight w:val="none"/>
        </w:rPr>
      </w:pPr>
      <w:bookmarkStart w:id="396" w:name="_Toc189386197"/>
      <w:r>
        <w:rPr>
          <w:b/>
          <w:bCs/>
          <w:kern w:val="0"/>
          <w:szCs w:val="21"/>
          <w:highlight w:val="none"/>
        </w:rPr>
        <w:t>14.3 现场工艺试验</w:t>
      </w:r>
      <w:bookmarkEnd w:id="396"/>
    </w:p>
    <w:p>
      <w:pPr>
        <w:spacing w:line="490" w:lineRule="exact"/>
        <w:ind w:firstLine="420" w:firstLineChars="200"/>
        <w:rPr>
          <w:kern w:val="0"/>
          <w:szCs w:val="21"/>
          <w:highlight w:val="none"/>
        </w:rPr>
      </w:pPr>
      <w:r>
        <w:rPr>
          <w:kern w:val="0"/>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pPr>
        <w:pStyle w:val="5"/>
        <w:keepNext w:val="0"/>
        <w:keepLines w:val="0"/>
        <w:spacing w:before="0" w:after="0" w:line="490" w:lineRule="exact"/>
        <w:ind w:firstLine="422" w:firstLineChars="200"/>
        <w:rPr>
          <w:bCs w:val="0"/>
          <w:color w:val="auto"/>
          <w:sz w:val="21"/>
          <w:szCs w:val="21"/>
          <w:highlight w:val="none"/>
        </w:rPr>
      </w:pPr>
      <w:bookmarkStart w:id="397" w:name="_Toc189386198"/>
      <w:bookmarkStart w:id="398" w:name="_Toc9585"/>
      <w:bookmarkStart w:id="399" w:name="_Toc23482"/>
      <w:r>
        <w:rPr>
          <w:bCs w:val="0"/>
          <w:color w:val="auto"/>
          <w:sz w:val="21"/>
          <w:szCs w:val="21"/>
          <w:highlight w:val="none"/>
        </w:rPr>
        <w:t>15</w:t>
      </w:r>
      <w:r>
        <w:rPr>
          <w:rFonts w:hint="eastAsia"/>
          <w:bCs w:val="0"/>
          <w:color w:val="auto"/>
          <w:sz w:val="21"/>
          <w:szCs w:val="21"/>
          <w:highlight w:val="none"/>
        </w:rPr>
        <w:t>.</w:t>
      </w:r>
      <w:r>
        <w:rPr>
          <w:bCs w:val="0"/>
          <w:color w:val="auto"/>
          <w:sz w:val="21"/>
          <w:szCs w:val="21"/>
          <w:highlight w:val="none"/>
        </w:rPr>
        <w:t>变更</w:t>
      </w:r>
      <w:bookmarkEnd w:id="397"/>
      <w:bookmarkEnd w:id="398"/>
      <w:bookmarkEnd w:id="399"/>
    </w:p>
    <w:p>
      <w:pPr>
        <w:spacing w:line="490" w:lineRule="exact"/>
        <w:ind w:firstLine="422" w:firstLineChars="200"/>
        <w:outlineLvl w:val="3"/>
        <w:rPr>
          <w:b/>
          <w:bCs/>
          <w:kern w:val="0"/>
          <w:szCs w:val="21"/>
          <w:highlight w:val="none"/>
        </w:rPr>
      </w:pPr>
      <w:bookmarkStart w:id="400" w:name="_Toc511318128"/>
      <w:bookmarkStart w:id="401" w:name="_Toc189386199"/>
      <w:r>
        <w:rPr>
          <w:b/>
          <w:bCs/>
          <w:kern w:val="0"/>
          <w:szCs w:val="21"/>
          <w:highlight w:val="none"/>
        </w:rPr>
        <w:t>15.1 变更的范围和内容</w:t>
      </w:r>
      <w:bookmarkEnd w:id="400"/>
      <w:bookmarkEnd w:id="401"/>
    </w:p>
    <w:p>
      <w:pPr>
        <w:spacing w:line="490" w:lineRule="exact"/>
        <w:ind w:firstLine="420" w:firstLineChars="200"/>
        <w:rPr>
          <w:kern w:val="0"/>
          <w:szCs w:val="21"/>
          <w:highlight w:val="none"/>
        </w:rPr>
      </w:pPr>
      <w:r>
        <w:rPr>
          <w:kern w:val="0"/>
          <w:szCs w:val="21"/>
          <w:highlight w:val="none"/>
        </w:rPr>
        <w:t>在履行合同中发生以下情形之一，应按照本款规定进行变更。</w:t>
      </w:r>
    </w:p>
    <w:p>
      <w:pPr>
        <w:spacing w:line="490" w:lineRule="exact"/>
        <w:ind w:firstLine="420" w:firstLineChars="200"/>
        <w:rPr>
          <w:kern w:val="0"/>
          <w:szCs w:val="21"/>
          <w:highlight w:val="none"/>
        </w:rPr>
      </w:pPr>
      <w:r>
        <w:rPr>
          <w:kern w:val="0"/>
          <w:szCs w:val="21"/>
          <w:highlight w:val="none"/>
        </w:rPr>
        <w:t>（1）取消合同中任何一项工作，但被取消的工作不能转由发包人或其它人实施；</w:t>
      </w:r>
    </w:p>
    <w:p>
      <w:pPr>
        <w:spacing w:line="490" w:lineRule="exact"/>
        <w:ind w:firstLine="420" w:firstLineChars="200"/>
        <w:rPr>
          <w:kern w:val="0"/>
          <w:szCs w:val="21"/>
          <w:highlight w:val="none"/>
        </w:rPr>
      </w:pPr>
      <w:r>
        <w:rPr>
          <w:kern w:val="0"/>
          <w:szCs w:val="21"/>
          <w:highlight w:val="none"/>
        </w:rPr>
        <w:t>（2）改变合同中任何一项工作的质量或其它特性；</w:t>
      </w:r>
    </w:p>
    <w:p>
      <w:pPr>
        <w:spacing w:line="490" w:lineRule="exact"/>
        <w:ind w:firstLine="420" w:firstLineChars="200"/>
        <w:rPr>
          <w:kern w:val="0"/>
          <w:szCs w:val="21"/>
          <w:highlight w:val="none"/>
        </w:rPr>
      </w:pPr>
      <w:r>
        <w:rPr>
          <w:kern w:val="0"/>
          <w:szCs w:val="21"/>
          <w:highlight w:val="none"/>
        </w:rPr>
        <w:t>（3）改变合同工程的基线、标高、位置或尺寸；</w:t>
      </w:r>
    </w:p>
    <w:p>
      <w:pPr>
        <w:spacing w:line="490" w:lineRule="exact"/>
        <w:ind w:firstLine="420" w:firstLineChars="200"/>
        <w:rPr>
          <w:kern w:val="0"/>
          <w:szCs w:val="21"/>
          <w:highlight w:val="none"/>
        </w:rPr>
      </w:pPr>
      <w:r>
        <w:rPr>
          <w:kern w:val="0"/>
          <w:szCs w:val="21"/>
          <w:highlight w:val="none"/>
        </w:rPr>
        <w:t>（4）改变合同中任何一项工作的施工时间或改变已批准的施工工艺或顺序；</w:t>
      </w:r>
    </w:p>
    <w:p>
      <w:pPr>
        <w:spacing w:line="490" w:lineRule="exact"/>
        <w:ind w:firstLine="420" w:firstLineChars="200"/>
        <w:rPr>
          <w:kern w:val="0"/>
          <w:szCs w:val="21"/>
          <w:highlight w:val="none"/>
        </w:rPr>
      </w:pPr>
      <w:r>
        <w:rPr>
          <w:kern w:val="0"/>
          <w:szCs w:val="21"/>
          <w:highlight w:val="none"/>
        </w:rPr>
        <w:t>（5）为完成工程需要追加的额外工作；</w:t>
      </w:r>
    </w:p>
    <w:p>
      <w:pPr>
        <w:spacing w:line="490" w:lineRule="exact"/>
        <w:ind w:firstLine="420" w:firstLineChars="200"/>
        <w:rPr>
          <w:kern w:val="0"/>
          <w:szCs w:val="21"/>
          <w:highlight w:val="none"/>
        </w:rPr>
      </w:pPr>
      <w:r>
        <w:rPr>
          <w:kern w:val="0"/>
          <w:szCs w:val="21"/>
          <w:highlight w:val="none"/>
        </w:rPr>
        <w:t>（6）增加或减少专用合同条款中约定的关键项目工程量超过其工程总量的一定数量百分比。</w:t>
      </w:r>
    </w:p>
    <w:p>
      <w:pPr>
        <w:spacing w:line="490" w:lineRule="exact"/>
        <w:ind w:firstLine="420" w:firstLineChars="200"/>
        <w:rPr>
          <w:kern w:val="0"/>
          <w:szCs w:val="21"/>
          <w:highlight w:val="none"/>
        </w:rPr>
      </w:pPr>
      <w:r>
        <w:rPr>
          <w:kern w:val="0"/>
          <w:szCs w:val="21"/>
          <w:highlight w:val="none"/>
        </w:rPr>
        <w:t>上述第（1）～（6）目的变更内容引起工程施工组织和进度计划发生实质性变动和影响其原定的价格时，才予调整该项目的单价。第（6）目情形下单价调整方式在专用合同条款中约定。</w:t>
      </w:r>
    </w:p>
    <w:p>
      <w:pPr>
        <w:spacing w:line="490" w:lineRule="exact"/>
        <w:ind w:firstLine="422" w:firstLineChars="200"/>
        <w:outlineLvl w:val="3"/>
        <w:rPr>
          <w:b/>
          <w:bCs/>
          <w:kern w:val="0"/>
          <w:szCs w:val="21"/>
          <w:highlight w:val="none"/>
        </w:rPr>
      </w:pPr>
      <w:bookmarkStart w:id="402" w:name="_Toc189386200"/>
      <w:bookmarkStart w:id="403" w:name="_Toc511318129"/>
      <w:r>
        <w:rPr>
          <w:b/>
          <w:bCs/>
          <w:kern w:val="0"/>
          <w:szCs w:val="21"/>
          <w:highlight w:val="none"/>
        </w:rPr>
        <w:t>15.2 变更权</w:t>
      </w:r>
      <w:bookmarkEnd w:id="402"/>
      <w:bookmarkEnd w:id="403"/>
    </w:p>
    <w:p>
      <w:pPr>
        <w:spacing w:line="490" w:lineRule="exact"/>
        <w:ind w:firstLine="420" w:firstLineChars="200"/>
        <w:rPr>
          <w:kern w:val="0"/>
          <w:szCs w:val="21"/>
          <w:highlight w:val="none"/>
        </w:rPr>
      </w:pPr>
      <w:r>
        <w:rPr>
          <w:kern w:val="0"/>
          <w:szCs w:val="21"/>
          <w:highlight w:val="none"/>
        </w:rPr>
        <w:t>在履行合同过程中，经发包人同意，监理人可按第15.3款约定的变更程序向承包人作出变更指示，承包人应遵照执行。没有监理人的变更指示，承包人不得擅自变更。</w:t>
      </w:r>
    </w:p>
    <w:p>
      <w:pPr>
        <w:spacing w:line="490" w:lineRule="exact"/>
        <w:ind w:firstLine="422" w:firstLineChars="200"/>
        <w:outlineLvl w:val="3"/>
        <w:rPr>
          <w:b/>
          <w:bCs/>
          <w:kern w:val="0"/>
          <w:szCs w:val="21"/>
          <w:highlight w:val="none"/>
        </w:rPr>
      </w:pPr>
      <w:bookmarkStart w:id="404" w:name="_Toc189386201"/>
      <w:bookmarkStart w:id="405" w:name="_Toc511318130"/>
      <w:r>
        <w:rPr>
          <w:b/>
          <w:bCs/>
          <w:kern w:val="0"/>
          <w:szCs w:val="21"/>
          <w:highlight w:val="none"/>
        </w:rPr>
        <w:t>15.3 变更程序</w:t>
      </w:r>
      <w:bookmarkEnd w:id="404"/>
      <w:bookmarkEnd w:id="405"/>
    </w:p>
    <w:p>
      <w:pPr>
        <w:spacing w:line="490" w:lineRule="exact"/>
        <w:ind w:firstLine="422" w:firstLineChars="200"/>
        <w:rPr>
          <w:b/>
          <w:kern w:val="0"/>
          <w:szCs w:val="21"/>
          <w:highlight w:val="none"/>
        </w:rPr>
      </w:pPr>
      <w:r>
        <w:rPr>
          <w:b/>
          <w:kern w:val="0"/>
          <w:szCs w:val="21"/>
          <w:highlight w:val="none"/>
        </w:rPr>
        <w:t>15.3.1 变更的提出</w:t>
      </w:r>
    </w:p>
    <w:p>
      <w:pPr>
        <w:spacing w:line="490" w:lineRule="exact"/>
        <w:ind w:firstLine="420" w:firstLineChars="200"/>
        <w:rPr>
          <w:kern w:val="0"/>
          <w:szCs w:val="21"/>
          <w:highlight w:val="none"/>
        </w:rPr>
      </w:pPr>
      <w:r>
        <w:rPr>
          <w:kern w:val="0"/>
          <w:szCs w:val="21"/>
          <w:highlight w:val="none"/>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 项约定发出变更指示。</w:t>
      </w:r>
    </w:p>
    <w:p>
      <w:pPr>
        <w:spacing w:line="490" w:lineRule="exact"/>
        <w:ind w:firstLine="420" w:firstLineChars="200"/>
        <w:rPr>
          <w:kern w:val="0"/>
          <w:szCs w:val="21"/>
          <w:highlight w:val="none"/>
        </w:rPr>
      </w:pPr>
      <w:r>
        <w:rPr>
          <w:kern w:val="0"/>
          <w:szCs w:val="21"/>
          <w:highlight w:val="none"/>
        </w:rPr>
        <w:t>（2）在合同履行过程中，发生第15.1款约定情形的，监理人应按照第15.3.3项约定向承包人发出变更指示。</w:t>
      </w:r>
    </w:p>
    <w:p>
      <w:pPr>
        <w:spacing w:line="490" w:lineRule="exact"/>
        <w:ind w:firstLine="420" w:firstLineChars="200"/>
        <w:rPr>
          <w:kern w:val="0"/>
          <w:szCs w:val="21"/>
          <w:highlight w:val="none"/>
        </w:rPr>
      </w:pPr>
      <w:r>
        <w:rPr>
          <w:kern w:val="0"/>
          <w:szCs w:val="21"/>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pPr>
        <w:spacing w:line="490" w:lineRule="exact"/>
        <w:ind w:firstLine="420" w:firstLineChars="200"/>
        <w:rPr>
          <w:kern w:val="0"/>
          <w:szCs w:val="21"/>
          <w:highlight w:val="none"/>
        </w:rPr>
      </w:pPr>
      <w:r>
        <w:rPr>
          <w:kern w:val="0"/>
          <w:szCs w:val="21"/>
          <w:highlight w:val="none"/>
        </w:rPr>
        <w:t>（4）若承包人收到监理人的变更意向书后认为难以实施此项变更，应立即通知监理人，说明原因并附详细依据。监理人与承包人和发包人协商后确定撤销、改变或不改变原变更意向书。</w:t>
      </w:r>
    </w:p>
    <w:p>
      <w:pPr>
        <w:spacing w:line="490" w:lineRule="exact"/>
        <w:ind w:firstLine="422" w:firstLineChars="200"/>
        <w:rPr>
          <w:b/>
          <w:kern w:val="0"/>
          <w:szCs w:val="21"/>
          <w:highlight w:val="none"/>
        </w:rPr>
      </w:pPr>
      <w:r>
        <w:rPr>
          <w:b/>
          <w:kern w:val="0"/>
          <w:szCs w:val="21"/>
          <w:highlight w:val="none"/>
        </w:rPr>
        <w:t>15.3.2 变更估价</w:t>
      </w:r>
    </w:p>
    <w:p>
      <w:pPr>
        <w:spacing w:line="490" w:lineRule="exact"/>
        <w:ind w:firstLine="420" w:firstLineChars="200"/>
        <w:rPr>
          <w:kern w:val="0"/>
          <w:szCs w:val="21"/>
          <w:highlight w:val="none"/>
        </w:rPr>
      </w:pPr>
      <w:r>
        <w:rPr>
          <w:kern w:val="0"/>
          <w:szCs w:val="21"/>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pPr>
        <w:spacing w:line="490" w:lineRule="exact"/>
        <w:ind w:firstLine="420" w:firstLineChars="200"/>
        <w:rPr>
          <w:kern w:val="0"/>
          <w:szCs w:val="21"/>
          <w:highlight w:val="none"/>
        </w:rPr>
      </w:pPr>
      <w:r>
        <w:rPr>
          <w:kern w:val="0"/>
          <w:szCs w:val="21"/>
          <w:highlight w:val="none"/>
        </w:rPr>
        <w:t>（2）变更工作影响工期的，承包人应提出调整工期的具体细节。监理人认为有必要时，可要求承包人提交要求提前或延长工期的施工进度计划及相应施工措施等详细资料。</w:t>
      </w:r>
    </w:p>
    <w:p>
      <w:pPr>
        <w:spacing w:line="490" w:lineRule="exact"/>
        <w:ind w:firstLine="420" w:firstLineChars="200"/>
        <w:rPr>
          <w:kern w:val="0"/>
          <w:szCs w:val="21"/>
          <w:highlight w:val="none"/>
        </w:rPr>
      </w:pPr>
      <w:r>
        <w:rPr>
          <w:kern w:val="0"/>
          <w:szCs w:val="21"/>
          <w:highlight w:val="none"/>
        </w:rPr>
        <w:t>（3）除专用合同条款对期限另有约定外，监理人收到承包人变更报价书后的14 天内，根据第15.4款约定的估价原则，按照第3.5款商定或确定变更价格。</w:t>
      </w:r>
    </w:p>
    <w:p>
      <w:pPr>
        <w:spacing w:line="490" w:lineRule="exact"/>
        <w:ind w:firstLine="422" w:firstLineChars="200"/>
        <w:rPr>
          <w:b/>
          <w:kern w:val="0"/>
          <w:szCs w:val="21"/>
          <w:highlight w:val="none"/>
        </w:rPr>
      </w:pPr>
      <w:r>
        <w:rPr>
          <w:b/>
          <w:kern w:val="0"/>
          <w:szCs w:val="21"/>
          <w:highlight w:val="none"/>
        </w:rPr>
        <w:t>15.3.3 变更指示</w:t>
      </w:r>
    </w:p>
    <w:p>
      <w:pPr>
        <w:spacing w:line="490" w:lineRule="exact"/>
        <w:ind w:firstLine="420" w:firstLineChars="200"/>
        <w:rPr>
          <w:kern w:val="0"/>
          <w:szCs w:val="21"/>
          <w:highlight w:val="none"/>
        </w:rPr>
      </w:pPr>
      <w:r>
        <w:rPr>
          <w:kern w:val="0"/>
          <w:szCs w:val="21"/>
          <w:highlight w:val="none"/>
        </w:rPr>
        <w:t>（1）变更指示只能由监理人发出。</w:t>
      </w:r>
    </w:p>
    <w:p>
      <w:pPr>
        <w:spacing w:line="490" w:lineRule="exact"/>
        <w:ind w:firstLine="420" w:firstLineChars="200"/>
        <w:rPr>
          <w:kern w:val="0"/>
          <w:szCs w:val="21"/>
          <w:highlight w:val="none"/>
        </w:rPr>
      </w:pPr>
      <w:r>
        <w:rPr>
          <w:kern w:val="0"/>
          <w:szCs w:val="21"/>
          <w:highlight w:val="none"/>
        </w:rPr>
        <w:t>（2）变更指示应说明变更的目的、范围、变更内容以及变更的工程量及其进度和技术要求，并附有关图纸和文件。承包人收到变更指示后，应按变更指示进行变更工作。</w:t>
      </w:r>
    </w:p>
    <w:p>
      <w:pPr>
        <w:spacing w:line="490" w:lineRule="exact"/>
        <w:ind w:firstLine="422" w:firstLineChars="200"/>
        <w:outlineLvl w:val="3"/>
        <w:rPr>
          <w:b/>
          <w:bCs/>
          <w:kern w:val="0"/>
          <w:szCs w:val="21"/>
          <w:highlight w:val="none"/>
        </w:rPr>
      </w:pPr>
      <w:bookmarkStart w:id="406" w:name="_Toc511318131"/>
      <w:bookmarkStart w:id="407" w:name="_Toc189386202"/>
      <w:r>
        <w:rPr>
          <w:b/>
          <w:bCs/>
          <w:kern w:val="0"/>
          <w:szCs w:val="21"/>
          <w:highlight w:val="none"/>
        </w:rPr>
        <w:t>15.4 变更的估价原则</w:t>
      </w:r>
      <w:bookmarkEnd w:id="406"/>
      <w:bookmarkEnd w:id="407"/>
    </w:p>
    <w:p>
      <w:pPr>
        <w:spacing w:line="490" w:lineRule="exact"/>
        <w:ind w:firstLine="420" w:firstLineChars="200"/>
        <w:rPr>
          <w:kern w:val="0"/>
          <w:szCs w:val="21"/>
          <w:highlight w:val="none"/>
        </w:rPr>
      </w:pPr>
      <w:r>
        <w:rPr>
          <w:kern w:val="0"/>
          <w:szCs w:val="21"/>
          <w:highlight w:val="none"/>
        </w:rPr>
        <w:t>除专用合同条款另有约定外，因变更引起的价格调整按照本款约定处理。</w:t>
      </w:r>
    </w:p>
    <w:p>
      <w:pPr>
        <w:spacing w:line="490" w:lineRule="exact"/>
        <w:ind w:firstLine="420" w:firstLineChars="200"/>
        <w:rPr>
          <w:kern w:val="0"/>
          <w:szCs w:val="21"/>
          <w:highlight w:val="none"/>
        </w:rPr>
      </w:pPr>
      <w:r>
        <w:rPr>
          <w:kern w:val="0"/>
          <w:szCs w:val="21"/>
          <w:highlight w:val="none"/>
        </w:rPr>
        <w:t>15.4.1 已标价工程量清单中有适用于变更工作的子目的，采用该子目的单价。</w:t>
      </w:r>
    </w:p>
    <w:p>
      <w:pPr>
        <w:spacing w:line="490" w:lineRule="exact"/>
        <w:ind w:firstLine="420" w:firstLineChars="200"/>
        <w:rPr>
          <w:kern w:val="0"/>
          <w:szCs w:val="21"/>
          <w:highlight w:val="none"/>
        </w:rPr>
      </w:pPr>
      <w:r>
        <w:rPr>
          <w:kern w:val="0"/>
          <w:szCs w:val="21"/>
          <w:highlight w:val="none"/>
        </w:rPr>
        <w:t>15.4.2 已标价工程量清单中无适用于变更工作的子目，但有类似子目的，可在合理范围内参照类似子目的单价，由监理人按第3.5款商定或确定变更工作的单价。</w:t>
      </w:r>
    </w:p>
    <w:p>
      <w:pPr>
        <w:spacing w:line="490" w:lineRule="exact"/>
        <w:ind w:firstLine="420" w:firstLineChars="200"/>
        <w:rPr>
          <w:kern w:val="0"/>
          <w:szCs w:val="21"/>
          <w:highlight w:val="none"/>
        </w:rPr>
      </w:pPr>
      <w:r>
        <w:rPr>
          <w:kern w:val="0"/>
          <w:szCs w:val="21"/>
          <w:highlight w:val="none"/>
        </w:rPr>
        <w:t>15.4.3 已标价工程量清单中无适用或类似子目的单价，可按照成本加利润的原则，由监理人按第3.5款商定或确定变更工作的单价。</w:t>
      </w:r>
    </w:p>
    <w:p>
      <w:pPr>
        <w:spacing w:line="490" w:lineRule="exact"/>
        <w:ind w:firstLine="422" w:firstLineChars="200"/>
        <w:outlineLvl w:val="3"/>
        <w:rPr>
          <w:b/>
          <w:bCs/>
          <w:kern w:val="0"/>
          <w:szCs w:val="21"/>
          <w:highlight w:val="none"/>
        </w:rPr>
      </w:pPr>
      <w:bookmarkStart w:id="408" w:name="_Toc511318132"/>
      <w:bookmarkStart w:id="409" w:name="_Toc189386203"/>
      <w:r>
        <w:rPr>
          <w:b/>
          <w:bCs/>
          <w:kern w:val="0"/>
          <w:szCs w:val="21"/>
          <w:highlight w:val="none"/>
        </w:rPr>
        <w:t>15.5 承包人的合理化建议</w:t>
      </w:r>
      <w:bookmarkEnd w:id="408"/>
      <w:bookmarkEnd w:id="409"/>
    </w:p>
    <w:p>
      <w:pPr>
        <w:spacing w:line="490" w:lineRule="exact"/>
        <w:ind w:firstLine="420" w:firstLineChars="200"/>
        <w:rPr>
          <w:kern w:val="0"/>
          <w:szCs w:val="21"/>
          <w:highlight w:val="none"/>
        </w:rPr>
      </w:pPr>
      <w:r>
        <w:rPr>
          <w:kern w:val="0"/>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pPr>
        <w:spacing w:line="490" w:lineRule="exact"/>
        <w:ind w:firstLine="420" w:firstLineChars="200"/>
        <w:rPr>
          <w:kern w:val="0"/>
          <w:szCs w:val="21"/>
          <w:highlight w:val="none"/>
        </w:rPr>
      </w:pPr>
      <w:r>
        <w:rPr>
          <w:kern w:val="0"/>
          <w:szCs w:val="21"/>
          <w:highlight w:val="none"/>
        </w:rPr>
        <w:t>15.5.2 承包人提出的合理化建议降低了合同价格、缩短了工期或者提高了工程经济效益的，发包人可按国家有关规定在专用合同条款中约定给予奖励。</w:t>
      </w:r>
    </w:p>
    <w:p>
      <w:pPr>
        <w:spacing w:line="490" w:lineRule="exact"/>
        <w:ind w:firstLine="422" w:firstLineChars="200"/>
        <w:outlineLvl w:val="3"/>
        <w:rPr>
          <w:b/>
          <w:bCs/>
          <w:kern w:val="0"/>
          <w:szCs w:val="21"/>
          <w:highlight w:val="none"/>
        </w:rPr>
      </w:pPr>
      <w:bookmarkStart w:id="410" w:name="_Toc511318133"/>
      <w:bookmarkStart w:id="411" w:name="_Toc189386204"/>
      <w:r>
        <w:rPr>
          <w:b/>
          <w:bCs/>
          <w:kern w:val="0"/>
          <w:szCs w:val="21"/>
          <w:highlight w:val="none"/>
        </w:rPr>
        <w:t>15.6 暂列金额</w:t>
      </w:r>
      <w:bookmarkEnd w:id="410"/>
      <w:bookmarkEnd w:id="411"/>
    </w:p>
    <w:p>
      <w:pPr>
        <w:spacing w:line="490" w:lineRule="exact"/>
        <w:ind w:firstLine="420" w:firstLineChars="200"/>
        <w:rPr>
          <w:kern w:val="0"/>
          <w:szCs w:val="21"/>
          <w:highlight w:val="none"/>
        </w:rPr>
      </w:pPr>
      <w:r>
        <w:rPr>
          <w:kern w:val="0"/>
          <w:szCs w:val="21"/>
          <w:highlight w:val="none"/>
        </w:rPr>
        <w:t>暂列金额只能按照监理人的指示使用，并对合同价格进行相应调整。</w:t>
      </w:r>
    </w:p>
    <w:p>
      <w:pPr>
        <w:spacing w:line="490" w:lineRule="exact"/>
        <w:ind w:firstLine="422" w:firstLineChars="200"/>
        <w:outlineLvl w:val="3"/>
        <w:rPr>
          <w:b/>
          <w:bCs/>
          <w:kern w:val="0"/>
          <w:szCs w:val="21"/>
          <w:highlight w:val="none"/>
        </w:rPr>
      </w:pPr>
      <w:bookmarkStart w:id="412" w:name="_Toc189386205"/>
      <w:bookmarkStart w:id="413" w:name="_Toc511318134"/>
      <w:r>
        <w:rPr>
          <w:b/>
          <w:bCs/>
          <w:kern w:val="0"/>
          <w:szCs w:val="21"/>
          <w:highlight w:val="none"/>
        </w:rPr>
        <w:t>15.7 计日工</w:t>
      </w:r>
      <w:bookmarkEnd w:id="412"/>
      <w:bookmarkEnd w:id="413"/>
    </w:p>
    <w:p>
      <w:pPr>
        <w:spacing w:line="490" w:lineRule="exact"/>
        <w:ind w:firstLine="420" w:firstLineChars="200"/>
        <w:rPr>
          <w:kern w:val="0"/>
          <w:szCs w:val="21"/>
          <w:highlight w:val="none"/>
        </w:rPr>
      </w:pPr>
      <w:r>
        <w:rPr>
          <w:kern w:val="0"/>
          <w:szCs w:val="21"/>
          <w:highlight w:val="none"/>
        </w:rPr>
        <w:t>15.7.1 发包人认为有必要时，由监理人通知承包人以计日工方式实施变更的零星工作。其价款按列入已标价工程量清单中的计日工计价子目及其单价进行计算。</w:t>
      </w:r>
    </w:p>
    <w:p>
      <w:pPr>
        <w:spacing w:line="490" w:lineRule="exact"/>
        <w:ind w:firstLine="420" w:firstLineChars="200"/>
        <w:rPr>
          <w:kern w:val="0"/>
          <w:szCs w:val="21"/>
          <w:highlight w:val="none"/>
        </w:rPr>
      </w:pPr>
      <w:r>
        <w:rPr>
          <w:kern w:val="0"/>
          <w:szCs w:val="21"/>
          <w:highlight w:val="none"/>
        </w:rPr>
        <w:t>15.7.2 采用计日工计价的任何一项变更工作，应从暂列金额中支付，承包人应在该项变更的实施过程中，每天提交以下报表和有关凭证报送监理人审批：</w:t>
      </w:r>
    </w:p>
    <w:p>
      <w:pPr>
        <w:spacing w:line="490" w:lineRule="exact"/>
        <w:ind w:firstLine="420" w:firstLineChars="200"/>
        <w:rPr>
          <w:kern w:val="0"/>
          <w:szCs w:val="21"/>
          <w:highlight w:val="none"/>
        </w:rPr>
      </w:pPr>
      <w:r>
        <w:rPr>
          <w:kern w:val="0"/>
          <w:szCs w:val="21"/>
          <w:highlight w:val="none"/>
        </w:rPr>
        <w:t>（1）工作名称、内容和数量；</w:t>
      </w:r>
    </w:p>
    <w:p>
      <w:pPr>
        <w:spacing w:line="490" w:lineRule="exact"/>
        <w:ind w:firstLine="420" w:firstLineChars="200"/>
        <w:rPr>
          <w:kern w:val="0"/>
          <w:szCs w:val="21"/>
          <w:highlight w:val="none"/>
        </w:rPr>
      </w:pPr>
      <w:r>
        <w:rPr>
          <w:kern w:val="0"/>
          <w:szCs w:val="21"/>
          <w:highlight w:val="none"/>
        </w:rPr>
        <w:t>（2）投入该工作所有人员的姓名、工种、级别和耗用工时；</w:t>
      </w:r>
    </w:p>
    <w:p>
      <w:pPr>
        <w:spacing w:line="490" w:lineRule="exact"/>
        <w:ind w:firstLine="420" w:firstLineChars="200"/>
        <w:rPr>
          <w:kern w:val="0"/>
          <w:szCs w:val="21"/>
          <w:highlight w:val="none"/>
        </w:rPr>
      </w:pPr>
      <w:r>
        <w:rPr>
          <w:kern w:val="0"/>
          <w:szCs w:val="21"/>
          <w:highlight w:val="none"/>
        </w:rPr>
        <w:t>（3）投入该工作的材料类别和数量；</w:t>
      </w:r>
    </w:p>
    <w:p>
      <w:pPr>
        <w:spacing w:line="490" w:lineRule="exact"/>
        <w:ind w:firstLine="420" w:firstLineChars="200"/>
        <w:rPr>
          <w:kern w:val="0"/>
          <w:szCs w:val="21"/>
          <w:highlight w:val="none"/>
        </w:rPr>
      </w:pPr>
      <w:r>
        <w:rPr>
          <w:kern w:val="0"/>
          <w:szCs w:val="21"/>
          <w:highlight w:val="none"/>
        </w:rPr>
        <w:t>（4）投入该工作的施工设备型号、台数和耗用台时；</w:t>
      </w:r>
    </w:p>
    <w:p>
      <w:pPr>
        <w:spacing w:line="490" w:lineRule="exact"/>
        <w:ind w:firstLine="420" w:firstLineChars="200"/>
        <w:rPr>
          <w:kern w:val="0"/>
          <w:szCs w:val="21"/>
          <w:highlight w:val="none"/>
        </w:rPr>
      </w:pPr>
      <w:r>
        <w:rPr>
          <w:kern w:val="0"/>
          <w:szCs w:val="21"/>
          <w:highlight w:val="none"/>
        </w:rPr>
        <w:t>（5）监理人要求提交的其他资料和凭证。</w:t>
      </w:r>
    </w:p>
    <w:p>
      <w:pPr>
        <w:spacing w:line="490" w:lineRule="exact"/>
        <w:ind w:firstLine="420" w:firstLineChars="200"/>
        <w:rPr>
          <w:kern w:val="0"/>
          <w:szCs w:val="21"/>
          <w:highlight w:val="none"/>
        </w:rPr>
      </w:pPr>
      <w:r>
        <w:rPr>
          <w:kern w:val="0"/>
          <w:szCs w:val="21"/>
          <w:highlight w:val="none"/>
        </w:rPr>
        <w:t>15.7.3  计日工由承包人汇总后，按第17.3.2项的约定列入进度付款申请单，由监理人复核并经发包人同意后列入进度付款。</w:t>
      </w:r>
    </w:p>
    <w:p>
      <w:pPr>
        <w:spacing w:line="490" w:lineRule="exact"/>
        <w:ind w:firstLine="422" w:firstLineChars="200"/>
        <w:outlineLvl w:val="3"/>
        <w:rPr>
          <w:b/>
          <w:bCs/>
          <w:kern w:val="0"/>
          <w:szCs w:val="21"/>
          <w:highlight w:val="none"/>
        </w:rPr>
      </w:pPr>
      <w:bookmarkStart w:id="414" w:name="_Toc511318135"/>
      <w:bookmarkStart w:id="415" w:name="_Toc189386206"/>
      <w:r>
        <w:rPr>
          <w:b/>
          <w:bCs/>
          <w:kern w:val="0"/>
          <w:szCs w:val="21"/>
          <w:highlight w:val="none"/>
        </w:rPr>
        <w:t>15.8 暂估价</w:t>
      </w:r>
      <w:bookmarkEnd w:id="414"/>
      <w:bookmarkEnd w:id="415"/>
    </w:p>
    <w:p>
      <w:pPr>
        <w:spacing w:line="490" w:lineRule="exact"/>
        <w:ind w:firstLine="420" w:firstLineChars="200"/>
        <w:rPr>
          <w:kern w:val="0"/>
          <w:szCs w:val="21"/>
          <w:highlight w:val="none"/>
        </w:rPr>
      </w:pPr>
      <w:r>
        <w:rPr>
          <w:kern w:val="0"/>
          <w:szCs w:val="21"/>
          <w:highlight w:val="none"/>
        </w:rPr>
        <w:t>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它费用列入合同价格。必须招标的暂估价项目招标组织形式、发包人和承包人组织招标时双方的权利义务关系在专用合同条款中约定。</w:t>
      </w:r>
    </w:p>
    <w:p>
      <w:pPr>
        <w:spacing w:line="490" w:lineRule="exact"/>
        <w:ind w:firstLine="420" w:firstLineChars="200"/>
        <w:rPr>
          <w:kern w:val="0"/>
          <w:szCs w:val="21"/>
          <w:highlight w:val="none"/>
        </w:rPr>
      </w:pPr>
      <w:r>
        <w:rPr>
          <w:kern w:val="0"/>
          <w:szCs w:val="21"/>
          <w:highlight w:val="none"/>
        </w:rPr>
        <w:t>15.8.2 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pPr>
        <w:spacing w:line="490" w:lineRule="exact"/>
        <w:ind w:firstLine="420" w:firstLineChars="200"/>
        <w:rPr>
          <w:kern w:val="0"/>
          <w:szCs w:val="21"/>
          <w:highlight w:val="none"/>
        </w:rPr>
      </w:pPr>
      <w:r>
        <w:rPr>
          <w:kern w:val="0"/>
          <w:szCs w:val="21"/>
          <w:highlight w:val="none"/>
        </w:rPr>
        <w:t>15.8.3  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pPr>
        <w:pStyle w:val="5"/>
        <w:keepNext w:val="0"/>
        <w:keepLines w:val="0"/>
        <w:spacing w:before="0" w:after="0" w:line="490" w:lineRule="exact"/>
        <w:ind w:firstLine="422" w:firstLineChars="200"/>
        <w:rPr>
          <w:bCs w:val="0"/>
          <w:color w:val="auto"/>
          <w:sz w:val="21"/>
          <w:szCs w:val="21"/>
          <w:highlight w:val="none"/>
        </w:rPr>
      </w:pPr>
      <w:bookmarkStart w:id="416" w:name="_Toc21160"/>
      <w:bookmarkStart w:id="417" w:name="_Toc189386207"/>
      <w:bookmarkStart w:id="418" w:name="_Toc12275"/>
      <w:r>
        <w:rPr>
          <w:bCs w:val="0"/>
          <w:color w:val="auto"/>
          <w:sz w:val="21"/>
          <w:szCs w:val="21"/>
          <w:highlight w:val="none"/>
        </w:rPr>
        <w:t>16</w:t>
      </w:r>
      <w:r>
        <w:rPr>
          <w:rFonts w:hint="eastAsia"/>
          <w:bCs w:val="0"/>
          <w:color w:val="auto"/>
          <w:sz w:val="21"/>
          <w:szCs w:val="21"/>
          <w:highlight w:val="none"/>
        </w:rPr>
        <w:t>.</w:t>
      </w:r>
      <w:r>
        <w:rPr>
          <w:bCs w:val="0"/>
          <w:color w:val="auto"/>
          <w:sz w:val="21"/>
          <w:szCs w:val="21"/>
          <w:highlight w:val="none"/>
        </w:rPr>
        <w:t>价格调整</w:t>
      </w:r>
      <w:bookmarkEnd w:id="416"/>
      <w:bookmarkEnd w:id="417"/>
      <w:bookmarkEnd w:id="418"/>
    </w:p>
    <w:p>
      <w:pPr>
        <w:spacing w:line="490" w:lineRule="exact"/>
        <w:ind w:firstLine="422" w:firstLineChars="200"/>
        <w:outlineLvl w:val="3"/>
        <w:rPr>
          <w:b/>
          <w:bCs/>
          <w:kern w:val="0"/>
          <w:szCs w:val="21"/>
          <w:highlight w:val="none"/>
        </w:rPr>
      </w:pPr>
      <w:bookmarkStart w:id="419" w:name="_Toc189386208"/>
      <w:bookmarkStart w:id="420" w:name="_Toc511318137"/>
      <w:r>
        <w:rPr>
          <w:b/>
          <w:bCs/>
          <w:kern w:val="0"/>
          <w:szCs w:val="21"/>
          <w:highlight w:val="none"/>
        </w:rPr>
        <w:t>16.1 物价波动引起的价格调整</w:t>
      </w:r>
      <w:bookmarkEnd w:id="419"/>
      <w:bookmarkEnd w:id="420"/>
    </w:p>
    <w:p>
      <w:pPr>
        <w:spacing w:line="490" w:lineRule="exact"/>
        <w:ind w:firstLine="420" w:firstLineChars="200"/>
        <w:rPr>
          <w:kern w:val="0"/>
          <w:szCs w:val="21"/>
          <w:highlight w:val="none"/>
        </w:rPr>
      </w:pPr>
      <w:r>
        <w:rPr>
          <w:kern w:val="0"/>
          <w:szCs w:val="21"/>
          <w:highlight w:val="none"/>
        </w:rPr>
        <w:t>由于物价波动原因引起合同价格需要调整的，其价格调整方式在专用合同条款中约定。</w:t>
      </w:r>
    </w:p>
    <w:p>
      <w:pPr>
        <w:spacing w:line="490" w:lineRule="exact"/>
        <w:ind w:firstLine="422" w:firstLineChars="200"/>
        <w:rPr>
          <w:b/>
          <w:kern w:val="0"/>
          <w:szCs w:val="21"/>
          <w:highlight w:val="none"/>
        </w:rPr>
      </w:pPr>
      <w:r>
        <w:rPr>
          <w:b/>
          <w:kern w:val="0"/>
          <w:szCs w:val="21"/>
          <w:highlight w:val="none"/>
        </w:rPr>
        <w:t>16.1.1 采用价格指数调整价格差额</w:t>
      </w:r>
    </w:p>
    <w:p>
      <w:pPr>
        <w:spacing w:line="490" w:lineRule="exact"/>
        <w:ind w:firstLine="420" w:firstLineChars="200"/>
        <w:rPr>
          <w:kern w:val="0"/>
          <w:szCs w:val="21"/>
          <w:highlight w:val="none"/>
        </w:rPr>
      </w:pPr>
      <w:r>
        <w:rPr>
          <w:kern w:val="0"/>
          <w:szCs w:val="21"/>
          <w:highlight w:val="none"/>
        </w:rPr>
        <w:t>16.1.1.1 价格调整公式</w:t>
      </w:r>
    </w:p>
    <w:p>
      <w:pPr>
        <w:spacing w:line="490" w:lineRule="exact"/>
        <w:ind w:firstLine="420" w:firstLineChars="200"/>
        <w:rPr>
          <w:kern w:val="0"/>
          <w:szCs w:val="21"/>
          <w:highlight w:val="none"/>
        </w:rPr>
      </w:pPr>
      <w:r>
        <w:rPr>
          <w:kern w:val="0"/>
          <w:szCs w:val="21"/>
          <w:highlight w:val="none"/>
        </w:rPr>
        <w:t>因人工、材料和设备等价格波动影响合同价格时，根据投标函附录中的价格指数和权重表约定的数据，按以下公式计算差额并调整合同价格。</w:t>
      </w:r>
    </w:p>
    <w:p>
      <w:pPr>
        <w:spacing w:line="490" w:lineRule="exact"/>
        <w:ind w:firstLine="378" w:firstLineChars="200"/>
        <w:jc w:val="left"/>
        <w:rPr>
          <w:w w:val="90"/>
          <w:kern w:val="0"/>
          <w:szCs w:val="21"/>
          <w:highlight w:val="none"/>
        </w:rPr>
      </w:pPr>
      <w:r>
        <w:rPr>
          <w:w w:val="90"/>
          <w:kern w:val="0"/>
          <w:szCs w:val="21"/>
          <w:highlight w:val="none"/>
        </w:rPr>
        <w:t>ΔP＝P0[A＋（B1×Ft1/F01＋B2×Ft2/F02＋B3×Ft3/F03＋…＋Bn×Ftn/F0n）－1]</w:t>
      </w:r>
    </w:p>
    <w:p>
      <w:pPr>
        <w:spacing w:line="490" w:lineRule="exact"/>
        <w:ind w:firstLine="420" w:firstLineChars="200"/>
        <w:rPr>
          <w:kern w:val="0"/>
          <w:szCs w:val="21"/>
          <w:highlight w:val="none"/>
        </w:rPr>
      </w:pPr>
      <w:r>
        <w:rPr>
          <w:kern w:val="0"/>
          <w:szCs w:val="21"/>
          <w:highlight w:val="none"/>
        </w:rPr>
        <w:t>式中：</w:t>
      </w:r>
      <w:r>
        <w:rPr>
          <w:rFonts w:cs="Cambria Math"/>
          <w:kern w:val="0"/>
          <w:szCs w:val="21"/>
          <w:highlight w:val="none"/>
        </w:rPr>
        <w:t>△</w:t>
      </w:r>
      <w:r>
        <w:rPr>
          <w:kern w:val="0"/>
          <w:szCs w:val="21"/>
          <w:highlight w:val="none"/>
        </w:rPr>
        <w:t>P—需调整的价格差额；</w:t>
      </w:r>
    </w:p>
    <w:p>
      <w:pPr>
        <w:spacing w:line="490" w:lineRule="exact"/>
        <w:ind w:firstLine="1050" w:firstLineChars="500"/>
        <w:rPr>
          <w:kern w:val="0"/>
          <w:szCs w:val="21"/>
          <w:highlight w:val="none"/>
        </w:rPr>
      </w:pPr>
      <w:r>
        <w:rPr>
          <w:kern w:val="0"/>
          <w:szCs w:val="21"/>
          <w:highlight w:val="none"/>
        </w:rPr>
        <w:t>P0—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pPr>
        <w:spacing w:line="490" w:lineRule="exact"/>
        <w:ind w:firstLine="1029" w:firstLineChars="490"/>
        <w:rPr>
          <w:kern w:val="0"/>
          <w:szCs w:val="21"/>
          <w:highlight w:val="none"/>
        </w:rPr>
      </w:pPr>
      <w:r>
        <w:rPr>
          <w:kern w:val="0"/>
          <w:szCs w:val="21"/>
          <w:highlight w:val="none"/>
        </w:rPr>
        <w:t xml:space="preserve">A—定值权重（即不调部分的权重）； </w:t>
      </w:r>
    </w:p>
    <w:p>
      <w:pPr>
        <w:spacing w:line="490" w:lineRule="exact"/>
        <w:ind w:firstLine="1029" w:firstLineChars="490"/>
        <w:rPr>
          <w:kern w:val="0"/>
          <w:szCs w:val="21"/>
          <w:highlight w:val="none"/>
        </w:rPr>
      </w:pPr>
      <w:r>
        <w:rPr>
          <w:kern w:val="0"/>
          <w:szCs w:val="21"/>
          <w:highlight w:val="none"/>
        </w:rPr>
        <w:t xml:space="preserve">B1；B2；B3…Bn—各可调因子的变值权重（即可调部分的权重）为各调因子在投标函投标总报价中所占的比例； </w:t>
      </w:r>
    </w:p>
    <w:p>
      <w:pPr>
        <w:spacing w:line="490" w:lineRule="exact"/>
        <w:ind w:firstLine="1008" w:firstLineChars="480"/>
        <w:rPr>
          <w:kern w:val="0"/>
          <w:szCs w:val="21"/>
          <w:highlight w:val="none"/>
        </w:rPr>
      </w:pPr>
      <w:r>
        <w:rPr>
          <w:kern w:val="0"/>
          <w:szCs w:val="21"/>
          <w:highlight w:val="none"/>
        </w:rPr>
        <w:t xml:space="preserve">Ft1；Ft2；Ft3…Ftn—各可调因子的现行价格指数，指第17.3.3项、17.5.2项和第17.6.2项约定的付款证书相关周期最后一天的前42天的各可调因子的价格指数； </w:t>
      </w:r>
    </w:p>
    <w:p>
      <w:pPr>
        <w:spacing w:line="490" w:lineRule="exact"/>
        <w:ind w:firstLine="1008" w:firstLineChars="480"/>
        <w:rPr>
          <w:kern w:val="0"/>
          <w:szCs w:val="21"/>
          <w:highlight w:val="none"/>
        </w:rPr>
      </w:pPr>
      <w:r>
        <w:rPr>
          <w:kern w:val="0"/>
          <w:szCs w:val="21"/>
          <w:highlight w:val="none"/>
        </w:rPr>
        <w:t>F01；F02；F03…F0n—各可调因子的基本价格指数，指基准日期的各可调因子的价格指数。</w:t>
      </w:r>
    </w:p>
    <w:p>
      <w:pPr>
        <w:spacing w:line="490" w:lineRule="exact"/>
        <w:ind w:firstLine="420" w:firstLineChars="200"/>
        <w:rPr>
          <w:kern w:val="0"/>
          <w:szCs w:val="21"/>
          <w:highlight w:val="none"/>
        </w:rPr>
      </w:pPr>
      <w:r>
        <w:rPr>
          <w:kern w:val="0"/>
          <w:szCs w:val="21"/>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spacing w:line="490" w:lineRule="exact"/>
        <w:ind w:firstLine="420" w:firstLineChars="200"/>
        <w:rPr>
          <w:kern w:val="0"/>
          <w:szCs w:val="21"/>
          <w:highlight w:val="none"/>
        </w:rPr>
      </w:pPr>
      <w:r>
        <w:rPr>
          <w:kern w:val="0"/>
          <w:szCs w:val="21"/>
          <w:highlight w:val="none"/>
        </w:rPr>
        <w:t>16.1.1.2 暂时确定调整差额</w:t>
      </w:r>
    </w:p>
    <w:p>
      <w:pPr>
        <w:spacing w:line="490" w:lineRule="exact"/>
        <w:ind w:firstLine="420" w:firstLineChars="200"/>
        <w:rPr>
          <w:kern w:val="0"/>
          <w:szCs w:val="21"/>
          <w:highlight w:val="none"/>
        </w:rPr>
      </w:pPr>
      <w:r>
        <w:rPr>
          <w:kern w:val="0"/>
          <w:szCs w:val="21"/>
          <w:highlight w:val="none"/>
        </w:rPr>
        <w:t>在计算调整差额时得不到现行价格指数的，可暂用上一次价格指数计算，并在以后的付款中再按实际价格指数进行调整。</w:t>
      </w:r>
    </w:p>
    <w:p>
      <w:pPr>
        <w:spacing w:line="490" w:lineRule="exact"/>
        <w:ind w:firstLine="420" w:firstLineChars="200"/>
        <w:rPr>
          <w:kern w:val="0"/>
          <w:szCs w:val="21"/>
          <w:highlight w:val="none"/>
        </w:rPr>
      </w:pPr>
      <w:r>
        <w:rPr>
          <w:kern w:val="0"/>
          <w:szCs w:val="21"/>
          <w:highlight w:val="none"/>
        </w:rPr>
        <w:t>16.1.1.3 权重的调整</w:t>
      </w:r>
    </w:p>
    <w:p>
      <w:pPr>
        <w:spacing w:line="490" w:lineRule="exact"/>
        <w:ind w:firstLine="420" w:firstLineChars="200"/>
        <w:rPr>
          <w:kern w:val="0"/>
          <w:szCs w:val="21"/>
          <w:highlight w:val="none"/>
        </w:rPr>
      </w:pPr>
      <w:r>
        <w:rPr>
          <w:kern w:val="0"/>
          <w:szCs w:val="21"/>
          <w:highlight w:val="none"/>
        </w:rPr>
        <w:t>按第15.1款约定的变更导致原定合同中的权重不合理时，由监理人与承包人和发包人协商后进行调整。</w:t>
      </w:r>
    </w:p>
    <w:p>
      <w:pPr>
        <w:spacing w:line="490" w:lineRule="exact"/>
        <w:ind w:firstLine="420" w:firstLineChars="200"/>
        <w:rPr>
          <w:kern w:val="0"/>
          <w:szCs w:val="21"/>
          <w:highlight w:val="none"/>
        </w:rPr>
      </w:pPr>
      <w:r>
        <w:rPr>
          <w:kern w:val="0"/>
          <w:szCs w:val="21"/>
          <w:highlight w:val="none"/>
        </w:rPr>
        <w:t>16.1.1.4 承包人工期延误后的价格调整</w:t>
      </w:r>
    </w:p>
    <w:p>
      <w:pPr>
        <w:spacing w:line="490" w:lineRule="exact"/>
        <w:ind w:firstLine="420" w:firstLineChars="200"/>
        <w:rPr>
          <w:kern w:val="0"/>
          <w:szCs w:val="21"/>
          <w:highlight w:val="none"/>
        </w:rPr>
      </w:pPr>
      <w:r>
        <w:rPr>
          <w:kern w:val="0"/>
          <w:szCs w:val="21"/>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pPr>
        <w:spacing w:line="490" w:lineRule="exact"/>
        <w:ind w:firstLine="422" w:firstLineChars="200"/>
        <w:rPr>
          <w:b/>
          <w:kern w:val="0"/>
          <w:szCs w:val="21"/>
          <w:highlight w:val="none"/>
        </w:rPr>
      </w:pPr>
      <w:r>
        <w:rPr>
          <w:b/>
          <w:kern w:val="0"/>
          <w:szCs w:val="21"/>
          <w:highlight w:val="none"/>
        </w:rPr>
        <w:t xml:space="preserve">16.1.2 采用造价信息调整价格差额 </w:t>
      </w:r>
    </w:p>
    <w:p>
      <w:pPr>
        <w:spacing w:line="490" w:lineRule="exact"/>
        <w:ind w:firstLine="420" w:firstLineChars="200"/>
        <w:rPr>
          <w:kern w:val="0"/>
          <w:szCs w:val="21"/>
          <w:highlight w:val="none"/>
        </w:rPr>
      </w:pPr>
      <w:r>
        <w:rPr>
          <w:kern w:val="0"/>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spacing w:line="490" w:lineRule="exact"/>
        <w:ind w:firstLine="420" w:firstLineChars="200"/>
        <w:rPr>
          <w:kern w:val="0"/>
          <w:szCs w:val="21"/>
          <w:highlight w:val="none"/>
        </w:rPr>
      </w:pPr>
      <w:r>
        <w:rPr>
          <w:kern w:val="0"/>
          <w:szCs w:val="21"/>
          <w:highlight w:val="none"/>
        </w:rPr>
        <w:t>工程造价信息的来源以及价格调整的项目和系数在专用合同条款中约定。</w:t>
      </w:r>
    </w:p>
    <w:p>
      <w:pPr>
        <w:spacing w:line="490" w:lineRule="exact"/>
        <w:ind w:firstLine="422" w:firstLineChars="200"/>
        <w:outlineLvl w:val="3"/>
        <w:rPr>
          <w:b/>
          <w:bCs/>
          <w:kern w:val="0"/>
          <w:szCs w:val="21"/>
          <w:highlight w:val="none"/>
        </w:rPr>
      </w:pPr>
      <w:bookmarkStart w:id="421" w:name="_Toc189386209"/>
      <w:bookmarkStart w:id="422" w:name="_Toc511318138"/>
      <w:r>
        <w:rPr>
          <w:b/>
          <w:bCs/>
          <w:kern w:val="0"/>
          <w:szCs w:val="21"/>
          <w:highlight w:val="none"/>
        </w:rPr>
        <w:t>16.2 法律变化引起的价格调整</w:t>
      </w:r>
      <w:bookmarkEnd w:id="421"/>
      <w:bookmarkEnd w:id="422"/>
    </w:p>
    <w:p>
      <w:pPr>
        <w:spacing w:line="490" w:lineRule="exact"/>
        <w:ind w:firstLine="420" w:firstLineChars="200"/>
        <w:rPr>
          <w:kern w:val="0"/>
          <w:szCs w:val="21"/>
          <w:highlight w:val="none"/>
        </w:rPr>
      </w:pPr>
      <w:r>
        <w:rPr>
          <w:kern w:val="0"/>
          <w:szCs w:val="21"/>
          <w:highlight w:val="none"/>
        </w:rPr>
        <w:t>在基准日后，因法律变化导致承包人在合同履行中所需要的工程费用发生除第16.1 款约定以外的增减时，监理人应根据法律、国家或省、自治区、直辖市有关部门的规定，按第3.5款商定或确定需调整的合同价款。</w:t>
      </w:r>
    </w:p>
    <w:p>
      <w:pPr>
        <w:pStyle w:val="5"/>
        <w:keepNext w:val="0"/>
        <w:keepLines w:val="0"/>
        <w:spacing w:before="0" w:after="0" w:line="490" w:lineRule="exact"/>
        <w:ind w:firstLine="422" w:firstLineChars="200"/>
        <w:rPr>
          <w:bCs w:val="0"/>
          <w:color w:val="auto"/>
          <w:sz w:val="21"/>
          <w:szCs w:val="21"/>
          <w:highlight w:val="none"/>
        </w:rPr>
      </w:pPr>
      <w:bookmarkStart w:id="423" w:name="_Toc32463"/>
      <w:bookmarkStart w:id="424" w:name="_Toc189386210"/>
      <w:bookmarkStart w:id="425" w:name="_Toc14599"/>
      <w:r>
        <w:rPr>
          <w:bCs w:val="0"/>
          <w:color w:val="auto"/>
          <w:sz w:val="21"/>
          <w:szCs w:val="21"/>
          <w:highlight w:val="none"/>
        </w:rPr>
        <w:t>17</w:t>
      </w:r>
      <w:r>
        <w:rPr>
          <w:rFonts w:hint="eastAsia"/>
          <w:bCs w:val="0"/>
          <w:color w:val="auto"/>
          <w:sz w:val="21"/>
          <w:szCs w:val="21"/>
          <w:highlight w:val="none"/>
        </w:rPr>
        <w:t>.</w:t>
      </w:r>
      <w:r>
        <w:rPr>
          <w:bCs w:val="0"/>
          <w:color w:val="auto"/>
          <w:sz w:val="21"/>
          <w:szCs w:val="21"/>
          <w:highlight w:val="none"/>
        </w:rPr>
        <w:t>计量与支付</w:t>
      </w:r>
      <w:bookmarkEnd w:id="423"/>
      <w:bookmarkEnd w:id="424"/>
      <w:bookmarkEnd w:id="425"/>
    </w:p>
    <w:p>
      <w:pPr>
        <w:spacing w:line="490" w:lineRule="exact"/>
        <w:ind w:firstLine="422" w:firstLineChars="200"/>
        <w:outlineLvl w:val="3"/>
        <w:rPr>
          <w:b/>
          <w:bCs/>
          <w:kern w:val="0"/>
          <w:szCs w:val="21"/>
          <w:highlight w:val="none"/>
        </w:rPr>
      </w:pPr>
      <w:bookmarkStart w:id="426" w:name="_Toc189386211"/>
      <w:bookmarkStart w:id="427" w:name="_Toc511318140"/>
      <w:r>
        <w:rPr>
          <w:b/>
          <w:bCs/>
          <w:kern w:val="0"/>
          <w:szCs w:val="21"/>
          <w:highlight w:val="none"/>
        </w:rPr>
        <w:t>17.1 计量</w:t>
      </w:r>
      <w:bookmarkEnd w:id="426"/>
      <w:bookmarkEnd w:id="427"/>
    </w:p>
    <w:p>
      <w:pPr>
        <w:spacing w:line="490" w:lineRule="exact"/>
        <w:ind w:firstLine="422" w:firstLineChars="200"/>
        <w:rPr>
          <w:b/>
          <w:kern w:val="0"/>
          <w:szCs w:val="21"/>
          <w:highlight w:val="none"/>
        </w:rPr>
      </w:pPr>
      <w:r>
        <w:rPr>
          <w:b/>
          <w:kern w:val="0"/>
          <w:szCs w:val="21"/>
          <w:highlight w:val="none"/>
        </w:rPr>
        <w:t>17.1.1 计量单位</w:t>
      </w:r>
    </w:p>
    <w:p>
      <w:pPr>
        <w:spacing w:line="490" w:lineRule="exact"/>
        <w:ind w:firstLine="420" w:firstLineChars="200"/>
        <w:rPr>
          <w:kern w:val="0"/>
          <w:szCs w:val="21"/>
          <w:highlight w:val="none"/>
        </w:rPr>
      </w:pPr>
      <w:r>
        <w:rPr>
          <w:kern w:val="0"/>
          <w:szCs w:val="21"/>
          <w:highlight w:val="none"/>
        </w:rPr>
        <w:t>计量采用国家法定的计量单位。</w:t>
      </w:r>
    </w:p>
    <w:p>
      <w:pPr>
        <w:spacing w:line="490" w:lineRule="exact"/>
        <w:ind w:firstLine="422" w:firstLineChars="200"/>
        <w:rPr>
          <w:b/>
          <w:kern w:val="0"/>
          <w:szCs w:val="21"/>
          <w:highlight w:val="none"/>
        </w:rPr>
      </w:pPr>
      <w:r>
        <w:rPr>
          <w:b/>
          <w:kern w:val="0"/>
          <w:szCs w:val="21"/>
          <w:highlight w:val="none"/>
        </w:rPr>
        <w:t>17.1.2 计量方法</w:t>
      </w:r>
    </w:p>
    <w:p>
      <w:pPr>
        <w:spacing w:line="490" w:lineRule="exact"/>
        <w:ind w:firstLine="420" w:firstLineChars="200"/>
        <w:rPr>
          <w:kern w:val="0"/>
          <w:szCs w:val="21"/>
          <w:highlight w:val="none"/>
        </w:rPr>
      </w:pPr>
      <w:r>
        <w:rPr>
          <w:kern w:val="0"/>
          <w:szCs w:val="21"/>
          <w:highlight w:val="none"/>
        </w:rPr>
        <w:t>结算工程量应按工程量清单中约定的方法计量。</w:t>
      </w:r>
    </w:p>
    <w:p>
      <w:pPr>
        <w:spacing w:line="490" w:lineRule="exact"/>
        <w:ind w:firstLine="422" w:firstLineChars="200"/>
        <w:rPr>
          <w:b/>
          <w:kern w:val="0"/>
          <w:szCs w:val="21"/>
          <w:highlight w:val="none"/>
        </w:rPr>
      </w:pPr>
      <w:r>
        <w:rPr>
          <w:b/>
          <w:kern w:val="0"/>
          <w:szCs w:val="21"/>
          <w:highlight w:val="none"/>
        </w:rPr>
        <w:t>17.1.3 计量周期</w:t>
      </w:r>
    </w:p>
    <w:p>
      <w:pPr>
        <w:spacing w:line="490" w:lineRule="exact"/>
        <w:ind w:firstLine="420" w:firstLineChars="200"/>
        <w:rPr>
          <w:kern w:val="0"/>
          <w:szCs w:val="21"/>
          <w:highlight w:val="none"/>
        </w:rPr>
      </w:pPr>
      <w:r>
        <w:rPr>
          <w:kern w:val="0"/>
          <w:szCs w:val="21"/>
          <w:highlight w:val="none"/>
        </w:rPr>
        <w:t>除专用合同条款另有约定外，单价子目已完成工程量按月计量，总价子目的计量周期按批准的支付分解报告确定。</w:t>
      </w:r>
    </w:p>
    <w:p>
      <w:pPr>
        <w:spacing w:line="490" w:lineRule="exact"/>
        <w:ind w:firstLine="422" w:firstLineChars="200"/>
        <w:rPr>
          <w:b/>
          <w:kern w:val="0"/>
          <w:szCs w:val="21"/>
          <w:highlight w:val="none"/>
        </w:rPr>
      </w:pPr>
      <w:r>
        <w:rPr>
          <w:b/>
          <w:kern w:val="0"/>
          <w:szCs w:val="21"/>
          <w:highlight w:val="none"/>
        </w:rPr>
        <w:t>17.1.4 单价子目的计量</w:t>
      </w:r>
    </w:p>
    <w:p>
      <w:pPr>
        <w:spacing w:line="490" w:lineRule="exact"/>
        <w:ind w:firstLine="420" w:firstLineChars="200"/>
        <w:rPr>
          <w:kern w:val="0"/>
          <w:szCs w:val="21"/>
          <w:highlight w:val="none"/>
        </w:rPr>
      </w:pPr>
      <w:r>
        <w:rPr>
          <w:kern w:val="0"/>
          <w:szCs w:val="21"/>
          <w:highlight w:val="none"/>
        </w:rPr>
        <w:t>（1）已标价工程量清单中的单价子目工程量为估算工程量。结算工程量是承包人实际完成的，并按合同约定的计量方法进行计量的工程量。</w:t>
      </w:r>
    </w:p>
    <w:p>
      <w:pPr>
        <w:spacing w:line="490" w:lineRule="exact"/>
        <w:ind w:firstLine="420" w:firstLineChars="200"/>
        <w:rPr>
          <w:kern w:val="0"/>
          <w:szCs w:val="21"/>
          <w:highlight w:val="none"/>
        </w:rPr>
      </w:pPr>
      <w:r>
        <w:rPr>
          <w:kern w:val="0"/>
          <w:szCs w:val="21"/>
          <w:highlight w:val="none"/>
        </w:rPr>
        <w:t>（2）承包人对已完成的工程进行计量，向监理人提交进度付款申请单、已完成工程量报表和有关计量资料。</w:t>
      </w:r>
    </w:p>
    <w:p>
      <w:pPr>
        <w:spacing w:line="490" w:lineRule="exact"/>
        <w:ind w:firstLine="420" w:firstLineChars="200"/>
        <w:rPr>
          <w:kern w:val="0"/>
          <w:szCs w:val="21"/>
          <w:highlight w:val="none"/>
        </w:rPr>
      </w:pPr>
      <w:r>
        <w:rPr>
          <w:kern w:val="0"/>
          <w:szCs w:val="21"/>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pPr>
        <w:spacing w:line="490" w:lineRule="exact"/>
        <w:ind w:firstLine="420" w:firstLineChars="200"/>
        <w:rPr>
          <w:kern w:val="0"/>
          <w:szCs w:val="21"/>
          <w:highlight w:val="none"/>
        </w:rPr>
      </w:pPr>
      <w:r>
        <w:rPr>
          <w:kern w:val="0"/>
          <w:szCs w:val="21"/>
          <w:highlight w:val="none"/>
        </w:rPr>
        <w:t>（4）监理人认为有必要时，可通知承包人共同进行联合测量、计量，承包人应遵照执行。</w:t>
      </w:r>
    </w:p>
    <w:p>
      <w:pPr>
        <w:spacing w:line="490" w:lineRule="exact"/>
        <w:ind w:firstLine="420" w:firstLineChars="200"/>
        <w:rPr>
          <w:kern w:val="0"/>
          <w:szCs w:val="21"/>
          <w:highlight w:val="none"/>
        </w:rPr>
      </w:pPr>
      <w:r>
        <w:rPr>
          <w:kern w:val="0"/>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spacing w:line="490" w:lineRule="exact"/>
        <w:ind w:firstLine="420" w:firstLineChars="200"/>
        <w:rPr>
          <w:kern w:val="0"/>
          <w:szCs w:val="21"/>
          <w:highlight w:val="none"/>
        </w:rPr>
      </w:pPr>
      <w:r>
        <w:rPr>
          <w:kern w:val="0"/>
          <w:szCs w:val="21"/>
          <w:highlight w:val="none"/>
        </w:rPr>
        <w:t>（6）监理人应在收到承包人提交的工程量报表后的7天内进行复核，监理人未在约定时间内复核的，承包人提交的工程量报表中的工程量视为承包人实际完成的工程量，据此计算工程价款。</w:t>
      </w:r>
    </w:p>
    <w:p>
      <w:pPr>
        <w:spacing w:line="490" w:lineRule="exact"/>
        <w:ind w:firstLine="422" w:firstLineChars="200"/>
        <w:rPr>
          <w:b/>
          <w:kern w:val="0"/>
          <w:szCs w:val="21"/>
          <w:highlight w:val="none"/>
        </w:rPr>
      </w:pPr>
      <w:r>
        <w:rPr>
          <w:b/>
          <w:kern w:val="0"/>
          <w:szCs w:val="21"/>
          <w:highlight w:val="none"/>
        </w:rPr>
        <w:t>17.1.5 总价子目的计量</w:t>
      </w:r>
    </w:p>
    <w:p>
      <w:pPr>
        <w:spacing w:line="490" w:lineRule="exact"/>
        <w:ind w:firstLine="420" w:firstLineChars="200"/>
        <w:rPr>
          <w:kern w:val="0"/>
          <w:szCs w:val="21"/>
          <w:highlight w:val="none"/>
        </w:rPr>
      </w:pPr>
      <w:r>
        <w:rPr>
          <w:kern w:val="0"/>
          <w:szCs w:val="21"/>
          <w:highlight w:val="none"/>
        </w:rPr>
        <w:t>总价子目的分解和计量按照下述约定进行。</w:t>
      </w:r>
    </w:p>
    <w:p>
      <w:pPr>
        <w:spacing w:line="490" w:lineRule="exact"/>
        <w:ind w:firstLine="420" w:firstLineChars="200"/>
        <w:rPr>
          <w:kern w:val="0"/>
          <w:szCs w:val="21"/>
          <w:highlight w:val="none"/>
        </w:rPr>
      </w:pPr>
      <w:r>
        <w:rPr>
          <w:kern w:val="0"/>
          <w:szCs w:val="21"/>
          <w:highlight w:val="none"/>
        </w:rPr>
        <w:t>（1）总价子目的计量和支付应以总价为基础，不因第16.1款中的因素而进行调整。承包人实际完成的工程量，是进行工程目标管理和控制进度支付的依据。</w:t>
      </w:r>
    </w:p>
    <w:p>
      <w:pPr>
        <w:spacing w:line="490" w:lineRule="exact"/>
        <w:ind w:firstLine="420" w:firstLineChars="200"/>
        <w:rPr>
          <w:kern w:val="0"/>
          <w:szCs w:val="21"/>
          <w:highlight w:val="none"/>
        </w:rPr>
      </w:pPr>
      <w:r>
        <w:rPr>
          <w:kern w:val="0"/>
          <w:szCs w:val="21"/>
          <w:highlight w:val="none"/>
        </w:rPr>
        <w:t>（2）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pPr>
        <w:spacing w:line="490" w:lineRule="exact"/>
        <w:ind w:firstLine="420" w:firstLineChars="200"/>
        <w:rPr>
          <w:kern w:val="0"/>
          <w:szCs w:val="21"/>
          <w:highlight w:val="none"/>
        </w:rPr>
      </w:pPr>
      <w:r>
        <w:rPr>
          <w:kern w:val="0"/>
          <w:szCs w:val="21"/>
          <w:highlight w:val="none"/>
        </w:rPr>
        <w:t>（3）监理人对承包人提交的上述资料进行复核，以确定分阶段实际完成的工程量和工程形象目标。对其有异议的，可要求承包人按第8.2款约定进行共同复核和抽样复测。</w:t>
      </w:r>
    </w:p>
    <w:p>
      <w:pPr>
        <w:spacing w:line="490" w:lineRule="exact"/>
        <w:ind w:firstLine="420" w:firstLineChars="200"/>
        <w:rPr>
          <w:kern w:val="0"/>
          <w:szCs w:val="21"/>
          <w:highlight w:val="none"/>
        </w:rPr>
      </w:pPr>
      <w:r>
        <w:rPr>
          <w:kern w:val="0"/>
          <w:szCs w:val="21"/>
          <w:highlight w:val="none"/>
        </w:rPr>
        <w:t>（4）除按照第15条约定的变更外，总价子目的工程量是承包人用于结算的最终工程量。</w:t>
      </w:r>
    </w:p>
    <w:p>
      <w:pPr>
        <w:spacing w:line="490" w:lineRule="exact"/>
        <w:ind w:firstLine="422" w:firstLineChars="200"/>
        <w:outlineLvl w:val="3"/>
        <w:rPr>
          <w:b/>
          <w:bCs/>
          <w:kern w:val="0"/>
          <w:szCs w:val="21"/>
          <w:highlight w:val="none"/>
        </w:rPr>
      </w:pPr>
      <w:bookmarkStart w:id="428" w:name="_Toc189386212"/>
      <w:r>
        <w:rPr>
          <w:b/>
          <w:bCs/>
          <w:kern w:val="0"/>
          <w:szCs w:val="21"/>
          <w:highlight w:val="none"/>
        </w:rPr>
        <w:t>17.2 预付款</w:t>
      </w:r>
      <w:bookmarkEnd w:id="428"/>
    </w:p>
    <w:p>
      <w:pPr>
        <w:spacing w:line="490" w:lineRule="exact"/>
        <w:ind w:firstLine="422" w:firstLineChars="200"/>
        <w:rPr>
          <w:b/>
          <w:kern w:val="0"/>
          <w:szCs w:val="21"/>
          <w:highlight w:val="none"/>
        </w:rPr>
      </w:pPr>
      <w:r>
        <w:rPr>
          <w:b/>
          <w:kern w:val="0"/>
          <w:szCs w:val="21"/>
          <w:highlight w:val="none"/>
        </w:rPr>
        <w:t>17.2.1 预付款</w:t>
      </w:r>
    </w:p>
    <w:p>
      <w:pPr>
        <w:spacing w:line="490" w:lineRule="exact"/>
        <w:ind w:firstLine="420" w:firstLineChars="200"/>
        <w:rPr>
          <w:kern w:val="0"/>
          <w:szCs w:val="21"/>
          <w:highlight w:val="none"/>
        </w:rPr>
      </w:pPr>
      <w:r>
        <w:rPr>
          <w:kern w:val="0"/>
          <w:szCs w:val="21"/>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pPr>
        <w:spacing w:line="490" w:lineRule="exact"/>
        <w:ind w:firstLine="422" w:firstLineChars="200"/>
        <w:rPr>
          <w:b/>
          <w:kern w:val="0"/>
          <w:szCs w:val="21"/>
          <w:highlight w:val="none"/>
        </w:rPr>
      </w:pPr>
      <w:r>
        <w:rPr>
          <w:b/>
          <w:kern w:val="0"/>
          <w:szCs w:val="21"/>
          <w:highlight w:val="none"/>
        </w:rPr>
        <w:t>17.2.2 预付款保函（担保）</w:t>
      </w:r>
    </w:p>
    <w:p>
      <w:pPr>
        <w:spacing w:line="490" w:lineRule="exact"/>
        <w:ind w:firstLine="420" w:firstLineChars="200"/>
        <w:rPr>
          <w:kern w:val="0"/>
          <w:szCs w:val="21"/>
          <w:highlight w:val="none"/>
        </w:rPr>
      </w:pPr>
      <w:r>
        <w:rPr>
          <w:kern w:val="0"/>
          <w:szCs w:val="21"/>
          <w:highlight w:val="none"/>
        </w:rPr>
        <w:t>（1）承包人应在收到第一次工程预付款的同时向发包人提交工程预付款担保，担保金额应与第一次工程预付款金额相同，工程预付款担保在第一次工程预付款被发包人扣回前一直有效。</w:t>
      </w:r>
    </w:p>
    <w:p>
      <w:pPr>
        <w:spacing w:line="490" w:lineRule="exact"/>
        <w:ind w:firstLine="420" w:firstLineChars="200"/>
        <w:rPr>
          <w:kern w:val="0"/>
          <w:szCs w:val="21"/>
          <w:highlight w:val="none"/>
        </w:rPr>
      </w:pPr>
      <w:r>
        <w:rPr>
          <w:kern w:val="0"/>
          <w:szCs w:val="21"/>
          <w:highlight w:val="none"/>
        </w:rPr>
        <w:t>（2）工程材料预付款的担保在专用合同条款中约定。</w:t>
      </w:r>
    </w:p>
    <w:p>
      <w:pPr>
        <w:spacing w:line="490" w:lineRule="exact"/>
        <w:ind w:firstLine="420" w:firstLineChars="200"/>
        <w:rPr>
          <w:kern w:val="0"/>
          <w:szCs w:val="21"/>
          <w:highlight w:val="none"/>
        </w:rPr>
      </w:pPr>
      <w:r>
        <w:rPr>
          <w:kern w:val="0"/>
          <w:szCs w:val="21"/>
          <w:highlight w:val="none"/>
        </w:rPr>
        <w:t>（3）预付款担保的担保金额可根据预付款扣回的金额相应递减。</w:t>
      </w:r>
    </w:p>
    <w:p>
      <w:pPr>
        <w:spacing w:line="490" w:lineRule="exact"/>
        <w:ind w:firstLine="422" w:firstLineChars="200"/>
        <w:rPr>
          <w:b/>
          <w:kern w:val="0"/>
          <w:szCs w:val="21"/>
          <w:highlight w:val="none"/>
        </w:rPr>
      </w:pPr>
      <w:r>
        <w:rPr>
          <w:b/>
          <w:kern w:val="0"/>
          <w:szCs w:val="21"/>
          <w:highlight w:val="none"/>
        </w:rPr>
        <w:t>17.2.3 预付款的扣回与还清</w:t>
      </w:r>
    </w:p>
    <w:p>
      <w:pPr>
        <w:spacing w:line="490" w:lineRule="exact"/>
        <w:ind w:firstLine="420" w:firstLineChars="200"/>
        <w:rPr>
          <w:kern w:val="0"/>
          <w:szCs w:val="21"/>
          <w:highlight w:val="none"/>
        </w:rPr>
      </w:pPr>
      <w:r>
        <w:rPr>
          <w:kern w:val="0"/>
          <w:szCs w:val="21"/>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pPr>
        <w:spacing w:line="490" w:lineRule="exact"/>
        <w:ind w:firstLine="422" w:firstLineChars="200"/>
        <w:outlineLvl w:val="3"/>
        <w:rPr>
          <w:b/>
          <w:bCs/>
          <w:kern w:val="0"/>
          <w:szCs w:val="21"/>
          <w:highlight w:val="none"/>
        </w:rPr>
      </w:pPr>
      <w:bookmarkStart w:id="429" w:name="_Toc511318141"/>
      <w:bookmarkStart w:id="430" w:name="_Toc189386213"/>
      <w:r>
        <w:rPr>
          <w:b/>
          <w:bCs/>
          <w:kern w:val="0"/>
          <w:szCs w:val="21"/>
          <w:highlight w:val="none"/>
        </w:rPr>
        <w:t>17.3 工程进度付款</w:t>
      </w:r>
      <w:bookmarkEnd w:id="429"/>
      <w:bookmarkEnd w:id="430"/>
    </w:p>
    <w:p>
      <w:pPr>
        <w:spacing w:line="490" w:lineRule="exact"/>
        <w:ind w:firstLine="422" w:firstLineChars="200"/>
        <w:rPr>
          <w:b/>
          <w:kern w:val="0"/>
          <w:szCs w:val="21"/>
          <w:highlight w:val="none"/>
        </w:rPr>
      </w:pPr>
      <w:r>
        <w:rPr>
          <w:b/>
          <w:kern w:val="0"/>
          <w:szCs w:val="21"/>
          <w:highlight w:val="none"/>
        </w:rPr>
        <w:t>17.3.1 付款周期</w:t>
      </w:r>
    </w:p>
    <w:p>
      <w:pPr>
        <w:spacing w:line="490" w:lineRule="exact"/>
        <w:ind w:firstLine="420" w:firstLineChars="200"/>
        <w:rPr>
          <w:kern w:val="0"/>
          <w:szCs w:val="21"/>
          <w:highlight w:val="none"/>
        </w:rPr>
      </w:pPr>
      <w:r>
        <w:rPr>
          <w:kern w:val="0"/>
          <w:szCs w:val="21"/>
          <w:highlight w:val="none"/>
        </w:rPr>
        <w:t>付款周期同计量周期。</w:t>
      </w:r>
    </w:p>
    <w:p>
      <w:pPr>
        <w:spacing w:line="490" w:lineRule="exact"/>
        <w:ind w:firstLine="422" w:firstLineChars="200"/>
        <w:rPr>
          <w:b/>
          <w:kern w:val="0"/>
          <w:szCs w:val="21"/>
          <w:highlight w:val="none"/>
        </w:rPr>
      </w:pPr>
      <w:r>
        <w:rPr>
          <w:b/>
          <w:kern w:val="0"/>
          <w:szCs w:val="21"/>
          <w:highlight w:val="none"/>
        </w:rPr>
        <w:t>17.3.2 进度付款申请单</w:t>
      </w:r>
    </w:p>
    <w:p>
      <w:pPr>
        <w:spacing w:line="490" w:lineRule="exact"/>
        <w:ind w:firstLine="420" w:firstLineChars="200"/>
        <w:rPr>
          <w:kern w:val="0"/>
          <w:szCs w:val="21"/>
          <w:highlight w:val="none"/>
        </w:rPr>
      </w:pPr>
      <w:r>
        <w:rPr>
          <w:kern w:val="0"/>
          <w:szCs w:val="21"/>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pPr>
        <w:spacing w:line="490" w:lineRule="exact"/>
        <w:ind w:firstLine="420" w:firstLineChars="200"/>
        <w:rPr>
          <w:kern w:val="0"/>
          <w:szCs w:val="21"/>
          <w:highlight w:val="none"/>
        </w:rPr>
      </w:pPr>
      <w:r>
        <w:rPr>
          <w:kern w:val="0"/>
          <w:szCs w:val="21"/>
          <w:highlight w:val="none"/>
        </w:rPr>
        <w:t>（1）截至本次付款周期末已实施工程的价款；</w:t>
      </w:r>
    </w:p>
    <w:p>
      <w:pPr>
        <w:spacing w:line="490" w:lineRule="exact"/>
        <w:ind w:firstLine="420" w:firstLineChars="200"/>
        <w:rPr>
          <w:kern w:val="0"/>
          <w:szCs w:val="21"/>
          <w:highlight w:val="none"/>
        </w:rPr>
      </w:pPr>
      <w:r>
        <w:rPr>
          <w:kern w:val="0"/>
          <w:szCs w:val="21"/>
          <w:highlight w:val="none"/>
        </w:rPr>
        <w:t>（2）根据第15条应增加和扣减的变更金额；</w:t>
      </w:r>
    </w:p>
    <w:p>
      <w:pPr>
        <w:spacing w:line="490" w:lineRule="exact"/>
        <w:ind w:firstLine="420" w:firstLineChars="200"/>
        <w:rPr>
          <w:kern w:val="0"/>
          <w:szCs w:val="21"/>
          <w:highlight w:val="none"/>
        </w:rPr>
      </w:pPr>
      <w:r>
        <w:rPr>
          <w:kern w:val="0"/>
          <w:szCs w:val="21"/>
          <w:highlight w:val="none"/>
        </w:rPr>
        <w:t>（3）根据第23条应增加和扣减的索赔金额；</w:t>
      </w:r>
    </w:p>
    <w:p>
      <w:pPr>
        <w:spacing w:line="490" w:lineRule="exact"/>
        <w:ind w:firstLine="420" w:firstLineChars="200"/>
        <w:rPr>
          <w:kern w:val="0"/>
          <w:szCs w:val="21"/>
          <w:highlight w:val="none"/>
        </w:rPr>
      </w:pPr>
      <w:r>
        <w:rPr>
          <w:kern w:val="0"/>
          <w:szCs w:val="21"/>
          <w:highlight w:val="none"/>
        </w:rPr>
        <w:t>（4）根据第17.2款约定应支付的预付款和扣减的返还预付款；</w:t>
      </w:r>
    </w:p>
    <w:p>
      <w:pPr>
        <w:spacing w:line="490" w:lineRule="exact"/>
        <w:ind w:firstLine="420" w:firstLineChars="200"/>
        <w:rPr>
          <w:kern w:val="0"/>
          <w:szCs w:val="21"/>
          <w:highlight w:val="none"/>
        </w:rPr>
      </w:pPr>
      <w:r>
        <w:rPr>
          <w:kern w:val="0"/>
          <w:szCs w:val="21"/>
          <w:highlight w:val="none"/>
        </w:rPr>
        <w:t>（5）根据第17.4.1项约定应扣减的质量保证金；</w:t>
      </w:r>
    </w:p>
    <w:p>
      <w:pPr>
        <w:spacing w:line="490" w:lineRule="exact"/>
        <w:ind w:firstLine="420" w:firstLineChars="200"/>
        <w:rPr>
          <w:kern w:val="0"/>
          <w:szCs w:val="21"/>
          <w:highlight w:val="none"/>
        </w:rPr>
      </w:pPr>
      <w:r>
        <w:rPr>
          <w:kern w:val="0"/>
          <w:szCs w:val="21"/>
          <w:highlight w:val="none"/>
        </w:rPr>
        <w:t>（6）根据合同应增加和扣减的其他金额。</w:t>
      </w:r>
    </w:p>
    <w:p>
      <w:pPr>
        <w:spacing w:line="490" w:lineRule="exact"/>
        <w:ind w:firstLine="422" w:firstLineChars="200"/>
        <w:rPr>
          <w:b/>
          <w:kern w:val="0"/>
          <w:szCs w:val="21"/>
          <w:highlight w:val="none"/>
        </w:rPr>
      </w:pPr>
      <w:r>
        <w:rPr>
          <w:b/>
          <w:kern w:val="0"/>
          <w:szCs w:val="21"/>
          <w:highlight w:val="none"/>
        </w:rPr>
        <w:t>17.3.3 进度付款证书和支付时间</w:t>
      </w:r>
    </w:p>
    <w:p>
      <w:pPr>
        <w:spacing w:line="490" w:lineRule="exact"/>
        <w:ind w:firstLine="420" w:firstLineChars="200"/>
        <w:rPr>
          <w:kern w:val="0"/>
          <w:szCs w:val="21"/>
          <w:highlight w:val="none"/>
        </w:rPr>
      </w:pPr>
      <w:r>
        <w:rPr>
          <w:kern w:val="0"/>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spacing w:line="490" w:lineRule="exact"/>
        <w:ind w:firstLine="420" w:firstLineChars="200"/>
        <w:rPr>
          <w:kern w:val="0"/>
          <w:szCs w:val="21"/>
          <w:highlight w:val="none"/>
        </w:rPr>
      </w:pPr>
      <w:r>
        <w:rPr>
          <w:kern w:val="0"/>
          <w:szCs w:val="21"/>
          <w:highlight w:val="none"/>
        </w:rPr>
        <w:t>（2）发包人应在监理人收到进度付款申请单后的28天内，将进度应付款支付给承包人。发包人不按期支付的，按专用合同条款的约定支付逾期付款违约金。</w:t>
      </w:r>
    </w:p>
    <w:p>
      <w:pPr>
        <w:spacing w:line="490" w:lineRule="exact"/>
        <w:ind w:firstLine="420" w:firstLineChars="200"/>
        <w:rPr>
          <w:kern w:val="0"/>
          <w:szCs w:val="21"/>
          <w:highlight w:val="none"/>
        </w:rPr>
      </w:pPr>
      <w:r>
        <w:rPr>
          <w:kern w:val="0"/>
          <w:szCs w:val="21"/>
          <w:highlight w:val="none"/>
        </w:rPr>
        <w:t>（3）监理人出具进度付款证书，不应视为监理人已同意、批准或接受了承包人完成的该部分工作。</w:t>
      </w:r>
    </w:p>
    <w:p>
      <w:pPr>
        <w:spacing w:line="490" w:lineRule="exact"/>
        <w:ind w:firstLine="420" w:firstLineChars="200"/>
        <w:rPr>
          <w:kern w:val="0"/>
          <w:szCs w:val="21"/>
          <w:highlight w:val="none"/>
        </w:rPr>
      </w:pPr>
      <w:r>
        <w:rPr>
          <w:kern w:val="0"/>
          <w:szCs w:val="21"/>
          <w:highlight w:val="none"/>
        </w:rPr>
        <w:t>（4）进度付款涉及政府投资资金的，按照国库集中支付等国家相关规定和专用合同条款的约定办理。</w:t>
      </w:r>
    </w:p>
    <w:p>
      <w:pPr>
        <w:spacing w:line="490" w:lineRule="exact"/>
        <w:ind w:firstLine="422" w:firstLineChars="200"/>
        <w:rPr>
          <w:b/>
          <w:kern w:val="0"/>
          <w:szCs w:val="21"/>
          <w:highlight w:val="none"/>
        </w:rPr>
      </w:pPr>
      <w:r>
        <w:rPr>
          <w:b/>
          <w:kern w:val="0"/>
          <w:szCs w:val="21"/>
          <w:highlight w:val="none"/>
        </w:rPr>
        <w:t>17.3.4 工程进度付款的修正</w:t>
      </w:r>
    </w:p>
    <w:p>
      <w:pPr>
        <w:spacing w:line="490" w:lineRule="exact"/>
        <w:ind w:firstLine="420" w:firstLineChars="200"/>
        <w:rPr>
          <w:kern w:val="0"/>
          <w:szCs w:val="21"/>
          <w:highlight w:val="none"/>
        </w:rPr>
      </w:pPr>
      <w:r>
        <w:rPr>
          <w:kern w:val="0"/>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pPr>
        <w:spacing w:line="490" w:lineRule="exact"/>
        <w:ind w:firstLine="422" w:firstLineChars="200"/>
        <w:outlineLvl w:val="3"/>
        <w:rPr>
          <w:b/>
          <w:bCs/>
          <w:kern w:val="0"/>
          <w:szCs w:val="21"/>
          <w:highlight w:val="none"/>
        </w:rPr>
      </w:pPr>
      <w:bookmarkStart w:id="431" w:name="_Toc511318142"/>
      <w:bookmarkStart w:id="432" w:name="_Toc189386214"/>
      <w:r>
        <w:rPr>
          <w:b/>
          <w:bCs/>
          <w:kern w:val="0"/>
          <w:szCs w:val="21"/>
          <w:highlight w:val="none"/>
        </w:rPr>
        <w:t>17.4 质量保证金</w:t>
      </w:r>
      <w:bookmarkEnd w:id="431"/>
      <w:bookmarkEnd w:id="432"/>
    </w:p>
    <w:p>
      <w:pPr>
        <w:spacing w:line="490" w:lineRule="exact"/>
        <w:ind w:firstLine="420" w:firstLineChars="200"/>
        <w:rPr>
          <w:kern w:val="0"/>
          <w:szCs w:val="21"/>
          <w:highlight w:val="none"/>
        </w:rPr>
      </w:pPr>
      <w:r>
        <w:rPr>
          <w:kern w:val="0"/>
          <w:szCs w:val="21"/>
          <w:highlight w:val="none"/>
        </w:rPr>
        <w:t>17.4.1 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w:t>
      </w:r>
    </w:p>
    <w:p>
      <w:pPr>
        <w:spacing w:line="490" w:lineRule="exact"/>
        <w:ind w:firstLine="420" w:firstLineChars="200"/>
        <w:rPr>
          <w:kern w:val="0"/>
          <w:szCs w:val="21"/>
          <w:highlight w:val="none"/>
        </w:rPr>
      </w:pPr>
      <w:r>
        <w:rPr>
          <w:kern w:val="0"/>
          <w:szCs w:val="21"/>
          <w:highlight w:val="none"/>
        </w:rPr>
        <w:t>17.4.2 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pPr>
        <w:spacing w:line="490" w:lineRule="exact"/>
        <w:ind w:firstLine="420" w:firstLineChars="200"/>
        <w:rPr>
          <w:kern w:val="0"/>
          <w:szCs w:val="21"/>
          <w:highlight w:val="none"/>
        </w:rPr>
      </w:pPr>
      <w:r>
        <w:rPr>
          <w:kern w:val="0"/>
          <w:szCs w:val="21"/>
          <w:highlight w:val="none"/>
        </w:rPr>
        <w:t>17.4.3 在第1.1.4.5目约定的缺陷责任期满时，承包人没有完成缺陷责任的，发包人有权扣留与未履行责任剩余工作所需金额相应的质量保证金余额，并有权根据第19.3款约定要求延长缺陷责任期，直至完成剩余工作为止。</w:t>
      </w:r>
    </w:p>
    <w:p>
      <w:pPr>
        <w:spacing w:line="490" w:lineRule="exact"/>
        <w:ind w:firstLine="422" w:firstLineChars="200"/>
        <w:outlineLvl w:val="3"/>
        <w:rPr>
          <w:b/>
          <w:bCs/>
          <w:kern w:val="0"/>
          <w:szCs w:val="21"/>
          <w:highlight w:val="none"/>
        </w:rPr>
      </w:pPr>
      <w:bookmarkStart w:id="433" w:name="_Toc189386215"/>
      <w:bookmarkStart w:id="434" w:name="_Toc511318143"/>
      <w:r>
        <w:rPr>
          <w:b/>
          <w:bCs/>
          <w:kern w:val="0"/>
          <w:szCs w:val="21"/>
          <w:highlight w:val="none"/>
        </w:rPr>
        <w:t>17.5 竣工结算</w:t>
      </w:r>
      <w:bookmarkEnd w:id="433"/>
      <w:r>
        <w:rPr>
          <w:b/>
          <w:bCs/>
          <w:kern w:val="0"/>
          <w:szCs w:val="21"/>
          <w:highlight w:val="none"/>
        </w:rPr>
        <w:t>（完工结算）</w:t>
      </w:r>
      <w:bookmarkEnd w:id="434"/>
    </w:p>
    <w:p>
      <w:pPr>
        <w:spacing w:line="490" w:lineRule="exact"/>
        <w:ind w:firstLine="422" w:firstLineChars="200"/>
        <w:rPr>
          <w:b/>
          <w:kern w:val="0"/>
          <w:szCs w:val="21"/>
          <w:highlight w:val="none"/>
        </w:rPr>
      </w:pPr>
      <w:r>
        <w:rPr>
          <w:b/>
          <w:kern w:val="0"/>
          <w:szCs w:val="21"/>
          <w:highlight w:val="none"/>
        </w:rPr>
        <w:t>17.5.1 竣工（完工）付款申请单</w:t>
      </w:r>
    </w:p>
    <w:p>
      <w:pPr>
        <w:spacing w:line="490" w:lineRule="exact"/>
        <w:ind w:firstLine="420" w:firstLineChars="200"/>
        <w:rPr>
          <w:kern w:val="0"/>
          <w:szCs w:val="21"/>
          <w:highlight w:val="none"/>
        </w:rPr>
      </w:pPr>
      <w:r>
        <w:rPr>
          <w:kern w:val="0"/>
          <w:szCs w:val="21"/>
          <w:highlight w:val="none"/>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pPr>
        <w:spacing w:line="490" w:lineRule="exact"/>
        <w:ind w:firstLine="420" w:firstLineChars="200"/>
        <w:rPr>
          <w:kern w:val="0"/>
          <w:szCs w:val="21"/>
          <w:highlight w:val="none"/>
        </w:rPr>
      </w:pPr>
      <w:r>
        <w:rPr>
          <w:kern w:val="0"/>
          <w:szCs w:val="21"/>
          <w:highlight w:val="none"/>
        </w:rPr>
        <w:t>（2）监理人对完工付款申请单有异议的，有权要求承包人进行修正和提供补充资料。经监理人和承包人协商后，由承包人向监理人提交修正后的完工付款申请单。</w:t>
      </w:r>
    </w:p>
    <w:p>
      <w:pPr>
        <w:spacing w:line="490" w:lineRule="exact"/>
        <w:ind w:firstLine="422" w:firstLineChars="200"/>
        <w:rPr>
          <w:b/>
          <w:kern w:val="0"/>
          <w:szCs w:val="21"/>
          <w:highlight w:val="none"/>
        </w:rPr>
      </w:pPr>
      <w:r>
        <w:rPr>
          <w:b/>
          <w:kern w:val="0"/>
          <w:szCs w:val="21"/>
          <w:highlight w:val="none"/>
        </w:rPr>
        <w:t>17.5.2 竣工（完工）付款证书及支付时间</w:t>
      </w:r>
    </w:p>
    <w:p>
      <w:pPr>
        <w:spacing w:line="490" w:lineRule="exact"/>
        <w:ind w:firstLine="420" w:firstLineChars="200"/>
        <w:rPr>
          <w:kern w:val="0"/>
          <w:szCs w:val="21"/>
          <w:highlight w:val="none"/>
        </w:rPr>
      </w:pPr>
      <w:r>
        <w:rPr>
          <w:kern w:val="0"/>
          <w:szCs w:val="21"/>
          <w:highlight w:val="none"/>
        </w:rPr>
        <w:t>（1）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pPr>
        <w:spacing w:line="490" w:lineRule="exact"/>
        <w:ind w:firstLine="420" w:firstLineChars="200"/>
        <w:rPr>
          <w:kern w:val="0"/>
          <w:szCs w:val="21"/>
          <w:highlight w:val="none"/>
        </w:rPr>
      </w:pPr>
      <w:r>
        <w:rPr>
          <w:kern w:val="0"/>
          <w:szCs w:val="21"/>
          <w:highlight w:val="none"/>
        </w:rPr>
        <w:t>（2）发包人应在监理人出具完工付款证书后的14天内，将应支付款支付给承包人。发包人不按期支付的，按第17.3.3（2）目的约定，将逾期付款违约金支付给承包人。</w:t>
      </w:r>
    </w:p>
    <w:p>
      <w:pPr>
        <w:spacing w:line="490" w:lineRule="exact"/>
        <w:ind w:firstLine="420" w:firstLineChars="200"/>
        <w:rPr>
          <w:kern w:val="0"/>
          <w:szCs w:val="21"/>
          <w:highlight w:val="none"/>
        </w:rPr>
      </w:pPr>
      <w:r>
        <w:rPr>
          <w:kern w:val="0"/>
          <w:szCs w:val="21"/>
          <w:highlight w:val="none"/>
        </w:rPr>
        <w:t>（3）承包人对发包人签认的完工付款证书有异议的，发包人可出具完工付款申请单中承包人已同意部分的临时付款证书。存在争议的部分，按第24条的约定办理。</w:t>
      </w:r>
    </w:p>
    <w:p>
      <w:pPr>
        <w:spacing w:line="490" w:lineRule="exact"/>
        <w:ind w:firstLine="420" w:firstLineChars="200"/>
        <w:rPr>
          <w:kern w:val="0"/>
          <w:szCs w:val="21"/>
          <w:highlight w:val="none"/>
        </w:rPr>
      </w:pPr>
      <w:r>
        <w:rPr>
          <w:kern w:val="0"/>
          <w:szCs w:val="21"/>
          <w:highlight w:val="none"/>
        </w:rPr>
        <w:t>（4）完工付款涉及政府投资资金的，按第17.3.3（4）目的约定办理。</w:t>
      </w:r>
    </w:p>
    <w:p>
      <w:pPr>
        <w:spacing w:line="490" w:lineRule="exact"/>
        <w:ind w:firstLine="422" w:firstLineChars="200"/>
        <w:outlineLvl w:val="3"/>
        <w:rPr>
          <w:b/>
          <w:bCs/>
          <w:kern w:val="0"/>
          <w:szCs w:val="21"/>
          <w:highlight w:val="none"/>
        </w:rPr>
      </w:pPr>
      <w:bookmarkStart w:id="435" w:name="_Toc189386216"/>
      <w:r>
        <w:rPr>
          <w:b/>
          <w:bCs/>
          <w:kern w:val="0"/>
          <w:szCs w:val="21"/>
          <w:highlight w:val="none"/>
        </w:rPr>
        <w:t>17.6 最终结清</w:t>
      </w:r>
      <w:bookmarkEnd w:id="435"/>
    </w:p>
    <w:p>
      <w:pPr>
        <w:spacing w:line="490" w:lineRule="exact"/>
        <w:ind w:firstLine="422" w:firstLineChars="200"/>
        <w:rPr>
          <w:b/>
          <w:kern w:val="0"/>
          <w:szCs w:val="21"/>
          <w:highlight w:val="none"/>
        </w:rPr>
      </w:pPr>
      <w:r>
        <w:rPr>
          <w:b/>
          <w:kern w:val="0"/>
          <w:szCs w:val="21"/>
          <w:highlight w:val="none"/>
        </w:rPr>
        <w:t>17.6.1 最终结清申请单</w:t>
      </w:r>
    </w:p>
    <w:p>
      <w:pPr>
        <w:spacing w:line="490" w:lineRule="exact"/>
        <w:ind w:firstLine="420" w:firstLineChars="200"/>
        <w:rPr>
          <w:kern w:val="0"/>
          <w:szCs w:val="21"/>
          <w:highlight w:val="none"/>
        </w:rPr>
      </w:pPr>
      <w:r>
        <w:rPr>
          <w:kern w:val="0"/>
          <w:szCs w:val="21"/>
          <w:highlight w:val="none"/>
        </w:rPr>
        <w:t>（1）工程质量保修责任终止证书签发后，承包人应按监理人批准的格式提交最终结清申请单。提交最终结清申请单的份数在专用合同条款中约定。</w:t>
      </w:r>
    </w:p>
    <w:p>
      <w:pPr>
        <w:spacing w:line="490" w:lineRule="exact"/>
        <w:ind w:firstLine="420" w:firstLineChars="200"/>
        <w:rPr>
          <w:kern w:val="0"/>
          <w:szCs w:val="21"/>
          <w:highlight w:val="none"/>
        </w:rPr>
      </w:pPr>
      <w:r>
        <w:rPr>
          <w:kern w:val="0"/>
          <w:szCs w:val="21"/>
          <w:highlight w:val="none"/>
        </w:rPr>
        <w:t>（2）发包人对最终结清申请单内容有异议的，有权要求承包人进行修正和提供补充资料，由承包人向监理人提交修正后的最终结清申请单。</w:t>
      </w:r>
    </w:p>
    <w:p>
      <w:pPr>
        <w:spacing w:line="490" w:lineRule="exact"/>
        <w:ind w:firstLine="422" w:firstLineChars="200"/>
        <w:rPr>
          <w:b/>
          <w:kern w:val="0"/>
          <w:szCs w:val="21"/>
          <w:highlight w:val="none"/>
        </w:rPr>
      </w:pPr>
      <w:r>
        <w:rPr>
          <w:b/>
          <w:kern w:val="0"/>
          <w:szCs w:val="21"/>
          <w:highlight w:val="none"/>
        </w:rPr>
        <w:t>17.6.2 最终结清证书和支付时间</w:t>
      </w:r>
    </w:p>
    <w:p>
      <w:pPr>
        <w:spacing w:line="490" w:lineRule="exact"/>
        <w:ind w:firstLine="420" w:firstLineChars="200"/>
        <w:rPr>
          <w:kern w:val="0"/>
          <w:szCs w:val="21"/>
          <w:highlight w:val="none"/>
        </w:rPr>
      </w:pPr>
      <w:r>
        <w:rPr>
          <w:kern w:val="0"/>
          <w:szCs w:val="21"/>
          <w:highlight w:val="none"/>
        </w:rPr>
        <w:t>（1）监理人收到承包人提交的最终结清申请单后的14天内，提出发包人应支付给承包人的价款送发包人审核并抄送承包人。发包人应在收到后14 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pPr>
        <w:spacing w:line="490" w:lineRule="exact"/>
        <w:ind w:firstLine="420" w:firstLineChars="200"/>
        <w:rPr>
          <w:kern w:val="0"/>
          <w:szCs w:val="21"/>
          <w:highlight w:val="none"/>
        </w:rPr>
      </w:pPr>
      <w:r>
        <w:rPr>
          <w:kern w:val="0"/>
          <w:szCs w:val="21"/>
          <w:highlight w:val="none"/>
        </w:rPr>
        <w:t>（2）发包人应在监理人出具最终结清证书后的14天内，将应支付款支付给承包人。发包人不按期支付的，按第17.3.3（2）目的约定，将逾期付款违约金支付给承包人。</w:t>
      </w:r>
    </w:p>
    <w:p>
      <w:pPr>
        <w:spacing w:line="490" w:lineRule="exact"/>
        <w:ind w:firstLine="420" w:firstLineChars="200"/>
        <w:rPr>
          <w:kern w:val="0"/>
          <w:szCs w:val="21"/>
          <w:highlight w:val="none"/>
        </w:rPr>
      </w:pPr>
      <w:r>
        <w:rPr>
          <w:kern w:val="0"/>
          <w:szCs w:val="21"/>
          <w:highlight w:val="none"/>
        </w:rPr>
        <w:t>（3）承包人对发包人签认的最终结清证书有异议的，按第24条的约定办理。</w:t>
      </w:r>
    </w:p>
    <w:p>
      <w:pPr>
        <w:spacing w:line="490" w:lineRule="exact"/>
        <w:ind w:firstLine="420" w:firstLineChars="200"/>
        <w:rPr>
          <w:kern w:val="0"/>
          <w:szCs w:val="21"/>
          <w:highlight w:val="none"/>
        </w:rPr>
      </w:pPr>
      <w:r>
        <w:rPr>
          <w:kern w:val="0"/>
          <w:szCs w:val="21"/>
          <w:highlight w:val="none"/>
        </w:rPr>
        <w:t>（4）最终结清付款涉及政府投资资金的，按第17.3.3（４）目的约定办理。</w:t>
      </w:r>
    </w:p>
    <w:p>
      <w:pPr>
        <w:spacing w:line="490" w:lineRule="exact"/>
        <w:ind w:firstLine="422" w:firstLineChars="200"/>
        <w:outlineLvl w:val="3"/>
        <w:rPr>
          <w:b/>
          <w:bCs/>
          <w:kern w:val="0"/>
          <w:szCs w:val="21"/>
          <w:highlight w:val="none"/>
        </w:rPr>
      </w:pPr>
      <w:bookmarkStart w:id="436" w:name="_Toc511318144"/>
      <w:r>
        <w:rPr>
          <w:b/>
          <w:bCs/>
          <w:kern w:val="0"/>
          <w:szCs w:val="21"/>
          <w:highlight w:val="none"/>
        </w:rPr>
        <w:t>17.7 竣工财务决算</w:t>
      </w:r>
      <w:bookmarkEnd w:id="436"/>
    </w:p>
    <w:p>
      <w:pPr>
        <w:spacing w:line="490" w:lineRule="exact"/>
        <w:ind w:firstLine="420" w:firstLineChars="200"/>
        <w:rPr>
          <w:kern w:val="0"/>
          <w:szCs w:val="21"/>
          <w:highlight w:val="none"/>
        </w:rPr>
      </w:pPr>
      <w:r>
        <w:rPr>
          <w:kern w:val="0"/>
          <w:szCs w:val="21"/>
          <w:highlight w:val="none"/>
        </w:rPr>
        <w:t>发包人负责编制本工程项目竣工财务决算，承包人应按专用合同条款的约定提供竣工财务决算编制所需的相关材料。</w:t>
      </w:r>
    </w:p>
    <w:p>
      <w:pPr>
        <w:spacing w:line="490" w:lineRule="exact"/>
        <w:ind w:firstLine="422" w:firstLineChars="200"/>
        <w:outlineLvl w:val="3"/>
        <w:rPr>
          <w:b/>
          <w:bCs/>
          <w:kern w:val="0"/>
          <w:szCs w:val="21"/>
          <w:highlight w:val="none"/>
        </w:rPr>
      </w:pPr>
      <w:bookmarkStart w:id="437" w:name="_Toc511318145"/>
      <w:r>
        <w:rPr>
          <w:b/>
          <w:bCs/>
          <w:kern w:val="0"/>
          <w:szCs w:val="21"/>
          <w:highlight w:val="none"/>
        </w:rPr>
        <w:t>17.8 竣工审计</w:t>
      </w:r>
      <w:bookmarkEnd w:id="437"/>
    </w:p>
    <w:p>
      <w:pPr>
        <w:spacing w:line="490" w:lineRule="exact"/>
        <w:ind w:firstLine="420" w:firstLineChars="200"/>
        <w:rPr>
          <w:kern w:val="0"/>
          <w:szCs w:val="21"/>
          <w:highlight w:val="none"/>
        </w:rPr>
      </w:pPr>
      <w:r>
        <w:rPr>
          <w:kern w:val="0"/>
          <w:szCs w:val="21"/>
          <w:highlight w:val="none"/>
        </w:rPr>
        <w:t>发包人负责完成本工程竣工审计手续，承包人应完成相关配合工作。</w:t>
      </w:r>
    </w:p>
    <w:p>
      <w:pPr>
        <w:pStyle w:val="5"/>
        <w:keepNext w:val="0"/>
        <w:keepLines w:val="0"/>
        <w:spacing w:before="0" w:after="0" w:line="490" w:lineRule="exact"/>
        <w:ind w:firstLine="422" w:firstLineChars="200"/>
        <w:rPr>
          <w:bCs w:val="0"/>
          <w:color w:val="auto"/>
          <w:sz w:val="21"/>
          <w:szCs w:val="21"/>
          <w:highlight w:val="none"/>
        </w:rPr>
      </w:pPr>
      <w:bookmarkStart w:id="438" w:name="_Toc189386217"/>
      <w:bookmarkStart w:id="439" w:name="_Toc3259"/>
      <w:bookmarkStart w:id="440" w:name="_Toc9072"/>
      <w:r>
        <w:rPr>
          <w:bCs w:val="0"/>
          <w:color w:val="auto"/>
          <w:sz w:val="21"/>
          <w:szCs w:val="21"/>
          <w:highlight w:val="none"/>
        </w:rPr>
        <w:t>18</w:t>
      </w:r>
      <w:r>
        <w:rPr>
          <w:rFonts w:hint="eastAsia"/>
          <w:bCs w:val="0"/>
          <w:color w:val="auto"/>
          <w:sz w:val="21"/>
          <w:szCs w:val="21"/>
          <w:highlight w:val="none"/>
        </w:rPr>
        <w:t>.</w:t>
      </w:r>
      <w:r>
        <w:rPr>
          <w:bCs w:val="0"/>
          <w:color w:val="auto"/>
          <w:sz w:val="21"/>
          <w:szCs w:val="21"/>
          <w:highlight w:val="none"/>
        </w:rPr>
        <w:t>竣工验收</w:t>
      </w:r>
      <w:bookmarkEnd w:id="438"/>
      <w:r>
        <w:rPr>
          <w:bCs w:val="0"/>
          <w:color w:val="auto"/>
          <w:sz w:val="21"/>
          <w:szCs w:val="21"/>
          <w:highlight w:val="none"/>
        </w:rPr>
        <w:t>（验收）</w:t>
      </w:r>
      <w:bookmarkEnd w:id="439"/>
      <w:bookmarkEnd w:id="440"/>
    </w:p>
    <w:p>
      <w:pPr>
        <w:spacing w:line="490" w:lineRule="exact"/>
        <w:ind w:firstLine="422" w:firstLineChars="200"/>
        <w:outlineLvl w:val="3"/>
        <w:rPr>
          <w:b/>
          <w:bCs/>
          <w:kern w:val="0"/>
          <w:szCs w:val="21"/>
          <w:highlight w:val="none"/>
        </w:rPr>
      </w:pPr>
      <w:bookmarkStart w:id="441" w:name="_Toc511318147"/>
      <w:r>
        <w:rPr>
          <w:b/>
          <w:bCs/>
          <w:kern w:val="0"/>
          <w:szCs w:val="21"/>
          <w:highlight w:val="none"/>
        </w:rPr>
        <w:t>18.1 验收工作分类</w:t>
      </w:r>
      <w:bookmarkEnd w:id="441"/>
    </w:p>
    <w:p>
      <w:pPr>
        <w:spacing w:line="490" w:lineRule="exact"/>
        <w:ind w:firstLine="420" w:firstLineChars="200"/>
        <w:rPr>
          <w:kern w:val="0"/>
          <w:szCs w:val="21"/>
          <w:highlight w:val="none"/>
        </w:rPr>
      </w:pPr>
      <w:r>
        <w:rPr>
          <w:kern w:val="0"/>
          <w:szCs w:val="21"/>
          <w:highlight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pPr>
        <w:spacing w:line="490" w:lineRule="exact"/>
        <w:ind w:firstLine="422" w:firstLineChars="200"/>
        <w:outlineLvl w:val="3"/>
        <w:rPr>
          <w:b/>
          <w:bCs/>
          <w:kern w:val="0"/>
          <w:szCs w:val="21"/>
          <w:highlight w:val="none"/>
        </w:rPr>
      </w:pPr>
      <w:bookmarkStart w:id="442" w:name="_Toc511318148"/>
      <w:r>
        <w:rPr>
          <w:b/>
          <w:bCs/>
          <w:kern w:val="0"/>
          <w:szCs w:val="21"/>
          <w:highlight w:val="none"/>
        </w:rPr>
        <w:t>18.2 分部工程验收</w:t>
      </w:r>
      <w:bookmarkEnd w:id="442"/>
    </w:p>
    <w:p>
      <w:pPr>
        <w:spacing w:line="490" w:lineRule="exact"/>
        <w:ind w:firstLine="420" w:firstLineChars="200"/>
        <w:rPr>
          <w:kern w:val="0"/>
          <w:szCs w:val="21"/>
          <w:highlight w:val="none"/>
        </w:rPr>
      </w:pPr>
      <w:r>
        <w:rPr>
          <w:kern w:val="0"/>
          <w:szCs w:val="21"/>
          <w:highlight w:val="none"/>
        </w:rPr>
        <w:t>18.2.1 分部工程具备验收条件时，承包人应向发包人提交验收申请报告，发包人应在收到验收申请报告之日起10个工作日内决定是否同意进行验收。</w:t>
      </w:r>
    </w:p>
    <w:p>
      <w:pPr>
        <w:spacing w:line="490" w:lineRule="exact"/>
        <w:ind w:firstLine="420" w:firstLineChars="200"/>
        <w:rPr>
          <w:kern w:val="0"/>
          <w:szCs w:val="21"/>
          <w:highlight w:val="none"/>
        </w:rPr>
      </w:pPr>
      <w:r>
        <w:rPr>
          <w:kern w:val="0"/>
          <w:szCs w:val="21"/>
          <w:highlight w:val="none"/>
        </w:rPr>
        <w:t>18.2.2 除专用合同条款另有约定外，监理人主持分部工程验收，承包人应派符合条件的代表参加验收工作组。</w:t>
      </w:r>
    </w:p>
    <w:p>
      <w:pPr>
        <w:spacing w:line="490" w:lineRule="exact"/>
        <w:ind w:firstLine="420" w:firstLineChars="200"/>
        <w:rPr>
          <w:kern w:val="0"/>
          <w:szCs w:val="21"/>
          <w:highlight w:val="none"/>
        </w:rPr>
      </w:pPr>
      <w:r>
        <w:rPr>
          <w:kern w:val="0"/>
          <w:szCs w:val="21"/>
          <w:highlight w:val="none"/>
        </w:rPr>
        <w:t>18.2.3 分部工程验收通过后，发包人向承包人发送分部工程验收鉴定书。承包人应及时完成分部工程验收鉴定书载明应由承包人处理的遗留问题。</w:t>
      </w:r>
    </w:p>
    <w:p>
      <w:pPr>
        <w:spacing w:line="490" w:lineRule="exact"/>
        <w:ind w:firstLine="422" w:firstLineChars="200"/>
        <w:outlineLvl w:val="3"/>
        <w:rPr>
          <w:b/>
          <w:bCs/>
          <w:kern w:val="0"/>
          <w:szCs w:val="21"/>
          <w:highlight w:val="none"/>
        </w:rPr>
      </w:pPr>
      <w:bookmarkStart w:id="443" w:name="_Toc511318149"/>
      <w:r>
        <w:rPr>
          <w:b/>
          <w:bCs/>
          <w:kern w:val="0"/>
          <w:szCs w:val="21"/>
          <w:highlight w:val="none"/>
        </w:rPr>
        <w:t>18.3 单位工程验收</w:t>
      </w:r>
      <w:bookmarkEnd w:id="443"/>
    </w:p>
    <w:p>
      <w:pPr>
        <w:spacing w:line="490" w:lineRule="exact"/>
        <w:ind w:firstLine="420" w:firstLineChars="200"/>
        <w:rPr>
          <w:kern w:val="0"/>
          <w:szCs w:val="21"/>
          <w:highlight w:val="none"/>
        </w:rPr>
      </w:pPr>
      <w:r>
        <w:rPr>
          <w:kern w:val="0"/>
          <w:szCs w:val="21"/>
          <w:highlight w:val="none"/>
        </w:rPr>
        <w:t>18.3.1 单位工程具备验收条件时，承包人应向发包人提交验收申请报告，发包人应在收到验收申请报告之日起10个工作日内决定是否同意进行验收。</w:t>
      </w:r>
    </w:p>
    <w:p>
      <w:pPr>
        <w:spacing w:line="490" w:lineRule="exact"/>
        <w:ind w:firstLine="420" w:firstLineChars="200"/>
        <w:rPr>
          <w:kern w:val="0"/>
          <w:szCs w:val="21"/>
          <w:highlight w:val="none"/>
        </w:rPr>
      </w:pPr>
      <w:r>
        <w:rPr>
          <w:kern w:val="0"/>
          <w:szCs w:val="21"/>
          <w:highlight w:val="none"/>
        </w:rPr>
        <w:t>18.3.2 发包人主持单位工程验收，承包人应派符合条件的代表参加验收工作组。</w:t>
      </w:r>
    </w:p>
    <w:p>
      <w:pPr>
        <w:spacing w:line="490" w:lineRule="exact"/>
        <w:ind w:firstLine="420" w:firstLineChars="200"/>
        <w:rPr>
          <w:kern w:val="0"/>
          <w:szCs w:val="21"/>
          <w:highlight w:val="none"/>
        </w:rPr>
      </w:pPr>
      <w:r>
        <w:rPr>
          <w:kern w:val="0"/>
          <w:szCs w:val="21"/>
          <w:highlight w:val="none"/>
        </w:rPr>
        <w:t>18.3.3 单位工程验收通过后，发包人向承包人发送单位工程验收鉴定书。承包人应及时完成单位工程验收鉴定书载明应由承包人处理的遗留问题。</w:t>
      </w:r>
    </w:p>
    <w:p>
      <w:pPr>
        <w:spacing w:line="490" w:lineRule="exact"/>
        <w:ind w:firstLine="420" w:firstLineChars="200"/>
        <w:rPr>
          <w:kern w:val="0"/>
          <w:szCs w:val="21"/>
          <w:highlight w:val="none"/>
        </w:rPr>
      </w:pPr>
      <w:r>
        <w:rPr>
          <w:kern w:val="0"/>
          <w:szCs w:val="21"/>
          <w:highlight w:val="none"/>
        </w:rPr>
        <w:t>18.3.4 需提前投入使用的单位工程在专用合同条款中明确。</w:t>
      </w:r>
    </w:p>
    <w:p>
      <w:pPr>
        <w:spacing w:line="490" w:lineRule="exact"/>
        <w:ind w:firstLine="422" w:firstLineChars="200"/>
        <w:outlineLvl w:val="3"/>
        <w:rPr>
          <w:b/>
          <w:bCs/>
          <w:kern w:val="0"/>
          <w:szCs w:val="21"/>
          <w:highlight w:val="none"/>
        </w:rPr>
      </w:pPr>
      <w:bookmarkStart w:id="444" w:name="_Toc511318150"/>
      <w:r>
        <w:rPr>
          <w:b/>
          <w:bCs/>
          <w:kern w:val="0"/>
          <w:szCs w:val="21"/>
          <w:highlight w:val="none"/>
        </w:rPr>
        <w:t>18.4 合同工程完工验收</w:t>
      </w:r>
      <w:bookmarkEnd w:id="444"/>
    </w:p>
    <w:p>
      <w:pPr>
        <w:spacing w:line="490" w:lineRule="exact"/>
        <w:ind w:firstLine="420" w:firstLineChars="200"/>
        <w:rPr>
          <w:kern w:val="0"/>
          <w:szCs w:val="21"/>
          <w:highlight w:val="none"/>
        </w:rPr>
      </w:pPr>
      <w:r>
        <w:rPr>
          <w:kern w:val="0"/>
          <w:szCs w:val="21"/>
          <w:highlight w:val="none"/>
        </w:rPr>
        <w:t>18.4.1 合同工程具备验收条件时，承包人应向发包人提交验收申请报告，发包人应在收到验收申请报告之日起20个工作日内决定是否同意进行验收。</w:t>
      </w:r>
    </w:p>
    <w:p>
      <w:pPr>
        <w:spacing w:line="490" w:lineRule="exact"/>
        <w:ind w:firstLine="420" w:firstLineChars="200"/>
        <w:rPr>
          <w:kern w:val="0"/>
          <w:szCs w:val="21"/>
          <w:highlight w:val="none"/>
        </w:rPr>
      </w:pPr>
      <w:r>
        <w:rPr>
          <w:kern w:val="0"/>
          <w:szCs w:val="21"/>
          <w:highlight w:val="none"/>
        </w:rPr>
        <w:t>18.4.2 发包人主持合同工程完工验收，承包人应派代表参加验收工作组。</w:t>
      </w:r>
    </w:p>
    <w:p>
      <w:pPr>
        <w:spacing w:line="490" w:lineRule="exact"/>
        <w:ind w:firstLine="420" w:firstLineChars="200"/>
        <w:rPr>
          <w:kern w:val="0"/>
          <w:szCs w:val="21"/>
          <w:highlight w:val="none"/>
        </w:rPr>
      </w:pPr>
      <w:r>
        <w:rPr>
          <w:kern w:val="0"/>
          <w:szCs w:val="21"/>
          <w:highlight w:val="none"/>
        </w:rPr>
        <w:t>18.4.3 合同工程完工验收通过后，发包人向承包人发送合同工程完工验收鉴定书。承包人应及时完成合同工程完工验收鉴定书载明应由承包人处理的遗留问题。</w:t>
      </w:r>
    </w:p>
    <w:p>
      <w:pPr>
        <w:spacing w:line="490" w:lineRule="exact"/>
        <w:ind w:firstLine="420" w:firstLineChars="200"/>
        <w:rPr>
          <w:kern w:val="0"/>
          <w:szCs w:val="21"/>
          <w:highlight w:val="none"/>
        </w:rPr>
      </w:pPr>
      <w:r>
        <w:rPr>
          <w:kern w:val="0"/>
          <w:szCs w:val="21"/>
          <w:highlight w:val="none"/>
        </w:rPr>
        <w:t>18.4.4 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pPr>
        <w:spacing w:line="490" w:lineRule="exact"/>
        <w:ind w:firstLine="422" w:firstLineChars="200"/>
        <w:outlineLvl w:val="3"/>
        <w:rPr>
          <w:b/>
          <w:bCs/>
          <w:kern w:val="0"/>
          <w:szCs w:val="21"/>
          <w:highlight w:val="none"/>
        </w:rPr>
      </w:pPr>
      <w:bookmarkStart w:id="445" w:name="_Toc511318151"/>
      <w:r>
        <w:rPr>
          <w:b/>
          <w:bCs/>
          <w:kern w:val="0"/>
          <w:szCs w:val="21"/>
          <w:highlight w:val="none"/>
        </w:rPr>
        <w:t>18.5 阶段验收</w:t>
      </w:r>
      <w:bookmarkEnd w:id="445"/>
    </w:p>
    <w:p>
      <w:pPr>
        <w:spacing w:line="490" w:lineRule="exact"/>
        <w:ind w:firstLine="420" w:firstLineChars="200"/>
        <w:rPr>
          <w:kern w:val="0"/>
          <w:szCs w:val="21"/>
          <w:highlight w:val="none"/>
        </w:rPr>
      </w:pPr>
      <w:r>
        <w:rPr>
          <w:kern w:val="0"/>
          <w:szCs w:val="21"/>
          <w:highlight w:val="none"/>
        </w:rPr>
        <w:t>18.5.1 工程建设具备阶段验收条件时，发包人负责提出阶段验收申请报告。承包人应派代表参加阶段验收，并作为被验收单位在验收鉴定书上签字。阶段验收的具体类别在专用合同条款中约定。</w:t>
      </w:r>
    </w:p>
    <w:p>
      <w:pPr>
        <w:spacing w:line="490" w:lineRule="exact"/>
        <w:ind w:firstLine="420" w:firstLineChars="200"/>
        <w:rPr>
          <w:kern w:val="0"/>
          <w:szCs w:val="21"/>
          <w:highlight w:val="none"/>
        </w:rPr>
      </w:pPr>
      <w:r>
        <w:rPr>
          <w:kern w:val="0"/>
          <w:szCs w:val="21"/>
          <w:highlight w:val="none"/>
        </w:rPr>
        <w:t>18.5.2 承包人应及时完成阶段验收鉴定书载明应由承包人处理的遗留问题。</w:t>
      </w:r>
    </w:p>
    <w:p>
      <w:pPr>
        <w:spacing w:line="490" w:lineRule="exact"/>
        <w:ind w:firstLine="422" w:firstLineChars="200"/>
        <w:outlineLvl w:val="3"/>
        <w:rPr>
          <w:b/>
          <w:bCs/>
          <w:kern w:val="0"/>
          <w:szCs w:val="21"/>
          <w:highlight w:val="none"/>
        </w:rPr>
      </w:pPr>
      <w:bookmarkStart w:id="446" w:name="_Toc511318152"/>
      <w:r>
        <w:rPr>
          <w:b/>
          <w:bCs/>
          <w:kern w:val="0"/>
          <w:szCs w:val="21"/>
          <w:highlight w:val="none"/>
        </w:rPr>
        <w:t>18.6 专项验收</w:t>
      </w:r>
      <w:bookmarkEnd w:id="446"/>
    </w:p>
    <w:p>
      <w:pPr>
        <w:spacing w:line="490" w:lineRule="exact"/>
        <w:ind w:firstLine="420" w:firstLineChars="200"/>
        <w:rPr>
          <w:kern w:val="0"/>
          <w:szCs w:val="21"/>
          <w:highlight w:val="none"/>
        </w:rPr>
      </w:pPr>
      <w:r>
        <w:rPr>
          <w:kern w:val="0"/>
          <w:szCs w:val="21"/>
          <w:highlight w:val="none"/>
        </w:rPr>
        <w:t>18.6.1 发包人负责提出专项验收申请报告。承包人应按专项验收的相关规定参加专项验收。专项验收的具体类别在专用合同条款中约定。</w:t>
      </w:r>
    </w:p>
    <w:p>
      <w:pPr>
        <w:spacing w:line="490" w:lineRule="exact"/>
        <w:ind w:firstLine="420" w:firstLineChars="200"/>
        <w:rPr>
          <w:kern w:val="0"/>
          <w:szCs w:val="21"/>
          <w:highlight w:val="none"/>
        </w:rPr>
      </w:pPr>
      <w:r>
        <w:rPr>
          <w:kern w:val="0"/>
          <w:szCs w:val="21"/>
          <w:highlight w:val="none"/>
        </w:rPr>
        <w:t>18.6.2 承包人应及时完成专项验收成果性文件载明应由承包人处理的遗留问题。</w:t>
      </w:r>
    </w:p>
    <w:p>
      <w:pPr>
        <w:spacing w:line="490" w:lineRule="exact"/>
        <w:ind w:firstLine="422" w:firstLineChars="200"/>
        <w:outlineLvl w:val="3"/>
        <w:rPr>
          <w:b/>
          <w:bCs/>
          <w:kern w:val="0"/>
          <w:szCs w:val="21"/>
          <w:highlight w:val="none"/>
        </w:rPr>
      </w:pPr>
      <w:bookmarkStart w:id="447" w:name="_Toc511318153"/>
      <w:r>
        <w:rPr>
          <w:b/>
          <w:bCs/>
          <w:kern w:val="0"/>
          <w:szCs w:val="21"/>
          <w:highlight w:val="none"/>
        </w:rPr>
        <w:t>18.7 竣工验收</w:t>
      </w:r>
      <w:bookmarkEnd w:id="447"/>
    </w:p>
    <w:p>
      <w:pPr>
        <w:spacing w:line="490" w:lineRule="exact"/>
        <w:ind w:firstLine="420" w:firstLineChars="200"/>
        <w:rPr>
          <w:kern w:val="0"/>
          <w:szCs w:val="21"/>
          <w:highlight w:val="none"/>
        </w:rPr>
      </w:pPr>
      <w:r>
        <w:rPr>
          <w:kern w:val="0"/>
          <w:szCs w:val="21"/>
          <w:highlight w:val="none"/>
        </w:rPr>
        <w:t>18.7.1 申请竣工验收前，发包人组织竣工验收自查，承包人应派代表参加。</w:t>
      </w:r>
    </w:p>
    <w:p>
      <w:pPr>
        <w:spacing w:line="490" w:lineRule="exact"/>
        <w:ind w:firstLine="420" w:firstLineChars="200"/>
        <w:rPr>
          <w:kern w:val="0"/>
          <w:szCs w:val="21"/>
          <w:highlight w:val="none"/>
        </w:rPr>
      </w:pPr>
      <w:r>
        <w:rPr>
          <w:kern w:val="0"/>
          <w:szCs w:val="21"/>
          <w:highlight w:val="none"/>
        </w:rPr>
        <w:t>18.7.2 竣工验收分为竣工技术预验收和竣工验收两个阶段。发包人应通知承包人派代表参加技术预验收和竣工验收。</w:t>
      </w:r>
    </w:p>
    <w:p>
      <w:pPr>
        <w:spacing w:line="490" w:lineRule="exact"/>
        <w:ind w:firstLine="420" w:firstLineChars="200"/>
        <w:rPr>
          <w:kern w:val="0"/>
          <w:szCs w:val="21"/>
          <w:highlight w:val="none"/>
        </w:rPr>
      </w:pPr>
      <w:r>
        <w:rPr>
          <w:kern w:val="0"/>
          <w:szCs w:val="21"/>
          <w:highlight w:val="none"/>
        </w:rPr>
        <w:t>18.7.3 专用合同条款约定工程需要进行技术鉴定的，承包人应提交有关资料并完成配合工作。</w:t>
      </w:r>
    </w:p>
    <w:p>
      <w:pPr>
        <w:spacing w:line="490" w:lineRule="exact"/>
        <w:ind w:firstLine="420" w:firstLineChars="200"/>
        <w:rPr>
          <w:kern w:val="0"/>
          <w:szCs w:val="21"/>
          <w:highlight w:val="none"/>
        </w:rPr>
      </w:pPr>
      <w:r>
        <w:rPr>
          <w:kern w:val="0"/>
          <w:szCs w:val="21"/>
          <w:highlight w:val="none"/>
        </w:rPr>
        <w:t>18.7.4 竣工验收需要进行质量检测的，所需费用由发包人承担，但因承包人原因造成质量不合格的除外。</w:t>
      </w:r>
    </w:p>
    <w:p>
      <w:pPr>
        <w:spacing w:line="490" w:lineRule="exact"/>
        <w:ind w:firstLine="420" w:firstLineChars="200"/>
        <w:rPr>
          <w:kern w:val="0"/>
          <w:szCs w:val="21"/>
          <w:highlight w:val="none"/>
        </w:rPr>
      </w:pPr>
      <w:r>
        <w:rPr>
          <w:kern w:val="0"/>
          <w:szCs w:val="21"/>
          <w:highlight w:val="none"/>
        </w:rPr>
        <w:t>18.7.5 工程质量保修期满以及竣工验收遗留问题和尾工处理完成并通过验收后，发包人负责将处理情况和验收成果报送竣工验收主持单位，申请领取工程竣工证书，并发送承包人。</w:t>
      </w:r>
    </w:p>
    <w:p>
      <w:pPr>
        <w:spacing w:line="490" w:lineRule="exact"/>
        <w:ind w:firstLine="422" w:firstLineChars="200"/>
        <w:outlineLvl w:val="3"/>
        <w:rPr>
          <w:b/>
          <w:bCs/>
          <w:kern w:val="0"/>
          <w:szCs w:val="21"/>
          <w:highlight w:val="none"/>
        </w:rPr>
      </w:pPr>
      <w:bookmarkStart w:id="448" w:name="_Toc511318154"/>
      <w:r>
        <w:rPr>
          <w:b/>
          <w:bCs/>
          <w:kern w:val="0"/>
          <w:szCs w:val="21"/>
          <w:highlight w:val="none"/>
        </w:rPr>
        <w:t>18.8 施工期运行</w:t>
      </w:r>
      <w:bookmarkEnd w:id="448"/>
    </w:p>
    <w:p>
      <w:pPr>
        <w:spacing w:line="490" w:lineRule="exact"/>
        <w:ind w:firstLine="420" w:firstLineChars="200"/>
        <w:rPr>
          <w:kern w:val="0"/>
          <w:szCs w:val="21"/>
          <w:highlight w:val="none"/>
        </w:rPr>
      </w:pPr>
      <w:r>
        <w:rPr>
          <w:kern w:val="0"/>
          <w:szCs w:val="21"/>
          <w:highlight w:val="none"/>
        </w:rPr>
        <w:t>18.8.1 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pPr>
        <w:spacing w:line="490" w:lineRule="exact"/>
        <w:ind w:firstLine="420" w:firstLineChars="200"/>
        <w:rPr>
          <w:kern w:val="0"/>
          <w:szCs w:val="21"/>
          <w:highlight w:val="none"/>
        </w:rPr>
      </w:pPr>
      <w:r>
        <w:rPr>
          <w:kern w:val="0"/>
          <w:szCs w:val="21"/>
          <w:highlight w:val="none"/>
        </w:rPr>
        <w:t>18.8.2 在施工期运行中发现工程或工程设备损坏或存在缺陷的，由承包人按第19.2款约定进行修复。</w:t>
      </w:r>
    </w:p>
    <w:p>
      <w:pPr>
        <w:spacing w:line="490" w:lineRule="exact"/>
        <w:ind w:firstLine="422" w:firstLineChars="200"/>
        <w:outlineLvl w:val="3"/>
        <w:rPr>
          <w:b/>
          <w:bCs/>
          <w:kern w:val="0"/>
          <w:szCs w:val="21"/>
          <w:highlight w:val="none"/>
        </w:rPr>
      </w:pPr>
      <w:bookmarkStart w:id="449" w:name="_Toc511318155"/>
      <w:r>
        <w:rPr>
          <w:b/>
          <w:bCs/>
          <w:kern w:val="0"/>
          <w:szCs w:val="21"/>
          <w:highlight w:val="none"/>
        </w:rPr>
        <w:t>18.9 试运行</w:t>
      </w:r>
      <w:bookmarkEnd w:id="449"/>
    </w:p>
    <w:p>
      <w:pPr>
        <w:spacing w:line="490" w:lineRule="exact"/>
        <w:ind w:firstLine="420" w:firstLineChars="200"/>
        <w:rPr>
          <w:kern w:val="0"/>
          <w:szCs w:val="21"/>
          <w:highlight w:val="none"/>
        </w:rPr>
      </w:pPr>
      <w:r>
        <w:rPr>
          <w:kern w:val="0"/>
          <w:szCs w:val="21"/>
          <w:highlight w:val="none"/>
        </w:rPr>
        <w:t>18.9.1 除专用合同条款另有约定外，承包人应按规定进行工程及工程设备试运行，负责提供试运行所需的人员、器材和必要的条件，并承担全部试运行费用。</w:t>
      </w:r>
    </w:p>
    <w:p>
      <w:pPr>
        <w:spacing w:line="490" w:lineRule="exact"/>
        <w:ind w:firstLine="420" w:firstLineChars="200"/>
        <w:rPr>
          <w:kern w:val="0"/>
          <w:szCs w:val="21"/>
          <w:highlight w:val="none"/>
        </w:rPr>
      </w:pPr>
      <w:r>
        <w:rPr>
          <w:kern w:val="0"/>
          <w:szCs w:val="21"/>
          <w:highlight w:val="none"/>
        </w:rPr>
        <w:t>18.9.2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spacing w:line="490" w:lineRule="exact"/>
        <w:ind w:firstLine="422" w:firstLineChars="200"/>
        <w:outlineLvl w:val="3"/>
        <w:rPr>
          <w:b/>
          <w:bCs/>
          <w:kern w:val="0"/>
          <w:szCs w:val="21"/>
          <w:highlight w:val="none"/>
        </w:rPr>
      </w:pPr>
      <w:bookmarkStart w:id="450" w:name="_Toc511318156"/>
      <w:r>
        <w:rPr>
          <w:b/>
          <w:bCs/>
          <w:kern w:val="0"/>
          <w:szCs w:val="21"/>
          <w:highlight w:val="none"/>
        </w:rPr>
        <w:t>18.10 竣工（完工）清场</w:t>
      </w:r>
      <w:bookmarkEnd w:id="450"/>
    </w:p>
    <w:p>
      <w:pPr>
        <w:spacing w:line="490" w:lineRule="exact"/>
        <w:ind w:firstLine="420" w:firstLineChars="200"/>
        <w:rPr>
          <w:kern w:val="0"/>
          <w:szCs w:val="21"/>
          <w:highlight w:val="none"/>
        </w:rPr>
      </w:pPr>
      <w:r>
        <w:rPr>
          <w:kern w:val="0"/>
          <w:szCs w:val="21"/>
          <w:highlight w:val="none"/>
        </w:rPr>
        <w:t>18.10.1 工程项目竣工（完工）清场的工作范围和内容在技术标准和要求（合同技术条款）中约定。</w:t>
      </w:r>
    </w:p>
    <w:p>
      <w:pPr>
        <w:spacing w:line="490" w:lineRule="exact"/>
        <w:ind w:firstLine="420" w:firstLineChars="200"/>
        <w:rPr>
          <w:kern w:val="0"/>
          <w:szCs w:val="21"/>
          <w:highlight w:val="none"/>
        </w:rPr>
      </w:pPr>
      <w:r>
        <w:rPr>
          <w:kern w:val="0"/>
          <w:szCs w:val="21"/>
          <w:highlight w:val="none"/>
        </w:rPr>
        <w:t>18.10.2 承包人未按监理人的要求恢复临时占地，或者场地清理未达到合同约定的，发包人有权委托其它人恢复或清理，所发生的金额从拟支付给承包人的款项中扣除。</w:t>
      </w:r>
    </w:p>
    <w:p>
      <w:pPr>
        <w:spacing w:line="490" w:lineRule="exact"/>
        <w:ind w:firstLine="422" w:firstLineChars="200"/>
        <w:outlineLvl w:val="3"/>
        <w:rPr>
          <w:b/>
          <w:bCs/>
          <w:kern w:val="0"/>
          <w:szCs w:val="21"/>
          <w:highlight w:val="none"/>
        </w:rPr>
      </w:pPr>
      <w:bookmarkStart w:id="451" w:name="_Toc511318157"/>
      <w:r>
        <w:rPr>
          <w:b/>
          <w:bCs/>
          <w:kern w:val="0"/>
          <w:szCs w:val="21"/>
          <w:highlight w:val="none"/>
        </w:rPr>
        <w:t>18.11 施工队伍的撤离</w:t>
      </w:r>
      <w:bookmarkEnd w:id="451"/>
    </w:p>
    <w:p>
      <w:pPr>
        <w:spacing w:line="490" w:lineRule="exact"/>
        <w:ind w:firstLine="420" w:firstLineChars="200"/>
        <w:rPr>
          <w:kern w:val="0"/>
          <w:szCs w:val="21"/>
          <w:highlight w:val="none"/>
        </w:rPr>
      </w:pPr>
      <w:r>
        <w:rPr>
          <w:kern w:val="0"/>
          <w:szCs w:val="21"/>
          <w:highlight w:val="none"/>
        </w:rPr>
        <w:t>合同工程完工证书颁发后的56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pPr>
        <w:pStyle w:val="5"/>
        <w:keepNext w:val="0"/>
        <w:keepLines w:val="0"/>
        <w:spacing w:before="0" w:after="0" w:line="490" w:lineRule="exact"/>
        <w:ind w:firstLine="422" w:firstLineChars="200"/>
        <w:rPr>
          <w:bCs w:val="0"/>
          <w:color w:val="auto"/>
          <w:sz w:val="21"/>
          <w:szCs w:val="21"/>
          <w:highlight w:val="none"/>
        </w:rPr>
      </w:pPr>
      <w:bookmarkStart w:id="452" w:name="_Toc7234"/>
      <w:bookmarkStart w:id="453" w:name="_Toc5367"/>
      <w:bookmarkStart w:id="454" w:name="_Toc189386226"/>
      <w:r>
        <w:rPr>
          <w:bCs w:val="0"/>
          <w:color w:val="auto"/>
          <w:sz w:val="21"/>
          <w:szCs w:val="21"/>
          <w:highlight w:val="none"/>
        </w:rPr>
        <w:t>19</w:t>
      </w:r>
      <w:r>
        <w:rPr>
          <w:rFonts w:hint="eastAsia"/>
          <w:bCs w:val="0"/>
          <w:color w:val="auto"/>
          <w:sz w:val="21"/>
          <w:szCs w:val="21"/>
          <w:highlight w:val="none"/>
        </w:rPr>
        <w:t>.</w:t>
      </w:r>
      <w:r>
        <w:rPr>
          <w:bCs w:val="0"/>
          <w:color w:val="auto"/>
          <w:sz w:val="21"/>
          <w:szCs w:val="21"/>
          <w:highlight w:val="none"/>
        </w:rPr>
        <w:t>缺陷责任与保修责任</w:t>
      </w:r>
      <w:bookmarkEnd w:id="452"/>
      <w:bookmarkEnd w:id="453"/>
      <w:bookmarkEnd w:id="454"/>
    </w:p>
    <w:p>
      <w:pPr>
        <w:spacing w:line="490" w:lineRule="exact"/>
        <w:ind w:firstLine="422" w:firstLineChars="200"/>
        <w:outlineLvl w:val="3"/>
        <w:rPr>
          <w:b/>
          <w:bCs/>
          <w:kern w:val="0"/>
          <w:szCs w:val="21"/>
          <w:highlight w:val="none"/>
        </w:rPr>
      </w:pPr>
      <w:bookmarkStart w:id="455" w:name="_Toc189386227"/>
      <w:r>
        <w:rPr>
          <w:b/>
          <w:bCs/>
          <w:kern w:val="0"/>
          <w:szCs w:val="21"/>
          <w:highlight w:val="none"/>
        </w:rPr>
        <w:t>19.1缺陷责任期（工程质量保修期）的起算时间</w:t>
      </w:r>
      <w:bookmarkEnd w:id="455"/>
    </w:p>
    <w:p>
      <w:pPr>
        <w:spacing w:line="490" w:lineRule="exact"/>
        <w:ind w:firstLine="420" w:firstLineChars="200"/>
        <w:rPr>
          <w:kern w:val="0"/>
          <w:szCs w:val="21"/>
          <w:highlight w:val="none"/>
        </w:rPr>
      </w:pPr>
      <w:r>
        <w:rPr>
          <w:kern w:val="0"/>
          <w:szCs w:val="21"/>
          <w:highlight w:val="none"/>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pPr>
        <w:spacing w:line="490" w:lineRule="exact"/>
        <w:ind w:firstLine="422" w:firstLineChars="200"/>
        <w:outlineLvl w:val="3"/>
        <w:rPr>
          <w:b/>
          <w:bCs/>
          <w:kern w:val="0"/>
          <w:szCs w:val="21"/>
          <w:highlight w:val="none"/>
        </w:rPr>
      </w:pPr>
      <w:bookmarkStart w:id="456" w:name="_Toc189386228"/>
      <w:bookmarkStart w:id="457" w:name="_Toc511318159"/>
      <w:r>
        <w:rPr>
          <w:b/>
          <w:bCs/>
          <w:kern w:val="0"/>
          <w:szCs w:val="21"/>
          <w:highlight w:val="none"/>
        </w:rPr>
        <w:t>19.2 缺陷责任</w:t>
      </w:r>
      <w:bookmarkEnd w:id="456"/>
      <w:bookmarkEnd w:id="457"/>
    </w:p>
    <w:p>
      <w:pPr>
        <w:spacing w:line="490" w:lineRule="exact"/>
        <w:ind w:firstLine="420" w:firstLineChars="200"/>
        <w:rPr>
          <w:kern w:val="0"/>
          <w:szCs w:val="21"/>
          <w:highlight w:val="none"/>
        </w:rPr>
      </w:pPr>
      <w:r>
        <w:rPr>
          <w:kern w:val="0"/>
          <w:szCs w:val="21"/>
          <w:highlight w:val="none"/>
        </w:rPr>
        <w:t>19.2.1 承包人应在缺陷责任期内对已交付使用的工程承担缺陷责任。</w:t>
      </w:r>
    </w:p>
    <w:p>
      <w:pPr>
        <w:spacing w:line="490" w:lineRule="exact"/>
        <w:ind w:firstLine="420" w:firstLineChars="200"/>
        <w:rPr>
          <w:kern w:val="0"/>
          <w:szCs w:val="21"/>
          <w:highlight w:val="none"/>
        </w:rPr>
      </w:pPr>
      <w:r>
        <w:rPr>
          <w:kern w:val="0"/>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pPr>
        <w:spacing w:line="490" w:lineRule="exact"/>
        <w:ind w:firstLine="420" w:firstLineChars="200"/>
        <w:rPr>
          <w:kern w:val="0"/>
          <w:szCs w:val="21"/>
          <w:highlight w:val="none"/>
        </w:rPr>
      </w:pPr>
      <w:r>
        <w:rPr>
          <w:kern w:val="0"/>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pPr>
        <w:spacing w:line="490" w:lineRule="exact"/>
        <w:ind w:firstLine="420" w:firstLineChars="200"/>
        <w:rPr>
          <w:kern w:val="0"/>
          <w:szCs w:val="21"/>
          <w:highlight w:val="none"/>
        </w:rPr>
      </w:pPr>
      <w:r>
        <w:rPr>
          <w:kern w:val="0"/>
          <w:szCs w:val="21"/>
          <w:highlight w:val="none"/>
        </w:rPr>
        <w:t>19.2.4 承包人不能在合理时间内修复缺陷的，发包人可自行修复或委托其他人修复，所需费用和利润的承担，按第19.2.3项约定办理。</w:t>
      </w:r>
    </w:p>
    <w:p>
      <w:pPr>
        <w:spacing w:line="490" w:lineRule="exact"/>
        <w:ind w:firstLine="422" w:firstLineChars="200"/>
        <w:outlineLvl w:val="3"/>
        <w:rPr>
          <w:b/>
          <w:bCs/>
          <w:kern w:val="0"/>
          <w:szCs w:val="21"/>
          <w:highlight w:val="none"/>
        </w:rPr>
      </w:pPr>
      <w:bookmarkStart w:id="458" w:name="_Toc511318160"/>
      <w:bookmarkStart w:id="459" w:name="_Toc189386229"/>
      <w:r>
        <w:rPr>
          <w:b/>
          <w:bCs/>
          <w:kern w:val="0"/>
          <w:szCs w:val="21"/>
          <w:highlight w:val="none"/>
        </w:rPr>
        <w:t>19.3 缺陷责任期的延长</w:t>
      </w:r>
      <w:bookmarkEnd w:id="458"/>
      <w:bookmarkEnd w:id="459"/>
    </w:p>
    <w:p>
      <w:pPr>
        <w:spacing w:line="490" w:lineRule="exact"/>
        <w:ind w:firstLine="420" w:firstLineChars="200"/>
        <w:rPr>
          <w:kern w:val="0"/>
          <w:szCs w:val="21"/>
          <w:highlight w:val="none"/>
        </w:rPr>
      </w:pPr>
      <w:r>
        <w:rPr>
          <w:kern w:val="0"/>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pPr>
        <w:spacing w:line="490" w:lineRule="exact"/>
        <w:ind w:firstLine="422" w:firstLineChars="200"/>
        <w:outlineLvl w:val="3"/>
        <w:rPr>
          <w:b/>
          <w:bCs/>
          <w:kern w:val="0"/>
          <w:szCs w:val="21"/>
          <w:highlight w:val="none"/>
        </w:rPr>
      </w:pPr>
      <w:bookmarkStart w:id="460" w:name="_Toc189386230"/>
      <w:bookmarkStart w:id="461" w:name="_Toc511318161"/>
      <w:r>
        <w:rPr>
          <w:b/>
          <w:bCs/>
          <w:kern w:val="0"/>
          <w:szCs w:val="21"/>
          <w:highlight w:val="none"/>
        </w:rPr>
        <w:t>19.4 进一步试验和试运行</w:t>
      </w:r>
      <w:bookmarkEnd w:id="460"/>
      <w:bookmarkEnd w:id="461"/>
    </w:p>
    <w:p>
      <w:pPr>
        <w:spacing w:line="490" w:lineRule="exact"/>
        <w:ind w:firstLine="420" w:firstLineChars="200"/>
        <w:rPr>
          <w:kern w:val="0"/>
          <w:szCs w:val="21"/>
          <w:highlight w:val="none"/>
        </w:rPr>
      </w:pPr>
      <w:r>
        <w:rPr>
          <w:kern w:val="0"/>
          <w:szCs w:val="21"/>
          <w:highlight w:val="none"/>
        </w:rPr>
        <w:t>任何一项缺陷或损坏修复后，经检查证明其影响了工程或工程设备的使用性能，承包人应重新进行合同约定的试验和试运行，试验和试运行的全部费用应由责任方承担。</w:t>
      </w:r>
    </w:p>
    <w:p>
      <w:pPr>
        <w:spacing w:line="490" w:lineRule="exact"/>
        <w:ind w:firstLine="422" w:firstLineChars="200"/>
        <w:outlineLvl w:val="3"/>
        <w:rPr>
          <w:b/>
          <w:bCs/>
          <w:kern w:val="0"/>
          <w:szCs w:val="21"/>
          <w:highlight w:val="none"/>
        </w:rPr>
      </w:pPr>
      <w:bookmarkStart w:id="462" w:name="_Toc189386231"/>
      <w:bookmarkStart w:id="463" w:name="_Toc511318162"/>
      <w:r>
        <w:rPr>
          <w:b/>
          <w:bCs/>
          <w:kern w:val="0"/>
          <w:szCs w:val="21"/>
          <w:highlight w:val="none"/>
        </w:rPr>
        <w:t>19.5 承包人的进入权</w:t>
      </w:r>
      <w:bookmarkEnd w:id="462"/>
      <w:bookmarkEnd w:id="463"/>
    </w:p>
    <w:p>
      <w:pPr>
        <w:spacing w:line="490" w:lineRule="exact"/>
        <w:ind w:firstLine="420" w:firstLineChars="200"/>
        <w:rPr>
          <w:kern w:val="0"/>
          <w:szCs w:val="21"/>
          <w:highlight w:val="none"/>
        </w:rPr>
      </w:pPr>
      <w:r>
        <w:rPr>
          <w:kern w:val="0"/>
          <w:szCs w:val="21"/>
          <w:highlight w:val="none"/>
        </w:rPr>
        <w:t>缺陷责任期内承包人为缺陷修复工作需要，有权进入工程现场，但应遵守发包人的保安和保密规定。</w:t>
      </w:r>
    </w:p>
    <w:p>
      <w:pPr>
        <w:spacing w:line="490" w:lineRule="exact"/>
        <w:ind w:firstLine="422" w:firstLineChars="200"/>
        <w:outlineLvl w:val="3"/>
        <w:rPr>
          <w:b/>
          <w:bCs/>
          <w:kern w:val="0"/>
          <w:szCs w:val="21"/>
          <w:highlight w:val="none"/>
        </w:rPr>
      </w:pPr>
      <w:bookmarkStart w:id="464" w:name="_Toc511318163"/>
      <w:r>
        <w:rPr>
          <w:b/>
          <w:bCs/>
          <w:kern w:val="0"/>
          <w:szCs w:val="21"/>
          <w:highlight w:val="none"/>
        </w:rPr>
        <w:t>19.6  缺陷责任期终止证书（工程质量保修责任终止证书）</w:t>
      </w:r>
      <w:bookmarkEnd w:id="464"/>
    </w:p>
    <w:p>
      <w:pPr>
        <w:spacing w:line="490" w:lineRule="exact"/>
        <w:ind w:firstLine="420" w:firstLineChars="200"/>
        <w:rPr>
          <w:kern w:val="0"/>
          <w:szCs w:val="21"/>
          <w:highlight w:val="none"/>
        </w:rPr>
      </w:pPr>
      <w:r>
        <w:rPr>
          <w:kern w:val="0"/>
          <w:szCs w:val="21"/>
          <w:highlight w:val="none"/>
        </w:rPr>
        <w:t>合同工程完工验收或投入使用验收后，发包人与承包人应办理工程交接手续，承包人应向发包人递交工程质量保修书。</w:t>
      </w:r>
    </w:p>
    <w:p>
      <w:pPr>
        <w:spacing w:line="490" w:lineRule="exact"/>
        <w:ind w:firstLine="420" w:firstLineChars="200"/>
        <w:rPr>
          <w:kern w:val="0"/>
          <w:szCs w:val="21"/>
          <w:highlight w:val="none"/>
        </w:rPr>
      </w:pPr>
      <w:r>
        <w:rPr>
          <w:kern w:val="0"/>
          <w:szCs w:val="21"/>
          <w:highlight w:val="none"/>
        </w:rPr>
        <w:t>缺陷责任期（工程质量保修期）满后30个工作日内，发包人应向承包人颁发工程质量保修责任终止证书，并退还剩余的质量保证金，但保修责任范围内的质量缺陷未处理完成的应除外。</w:t>
      </w:r>
    </w:p>
    <w:p>
      <w:pPr>
        <w:spacing w:line="490" w:lineRule="exact"/>
        <w:ind w:firstLine="422" w:firstLineChars="200"/>
        <w:outlineLvl w:val="3"/>
        <w:rPr>
          <w:b/>
          <w:bCs/>
          <w:kern w:val="0"/>
          <w:szCs w:val="21"/>
          <w:highlight w:val="none"/>
        </w:rPr>
      </w:pPr>
      <w:bookmarkStart w:id="465" w:name="_Toc511318164"/>
      <w:bookmarkStart w:id="466" w:name="_Toc189386233"/>
      <w:r>
        <w:rPr>
          <w:b/>
          <w:bCs/>
          <w:kern w:val="0"/>
          <w:szCs w:val="21"/>
          <w:highlight w:val="none"/>
        </w:rPr>
        <w:t>19.7 保修责任</w:t>
      </w:r>
      <w:bookmarkEnd w:id="465"/>
      <w:bookmarkEnd w:id="466"/>
    </w:p>
    <w:p>
      <w:pPr>
        <w:spacing w:line="490" w:lineRule="exact"/>
        <w:ind w:firstLine="420" w:firstLineChars="200"/>
        <w:rPr>
          <w:kern w:val="0"/>
          <w:szCs w:val="21"/>
          <w:highlight w:val="none"/>
        </w:rPr>
      </w:pPr>
      <w:r>
        <w:rPr>
          <w:kern w:val="0"/>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pStyle w:val="5"/>
        <w:keepNext w:val="0"/>
        <w:keepLines w:val="0"/>
        <w:spacing w:before="0" w:after="0" w:line="490" w:lineRule="exact"/>
        <w:ind w:firstLine="422" w:firstLineChars="200"/>
        <w:rPr>
          <w:bCs w:val="0"/>
          <w:color w:val="auto"/>
          <w:sz w:val="21"/>
          <w:szCs w:val="21"/>
          <w:highlight w:val="none"/>
        </w:rPr>
      </w:pPr>
      <w:bookmarkStart w:id="467" w:name="_Toc12408"/>
      <w:bookmarkStart w:id="468" w:name="_Toc189386234"/>
      <w:bookmarkStart w:id="469" w:name="_Toc10508"/>
      <w:r>
        <w:rPr>
          <w:bCs w:val="0"/>
          <w:color w:val="auto"/>
          <w:sz w:val="21"/>
          <w:szCs w:val="21"/>
          <w:highlight w:val="none"/>
        </w:rPr>
        <w:t>20</w:t>
      </w:r>
      <w:r>
        <w:rPr>
          <w:rFonts w:hint="eastAsia"/>
          <w:bCs w:val="0"/>
          <w:color w:val="auto"/>
          <w:sz w:val="21"/>
          <w:szCs w:val="21"/>
          <w:highlight w:val="none"/>
        </w:rPr>
        <w:t>.</w:t>
      </w:r>
      <w:r>
        <w:rPr>
          <w:bCs w:val="0"/>
          <w:color w:val="auto"/>
          <w:sz w:val="21"/>
          <w:szCs w:val="21"/>
          <w:highlight w:val="none"/>
        </w:rPr>
        <w:t>保险</w:t>
      </w:r>
      <w:bookmarkEnd w:id="467"/>
      <w:bookmarkEnd w:id="468"/>
      <w:bookmarkEnd w:id="469"/>
    </w:p>
    <w:p>
      <w:pPr>
        <w:spacing w:line="490" w:lineRule="exact"/>
        <w:ind w:firstLine="422" w:firstLineChars="200"/>
        <w:outlineLvl w:val="3"/>
        <w:rPr>
          <w:b/>
          <w:bCs/>
          <w:kern w:val="0"/>
          <w:szCs w:val="21"/>
          <w:highlight w:val="none"/>
        </w:rPr>
      </w:pPr>
      <w:bookmarkStart w:id="470" w:name="_Toc189386235"/>
      <w:r>
        <w:rPr>
          <w:b/>
          <w:bCs/>
          <w:kern w:val="0"/>
          <w:szCs w:val="21"/>
          <w:highlight w:val="none"/>
        </w:rPr>
        <w:t>20.1工程保险</w:t>
      </w:r>
      <w:bookmarkEnd w:id="470"/>
    </w:p>
    <w:p>
      <w:pPr>
        <w:spacing w:line="490" w:lineRule="exact"/>
        <w:ind w:firstLine="420" w:firstLineChars="200"/>
        <w:rPr>
          <w:kern w:val="0"/>
          <w:szCs w:val="21"/>
          <w:highlight w:val="none"/>
        </w:rPr>
      </w:pPr>
      <w:r>
        <w:rPr>
          <w:kern w:val="0"/>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spacing w:line="490" w:lineRule="exact"/>
        <w:ind w:firstLine="422" w:firstLineChars="200"/>
        <w:outlineLvl w:val="3"/>
        <w:rPr>
          <w:b/>
          <w:bCs/>
          <w:kern w:val="0"/>
          <w:szCs w:val="21"/>
          <w:highlight w:val="none"/>
        </w:rPr>
      </w:pPr>
      <w:bookmarkStart w:id="471" w:name="_Toc189386236"/>
      <w:r>
        <w:rPr>
          <w:b/>
          <w:bCs/>
          <w:kern w:val="0"/>
          <w:szCs w:val="21"/>
          <w:highlight w:val="none"/>
        </w:rPr>
        <w:t>20.2 人员工伤事故的保险</w:t>
      </w:r>
      <w:bookmarkEnd w:id="471"/>
    </w:p>
    <w:p>
      <w:pPr>
        <w:spacing w:line="490" w:lineRule="exact"/>
        <w:ind w:firstLine="422" w:firstLineChars="200"/>
        <w:rPr>
          <w:b/>
          <w:kern w:val="0"/>
          <w:szCs w:val="21"/>
          <w:highlight w:val="none"/>
        </w:rPr>
      </w:pPr>
      <w:r>
        <w:rPr>
          <w:b/>
          <w:kern w:val="0"/>
          <w:szCs w:val="21"/>
          <w:highlight w:val="none"/>
        </w:rPr>
        <w:t xml:space="preserve">20.2.1 承包人员工伤事故的保险 </w:t>
      </w:r>
    </w:p>
    <w:p>
      <w:pPr>
        <w:spacing w:line="490" w:lineRule="exact"/>
        <w:ind w:firstLine="420" w:firstLineChars="200"/>
        <w:rPr>
          <w:kern w:val="0"/>
          <w:szCs w:val="21"/>
          <w:highlight w:val="none"/>
        </w:rPr>
      </w:pPr>
      <w:r>
        <w:rPr>
          <w:kern w:val="0"/>
          <w:szCs w:val="21"/>
          <w:highlight w:val="none"/>
        </w:rPr>
        <w:t>承包人应依照有关法律规定参加工伤保险，为其履行合同所雇佣的全部人员，缴纳工伤保险费，并要求其分包人也进行此项保险。</w:t>
      </w:r>
    </w:p>
    <w:p>
      <w:pPr>
        <w:spacing w:line="490" w:lineRule="exact"/>
        <w:ind w:firstLine="422" w:firstLineChars="200"/>
        <w:rPr>
          <w:b/>
          <w:kern w:val="0"/>
          <w:szCs w:val="21"/>
          <w:highlight w:val="none"/>
        </w:rPr>
      </w:pPr>
      <w:r>
        <w:rPr>
          <w:b/>
          <w:kern w:val="0"/>
          <w:szCs w:val="21"/>
          <w:highlight w:val="none"/>
        </w:rPr>
        <w:t xml:space="preserve">20.2.2 发包人员工伤事故的保险 </w:t>
      </w:r>
    </w:p>
    <w:p>
      <w:pPr>
        <w:spacing w:line="490" w:lineRule="exact"/>
        <w:ind w:firstLine="420" w:firstLineChars="200"/>
        <w:rPr>
          <w:kern w:val="0"/>
          <w:szCs w:val="21"/>
          <w:highlight w:val="none"/>
        </w:rPr>
      </w:pPr>
      <w:r>
        <w:rPr>
          <w:kern w:val="0"/>
          <w:szCs w:val="21"/>
          <w:highlight w:val="none"/>
        </w:rPr>
        <w:t>发包人应依照有关法律规定参加工伤保险，为其现场机构雇佣的全部人员，缴纳工伤保险费，并要求其监理人也进行此项保险。</w:t>
      </w:r>
    </w:p>
    <w:p>
      <w:pPr>
        <w:spacing w:line="490" w:lineRule="exact"/>
        <w:ind w:firstLine="422" w:firstLineChars="200"/>
        <w:outlineLvl w:val="3"/>
        <w:rPr>
          <w:b/>
          <w:bCs/>
          <w:kern w:val="0"/>
          <w:szCs w:val="21"/>
          <w:highlight w:val="none"/>
        </w:rPr>
      </w:pPr>
      <w:bookmarkStart w:id="472" w:name="_Toc189386237"/>
      <w:bookmarkStart w:id="473" w:name="_Toc511318166"/>
      <w:r>
        <w:rPr>
          <w:b/>
          <w:bCs/>
          <w:kern w:val="0"/>
          <w:szCs w:val="21"/>
          <w:highlight w:val="none"/>
        </w:rPr>
        <w:t>20.3 人身意外伤害险</w:t>
      </w:r>
      <w:bookmarkEnd w:id="472"/>
      <w:bookmarkEnd w:id="473"/>
    </w:p>
    <w:p>
      <w:pPr>
        <w:spacing w:line="490" w:lineRule="exact"/>
        <w:ind w:firstLine="420" w:firstLineChars="200"/>
        <w:rPr>
          <w:kern w:val="0"/>
          <w:szCs w:val="21"/>
          <w:highlight w:val="none"/>
        </w:rPr>
      </w:pPr>
      <w:r>
        <w:rPr>
          <w:kern w:val="0"/>
          <w:szCs w:val="21"/>
          <w:highlight w:val="none"/>
        </w:rPr>
        <w:t>20.3.1 发包人应在整个施工期间为其现场机构雇用的全部人员，投保人身意外伤害险，缴纳保险费，并要求其监理人也进行此项保险。</w:t>
      </w:r>
    </w:p>
    <w:p>
      <w:pPr>
        <w:spacing w:line="490" w:lineRule="exact"/>
        <w:ind w:firstLine="420" w:firstLineChars="200"/>
        <w:rPr>
          <w:kern w:val="0"/>
          <w:szCs w:val="21"/>
          <w:highlight w:val="none"/>
        </w:rPr>
      </w:pPr>
      <w:r>
        <w:rPr>
          <w:kern w:val="0"/>
          <w:szCs w:val="21"/>
          <w:highlight w:val="none"/>
        </w:rPr>
        <w:t>20.3.2 承包人应在整个施工期间为其现场机构雇用的全部人员，投保人身意外伤害险，缴纳保险费，并要求其分包人也进行此项保险。</w:t>
      </w:r>
    </w:p>
    <w:p>
      <w:pPr>
        <w:spacing w:line="490" w:lineRule="exact"/>
        <w:ind w:firstLine="422" w:firstLineChars="200"/>
        <w:outlineLvl w:val="3"/>
        <w:rPr>
          <w:b/>
          <w:bCs/>
          <w:kern w:val="0"/>
          <w:szCs w:val="21"/>
          <w:highlight w:val="none"/>
        </w:rPr>
      </w:pPr>
      <w:bookmarkStart w:id="474" w:name="_Toc189386238"/>
      <w:bookmarkStart w:id="475" w:name="_Toc511318167"/>
      <w:r>
        <w:rPr>
          <w:b/>
          <w:bCs/>
          <w:kern w:val="0"/>
          <w:szCs w:val="21"/>
          <w:highlight w:val="none"/>
        </w:rPr>
        <w:t>20.4 第三者责任险</w:t>
      </w:r>
      <w:bookmarkEnd w:id="474"/>
      <w:bookmarkEnd w:id="475"/>
    </w:p>
    <w:p>
      <w:pPr>
        <w:spacing w:line="490" w:lineRule="exact"/>
        <w:ind w:firstLine="420" w:firstLineChars="200"/>
        <w:rPr>
          <w:kern w:val="0"/>
          <w:szCs w:val="21"/>
          <w:highlight w:val="none"/>
        </w:rPr>
      </w:pPr>
      <w:r>
        <w:rPr>
          <w:kern w:val="0"/>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spacing w:line="490" w:lineRule="exact"/>
        <w:ind w:firstLine="420" w:firstLineChars="200"/>
        <w:rPr>
          <w:kern w:val="0"/>
          <w:szCs w:val="21"/>
          <w:highlight w:val="none"/>
        </w:rPr>
      </w:pPr>
      <w:r>
        <w:rPr>
          <w:kern w:val="0"/>
          <w:szCs w:val="21"/>
          <w:highlight w:val="none"/>
        </w:rPr>
        <w:t>20.4.2 在缺陷责任期终止证书颁发前，承包人应以承包人和发包人的共同名义，投保第项约定的第三者责任险，其保险费率、保险金额等有关内容在专用合同条款中约定。</w:t>
      </w:r>
    </w:p>
    <w:p>
      <w:pPr>
        <w:spacing w:line="490" w:lineRule="exact"/>
        <w:ind w:firstLine="422" w:firstLineChars="200"/>
        <w:outlineLvl w:val="3"/>
        <w:rPr>
          <w:b/>
          <w:bCs/>
          <w:kern w:val="0"/>
          <w:szCs w:val="21"/>
          <w:highlight w:val="none"/>
        </w:rPr>
      </w:pPr>
      <w:bookmarkStart w:id="476" w:name="_Toc511318168"/>
      <w:bookmarkStart w:id="477" w:name="_Toc189386239"/>
      <w:r>
        <w:rPr>
          <w:b/>
          <w:bCs/>
          <w:kern w:val="0"/>
          <w:szCs w:val="21"/>
          <w:highlight w:val="none"/>
        </w:rPr>
        <w:t>20.5 其他保险</w:t>
      </w:r>
      <w:bookmarkEnd w:id="476"/>
      <w:bookmarkEnd w:id="477"/>
    </w:p>
    <w:p>
      <w:pPr>
        <w:spacing w:line="490" w:lineRule="exact"/>
        <w:ind w:firstLine="420" w:firstLineChars="200"/>
        <w:rPr>
          <w:kern w:val="0"/>
          <w:szCs w:val="21"/>
          <w:highlight w:val="none"/>
        </w:rPr>
      </w:pPr>
      <w:r>
        <w:rPr>
          <w:kern w:val="0"/>
          <w:szCs w:val="21"/>
          <w:highlight w:val="none"/>
        </w:rPr>
        <w:t>除专用合同条款另有约定外，承包人应为其施工设备、进场的材料和工程设备等办理保险。</w:t>
      </w:r>
    </w:p>
    <w:p>
      <w:pPr>
        <w:spacing w:line="490" w:lineRule="exact"/>
        <w:ind w:firstLine="422" w:firstLineChars="200"/>
        <w:outlineLvl w:val="3"/>
        <w:rPr>
          <w:b/>
          <w:bCs/>
          <w:kern w:val="0"/>
          <w:szCs w:val="21"/>
          <w:highlight w:val="none"/>
        </w:rPr>
      </w:pPr>
      <w:bookmarkStart w:id="478" w:name="_Toc189386240"/>
      <w:bookmarkStart w:id="479" w:name="_Toc511318169"/>
      <w:r>
        <w:rPr>
          <w:b/>
          <w:bCs/>
          <w:kern w:val="0"/>
          <w:szCs w:val="21"/>
          <w:highlight w:val="none"/>
        </w:rPr>
        <w:t>20.6 对各项保险的一般要求</w:t>
      </w:r>
      <w:bookmarkEnd w:id="478"/>
      <w:bookmarkEnd w:id="479"/>
    </w:p>
    <w:p>
      <w:pPr>
        <w:spacing w:line="490" w:lineRule="exact"/>
        <w:ind w:firstLine="422" w:firstLineChars="200"/>
        <w:rPr>
          <w:b/>
          <w:kern w:val="0"/>
          <w:szCs w:val="21"/>
          <w:highlight w:val="none"/>
        </w:rPr>
      </w:pPr>
      <w:r>
        <w:rPr>
          <w:b/>
          <w:kern w:val="0"/>
          <w:szCs w:val="21"/>
          <w:highlight w:val="none"/>
        </w:rPr>
        <w:t>20.6.1 保险凭证</w:t>
      </w:r>
    </w:p>
    <w:p>
      <w:pPr>
        <w:spacing w:line="490" w:lineRule="exact"/>
        <w:ind w:firstLine="420" w:firstLineChars="200"/>
        <w:rPr>
          <w:kern w:val="0"/>
          <w:szCs w:val="21"/>
          <w:highlight w:val="none"/>
        </w:rPr>
      </w:pPr>
      <w:r>
        <w:rPr>
          <w:kern w:val="0"/>
          <w:szCs w:val="21"/>
          <w:highlight w:val="none"/>
        </w:rPr>
        <w:t>承包人应在专用合同条款约定的期限内向发包人提交各项保险生效的证据和保险单副本，保险单必须与专用合同条款约定的条件保持一致。</w:t>
      </w:r>
    </w:p>
    <w:p>
      <w:pPr>
        <w:spacing w:line="490" w:lineRule="exact"/>
        <w:ind w:firstLine="422" w:firstLineChars="200"/>
        <w:rPr>
          <w:b/>
          <w:kern w:val="0"/>
          <w:szCs w:val="21"/>
          <w:highlight w:val="none"/>
        </w:rPr>
      </w:pPr>
      <w:r>
        <w:rPr>
          <w:b/>
          <w:kern w:val="0"/>
          <w:szCs w:val="21"/>
          <w:highlight w:val="none"/>
        </w:rPr>
        <w:t>20.6.2 保险合同条款的变动</w:t>
      </w:r>
    </w:p>
    <w:p>
      <w:pPr>
        <w:spacing w:line="480" w:lineRule="exact"/>
        <w:ind w:firstLine="420" w:firstLineChars="200"/>
        <w:rPr>
          <w:kern w:val="0"/>
          <w:szCs w:val="21"/>
          <w:highlight w:val="none"/>
        </w:rPr>
      </w:pPr>
      <w:r>
        <w:rPr>
          <w:kern w:val="0"/>
          <w:szCs w:val="21"/>
          <w:highlight w:val="none"/>
        </w:rPr>
        <w:t>承包人需要变动保险合同条款时，应事先征得发包人同意，并通知监理人。保险人作出变动的，承包人应在收到保险人通知后立即通知发包人和监理人。</w:t>
      </w:r>
    </w:p>
    <w:p>
      <w:pPr>
        <w:spacing w:line="480" w:lineRule="exact"/>
        <w:ind w:firstLine="422" w:firstLineChars="200"/>
        <w:rPr>
          <w:b/>
          <w:kern w:val="0"/>
          <w:szCs w:val="21"/>
          <w:highlight w:val="none"/>
        </w:rPr>
      </w:pPr>
      <w:r>
        <w:rPr>
          <w:b/>
          <w:kern w:val="0"/>
          <w:szCs w:val="21"/>
          <w:highlight w:val="none"/>
        </w:rPr>
        <w:t>20.6.3 持续保险</w:t>
      </w:r>
    </w:p>
    <w:p>
      <w:pPr>
        <w:spacing w:line="480" w:lineRule="exact"/>
        <w:ind w:firstLine="420" w:firstLineChars="200"/>
        <w:rPr>
          <w:kern w:val="0"/>
          <w:szCs w:val="21"/>
          <w:highlight w:val="none"/>
        </w:rPr>
      </w:pPr>
      <w:r>
        <w:rPr>
          <w:kern w:val="0"/>
          <w:szCs w:val="21"/>
          <w:highlight w:val="none"/>
        </w:rPr>
        <w:t>承包人应与保险人保持联系，使保险人能够随时了解工程实施中的变动，并确保按保险合同条款要求持续保险。</w:t>
      </w:r>
    </w:p>
    <w:p>
      <w:pPr>
        <w:spacing w:line="480" w:lineRule="exact"/>
        <w:ind w:firstLine="422" w:firstLineChars="200"/>
        <w:rPr>
          <w:b/>
          <w:kern w:val="0"/>
          <w:szCs w:val="21"/>
          <w:highlight w:val="none"/>
        </w:rPr>
      </w:pPr>
      <w:r>
        <w:rPr>
          <w:b/>
          <w:kern w:val="0"/>
          <w:szCs w:val="21"/>
          <w:highlight w:val="none"/>
        </w:rPr>
        <w:t xml:space="preserve">20.6.4 保险金不足的补偿 </w:t>
      </w:r>
    </w:p>
    <w:p>
      <w:pPr>
        <w:spacing w:line="480" w:lineRule="exact"/>
        <w:ind w:firstLine="420" w:firstLineChars="200"/>
        <w:rPr>
          <w:kern w:val="0"/>
          <w:szCs w:val="21"/>
          <w:highlight w:val="none"/>
        </w:rPr>
      </w:pPr>
      <w:r>
        <w:rPr>
          <w:kern w:val="0"/>
          <w:szCs w:val="21"/>
          <w:highlight w:val="none"/>
        </w:rPr>
        <w:t>保险金不足以补偿损失时，应由承包人和发包人各自负责补偿的范围和金额在专用合同条款中约定。</w:t>
      </w:r>
    </w:p>
    <w:p>
      <w:pPr>
        <w:spacing w:line="480" w:lineRule="exact"/>
        <w:ind w:firstLine="422" w:firstLineChars="200"/>
        <w:rPr>
          <w:b/>
          <w:kern w:val="0"/>
          <w:szCs w:val="21"/>
          <w:highlight w:val="none"/>
        </w:rPr>
      </w:pPr>
      <w:r>
        <w:rPr>
          <w:b/>
          <w:kern w:val="0"/>
          <w:szCs w:val="21"/>
          <w:highlight w:val="none"/>
        </w:rPr>
        <w:t xml:space="preserve">20.6.5 未按约定投保的补救 </w:t>
      </w:r>
    </w:p>
    <w:p>
      <w:pPr>
        <w:spacing w:line="480" w:lineRule="exact"/>
        <w:ind w:firstLine="420" w:firstLineChars="200"/>
        <w:rPr>
          <w:kern w:val="0"/>
          <w:szCs w:val="21"/>
          <w:highlight w:val="none"/>
        </w:rPr>
      </w:pPr>
      <w:r>
        <w:rPr>
          <w:kern w:val="0"/>
          <w:szCs w:val="21"/>
          <w:highlight w:val="none"/>
        </w:rPr>
        <w:t>（1）由于负有投保义务的一方当事人未按合同约定办理保险，或未能使保险持续有效的，另一方当事人可代为办理，所需费用由对方当事人承担。</w:t>
      </w:r>
    </w:p>
    <w:p>
      <w:pPr>
        <w:spacing w:line="480" w:lineRule="exact"/>
        <w:ind w:firstLine="420" w:firstLineChars="200"/>
        <w:rPr>
          <w:kern w:val="0"/>
          <w:szCs w:val="21"/>
          <w:highlight w:val="none"/>
        </w:rPr>
      </w:pPr>
      <w:r>
        <w:rPr>
          <w:kern w:val="0"/>
          <w:szCs w:val="21"/>
          <w:highlight w:val="none"/>
        </w:rPr>
        <w:t>（2）由于负有投保义务的一方当事人未按合同约定办理某项保险，导致受益人未能得到保险人的赔偿，原应从该项保险得到的保险金应由负有投保义务的一方当事人支付。</w:t>
      </w:r>
    </w:p>
    <w:p>
      <w:pPr>
        <w:spacing w:line="480" w:lineRule="exact"/>
        <w:ind w:firstLine="422" w:firstLineChars="200"/>
        <w:rPr>
          <w:b/>
          <w:kern w:val="0"/>
          <w:szCs w:val="21"/>
          <w:highlight w:val="none"/>
        </w:rPr>
      </w:pPr>
      <w:r>
        <w:rPr>
          <w:b/>
          <w:kern w:val="0"/>
          <w:szCs w:val="21"/>
          <w:highlight w:val="none"/>
        </w:rPr>
        <w:t xml:space="preserve">20.6.6 报告义务 </w:t>
      </w:r>
    </w:p>
    <w:p>
      <w:pPr>
        <w:spacing w:line="480" w:lineRule="exact"/>
        <w:ind w:firstLine="420" w:firstLineChars="200"/>
        <w:rPr>
          <w:kern w:val="0"/>
          <w:szCs w:val="21"/>
          <w:highlight w:val="none"/>
        </w:rPr>
      </w:pPr>
      <w:r>
        <w:rPr>
          <w:kern w:val="0"/>
          <w:szCs w:val="21"/>
          <w:highlight w:val="none"/>
        </w:rPr>
        <w:t>当保险事故发生时，投保人应按照保险单规定的条件和期限及时向保险人报告。</w:t>
      </w:r>
    </w:p>
    <w:p>
      <w:pPr>
        <w:pStyle w:val="5"/>
        <w:keepNext w:val="0"/>
        <w:keepLines w:val="0"/>
        <w:spacing w:before="0" w:after="0" w:line="490" w:lineRule="exact"/>
        <w:ind w:firstLine="422" w:firstLineChars="200"/>
        <w:rPr>
          <w:bCs w:val="0"/>
          <w:color w:val="auto"/>
          <w:sz w:val="21"/>
          <w:szCs w:val="21"/>
          <w:highlight w:val="none"/>
        </w:rPr>
      </w:pPr>
      <w:bookmarkStart w:id="480" w:name="_Toc189386241"/>
      <w:bookmarkStart w:id="481" w:name="_Toc512"/>
      <w:bookmarkStart w:id="482" w:name="_Toc8034"/>
      <w:r>
        <w:rPr>
          <w:bCs w:val="0"/>
          <w:color w:val="auto"/>
          <w:sz w:val="21"/>
          <w:szCs w:val="21"/>
          <w:highlight w:val="none"/>
        </w:rPr>
        <w:t>21</w:t>
      </w:r>
      <w:r>
        <w:rPr>
          <w:rFonts w:hint="eastAsia"/>
          <w:bCs w:val="0"/>
          <w:color w:val="auto"/>
          <w:sz w:val="21"/>
          <w:szCs w:val="21"/>
          <w:highlight w:val="none"/>
        </w:rPr>
        <w:t>.</w:t>
      </w:r>
      <w:r>
        <w:rPr>
          <w:bCs w:val="0"/>
          <w:color w:val="auto"/>
          <w:sz w:val="21"/>
          <w:szCs w:val="21"/>
          <w:highlight w:val="none"/>
        </w:rPr>
        <w:t>不可抗力</w:t>
      </w:r>
      <w:bookmarkEnd w:id="480"/>
      <w:bookmarkEnd w:id="481"/>
      <w:bookmarkEnd w:id="482"/>
    </w:p>
    <w:p>
      <w:pPr>
        <w:spacing w:line="490" w:lineRule="exact"/>
        <w:ind w:firstLine="422" w:firstLineChars="200"/>
        <w:outlineLvl w:val="3"/>
        <w:rPr>
          <w:b/>
          <w:bCs/>
          <w:kern w:val="0"/>
          <w:szCs w:val="21"/>
          <w:highlight w:val="none"/>
        </w:rPr>
      </w:pPr>
      <w:bookmarkStart w:id="483" w:name="_Toc511318171"/>
      <w:bookmarkStart w:id="484" w:name="_Toc189386242"/>
      <w:r>
        <w:rPr>
          <w:b/>
          <w:bCs/>
          <w:kern w:val="0"/>
          <w:szCs w:val="21"/>
          <w:highlight w:val="none"/>
        </w:rPr>
        <w:t>21.1 不可抗力的确认</w:t>
      </w:r>
      <w:bookmarkEnd w:id="483"/>
      <w:bookmarkEnd w:id="484"/>
    </w:p>
    <w:p>
      <w:pPr>
        <w:spacing w:line="480" w:lineRule="exact"/>
        <w:ind w:firstLine="420" w:firstLineChars="200"/>
        <w:rPr>
          <w:kern w:val="0"/>
          <w:szCs w:val="21"/>
          <w:highlight w:val="none"/>
        </w:rPr>
      </w:pPr>
      <w:r>
        <w:rPr>
          <w:kern w:val="0"/>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pPr>
        <w:spacing w:line="480" w:lineRule="exact"/>
        <w:ind w:firstLine="420" w:firstLineChars="200"/>
        <w:rPr>
          <w:kern w:val="0"/>
          <w:szCs w:val="21"/>
          <w:highlight w:val="none"/>
        </w:rPr>
      </w:pPr>
      <w:r>
        <w:rPr>
          <w:kern w:val="0"/>
          <w:szCs w:val="21"/>
          <w:highlight w:val="none"/>
        </w:rPr>
        <w:t>21.1.2 不可抗力发生后，发包人和承包人应及时认真统计所造成的损失，收集不可抗力造成损失的证据。合同双方对是否属于不可抗力或其损失的意见不一致的，由监理人按第款商定或确定。发生争议时，按第24条的约定办理。</w:t>
      </w:r>
    </w:p>
    <w:p>
      <w:pPr>
        <w:spacing w:line="490" w:lineRule="exact"/>
        <w:ind w:firstLine="422" w:firstLineChars="200"/>
        <w:outlineLvl w:val="3"/>
        <w:rPr>
          <w:b/>
          <w:bCs/>
          <w:kern w:val="0"/>
          <w:szCs w:val="21"/>
          <w:highlight w:val="none"/>
        </w:rPr>
      </w:pPr>
      <w:bookmarkStart w:id="485" w:name="_Toc511318172"/>
      <w:bookmarkStart w:id="486" w:name="_Toc189386243"/>
      <w:r>
        <w:rPr>
          <w:b/>
          <w:bCs/>
          <w:kern w:val="0"/>
          <w:szCs w:val="21"/>
          <w:highlight w:val="none"/>
        </w:rPr>
        <w:t>21.2 不可抗力的通知</w:t>
      </w:r>
      <w:bookmarkEnd w:id="485"/>
      <w:bookmarkEnd w:id="486"/>
    </w:p>
    <w:p>
      <w:pPr>
        <w:spacing w:line="480" w:lineRule="exact"/>
        <w:ind w:firstLine="420" w:firstLineChars="200"/>
        <w:rPr>
          <w:kern w:val="0"/>
          <w:szCs w:val="21"/>
          <w:highlight w:val="none"/>
        </w:rPr>
      </w:pPr>
      <w:r>
        <w:rPr>
          <w:kern w:val="0"/>
          <w:szCs w:val="21"/>
          <w:highlight w:val="none"/>
        </w:rPr>
        <w:t>21.2.1 合同一方当事人遇到不可抗力事件，使其履行合同义务受到阻碍时，应立即通知合同另一方当事人和监理人，书面说明不可抗力和受阻碍的详细情况，并提供必要的证明。</w:t>
      </w:r>
    </w:p>
    <w:p>
      <w:pPr>
        <w:spacing w:line="480" w:lineRule="exact"/>
        <w:ind w:firstLine="420" w:firstLineChars="200"/>
        <w:rPr>
          <w:kern w:val="0"/>
          <w:szCs w:val="21"/>
          <w:highlight w:val="none"/>
        </w:rPr>
      </w:pPr>
      <w:r>
        <w:rPr>
          <w:kern w:val="0"/>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pPr>
        <w:spacing w:line="490" w:lineRule="exact"/>
        <w:ind w:firstLine="422" w:firstLineChars="200"/>
        <w:outlineLvl w:val="3"/>
        <w:rPr>
          <w:b/>
          <w:bCs/>
          <w:kern w:val="0"/>
          <w:szCs w:val="21"/>
          <w:highlight w:val="none"/>
        </w:rPr>
      </w:pPr>
      <w:bookmarkStart w:id="487" w:name="_Toc189386244"/>
      <w:bookmarkStart w:id="488" w:name="_Toc511318173"/>
      <w:r>
        <w:rPr>
          <w:b/>
          <w:bCs/>
          <w:kern w:val="0"/>
          <w:szCs w:val="21"/>
          <w:highlight w:val="none"/>
        </w:rPr>
        <w:t>21.3 不可抗力后果及其处理</w:t>
      </w:r>
      <w:bookmarkEnd w:id="487"/>
      <w:bookmarkEnd w:id="488"/>
    </w:p>
    <w:p>
      <w:pPr>
        <w:spacing w:line="480" w:lineRule="exact"/>
        <w:ind w:firstLine="422" w:firstLineChars="200"/>
        <w:rPr>
          <w:b/>
          <w:kern w:val="0"/>
          <w:szCs w:val="21"/>
          <w:highlight w:val="none"/>
        </w:rPr>
      </w:pPr>
      <w:r>
        <w:rPr>
          <w:b/>
          <w:kern w:val="0"/>
          <w:szCs w:val="21"/>
          <w:highlight w:val="none"/>
        </w:rPr>
        <w:t>21.3.1 不可抗力造成损害的责任</w:t>
      </w:r>
    </w:p>
    <w:p>
      <w:pPr>
        <w:spacing w:line="480" w:lineRule="exact"/>
        <w:ind w:firstLine="420" w:firstLineChars="200"/>
        <w:rPr>
          <w:kern w:val="0"/>
          <w:szCs w:val="21"/>
          <w:highlight w:val="none"/>
        </w:rPr>
      </w:pPr>
      <w:r>
        <w:rPr>
          <w:kern w:val="0"/>
          <w:szCs w:val="21"/>
          <w:highlight w:val="none"/>
        </w:rPr>
        <w:t>除专用合同条款另有约定外，不可抗力导致的人员伤亡、财产损失、费用增加和（或）工期延误等后果，由合同双方按以下原则承担：</w:t>
      </w:r>
    </w:p>
    <w:p>
      <w:pPr>
        <w:spacing w:line="480" w:lineRule="exact"/>
        <w:ind w:firstLine="420" w:firstLineChars="200"/>
        <w:rPr>
          <w:kern w:val="0"/>
          <w:szCs w:val="21"/>
          <w:highlight w:val="none"/>
        </w:rPr>
      </w:pPr>
      <w:r>
        <w:rPr>
          <w:kern w:val="0"/>
          <w:szCs w:val="21"/>
          <w:highlight w:val="none"/>
        </w:rPr>
        <w:t>（1）永久工程，包括已运至施工场地的材料和工程设备的损害，以及因工程损害造成的第三者人员伤亡和财产损失由发包人承担；</w:t>
      </w:r>
    </w:p>
    <w:p>
      <w:pPr>
        <w:spacing w:line="480" w:lineRule="exact"/>
        <w:ind w:firstLine="420" w:firstLineChars="200"/>
        <w:rPr>
          <w:kern w:val="0"/>
          <w:szCs w:val="21"/>
          <w:highlight w:val="none"/>
        </w:rPr>
      </w:pPr>
      <w:r>
        <w:rPr>
          <w:kern w:val="0"/>
          <w:szCs w:val="21"/>
          <w:highlight w:val="none"/>
        </w:rPr>
        <w:t>（2）承包人设备的损坏由承包人承担；</w:t>
      </w:r>
    </w:p>
    <w:p>
      <w:pPr>
        <w:spacing w:line="480" w:lineRule="exact"/>
        <w:ind w:firstLine="420" w:firstLineChars="200"/>
        <w:rPr>
          <w:kern w:val="0"/>
          <w:szCs w:val="21"/>
          <w:highlight w:val="none"/>
        </w:rPr>
      </w:pPr>
      <w:r>
        <w:rPr>
          <w:kern w:val="0"/>
          <w:szCs w:val="21"/>
          <w:highlight w:val="none"/>
        </w:rPr>
        <w:t>（3）发包人和承包人各自承担其人员伤亡和其他财产损失及其相关费用；</w:t>
      </w:r>
    </w:p>
    <w:p>
      <w:pPr>
        <w:spacing w:line="480" w:lineRule="exact"/>
        <w:ind w:firstLine="420" w:firstLineChars="200"/>
        <w:rPr>
          <w:kern w:val="0"/>
          <w:szCs w:val="21"/>
          <w:highlight w:val="none"/>
        </w:rPr>
      </w:pPr>
      <w:r>
        <w:rPr>
          <w:kern w:val="0"/>
          <w:szCs w:val="21"/>
          <w:highlight w:val="none"/>
        </w:rPr>
        <w:t>（4）承包人的停工损失由承包人承担，但停工期间应监理人要求照管工程和清理、修复工程的金额由发包人承担；</w:t>
      </w:r>
    </w:p>
    <w:p>
      <w:pPr>
        <w:spacing w:line="480" w:lineRule="exact"/>
        <w:ind w:firstLine="420" w:firstLineChars="200"/>
        <w:rPr>
          <w:kern w:val="0"/>
          <w:szCs w:val="21"/>
          <w:highlight w:val="none"/>
        </w:rPr>
      </w:pPr>
      <w:r>
        <w:rPr>
          <w:kern w:val="0"/>
          <w:szCs w:val="21"/>
          <w:highlight w:val="none"/>
        </w:rPr>
        <w:t>（5）不能按期竣工的，应合理延长工期，承包人不需支付逾期竣工违约金。发包人要求赶工的，承包人应采取赶工措施，赶工费用由发包人承担。</w:t>
      </w:r>
    </w:p>
    <w:p>
      <w:pPr>
        <w:spacing w:line="480" w:lineRule="exact"/>
        <w:ind w:firstLine="422" w:firstLineChars="200"/>
        <w:rPr>
          <w:b/>
          <w:kern w:val="0"/>
          <w:szCs w:val="21"/>
          <w:highlight w:val="none"/>
        </w:rPr>
      </w:pPr>
      <w:r>
        <w:rPr>
          <w:b/>
          <w:kern w:val="0"/>
          <w:szCs w:val="21"/>
          <w:highlight w:val="none"/>
        </w:rPr>
        <w:t>21.3.2 延迟履行期间发生的不可抗力</w:t>
      </w:r>
    </w:p>
    <w:p>
      <w:pPr>
        <w:spacing w:line="480" w:lineRule="exact"/>
        <w:ind w:firstLine="420" w:firstLineChars="200"/>
        <w:rPr>
          <w:kern w:val="0"/>
          <w:szCs w:val="21"/>
          <w:highlight w:val="none"/>
        </w:rPr>
      </w:pPr>
      <w:r>
        <w:rPr>
          <w:kern w:val="0"/>
          <w:szCs w:val="21"/>
          <w:highlight w:val="none"/>
        </w:rPr>
        <w:t>合同一方当事人延迟履行，在延迟履行期间发生不可抗力的，不免除其责任。</w:t>
      </w:r>
    </w:p>
    <w:p>
      <w:pPr>
        <w:spacing w:line="480" w:lineRule="exact"/>
        <w:ind w:firstLine="422" w:firstLineChars="200"/>
        <w:rPr>
          <w:b/>
          <w:kern w:val="0"/>
          <w:szCs w:val="21"/>
          <w:highlight w:val="none"/>
        </w:rPr>
      </w:pPr>
      <w:r>
        <w:rPr>
          <w:b/>
          <w:kern w:val="0"/>
          <w:szCs w:val="21"/>
          <w:highlight w:val="none"/>
        </w:rPr>
        <w:t>21.3.3 避免和减少不可抗力损失</w:t>
      </w:r>
    </w:p>
    <w:p>
      <w:pPr>
        <w:spacing w:line="480" w:lineRule="exact"/>
        <w:ind w:firstLine="420" w:firstLineChars="200"/>
        <w:rPr>
          <w:kern w:val="0"/>
          <w:szCs w:val="21"/>
          <w:highlight w:val="none"/>
        </w:rPr>
      </w:pPr>
      <w:r>
        <w:rPr>
          <w:kern w:val="0"/>
          <w:szCs w:val="21"/>
          <w:highlight w:val="none"/>
        </w:rPr>
        <w:t>不可抗力发生后，发包人和承包人均应采取措施尽量避免和减少损失的扩大，任何一方没有采取有效措施导致损失扩大的，应对扩大的损失承担责任。</w:t>
      </w:r>
    </w:p>
    <w:p>
      <w:pPr>
        <w:spacing w:line="480" w:lineRule="exact"/>
        <w:ind w:firstLine="422" w:firstLineChars="200"/>
        <w:rPr>
          <w:b/>
          <w:kern w:val="0"/>
          <w:szCs w:val="21"/>
          <w:highlight w:val="none"/>
        </w:rPr>
      </w:pPr>
      <w:r>
        <w:rPr>
          <w:b/>
          <w:kern w:val="0"/>
          <w:szCs w:val="21"/>
          <w:highlight w:val="none"/>
        </w:rPr>
        <w:t>21.3.4 因不可抗力解除合同</w:t>
      </w:r>
    </w:p>
    <w:p>
      <w:pPr>
        <w:spacing w:line="480" w:lineRule="exact"/>
        <w:ind w:firstLine="420" w:firstLineChars="200"/>
        <w:rPr>
          <w:kern w:val="0"/>
          <w:szCs w:val="21"/>
          <w:highlight w:val="none"/>
        </w:rPr>
      </w:pPr>
      <w:r>
        <w:rPr>
          <w:kern w:val="0"/>
          <w:szCs w:val="21"/>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pPr>
        <w:pStyle w:val="5"/>
        <w:keepNext w:val="0"/>
        <w:keepLines w:val="0"/>
        <w:spacing w:before="0" w:after="0" w:line="490" w:lineRule="exact"/>
        <w:ind w:firstLine="422" w:firstLineChars="200"/>
        <w:rPr>
          <w:bCs w:val="0"/>
          <w:color w:val="auto"/>
          <w:sz w:val="21"/>
          <w:szCs w:val="21"/>
          <w:highlight w:val="none"/>
        </w:rPr>
      </w:pPr>
      <w:bookmarkStart w:id="489" w:name="_Toc25732"/>
      <w:bookmarkStart w:id="490" w:name="_Toc189386245"/>
      <w:bookmarkStart w:id="491" w:name="_Toc2558"/>
      <w:r>
        <w:rPr>
          <w:bCs w:val="0"/>
          <w:color w:val="auto"/>
          <w:sz w:val="21"/>
          <w:szCs w:val="21"/>
          <w:highlight w:val="none"/>
        </w:rPr>
        <w:t>22</w:t>
      </w:r>
      <w:r>
        <w:rPr>
          <w:rFonts w:hint="eastAsia"/>
          <w:bCs w:val="0"/>
          <w:color w:val="auto"/>
          <w:sz w:val="21"/>
          <w:szCs w:val="21"/>
          <w:highlight w:val="none"/>
        </w:rPr>
        <w:t>.</w:t>
      </w:r>
      <w:r>
        <w:rPr>
          <w:bCs w:val="0"/>
          <w:color w:val="auto"/>
          <w:sz w:val="21"/>
          <w:szCs w:val="21"/>
          <w:highlight w:val="none"/>
        </w:rPr>
        <w:t>违约</w:t>
      </w:r>
      <w:bookmarkEnd w:id="489"/>
      <w:bookmarkEnd w:id="490"/>
      <w:bookmarkEnd w:id="491"/>
    </w:p>
    <w:p>
      <w:pPr>
        <w:spacing w:line="490" w:lineRule="exact"/>
        <w:ind w:firstLine="422" w:firstLineChars="200"/>
        <w:outlineLvl w:val="3"/>
        <w:rPr>
          <w:b/>
          <w:bCs/>
          <w:kern w:val="0"/>
          <w:szCs w:val="21"/>
          <w:highlight w:val="none"/>
        </w:rPr>
      </w:pPr>
      <w:bookmarkStart w:id="492" w:name="_Toc189386246"/>
      <w:r>
        <w:rPr>
          <w:b/>
          <w:bCs/>
          <w:kern w:val="0"/>
          <w:szCs w:val="21"/>
          <w:highlight w:val="none"/>
        </w:rPr>
        <w:t>22.1承包人违约</w:t>
      </w:r>
      <w:bookmarkEnd w:id="492"/>
    </w:p>
    <w:p>
      <w:pPr>
        <w:spacing w:line="480" w:lineRule="exact"/>
        <w:ind w:firstLine="422" w:firstLineChars="200"/>
        <w:rPr>
          <w:b/>
          <w:kern w:val="0"/>
          <w:szCs w:val="21"/>
          <w:highlight w:val="none"/>
        </w:rPr>
      </w:pPr>
      <w:r>
        <w:rPr>
          <w:b/>
          <w:kern w:val="0"/>
          <w:szCs w:val="21"/>
          <w:highlight w:val="none"/>
        </w:rPr>
        <w:t>22.1.1 承包人违约的情形</w:t>
      </w:r>
    </w:p>
    <w:p>
      <w:pPr>
        <w:spacing w:line="480" w:lineRule="exact"/>
        <w:ind w:firstLine="420" w:firstLineChars="200"/>
        <w:rPr>
          <w:kern w:val="0"/>
          <w:szCs w:val="21"/>
          <w:highlight w:val="none"/>
        </w:rPr>
      </w:pPr>
      <w:r>
        <w:rPr>
          <w:kern w:val="0"/>
          <w:szCs w:val="21"/>
          <w:highlight w:val="none"/>
        </w:rPr>
        <w:t>在履行合同过程中发生的下列情况属承包人违约：</w:t>
      </w:r>
    </w:p>
    <w:p>
      <w:pPr>
        <w:spacing w:line="480" w:lineRule="exact"/>
        <w:ind w:firstLine="420" w:firstLineChars="200"/>
        <w:rPr>
          <w:kern w:val="0"/>
          <w:szCs w:val="21"/>
          <w:highlight w:val="none"/>
        </w:rPr>
      </w:pPr>
      <w:r>
        <w:rPr>
          <w:kern w:val="0"/>
          <w:szCs w:val="21"/>
          <w:highlight w:val="none"/>
        </w:rPr>
        <w:t>（1）承包人违反第1.8款或第4.3款的约定，私自将合同的全部或部分权利转让给其他人，或私自将合同的全部或部分义务转移给其他人；</w:t>
      </w:r>
    </w:p>
    <w:p>
      <w:pPr>
        <w:spacing w:line="480" w:lineRule="exact"/>
        <w:ind w:firstLine="420" w:firstLineChars="200"/>
        <w:rPr>
          <w:kern w:val="0"/>
          <w:szCs w:val="21"/>
          <w:highlight w:val="none"/>
        </w:rPr>
      </w:pPr>
      <w:r>
        <w:rPr>
          <w:kern w:val="0"/>
          <w:szCs w:val="21"/>
          <w:highlight w:val="none"/>
        </w:rPr>
        <w:t>（2）承包人违反第5.3款或第6.4款的约定，未经监理人批准，私自将已按合同约定进入施工场地的施工设备、临时设施或材料撤离施工场地；</w:t>
      </w:r>
    </w:p>
    <w:p>
      <w:pPr>
        <w:spacing w:line="480" w:lineRule="exact"/>
        <w:ind w:firstLine="420" w:firstLineChars="200"/>
        <w:rPr>
          <w:kern w:val="0"/>
          <w:szCs w:val="21"/>
          <w:highlight w:val="none"/>
        </w:rPr>
      </w:pPr>
      <w:r>
        <w:rPr>
          <w:kern w:val="0"/>
          <w:szCs w:val="21"/>
          <w:highlight w:val="none"/>
        </w:rPr>
        <w:t>（3）承包人违反第5.4款的约定使用了不合格材料或工程设备，工程质量达不到标准要求，又拒绝清除不合格工程；</w:t>
      </w:r>
    </w:p>
    <w:p>
      <w:pPr>
        <w:spacing w:line="480" w:lineRule="exact"/>
        <w:ind w:firstLine="420" w:firstLineChars="200"/>
        <w:rPr>
          <w:szCs w:val="21"/>
          <w:highlight w:val="none"/>
        </w:rPr>
      </w:pPr>
      <w:r>
        <w:rPr>
          <w:szCs w:val="21"/>
          <w:highlight w:val="none"/>
        </w:rPr>
        <w:t>（4）承包人未能按合同进度计划及时完成合同约定的工作，已造成或预期造成工期延误；</w:t>
      </w:r>
    </w:p>
    <w:p>
      <w:pPr>
        <w:spacing w:line="480" w:lineRule="exact"/>
        <w:ind w:firstLine="420" w:firstLineChars="200"/>
        <w:rPr>
          <w:kern w:val="0"/>
          <w:szCs w:val="21"/>
          <w:highlight w:val="none"/>
        </w:rPr>
      </w:pPr>
      <w:r>
        <w:rPr>
          <w:kern w:val="0"/>
          <w:szCs w:val="21"/>
          <w:highlight w:val="none"/>
        </w:rPr>
        <w:t>（5）承包人在缺陷责任期（工程质量保修期）内，未能对合同工程完工验收鉴定书所列的缺陷清单的内容或缺陷责任期（工程质量保修期）内发生的缺陷进行修复，而又拒绝按监理人指示再进行修补；</w:t>
      </w:r>
    </w:p>
    <w:p>
      <w:pPr>
        <w:spacing w:line="480" w:lineRule="exact"/>
        <w:ind w:firstLine="420" w:firstLineChars="200"/>
        <w:rPr>
          <w:kern w:val="0"/>
          <w:szCs w:val="21"/>
          <w:highlight w:val="none"/>
        </w:rPr>
      </w:pPr>
      <w:r>
        <w:rPr>
          <w:kern w:val="0"/>
          <w:szCs w:val="21"/>
          <w:highlight w:val="none"/>
        </w:rPr>
        <w:t>（6）承包人无法继续履行或明确表示不履行或实质上已停止履行合同；</w:t>
      </w:r>
    </w:p>
    <w:p>
      <w:pPr>
        <w:spacing w:line="480" w:lineRule="exact"/>
        <w:ind w:firstLine="420" w:firstLineChars="200"/>
        <w:rPr>
          <w:kern w:val="0"/>
          <w:szCs w:val="21"/>
          <w:highlight w:val="none"/>
        </w:rPr>
      </w:pPr>
      <w:r>
        <w:rPr>
          <w:kern w:val="0"/>
          <w:szCs w:val="21"/>
          <w:highlight w:val="none"/>
        </w:rPr>
        <w:t>（7）承包人不按合同约定履行义务的其它情况。</w:t>
      </w:r>
    </w:p>
    <w:p>
      <w:pPr>
        <w:spacing w:line="480" w:lineRule="exact"/>
        <w:ind w:firstLine="422" w:firstLineChars="200"/>
        <w:rPr>
          <w:b/>
          <w:kern w:val="0"/>
          <w:szCs w:val="21"/>
          <w:highlight w:val="none"/>
        </w:rPr>
      </w:pPr>
      <w:r>
        <w:rPr>
          <w:b/>
          <w:kern w:val="0"/>
          <w:szCs w:val="21"/>
          <w:highlight w:val="none"/>
        </w:rPr>
        <w:t xml:space="preserve">22.1.2 对承包人违约的处理 </w:t>
      </w:r>
    </w:p>
    <w:p>
      <w:pPr>
        <w:spacing w:line="480" w:lineRule="exact"/>
        <w:ind w:firstLine="420" w:firstLineChars="200"/>
        <w:rPr>
          <w:kern w:val="0"/>
          <w:szCs w:val="21"/>
          <w:highlight w:val="none"/>
        </w:rPr>
      </w:pPr>
      <w:r>
        <w:rPr>
          <w:kern w:val="0"/>
          <w:szCs w:val="21"/>
          <w:highlight w:val="none"/>
        </w:rPr>
        <w:t>（1）承包人发生第22.1.1（6）目约定的违约情况时，发包人可通知承包人立即解除合同，并按有关法律处理。</w:t>
      </w:r>
    </w:p>
    <w:p>
      <w:pPr>
        <w:spacing w:line="480" w:lineRule="exact"/>
        <w:ind w:firstLine="420" w:firstLineChars="200"/>
        <w:rPr>
          <w:kern w:val="0"/>
          <w:szCs w:val="21"/>
          <w:highlight w:val="none"/>
        </w:rPr>
      </w:pPr>
      <w:r>
        <w:rPr>
          <w:kern w:val="0"/>
          <w:szCs w:val="21"/>
          <w:highlight w:val="none"/>
        </w:rPr>
        <w:t>（2）承包人发生除第22.1.1（6）目约定以外的其他违约情况时，监理人可向承包人发出整改通知，要求其在指定的期限内改正。承包人应承担其违约所引起的费用增加和（或）工期延误。</w:t>
      </w:r>
    </w:p>
    <w:p>
      <w:pPr>
        <w:spacing w:line="480" w:lineRule="exact"/>
        <w:ind w:firstLine="420" w:firstLineChars="200"/>
        <w:rPr>
          <w:kern w:val="0"/>
          <w:szCs w:val="21"/>
          <w:highlight w:val="none"/>
        </w:rPr>
      </w:pPr>
      <w:r>
        <w:rPr>
          <w:kern w:val="0"/>
          <w:szCs w:val="21"/>
          <w:highlight w:val="none"/>
        </w:rPr>
        <w:t>（3）经检查证明承包人已采取了有效措施纠正违约行为，具备复工条件的，可由监理人签发复工通知复工。</w:t>
      </w:r>
    </w:p>
    <w:p>
      <w:pPr>
        <w:spacing w:line="480" w:lineRule="exact"/>
        <w:ind w:firstLine="422" w:firstLineChars="200"/>
        <w:rPr>
          <w:b/>
          <w:kern w:val="0"/>
          <w:szCs w:val="21"/>
          <w:highlight w:val="none"/>
        </w:rPr>
      </w:pPr>
      <w:r>
        <w:rPr>
          <w:b/>
          <w:kern w:val="0"/>
          <w:szCs w:val="21"/>
          <w:highlight w:val="none"/>
        </w:rPr>
        <w:t xml:space="preserve">22.1.3 承包人违约解除合同 </w:t>
      </w:r>
    </w:p>
    <w:p>
      <w:pPr>
        <w:spacing w:line="480" w:lineRule="exact"/>
        <w:ind w:firstLine="420" w:firstLineChars="200"/>
        <w:rPr>
          <w:kern w:val="0"/>
          <w:szCs w:val="21"/>
          <w:highlight w:val="none"/>
        </w:rPr>
      </w:pPr>
      <w:r>
        <w:rPr>
          <w:kern w:val="0"/>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spacing w:line="480" w:lineRule="exact"/>
        <w:ind w:firstLine="422" w:firstLineChars="200"/>
        <w:rPr>
          <w:b/>
          <w:kern w:val="0"/>
          <w:szCs w:val="21"/>
          <w:highlight w:val="none"/>
        </w:rPr>
      </w:pPr>
      <w:r>
        <w:rPr>
          <w:b/>
          <w:kern w:val="0"/>
          <w:szCs w:val="21"/>
          <w:highlight w:val="none"/>
        </w:rPr>
        <w:t xml:space="preserve">22.1.4 合同解除后的估价、付款和结清 </w:t>
      </w:r>
    </w:p>
    <w:p>
      <w:pPr>
        <w:spacing w:line="480" w:lineRule="exact"/>
        <w:ind w:firstLine="420" w:firstLineChars="200"/>
        <w:rPr>
          <w:kern w:val="0"/>
          <w:szCs w:val="21"/>
          <w:highlight w:val="none"/>
        </w:rPr>
      </w:pPr>
      <w:r>
        <w:rPr>
          <w:kern w:val="0"/>
          <w:szCs w:val="21"/>
          <w:highlight w:val="none"/>
        </w:rPr>
        <w:t>（1）合同解除后，监理人按第3.5款商定或确定承包人实际完成工作的价值，以及承包人已提供的材料、施工设备、工程设备和临时工程等的价值。</w:t>
      </w:r>
    </w:p>
    <w:p>
      <w:pPr>
        <w:spacing w:line="480" w:lineRule="exact"/>
        <w:ind w:firstLine="420" w:firstLineChars="200"/>
        <w:rPr>
          <w:kern w:val="0"/>
          <w:szCs w:val="21"/>
          <w:highlight w:val="none"/>
        </w:rPr>
      </w:pPr>
      <w:r>
        <w:rPr>
          <w:kern w:val="0"/>
          <w:szCs w:val="21"/>
          <w:highlight w:val="none"/>
        </w:rPr>
        <w:t>（2）合同解除后，发包人应暂停对承包人的一切付款，查清各项付款和已扣款金额，包括承包人应支付的违约金。</w:t>
      </w:r>
    </w:p>
    <w:p>
      <w:pPr>
        <w:spacing w:line="480" w:lineRule="exact"/>
        <w:ind w:firstLine="420" w:firstLineChars="200"/>
        <w:rPr>
          <w:kern w:val="0"/>
          <w:szCs w:val="21"/>
          <w:highlight w:val="none"/>
        </w:rPr>
      </w:pPr>
      <w:r>
        <w:rPr>
          <w:kern w:val="0"/>
          <w:szCs w:val="21"/>
          <w:highlight w:val="none"/>
        </w:rPr>
        <w:t>（3）合同解除后，发包人应按第23.4款的约定向承包人索赔由于解除合同给发包人造成的损失。</w:t>
      </w:r>
    </w:p>
    <w:p>
      <w:pPr>
        <w:spacing w:line="480" w:lineRule="exact"/>
        <w:ind w:firstLine="420" w:firstLineChars="200"/>
        <w:rPr>
          <w:kern w:val="0"/>
          <w:szCs w:val="21"/>
          <w:highlight w:val="none"/>
        </w:rPr>
      </w:pPr>
      <w:r>
        <w:rPr>
          <w:kern w:val="0"/>
          <w:szCs w:val="21"/>
          <w:highlight w:val="none"/>
        </w:rPr>
        <w:t>（4）合同双方确认上述往来款项后，出具最终结清付款证书，结清全部合同款项。</w:t>
      </w:r>
    </w:p>
    <w:p>
      <w:pPr>
        <w:spacing w:line="480" w:lineRule="exact"/>
        <w:ind w:firstLine="420" w:firstLineChars="200"/>
        <w:rPr>
          <w:kern w:val="0"/>
          <w:szCs w:val="21"/>
          <w:highlight w:val="none"/>
        </w:rPr>
      </w:pPr>
      <w:r>
        <w:rPr>
          <w:kern w:val="0"/>
          <w:szCs w:val="21"/>
          <w:highlight w:val="none"/>
        </w:rPr>
        <w:t>（5）发包人和承包人未能就解除合同后的结清达成一致而形成争议的，按第24条的约定办理。</w:t>
      </w:r>
    </w:p>
    <w:p>
      <w:pPr>
        <w:spacing w:line="480" w:lineRule="exact"/>
        <w:ind w:firstLine="422" w:firstLineChars="200"/>
        <w:rPr>
          <w:b/>
          <w:kern w:val="0"/>
          <w:szCs w:val="21"/>
          <w:highlight w:val="none"/>
        </w:rPr>
      </w:pPr>
      <w:r>
        <w:rPr>
          <w:b/>
          <w:kern w:val="0"/>
          <w:szCs w:val="21"/>
          <w:highlight w:val="none"/>
        </w:rPr>
        <w:t xml:space="preserve">22.1.5 协议利益的转让 </w:t>
      </w:r>
    </w:p>
    <w:p>
      <w:pPr>
        <w:spacing w:line="480" w:lineRule="exact"/>
        <w:ind w:firstLine="420" w:firstLineChars="200"/>
        <w:rPr>
          <w:kern w:val="0"/>
          <w:szCs w:val="21"/>
          <w:highlight w:val="none"/>
        </w:rPr>
      </w:pPr>
      <w:r>
        <w:rPr>
          <w:kern w:val="0"/>
          <w:szCs w:val="21"/>
          <w:highlight w:val="none"/>
        </w:rPr>
        <w:t>因承包人违约解除合同的，发包人有权要求承包人将其为实施合同而签订的材料和设备的订货协议或任何服务协议利益转让给发包人，并在解除合同后的14天内，依法办理转让手续。</w:t>
      </w:r>
    </w:p>
    <w:p>
      <w:pPr>
        <w:spacing w:line="480" w:lineRule="exact"/>
        <w:ind w:firstLine="422" w:firstLineChars="200"/>
        <w:rPr>
          <w:b/>
          <w:kern w:val="0"/>
          <w:szCs w:val="21"/>
          <w:highlight w:val="none"/>
        </w:rPr>
      </w:pPr>
      <w:r>
        <w:rPr>
          <w:b/>
          <w:kern w:val="0"/>
          <w:szCs w:val="21"/>
          <w:highlight w:val="none"/>
        </w:rPr>
        <w:t xml:space="preserve">22.1.6 紧急情况下无能力或不愿进行抢救 </w:t>
      </w:r>
    </w:p>
    <w:p>
      <w:pPr>
        <w:spacing w:line="480" w:lineRule="exact"/>
        <w:ind w:firstLine="420" w:firstLineChars="200"/>
        <w:rPr>
          <w:kern w:val="0"/>
          <w:szCs w:val="21"/>
          <w:highlight w:val="none"/>
        </w:rPr>
      </w:pPr>
      <w:r>
        <w:rPr>
          <w:kern w:val="0"/>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spacing w:line="490" w:lineRule="exact"/>
        <w:ind w:firstLine="422" w:firstLineChars="200"/>
        <w:outlineLvl w:val="3"/>
        <w:rPr>
          <w:b/>
          <w:bCs/>
          <w:kern w:val="0"/>
          <w:szCs w:val="21"/>
          <w:highlight w:val="none"/>
        </w:rPr>
      </w:pPr>
      <w:bookmarkStart w:id="493" w:name="_Toc189386247"/>
      <w:r>
        <w:rPr>
          <w:b/>
          <w:bCs/>
          <w:kern w:val="0"/>
          <w:szCs w:val="21"/>
          <w:highlight w:val="none"/>
        </w:rPr>
        <w:t>22.2 发包人违约</w:t>
      </w:r>
      <w:bookmarkEnd w:id="493"/>
    </w:p>
    <w:p>
      <w:pPr>
        <w:spacing w:line="480" w:lineRule="exact"/>
        <w:ind w:firstLine="422" w:firstLineChars="200"/>
        <w:rPr>
          <w:b/>
          <w:kern w:val="0"/>
          <w:szCs w:val="21"/>
          <w:highlight w:val="none"/>
        </w:rPr>
      </w:pPr>
      <w:r>
        <w:rPr>
          <w:b/>
          <w:kern w:val="0"/>
          <w:szCs w:val="21"/>
          <w:highlight w:val="none"/>
        </w:rPr>
        <w:t xml:space="preserve">22.2.1 发包人违约的情形 </w:t>
      </w:r>
    </w:p>
    <w:p>
      <w:pPr>
        <w:spacing w:line="480" w:lineRule="exact"/>
        <w:ind w:firstLine="420" w:firstLineChars="200"/>
        <w:rPr>
          <w:kern w:val="0"/>
          <w:szCs w:val="21"/>
          <w:highlight w:val="none"/>
        </w:rPr>
      </w:pPr>
      <w:r>
        <w:rPr>
          <w:kern w:val="0"/>
          <w:szCs w:val="21"/>
          <w:highlight w:val="none"/>
        </w:rPr>
        <w:t>在履行合同过程中发生的下列情形，属发包人违约：</w:t>
      </w:r>
    </w:p>
    <w:p>
      <w:pPr>
        <w:spacing w:line="480" w:lineRule="exact"/>
        <w:ind w:firstLine="420" w:firstLineChars="200"/>
        <w:rPr>
          <w:kern w:val="0"/>
          <w:szCs w:val="21"/>
          <w:highlight w:val="none"/>
        </w:rPr>
      </w:pPr>
      <w:r>
        <w:rPr>
          <w:kern w:val="0"/>
          <w:szCs w:val="21"/>
          <w:highlight w:val="none"/>
        </w:rPr>
        <w:t>（1）发包人未能按合同约定支付预付款或合同价款，或拖延、拒绝批准付款申请和支付凭证，导致付款延误的；</w:t>
      </w:r>
    </w:p>
    <w:p>
      <w:pPr>
        <w:spacing w:line="480" w:lineRule="exact"/>
        <w:ind w:firstLine="420" w:firstLineChars="200"/>
        <w:rPr>
          <w:kern w:val="0"/>
          <w:szCs w:val="21"/>
          <w:highlight w:val="none"/>
        </w:rPr>
      </w:pPr>
      <w:r>
        <w:rPr>
          <w:kern w:val="0"/>
          <w:szCs w:val="21"/>
          <w:highlight w:val="none"/>
        </w:rPr>
        <w:t>（2）发包人原因造成停工的；</w:t>
      </w:r>
    </w:p>
    <w:p>
      <w:pPr>
        <w:spacing w:line="480" w:lineRule="exact"/>
        <w:ind w:firstLine="420" w:firstLineChars="200"/>
        <w:rPr>
          <w:kern w:val="0"/>
          <w:szCs w:val="21"/>
          <w:highlight w:val="none"/>
        </w:rPr>
      </w:pPr>
      <w:r>
        <w:rPr>
          <w:kern w:val="0"/>
          <w:szCs w:val="21"/>
          <w:highlight w:val="none"/>
        </w:rPr>
        <w:t>（3）监理人无正当理由没有在约定期限内发出复工指示，导致承包人无法复工的；</w:t>
      </w:r>
    </w:p>
    <w:p>
      <w:pPr>
        <w:spacing w:line="480" w:lineRule="exact"/>
        <w:ind w:firstLine="420" w:firstLineChars="200"/>
        <w:rPr>
          <w:kern w:val="0"/>
          <w:szCs w:val="21"/>
          <w:highlight w:val="none"/>
        </w:rPr>
      </w:pPr>
      <w:r>
        <w:rPr>
          <w:kern w:val="0"/>
          <w:szCs w:val="21"/>
          <w:highlight w:val="none"/>
        </w:rPr>
        <w:t>（4）发包人无法继续履行或明确表示不履行或实质上已停止履行合同的；</w:t>
      </w:r>
    </w:p>
    <w:p>
      <w:pPr>
        <w:spacing w:line="480" w:lineRule="exact"/>
        <w:ind w:firstLine="420" w:firstLineChars="200"/>
        <w:rPr>
          <w:kern w:val="0"/>
          <w:szCs w:val="21"/>
          <w:highlight w:val="none"/>
        </w:rPr>
      </w:pPr>
      <w:r>
        <w:rPr>
          <w:kern w:val="0"/>
          <w:szCs w:val="21"/>
          <w:highlight w:val="none"/>
        </w:rPr>
        <w:t>（5）发包人不履行合同约定其他义务的。</w:t>
      </w:r>
    </w:p>
    <w:p>
      <w:pPr>
        <w:spacing w:line="480" w:lineRule="exact"/>
        <w:ind w:firstLine="422" w:firstLineChars="200"/>
        <w:rPr>
          <w:b/>
          <w:kern w:val="0"/>
          <w:szCs w:val="21"/>
          <w:highlight w:val="none"/>
        </w:rPr>
      </w:pPr>
      <w:r>
        <w:rPr>
          <w:b/>
          <w:kern w:val="0"/>
          <w:szCs w:val="21"/>
          <w:highlight w:val="none"/>
        </w:rPr>
        <w:t>22.2.2 承包人有权暂停施工</w:t>
      </w:r>
    </w:p>
    <w:p>
      <w:pPr>
        <w:spacing w:line="480" w:lineRule="exact"/>
        <w:ind w:firstLine="420" w:firstLineChars="200"/>
        <w:rPr>
          <w:kern w:val="0"/>
          <w:szCs w:val="21"/>
          <w:highlight w:val="none"/>
        </w:rPr>
      </w:pPr>
      <w:r>
        <w:rPr>
          <w:kern w:val="0"/>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pPr>
        <w:spacing w:line="480" w:lineRule="exact"/>
        <w:ind w:firstLine="422" w:firstLineChars="200"/>
        <w:rPr>
          <w:b/>
          <w:kern w:val="0"/>
          <w:szCs w:val="21"/>
          <w:highlight w:val="none"/>
        </w:rPr>
      </w:pPr>
      <w:r>
        <w:rPr>
          <w:b/>
          <w:kern w:val="0"/>
          <w:szCs w:val="21"/>
          <w:highlight w:val="none"/>
        </w:rPr>
        <w:t>22.2.3 发包人违约解除合同</w:t>
      </w:r>
    </w:p>
    <w:p>
      <w:pPr>
        <w:spacing w:line="480" w:lineRule="exact"/>
        <w:ind w:firstLine="420" w:firstLineChars="200"/>
        <w:rPr>
          <w:kern w:val="0"/>
          <w:szCs w:val="21"/>
          <w:highlight w:val="none"/>
        </w:rPr>
      </w:pPr>
      <w:r>
        <w:rPr>
          <w:kern w:val="0"/>
          <w:szCs w:val="21"/>
          <w:highlight w:val="none"/>
        </w:rPr>
        <w:t>（1）发生第22.2.1（4）目的违约情况时，承包人可书面通知发包人解除合同。</w:t>
      </w:r>
    </w:p>
    <w:p>
      <w:pPr>
        <w:spacing w:line="480" w:lineRule="exact"/>
        <w:ind w:firstLine="420" w:firstLineChars="200"/>
        <w:rPr>
          <w:kern w:val="0"/>
          <w:szCs w:val="21"/>
          <w:highlight w:val="none"/>
        </w:rPr>
      </w:pPr>
      <w:r>
        <w:rPr>
          <w:kern w:val="0"/>
          <w:szCs w:val="21"/>
          <w:highlight w:val="none"/>
        </w:rPr>
        <w:t>（2）承包人按22.2.2项暂停施工28天后，发包人仍不纠正违约行为的，承包人可向发包人发出解除合同通知。但承包人的这一行动不免除发包人承担的违约责任，也不影响承包人根据合同约定享有的索赔权利。</w:t>
      </w:r>
    </w:p>
    <w:p>
      <w:pPr>
        <w:spacing w:line="480" w:lineRule="exact"/>
        <w:ind w:firstLine="422" w:firstLineChars="200"/>
        <w:rPr>
          <w:b/>
          <w:kern w:val="0"/>
          <w:szCs w:val="21"/>
          <w:highlight w:val="none"/>
        </w:rPr>
      </w:pPr>
      <w:r>
        <w:rPr>
          <w:b/>
          <w:kern w:val="0"/>
          <w:szCs w:val="21"/>
          <w:highlight w:val="none"/>
        </w:rPr>
        <w:t xml:space="preserve">22.2.4 解除合同后的付款 </w:t>
      </w:r>
    </w:p>
    <w:p>
      <w:pPr>
        <w:spacing w:line="480" w:lineRule="exact"/>
        <w:ind w:firstLine="420" w:firstLineChars="200"/>
        <w:rPr>
          <w:kern w:val="0"/>
          <w:szCs w:val="21"/>
          <w:highlight w:val="none"/>
        </w:rPr>
      </w:pPr>
      <w:r>
        <w:rPr>
          <w:kern w:val="0"/>
          <w:szCs w:val="21"/>
          <w:highlight w:val="none"/>
        </w:rPr>
        <w:t>因发包人违约解除合同的，发包人应在解除合同后28天内向承包人支付下列金额，承包人应在此期限内及时向发包人提交要求支付下列金额的有关资料和凭证：</w:t>
      </w:r>
    </w:p>
    <w:p>
      <w:pPr>
        <w:spacing w:line="480" w:lineRule="exact"/>
        <w:ind w:firstLine="420" w:firstLineChars="200"/>
        <w:rPr>
          <w:kern w:val="0"/>
          <w:szCs w:val="21"/>
          <w:highlight w:val="none"/>
        </w:rPr>
      </w:pPr>
      <w:r>
        <w:rPr>
          <w:kern w:val="0"/>
          <w:szCs w:val="21"/>
          <w:highlight w:val="none"/>
        </w:rPr>
        <w:t>（1）合同解除日以前所完成工作的价款；</w:t>
      </w:r>
    </w:p>
    <w:p>
      <w:pPr>
        <w:spacing w:line="480" w:lineRule="exact"/>
        <w:ind w:firstLine="420" w:firstLineChars="200"/>
        <w:rPr>
          <w:kern w:val="0"/>
          <w:szCs w:val="21"/>
          <w:highlight w:val="none"/>
        </w:rPr>
      </w:pPr>
      <w:r>
        <w:rPr>
          <w:kern w:val="0"/>
          <w:szCs w:val="21"/>
          <w:highlight w:val="none"/>
        </w:rPr>
        <w:t>（2）承包人为该工程施工订购并已付款的材料、工程设备和其他物品的金额。发包人付还后，该材料、工程设备和其他物品归发包人所有；</w:t>
      </w:r>
    </w:p>
    <w:p>
      <w:pPr>
        <w:spacing w:line="480" w:lineRule="exact"/>
        <w:ind w:firstLine="420" w:firstLineChars="200"/>
        <w:rPr>
          <w:kern w:val="0"/>
          <w:szCs w:val="21"/>
          <w:highlight w:val="none"/>
        </w:rPr>
      </w:pPr>
      <w:r>
        <w:rPr>
          <w:kern w:val="0"/>
          <w:szCs w:val="21"/>
          <w:highlight w:val="none"/>
        </w:rPr>
        <w:t>（3）承包人为完成工程所发生的，而发包人未支付的金额；</w:t>
      </w:r>
    </w:p>
    <w:p>
      <w:pPr>
        <w:spacing w:line="480" w:lineRule="exact"/>
        <w:ind w:firstLine="420" w:firstLineChars="200"/>
        <w:rPr>
          <w:kern w:val="0"/>
          <w:szCs w:val="21"/>
          <w:highlight w:val="none"/>
        </w:rPr>
      </w:pPr>
      <w:r>
        <w:rPr>
          <w:kern w:val="0"/>
          <w:szCs w:val="21"/>
          <w:highlight w:val="none"/>
        </w:rPr>
        <w:t>（4）承包人撤离施工场地以及遣散承包人人员的金额；</w:t>
      </w:r>
    </w:p>
    <w:p>
      <w:pPr>
        <w:spacing w:line="480" w:lineRule="exact"/>
        <w:ind w:firstLine="420" w:firstLineChars="200"/>
        <w:rPr>
          <w:kern w:val="0"/>
          <w:szCs w:val="21"/>
          <w:highlight w:val="none"/>
        </w:rPr>
      </w:pPr>
      <w:r>
        <w:rPr>
          <w:kern w:val="0"/>
          <w:szCs w:val="21"/>
          <w:highlight w:val="none"/>
        </w:rPr>
        <w:t>（5）由于解除合同应赔偿的承包人损失；</w:t>
      </w:r>
    </w:p>
    <w:p>
      <w:pPr>
        <w:spacing w:line="480" w:lineRule="exact"/>
        <w:ind w:firstLine="420" w:firstLineChars="200"/>
        <w:rPr>
          <w:kern w:val="0"/>
          <w:szCs w:val="21"/>
          <w:highlight w:val="none"/>
        </w:rPr>
      </w:pPr>
      <w:r>
        <w:rPr>
          <w:kern w:val="0"/>
          <w:szCs w:val="21"/>
          <w:highlight w:val="none"/>
        </w:rPr>
        <w:t>（6）按合同约定在合同解除日前应支付给承包人的其他金额。</w:t>
      </w:r>
    </w:p>
    <w:p>
      <w:pPr>
        <w:spacing w:line="480" w:lineRule="exact"/>
        <w:ind w:firstLine="420" w:firstLineChars="200"/>
        <w:rPr>
          <w:kern w:val="0"/>
          <w:szCs w:val="21"/>
          <w:highlight w:val="none"/>
        </w:rPr>
      </w:pPr>
      <w:r>
        <w:rPr>
          <w:kern w:val="0"/>
          <w:szCs w:val="21"/>
          <w:highlight w:val="none"/>
        </w:rPr>
        <w:t>发包人应按本项约定支付上述金额并退还质量保证金和履约担保，但有权要求承包人支付应偿还给发包人的各项金额。</w:t>
      </w:r>
    </w:p>
    <w:p>
      <w:pPr>
        <w:spacing w:line="480" w:lineRule="exact"/>
        <w:ind w:firstLine="422" w:firstLineChars="200"/>
        <w:rPr>
          <w:b/>
          <w:kern w:val="0"/>
          <w:szCs w:val="21"/>
          <w:highlight w:val="none"/>
        </w:rPr>
      </w:pPr>
      <w:r>
        <w:rPr>
          <w:b/>
          <w:kern w:val="0"/>
          <w:szCs w:val="21"/>
          <w:highlight w:val="none"/>
        </w:rPr>
        <w:t xml:space="preserve">22.2.5 解除合同后的承包人撤离 </w:t>
      </w:r>
    </w:p>
    <w:p>
      <w:pPr>
        <w:spacing w:line="480" w:lineRule="exact"/>
        <w:ind w:firstLine="420" w:firstLineChars="200"/>
        <w:rPr>
          <w:kern w:val="0"/>
          <w:szCs w:val="21"/>
          <w:highlight w:val="none"/>
        </w:rPr>
      </w:pPr>
      <w:r>
        <w:rPr>
          <w:kern w:val="0"/>
          <w:szCs w:val="21"/>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pPr>
        <w:spacing w:line="490" w:lineRule="exact"/>
        <w:ind w:firstLine="422" w:firstLineChars="200"/>
        <w:outlineLvl w:val="3"/>
        <w:rPr>
          <w:b/>
          <w:bCs/>
          <w:kern w:val="0"/>
          <w:szCs w:val="21"/>
          <w:highlight w:val="none"/>
        </w:rPr>
      </w:pPr>
      <w:bookmarkStart w:id="494" w:name="_Toc189386248"/>
      <w:r>
        <w:rPr>
          <w:b/>
          <w:bCs/>
          <w:kern w:val="0"/>
          <w:szCs w:val="21"/>
          <w:highlight w:val="none"/>
        </w:rPr>
        <w:t>22.3第三人造成的违约</w:t>
      </w:r>
      <w:bookmarkEnd w:id="494"/>
    </w:p>
    <w:p>
      <w:pPr>
        <w:spacing w:line="480" w:lineRule="exact"/>
        <w:ind w:firstLine="420" w:firstLineChars="200"/>
        <w:rPr>
          <w:kern w:val="0"/>
          <w:szCs w:val="21"/>
          <w:highlight w:val="none"/>
        </w:rPr>
      </w:pPr>
      <w:r>
        <w:rPr>
          <w:kern w:val="0"/>
          <w:szCs w:val="21"/>
          <w:highlight w:val="none"/>
        </w:rPr>
        <w:t>在履行合同过程中，一方当事人因第三人的原因造成违约的，应当向对方当事人承担违约责任。一方当事人和第三人之间的纠纷，依照法律规定或者按照约定解决。</w:t>
      </w:r>
    </w:p>
    <w:p>
      <w:pPr>
        <w:pStyle w:val="5"/>
        <w:keepNext w:val="0"/>
        <w:keepLines w:val="0"/>
        <w:spacing w:before="0" w:after="0" w:line="490" w:lineRule="exact"/>
        <w:ind w:firstLine="422" w:firstLineChars="200"/>
        <w:rPr>
          <w:bCs w:val="0"/>
          <w:color w:val="auto"/>
          <w:sz w:val="21"/>
          <w:szCs w:val="21"/>
          <w:highlight w:val="none"/>
        </w:rPr>
      </w:pPr>
      <w:bookmarkStart w:id="495" w:name="_Toc189386249"/>
      <w:bookmarkStart w:id="496" w:name="_Toc3313"/>
      <w:bookmarkStart w:id="497" w:name="_Toc549"/>
      <w:r>
        <w:rPr>
          <w:bCs w:val="0"/>
          <w:color w:val="auto"/>
          <w:sz w:val="21"/>
          <w:szCs w:val="21"/>
          <w:highlight w:val="none"/>
        </w:rPr>
        <w:t>23</w:t>
      </w:r>
      <w:r>
        <w:rPr>
          <w:rFonts w:hint="eastAsia"/>
          <w:bCs w:val="0"/>
          <w:color w:val="auto"/>
          <w:sz w:val="21"/>
          <w:szCs w:val="21"/>
          <w:highlight w:val="none"/>
        </w:rPr>
        <w:t>.</w:t>
      </w:r>
      <w:r>
        <w:rPr>
          <w:bCs w:val="0"/>
          <w:color w:val="auto"/>
          <w:sz w:val="21"/>
          <w:szCs w:val="21"/>
          <w:highlight w:val="none"/>
        </w:rPr>
        <w:t>索赔</w:t>
      </w:r>
      <w:bookmarkEnd w:id="495"/>
      <w:bookmarkEnd w:id="496"/>
      <w:bookmarkEnd w:id="497"/>
    </w:p>
    <w:p>
      <w:pPr>
        <w:spacing w:line="490" w:lineRule="exact"/>
        <w:ind w:firstLine="422" w:firstLineChars="200"/>
        <w:outlineLvl w:val="3"/>
        <w:rPr>
          <w:b/>
          <w:bCs/>
          <w:kern w:val="0"/>
          <w:szCs w:val="21"/>
          <w:highlight w:val="none"/>
        </w:rPr>
      </w:pPr>
      <w:bookmarkStart w:id="498" w:name="_Toc511318176"/>
      <w:bookmarkStart w:id="499" w:name="_Toc189386250"/>
      <w:r>
        <w:rPr>
          <w:b/>
          <w:bCs/>
          <w:kern w:val="0"/>
          <w:szCs w:val="21"/>
          <w:highlight w:val="none"/>
        </w:rPr>
        <w:t>23.1 承包人索赔的提出</w:t>
      </w:r>
      <w:bookmarkEnd w:id="498"/>
      <w:bookmarkEnd w:id="499"/>
    </w:p>
    <w:p>
      <w:pPr>
        <w:spacing w:line="480" w:lineRule="exact"/>
        <w:ind w:firstLine="420" w:firstLineChars="200"/>
        <w:rPr>
          <w:kern w:val="0"/>
          <w:szCs w:val="21"/>
          <w:highlight w:val="none"/>
        </w:rPr>
      </w:pPr>
      <w:r>
        <w:rPr>
          <w:kern w:val="0"/>
          <w:szCs w:val="21"/>
          <w:highlight w:val="none"/>
        </w:rPr>
        <w:t>根据合同约定，承包人认为有权得到追加付款和（或）延长工期的，应按以下程序向发包人提出索赔：</w:t>
      </w:r>
    </w:p>
    <w:p>
      <w:pPr>
        <w:spacing w:line="480" w:lineRule="exact"/>
        <w:ind w:firstLine="420" w:firstLineChars="200"/>
        <w:rPr>
          <w:kern w:val="0"/>
          <w:szCs w:val="21"/>
          <w:highlight w:val="none"/>
        </w:rPr>
      </w:pPr>
      <w:r>
        <w:rPr>
          <w:kern w:val="0"/>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spacing w:line="480" w:lineRule="exact"/>
        <w:ind w:firstLine="420" w:firstLineChars="200"/>
        <w:rPr>
          <w:kern w:val="0"/>
          <w:szCs w:val="21"/>
          <w:highlight w:val="none"/>
        </w:rPr>
      </w:pPr>
      <w:r>
        <w:rPr>
          <w:kern w:val="0"/>
          <w:szCs w:val="21"/>
          <w:highlight w:val="none"/>
        </w:rPr>
        <w:t>（2）承包人应在发出索赔意向通知书后28天内，向监理人正式递交索赔通知书。索赔通知书应详细说明索赔理由以及要求追加的付款金额和（或）延长的工期，并附必要的记录和证明材料；</w:t>
      </w:r>
    </w:p>
    <w:p>
      <w:pPr>
        <w:spacing w:line="480" w:lineRule="exact"/>
        <w:ind w:firstLine="420" w:firstLineChars="200"/>
        <w:rPr>
          <w:kern w:val="0"/>
          <w:szCs w:val="21"/>
          <w:highlight w:val="none"/>
        </w:rPr>
      </w:pPr>
      <w:r>
        <w:rPr>
          <w:kern w:val="0"/>
          <w:szCs w:val="21"/>
          <w:highlight w:val="none"/>
        </w:rPr>
        <w:t>（3）索赔事件具有连续影响的，承包人应按合理时间间隔继续递交延续索赔通知，说明连续影响的实际情况和记录，列出累计的追加付款金额和（或）工期延长天数；</w:t>
      </w:r>
    </w:p>
    <w:p>
      <w:pPr>
        <w:spacing w:line="480" w:lineRule="exact"/>
        <w:ind w:firstLine="420" w:firstLineChars="200"/>
        <w:rPr>
          <w:kern w:val="0"/>
          <w:szCs w:val="21"/>
          <w:highlight w:val="none"/>
        </w:rPr>
      </w:pPr>
      <w:r>
        <w:rPr>
          <w:kern w:val="0"/>
          <w:szCs w:val="21"/>
          <w:highlight w:val="none"/>
        </w:rPr>
        <w:t>（4）在索赔事件影响结束后的28天内，承包人应向监理人递交最终索赔通知书，说明最终要求索赔的追加付款金额和延长的工期，并附必要的记录和证明材料。</w:t>
      </w:r>
    </w:p>
    <w:p>
      <w:pPr>
        <w:spacing w:line="490" w:lineRule="exact"/>
        <w:ind w:firstLine="422" w:firstLineChars="200"/>
        <w:outlineLvl w:val="3"/>
        <w:rPr>
          <w:b/>
          <w:bCs/>
          <w:kern w:val="0"/>
          <w:szCs w:val="21"/>
          <w:highlight w:val="none"/>
        </w:rPr>
      </w:pPr>
      <w:bookmarkStart w:id="500" w:name="_Toc189386251"/>
      <w:bookmarkStart w:id="501" w:name="_Toc511318177"/>
      <w:r>
        <w:rPr>
          <w:b/>
          <w:bCs/>
          <w:kern w:val="0"/>
          <w:szCs w:val="21"/>
          <w:highlight w:val="none"/>
        </w:rPr>
        <w:t>23.2 承包人索赔处理程序</w:t>
      </w:r>
      <w:bookmarkEnd w:id="500"/>
      <w:bookmarkEnd w:id="501"/>
    </w:p>
    <w:p>
      <w:pPr>
        <w:spacing w:line="480" w:lineRule="exact"/>
        <w:ind w:firstLine="420" w:firstLineChars="200"/>
        <w:rPr>
          <w:kern w:val="0"/>
          <w:szCs w:val="21"/>
          <w:highlight w:val="none"/>
        </w:rPr>
      </w:pPr>
      <w:r>
        <w:rPr>
          <w:kern w:val="0"/>
          <w:szCs w:val="21"/>
          <w:highlight w:val="none"/>
        </w:rPr>
        <w:t>（1）监理人收到承包人提交的索赔通知书后，应及时审查索赔通知书的内容、查验承包人的记录和证明材料，必要时监理人可要求承包人提交全部原始记录副本。</w:t>
      </w:r>
    </w:p>
    <w:p>
      <w:pPr>
        <w:spacing w:line="480" w:lineRule="exact"/>
        <w:ind w:firstLine="420" w:firstLineChars="200"/>
        <w:rPr>
          <w:kern w:val="0"/>
          <w:szCs w:val="21"/>
          <w:highlight w:val="none"/>
        </w:rPr>
      </w:pPr>
      <w:r>
        <w:rPr>
          <w:kern w:val="0"/>
          <w:szCs w:val="21"/>
          <w:highlight w:val="none"/>
        </w:rPr>
        <w:t>（2）监理人应按第3.5款商定或确定追加的付款和（或）延长的工期，并在收到上述索赔通知书或有关索赔的进一步证明材料后的42天内，将索赔处理结果答复承包人。</w:t>
      </w:r>
    </w:p>
    <w:p>
      <w:pPr>
        <w:spacing w:line="480" w:lineRule="exact"/>
        <w:ind w:firstLine="420" w:firstLineChars="200"/>
        <w:rPr>
          <w:kern w:val="0"/>
          <w:szCs w:val="21"/>
          <w:highlight w:val="none"/>
        </w:rPr>
      </w:pPr>
      <w:r>
        <w:rPr>
          <w:kern w:val="0"/>
          <w:szCs w:val="21"/>
          <w:highlight w:val="none"/>
        </w:rPr>
        <w:t>（3）承包人接受索赔处理结果的，发包人应在作出索赔处理结果答复后28 天内完成赔付。承包人不接受索赔处理结果的，按第24条的约定办理。</w:t>
      </w:r>
    </w:p>
    <w:p>
      <w:pPr>
        <w:spacing w:line="490" w:lineRule="exact"/>
        <w:ind w:firstLine="422" w:firstLineChars="200"/>
        <w:outlineLvl w:val="3"/>
        <w:rPr>
          <w:b/>
          <w:bCs/>
          <w:kern w:val="0"/>
          <w:szCs w:val="21"/>
          <w:highlight w:val="none"/>
        </w:rPr>
      </w:pPr>
      <w:bookmarkStart w:id="502" w:name="_Toc189386252"/>
      <w:bookmarkStart w:id="503" w:name="_Toc511318178"/>
      <w:r>
        <w:rPr>
          <w:b/>
          <w:bCs/>
          <w:kern w:val="0"/>
          <w:szCs w:val="21"/>
          <w:highlight w:val="none"/>
        </w:rPr>
        <w:t>23.3 承包人提出索赔的期限</w:t>
      </w:r>
      <w:bookmarkEnd w:id="502"/>
      <w:bookmarkEnd w:id="503"/>
    </w:p>
    <w:p>
      <w:pPr>
        <w:spacing w:line="480" w:lineRule="exact"/>
        <w:ind w:firstLine="420" w:firstLineChars="200"/>
        <w:rPr>
          <w:kern w:val="0"/>
          <w:szCs w:val="21"/>
          <w:highlight w:val="none"/>
        </w:rPr>
      </w:pPr>
      <w:r>
        <w:rPr>
          <w:kern w:val="0"/>
          <w:szCs w:val="21"/>
          <w:highlight w:val="none"/>
        </w:rPr>
        <w:t>23.3.1 承包人按第17.5款的约定接受了完工付款证书后，应被认为已无权再提出在合同工程完工证书颁发前所发生的任何索赔。</w:t>
      </w:r>
    </w:p>
    <w:p>
      <w:pPr>
        <w:spacing w:line="480" w:lineRule="exact"/>
        <w:ind w:firstLine="420" w:firstLineChars="200"/>
        <w:rPr>
          <w:kern w:val="0"/>
          <w:szCs w:val="21"/>
          <w:highlight w:val="none"/>
        </w:rPr>
      </w:pPr>
      <w:r>
        <w:rPr>
          <w:kern w:val="0"/>
          <w:szCs w:val="21"/>
          <w:highlight w:val="none"/>
        </w:rPr>
        <w:t>23.3.2 承包人按第17.6款的约定提交的最终结清申请单中，只限于提出合同工程完工证书颁发后发生的索赔。提出索赔的期限自接受最终结清证书时终止。</w:t>
      </w:r>
    </w:p>
    <w:p>
      <w:pPr>
        <w:spacing w:line="490" w:lineRule="exact"/>
        <w:ind w:firstLine="422" w:firstLineChars="200"/>
        <w:outlineLvl w:val="3"/>
        <w:rPr>
          <w:b/>
          <w:bCs/>
          <w:kern w:val="0"/>
          <w:szCs w:val="21"/>
          <w:highlight w:val="none"/>
        </w:rPr>
      </w:pPr>
      <w:bookmarkStart w:id="504" w:name="_Toc189386253"/>
      <w:bookmarkStart w:id="505" w:name="_Toc511318179"/>
      <w:r>
        <w:rPr>
          <w:b/>
          <w:bCs/>
          <w:kern w:val="0"/>
          <w:szCs w:val="21"/>
          <w:highlight w:val="none"/>
        </w:rPr>
        <w:t>23.4 发包人的索赔</w:t>
      </w:r>
      <w:bookmarkEnd w:id="504"/>
      <w:bookmarkEnd w:id="505"/>
    </w:p>
    <w:p>
      <w:pPr>
        <w:spacing w:line="480" w:lineRule="exact"/>
        <w:ind w:firstLine="420" w:firstLineChars="200"/>
        <w:rPr>
          <w:kern w:val="0"/>
          <w:szCs w:val="21"/>
          <w:highlight w:val="none"/>
        </w:rPr>
      </w:pPr>
      <w:r>
        <w:rPr>
          <w:kern w:val="0"/>
          <w:szCs w:val="21"/>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pPr>
        <w:spacing w:line="480" w:lineRule="exact"/>
        <w:ind w:firstLine="420" w:firstLineChars="200"/>
        <w:rPr>
          <w:kern w:val="0"/>
          <w:szCs w:val="21"/>
          <w:highlight w:val="none"/>
        </w:rPr>
      </w:pPr>
      <w:r>
        <w:rPr>
          <w:kern w:val="0"/>
          <w:szCs w:val="21"/>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pPr>
        <w:spacing w:line="480" w:lineRule="exact"/>
        <w:ind w:firstLine="420" w:firstLineChars="200"/>
        <w:rPr>
          <w:kern w:val="0"/>
          <w:szCs w:val="21"/>
          <w:highlight w:val="none"/>
        </w:rPr>
      </w:pPr>
      <w:r>
        <w:rPr>
          <w:kern w:val="0"/>
          <w:szCs w:val="21"/>
          <w:highlight w:val="none"/>
        </w:rPr>
        <w:t>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pPr>
        <w:pStyle w:val="5"/>
        <w:keepNext w:val="0"/>
        <w:keepLines w:val="0"/>
        <w:spacing w:before="0" w:after="0" w:line="490" w:lineRule="exact"/>
        <w:ind w:firstLine="422" w:firstLineChars="200"/>
        <w:rPr>
          <w:bCs w:val="0"/>
          <w:color w:val="auto"/>
          <w:sz w:val="21"/>
          <w:szCs w:val="21"/>
          <w:highlight w:val="none"/>
        </w:rPr>
      </w:pPr>
      <w:bookmarkStart w:id="506" w:name="_Toc5756"/>
      <w:bookmarkStart w:id="507" w:name="_Toc20284"/>
      <w:bookmarkStart w:id="508" w:name="_Toc189386254"/>
      <w:r>
        <w:rPr>
          <w:bCs w:val="0"/>
          <w:color w:val="auto"/>
          <w:sz w:val="21"/>
          <w:szCs w:val="21"/>
          <w:highlight w:val="none"/>
        </w:rPr>
        <w:t>24</w:t>
      </w:r>
      <w:r>
        <w:rPr>
          <w:rFonts w:hint="eastAsia"/>
          <w:bCs w:val="0"/>
          <w:color w:val="auto"/>
          <w:sz w:val="21"/>
          <w:szCs w:val="21"/>
          <w:highlight w:val="none"/>
        </w:rPr>
        <w:t>.</w:t>
      </w:r>
      <w:r>
        <w:rPr>
          <w:bCs w:val="0"/>
          <w:color w:val="auto"/>
          <w:sz w:val="21"/>
          <w:szCs w:val="21"/>
          <w:highlight w:val="none"/>
        </w:rPr>
        <w:t>争议的解决</w:t>
      </w:r>
      <w:bookmarkEnd w:id="506"/>
      <w:bookmarkEnd w:id="507"/>
      <w:bookmarkEnd w:id="508"/>
    </w:p>
    <w:p>
      <w:pPr>
        <w:spacing w:line="490" w:lineRule="exact"/>
        <w:ind w:firstLine="422" w:firstLineChars="200"/>
        <w:outlineLvl w:val="3"/>
        <w:rPr>
          <w:b/>
          <w:bCs/>
          <w:kern w:val="0"/>
          <w:szCs w:val="21"/>
          <w:highlight w:val="none"/>
        </w:rPr>
      </w:pPr>
      <w:bookmarkStart w:id="509" w:name="_Toc189386255"/>
      <w:r>
        <w:rPr>
          <w:b/>
          <w:bCs/>
          <w:kern w:val="0"/>
          <w:szCs w:val="21"/>
          <w:highlight w:val="none"/>
        </w:rPr>
        <w:t>24.1争议的解决方式</w:t>
      </w:r>
      <w:bookmarkEnd w:id="509"/>
    </w:p>
    <w:p>
      <w:pPr>
        <w:spacing w:line="480" w:lineRule="exact"/>
        <w:ind w:firstLine="420" w:firstLineChars="200"/>
        <w:rPr>
          <w:kern w:val="0"/>
          <w:szCs w:val="21"/>
          <w:highlight w:val="none"/>
        </w:rPr>
      </w:pPr>
      <w:r>
        <w:rPr>
          <w:kern w:val="0"/>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spacing w:line="480" w:lineRule="exact"/>
        <w:ind w:firstLine="420" w:firstLineChars="200"/>
        <w:rPr>
          <w:kern w:val="0"/>
          <w:szCs w:val="21"/>
          <w:highlight w:val="none"/>
        </w:rPr>
      </w:pPr>
      <w:r>
        <w:rPr>
          <w:kern w:val="0"/>
          <w:szCs w:val="21"/>
          <w:highlight w:val="none"/>
        </w:rPr>
        <w:t>（1）向约定的仲裁委员会申请仲裁；</w:t>
      </w:r>
    </w:p>
    <w:p>
      <w:pPr>
        <w:spacing w:line="480" w:lineRule="exact"/>
        <w:ind w:firstLine="420" w:firstLineChars="200"/>
        <w:rPr>
          <w:kern w:val="0"/>
          <w:szCs w:val="21"/>
          <w:highlight w:val="none"/>
        </w:rPr>
      </w:pPr>
      <w:r>
        <w:rPr>
          <w:kern w:val="0"/>
          <w:szCs w:val="21"/>
          <w:highlight w:val="none"/>
        </w:rPr>
        <w:t>（2）向有管辖权的人民法院提起诉讼。</w:t>
      </w:r>
    </w:p>
    <w:p>
      <w:pPr>
        <w:spacing w:line="490" w:lineRule="exact"/>
        <w:ind w:firstLine="422" w:firstLineChars="200"/>
        <w:outlineLvl w:val="3"/>
        <w:rPr>
          <w:b/>
          <w:bCs/>
          <w:kern w:val="0"/>
          <w:szCs w:val="21"/>
          <w:highlight w:val="none"/>
        </w:rPr>
      </w:pPr>
      <w:bookmarkStart w:id="510" w:name="_Toc189386256"/>
      <w:bookmarkStart w:id="511" w:name="_Toc511318181"/>
      <w:r>
        <w:rPr>
          <w:b/>
          <w:bCs/>
          <w:kern w:val="0"/>
          <w:szCs w:val="21"/>
          <w:highlight w:val="none"/>
        </w:rPr>
        <w:t>24.2 友好解决</w:t>
      </w:r>
      <w:bookmarkEnd w:id="510"/>
      <w:bookmarkEnd w:id="511"/>
    </w:p>
    <w:p>
      <w:pPr>
        <w:spacing w:line="460" w:lineRule="exact"/>
        <w:ind w:firstLine="420" w:firstLineChars="200"/>
        <w:rPr>
          <w:kern w:val="0"/>
          <w:szCs w:val="21"/>
          <w:highlight w:val="none"/>
        </w:rPr>
      </w:pPr>
      <w:r>
        <w:rPr>
          <w:kern w:val="0"/>
          <w:szCs w:val="21"/>
          <w:highlight w:val="none"/>
        </w:rPr>
        <w:t>在提请争议评审、仲裁或者诉讼前，以及在争议评审、仲裁或诉讼过程中，发包人和承包人均可共同努力友好协商解决争议。</w:t>
      </w:r>
    </w:p>
    <w:p>
      <w:pPr>
        <w:spacing w:line="490" w:lineRule="exact"/>
        <w:ind w:firstLine="422" w:firstLineChars="200"/>
        <w:outlineLvl w:val="3"/>
        <w:rPr>
          <w:b/>
          <w:bCs/>
          <w:kern w:val="0"/>
          <w:szCs w:val="21"/>
          <w:highlight w:val="none"/>
        </w:rPr>
      </w:pPr>
      <w:bookmarkStart w:id="512" w:name="_Toc189386257"/>
      <w:bookmarkStart w:id="513" w:name="_Toc511318182"/>
      <w:r>
        <w:rPr>
          <w:b/>
          <w:bCs/>
          <w:kern w:val="0"/>
          <w:szCs w:val="21"/>
          <w:highlight w:val="none"/>
        </w:rPr>
        <w:t>24.3 争议评审</w:t>
      </w:r>
      <w:bookmarkEnd w:id="512"/>
      <w:bookmarkEnd w:id="513"/>
    </w:p>
    <w:p>
      <w:pPr>
        <w:spacing w:line="460" w:lineRule="exact"/>
        <w:ind w:firstLine="420" w:firstLineChars="200"/>
        <w:rPr>
          <w:kern w:val="0"/>
          <w:szCs w:val="21"/>
          <w:highlight w:val="none"/>
        </w:rPr>
      </w:pPr>
      <w:r>
        <w:rPr>
          <w:kern w:val="0"/>
          <w:szCs w:val="21"/>
          <w:highlight w:val="none"/>
        </w:rPr>
        <w:t>24.3.1 采用争议评审的，发包人和承包人应在开工日后的28天内或在争议发生后，协商成立争议评审组。争议评审组由有合同管理和工程实践经验的专家组成。</w:t>
      </w:r>
    </w:p>
    <w:p>
      <w:pPr>
        <w:spacing w:line="460" w:lineRule="exact"/>
        <w:ind w:firstLine="420" w:firstLineChars="200"/>
        <w:rPr>
          <w:kern w:val="0"/>
          <w:szCs w:val="21"/>
          <w:highlight w:val="none"/>
        </w:rPr>
      </w:pPr>
      <w:r>
        <w:rPr>
          <w:kern w:val="0"/>
          <w:szCs w:val="21"/>
          <w:highlight w:val="none"/>
        </w:rPr>
        <w:t>24.3.2 合同双方的争议，应首先由申请人向争议评审组提交一份详细的评审申请报告，并附必要的文件、图纸和证明材料，申请人还应将上述报告的副本同时提交给被申请人和监理人。</w:t>
      </w:r>
    </w:p>
    <w:p>
      <w:pPr>
        <w:spacing w:line="460" w:lineRule="exact"/>
        <w:ind w:firstLine="420" w:firstLineChars="200"/>
        <w:rPr>
          <w:kern w:val="0"/>
          <w:szCs w:val="21"/>
          <w:highlight w:val="none"/>
        </w:rPr>
      </w:pPr>
      <w:r>
        <w:rPr>
          <w:kern w:val="0"/>
          <w:szCs w:val="21"/>
          <w:highlight w:val="none"/>
        </w:rPr>
        <w:t>24.3.3 被申请人在收到申请人评审申请报告副本后的28天内，向争议评审组提交一份答辩报告，并附证明材料。被申请人应将答辩报告的副本同时提交给申请人和监理人。</w:t>
      </w:r>
    </w:p>
    <w:p>
      <w:pPr>
        <w:spacing w:line="460" w:lineRule="exact"/>
        <w:ind w:firstLine="420" w:firstLineChars="200"/>
        <w:rPr>
          <w:kern w:val="0"/>
          <w:szCs w:val="21"/>
          <w:highlight w:val="none"/>
        </w:rPr>
      </w:pPr>
      <w:r>
        <w:rPr>
          <w:kern w:val="0"/>
          <w:szCs w:val="21"/>
          <w:highlight w:val="none"/>
        </w:rPr>
        <w:t>24.3.4 除专用合同条款另有约定外，争议评审组在收到合同双方报告后的14 天内，邀请双方代表和有关人员举行调查会，向双方调查争议细节；必要时争议评审组可要求双方进一步提供补充材料。</w:t>
      </w:r>
    </w:p>
    <w:p>
      <w:pPr>
        <w:spacing w:line="460" w:lineRule="exact"/>
        <w:ind w:firstLine="420" w:firstLineChars="200"/>
        <w:rPr>
          <w:kern w:val="0"/>
          <w:szCs w:val="21"/>
          <w:highlight w:val="none"/>
        </w:rPr>
      </w:pPr>
      <w:r>
        <w:rPr>
          <w:kern w:val="0"/>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pPr>
        <w:spacing w:line="460" w:lineRule="exact"/>
        <w:ind w:firstLine="420" w:firstLineChars="200"/>
        <w:rPr>
          <w:kern w:val="0"/>
          <w:szCs w:val="21"/>
          <w:highlight w:val="none"/>
        </w:rPr>
      </w:pPr>
      <w:r>
        <w:rPr>
          <w:kern w:val="0"/>
          <w:szCs w:val="21"/>
          <w:highlight w:val="none"/>
        </w:rPr>
        <w:t>24.3.6 发包人和承包人接受评审意见的，由监理人根据评审意见拟定执行协议，经争议双方签字后作为合同的补充文件，并遵照执行。</w:t>
      </w:r>
    </w:p>
    <w:p>
      <w:pPr>
        <w:spacing w:line="460" w:lineRule="exact"/>
        <w:ind w:firstLine="420" w:firstLineChars="200"/>
        <w:rPr>
          <w:kern w:val="0"/>
          <w:szCs w:val="21"/>
          <w:highlight w:val="none"/>
        </w:rPr>
      </w:pPr>
      <w:r>
        <w:rPr>
          <w:kern w:val="0"/>
          <w:szCs w:val="21"/>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pPr>
        <w:spacing w:line="490" w:lineRule="exact"/>
        <w:ind w:firstLine="422" w:firstLineChars="200"/>
        <w:outlineLvl w:val="3"/>
        <w:rPr>
          <w:b/>
          <w:bCs/>
          <w:kern w:val="0"/>
          <w:szCs w:val="21"/>
          <w:highlight w:val="none"/>
        </w:rPr>
      </w:pPr>
      <w:bookmarkStart w:id="514" w:name="_Toc511318183"/>
      <w:r>
        <w:rPr>
          <w:b/>
          <w:bCs/>
          <w:kern w:val="0"/>
          <w:szCs w:val="21"/>
          <w:highlight w:val="none"/>
        </w:rPr>
        <w:t>24.4 仲裁</w:t>
      </w:r>
      <w:bookmarkEnd w:id="514"/>
    </w:p>
    <w:p>
      <w:pPr>
        <w:spacing w:line="460" w:lineRule="exact"/>
        <w:ind w:firstLine="420" w:firstLineChars="200"/>
        <w:rPr>
          <w:kern w:val="0"/>
          <w:szCs w:val="21"/>
          <w:highlight w:val="none"/>
        </w:rPr>
      </w:pPr>
      <w:r>
        <w:rPr>
          <w:kern w:val="0"/>
          <w:szCs w:val="21"/>
          <w:highlight w:val="none"/>
        </w:rPr>
        <w:t>24.4.1 若合同双方商定直接向仲裁机构申请仲裁，应签订仲裁协议并约定仲裁机构。</w:t>
      </w:r>
    </w:p>
    <w:p>
      <w:pPr>
        <w:spacing w:line="460" w:lineRule="exact"/>
        <w:ind w:firstLine="420" w:firstLineChars="200"/>
        <w:rPr>
          <w:kern w:val="0"/>
          <w:szCs w:val="21"/>
          <w:highlight w:val="none"/>
        </w:rPr>
      </w:pPr>
      <w:r>
        <w:rPr>
          <w:kern w:val="0"/>
          <w:szCs w:val="21"/>
          <w:highlight w:val="none"/>
        </w:rPr>
        <w:t>24.4.2 若合同双方未能达成仲裁协议，则本合同的仲裁条款无效，任一方均有权向人民法院提起诉讼。</w:t>
      </w:r>
    </w:p>
    <w:p>
      <w:pPr>
        <w:spacing w:line="490" w:lineRule="exact"/>
        <w:ind w:firstLine="420" w:firstLineChars="200"/>
        <w:rPr>
          <w:szCs w:val="21"/>
          <w:highlight w:val="none"/>
        </w:rPr>
      </w:pPr>
      <w:r>
        <w:rPr>
          <w:kern w:val="0"/>
          <w:szCs w:val="21"/>
          <w:highlight w:val="none"/>
        </w:rPr>
        <w:br w:type="page"/>
      </w:r>
    </w:p>
    <w:p>
      <w:pPr>
        <w:spacing w:line="490" w:lineRule="exact"/>
        <w:jc w:val="center"/>
        <w:outlineLvl w:val="2"/>
        <w:rPr>
          <w:rFonts w:ascii="Times New Roman" w:hAnsi="Times New Roman"/>
          <w:b/>
          <w:szCs w:val="21"/>
          <w:highlight w:val="none"/>
        </w:rPr>
      </w:pPr>
      <w:bookmarkStart w:id="515" w:name="_Toc21886"/>
      <w:bookmarkStart w:id="516" w:name="_Toc9364"/>
      <w:r>
        <w:rPr>
          <w:rFonts w:ascii="Times New Roman" w:hAnsi="Times New Roman"/>
          <w:b/>
          <w:szCs w:val="21"/>
          <w:highlight w:val="none"/>
        </w:rPr>
        <w:t>第2节  专用合同条款</w:t>
      </w:r>
      <w:bookmarkEnd w:id="515"/>
      <w:bookmarkEnd w:id="516"/>
    </w:p>
    <w:p>
      <w:pPr>
        <w:spacing w:line="490" w:lineRule="exact"/>
        <w:ind w:firstLine="422" w:firstLineChars="200"/>
        <w:rPr>
          <w:rFonts w:ascii="Times New Roman" w:hAnsi="Times New Roman"/>
          <w:b/>
          <w:szCs w:val="21"/>
          <w:highlight w:val="none"/>
        </w:rPr>
      </w:pP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17" w:name="_Toc8342"/>
      <w:bookmarkStart w:id="518" w:name="_Toc3990"/>
      <w:r>
        <w:rPr>
          <w:rFonts w:ascii="Times New Roman" w:hAnsi="Times New Roman"/>
          <w:bCs w:val="0"/>
          <w:color w:val="auto"/>
          <w:sz w:val="21"/>
          <w:szCs w:val="21"/>
          <w:highlight w:val="none"/>
        </w:rPr>
        <w:t>1</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一般约定</w:t>
      </w:r>
      <w:bookmarkEnd w:id="517"/>
      <w:bookmarkEnd w:id="518"/>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1.1词语定义</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 合同当事人和人员</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1.2.2.2 发包人：</w:t>
      </w:r>
      <w:r>
        <w:rPr>
          <w:rFonts w:ascii="Times New Roman" w:hAnsi="Times New Roman"/>
          <w:szCs w:val="21"/>
          <w:highlight w:val="none"/>
          <w:u w:val="single"/>
        </w:rPr>
        <w:t xml:space="preserve">   </w:t>
      </w:r>
      <w:r>
        <w:rPr>
          <w:rFonts w:hint="eastAsia" w:ascii="Times New Roman" w:hAnsi="Times New Roman"/>
          <w:szCs w:val="21"/>
          <w:highlight w:val="none"/>
          <w:u w:val="single"/>
        </w:rPr>
        <w:t>盖州市水利事务中心</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1.1.2.3 承包人：</w:t>
      </w:r>
      <w:r>
        <w:rPr>
          <w:rFonts w:ascii="Times New Roman" w:hAnsi="Times New Roman"/>
          <w:szCs w:val="21"/>
          <w:highlight w:val="none"/>
          <w:u w:val="single"/>
        </w:rPr>
        <w:t xml:space="preserve">   （签约后填入承包人的名称）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1.1.2.5 分包人：</w:t>
      </w:r>
      <w:r>
        <w:rPr>
          <w:rFonts w:ascii="Times New Roman" w:hAnsi="Times New Roman"/>
          <w:szCs w:val="21"/>
          <w:highlight w:val="none"/>
          <w:u w:val="single"/>
        </w:rPr>
        <w:t xml:space="preserve">    （签约后填入分包人的名称）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1.1.2.6 监理人：</w:t>
      </w:r>
      <w:r>
        <w:rPr>
          <w:rFonts w:ascii="Times New Roman" w:hAnsi="Times New Roman"/>
          <w:szCs w:val="21"/>
          <w:highlight w:val="none"/>
          <w:u w:val="single"/>
        </w:rPr>
        <w:t xml:space="preserve">  （填入监理人的名称）</w:t>
      </w:r>
      <w:r>
        <w:rPr>
          <w:rFonts w:hint="eastAsia"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1.1.4 日期</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1.1.4.5 缺陷责任期（工程质量保修期）</w:t>
      </w:r>
      <w:r>
        <w:rPr>
          <w:rFonts w:hint="eastAsia" w:ascii="Times New Roman" w:hAnsi="Times New Roman"/>
          <w:szCs w:val="21"/>
          <w:highlight w:val="none"/>
        </w:rPr>
        <w:t>：</w:t>
      </w:r>
      <w:r>
        <w:rPr>
          <w:rFonts w:hint="eastAsia" w:ascii="宋体" w:hAnsi="宋体"/>
          <w:szCs w:val="21"/>
          <w:highlight w:val="none"/>
          <w:u w:val="single"/>
        </w:rPr>
        <w:t xml:space="preserve"> 12个月    </w:t>
      </w:r>
      <w:r>
        <w:rPr>
          <w:rFonts w:ascii="Times New Roman" w:hAnsi="Times New Roman"/>
          <w:szCs w:val="21"/>
          <w:highlight w:val="none"/>
        </w:rPr>
        <w:t>。</w:t>
      </w:r>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1.4合同文件的优先顺序</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rPr>
        <w:t>进入合同文件的各项文件及其优先顺序是：</w:t>
      </w:r>
      <w:r>
        <w:rPr>
          <w:rFonts w:ascii="Times New Roman" w:hAnsi="Times New Roman"/>
          <w:szCs w:val="21"/>
          <w:highlight w:val="none"/>
          <w:u w:val="single"/>
        </w:rPr>
        <w:t xml:space="preserve"> </w:t>
      </w:r>
      <w:r>
        <w:rPr>
          <w:rFonts w:hint="eastAsia" w:ascii="Times New Roman" w:hAnsi="Times New Roman"/>
          <w:szCs w:val="21"/>
          <w:highlight w:val="none"/>
          <w:u w:val="single"/>
        </w:rPr>
        <w:t xml:space="preserve"> 按通用条款执行    </w:t>
      </w:r>
      <w:r>
        <w:rPr>
          <w:rFonts w:ascii="Times New Roman" w:hAnsi="Times New Roman"/>
          <w:szCs w:val="21"/>
          <w:highlight w:val="none"/>
        </w:rPr>
        <w:t>。</w:t>
      </w:r>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1.7联络</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1.7.2来往函件均应按技术标准和要求（合同技术条款）约定的期限送达</w:t>
      </w:r>
      <w:r>
        <w:rPr>
          <w:rFonts w:ascii="Times New Roman" w:hAnsi="Times New Roman"/>
          <w:szCs w:val="21"/>
          <w:highlight w:val="none"/>
          <w:u w:val="single"/>
        </w:rPr>
        <w:t xml:space="preserve">  </w:t>
      </w:r>
      <w:r>
        <w:rPr>
          <w:rFonts w:hint="eastAsia" w:ascii="Times New Roman" w:hAnsi="Times New Roman"/>
          <w:szCs w:val="21"/>
          <w:highlight w:val="none"/>
          <w:u w:val="single"/>
        </w:rPr>
        <w:t>在签订合同后，由发包人另行通知承包人。</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19" w:name="_Toc1629"/>
      <w:bookmarkStart w:id="520" w:name="_Toc31337"/>
      <w:r>
        <w:rPr>
          <w:rFonts w:ascii="Times New Roman" w:hAnsi="Times New Roman"/>
          <w:bCs w:val="0"/>
          <w:color w:val="auto"/>
          <w:sz w:val="21"/>
          <w:szCs w:val="21"/>
          <w:highlight w:val="none"/>
        </w:rPr>
        <w:t>2</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发包人义务</w:t>
      </w:r>
      <w:bookmarkEnd w:id="519"/>
      <w:bookmarkEnd w:id="520"/>
    </w:p>
    <w:p>
      <w:pPr>
        <w:ind w:firstLine="420" w:firstLineChars="200"/>
        <w:rPr>
          <w:rFonts w:ascii="Times New Roman" w:hAnsi="Times New Roman"/>
          <w:szCs w:val="21"/>
          <w:highlight w:val="none"/>
        </w:rPr>
      </w:pPr>
      <w:bookmarkStart w:id="521" w:name="_Toc8591"/>
      <w:r>
        <w:rPr>
          <w:rFonts w:hint="eastAsia" w:ascii="Times New Roman" w:hAnsi="Times New Roman"/>
          <w:szCs w:val="21"/>
          <w:highlight w:val="none"/>
        </w:rPr>
        <w:t>2.3提供施工场地</w:t>
      </w:r>
    </w:p>
    <w:p>
      <w:pPr>
        <w:ind w:firstLine="420" w:firstLineChars="200"/>
        <w:rPr>
          <w:rFonts w:ascii="Times New Roman" w:hAnsi="Times New Roman"/>
          <w:szCs w:val="21"/>
          <w:highlight w:val="none"/>
          <w:u w:val="single"/>
        </w:rPr>
      </w:pPr>
      <w:r>
        <w:rPr>
          <w:rFonts w:hint="eastAsia" w:ascii="Times New Roman" w:hAnsi="Times New Roman"/>
          <w:szCs w:val="21"/>
          <w:highlight w:val="none"/>
        </w:rPr>
        <w:t>2.3.2发包人提供的施工场地范围</w:t>
      </w:r>
      <w:r>
        <w:rPr>
          <w:rFonts w:hint="eastAsia" w:ascii="Times New Roman" w:hAnsi="Times New Roman"/>
          <w:szCs w:val="21"/>
          <w:highlight w:val="none"/>
          <w:u w:val="single"/>
        </w:rPr>
        <w:t>在签订协议书时商定。</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22" w:name="_Toc12174"/>
      <w:r>
        <w:rPr>
          <w:rFonts w:ascii="Times New Roman" w:hAnsi="Times New Roman"/>
          <w:bCs w:val="0"/>
          <w:color w:val="auto"/>
          <w:sz w:val="21"/>
          <w:szCs w:val="21"/>
          <w:highlight w:val="none"/>
        </w:rPr>
        <w:t>3</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监理人</w:t>
      </w:r>
      <w:bookmarkEnd w:id="521"/>
      <w:bookmarkEnd w:id="522"/>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3.1监理人的职责和权力</w:t>
      </w:r>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3" w:name="_Toc11382"/>
      <w:bookmarkStart w:id="524" w:name="_Toc7317"/>
      <w:r>
        <w:rPr>
          <w:rFonts w:hint="eastAsia" w:ascii="Times New Roman" w:hAnsi="Times New Roman"/>
          <w:b w:val="0"/>
          <w:bCs w:val="0"/>
          <w:color w:val="auto"/>
          <w:sz w:val="21"/>
          <w:szCs w:val="21"/>
          <w:highlight w:val="none"/>
          <w:u w:val="single"/>
        </w:rPr>
        <w:t>3.1.1　监理人须根据发包人事先批准的权力范围行使权力，发包人批准的权力范围：</w:t>
      </w:r>
      <w:bookmarkEnd w:id="523"/>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5" w:name="_Toc10536"/>
      <w:r>
        <w:rPr>
          <w:rFonts w:hint="eastAsia" w:ascii="Times New Roman" w:hAnsi="Times New Roman"/>
          <w:b w:val="0"/>
          <w:bCs w:val="0"/>
          <w:color w:val="auto"/>
          <w:sz w:val="21"/>
          <w:szCs w:val="21"/>
          <w:highlight w:val="none"/>
          <w:u w:val="single"/>
        </w:rPr>
        <w:t>(1) 按第11.3款约定，确定延长完工期限；</w:t>
      </w:r>
      <w:bookmarkEnd w:id="525"/>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6" w:name="_Toc16261"/>
      <w:r>
        <w:rPr>
          <w:rFonts w:hint="eastAsia" w:ascii="Times New Roman" w:hAnsi="Times New Roman"/>
          <w:b w:val="0"/>
          <w:bCs w:val="0"/>
          <w:color w:val="auto"/>
          <w:sz w:val="21"/>
          <w:szCs w:val="21"/>
          <w:highlight w:val="none"/>
          <w:u w:val="single"/>
        </w:rPr>
        <w:t>(2) 按第15.6款约定，批准暂列金额的使用；</w:t>
      </w:r>
      <w:bookmarkEnd w:id="526"/>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7" w:name="_Toc25350"/>
      <w:r>
        <w:rPr>
          <w:rFonts w:hint="eastAsia" w:ascii="Times New Roman" w:hAnsi="Times New Roman"/>
          <w:b w:val="0"/>
          <w:bCs w:val="0"/>
          <w:color w:val="auto"/>
          <w:sz w:val="21"/>
          <w:szCs w:val="21"/>
          <w:highlight w:val="none"/>
          <w:u w:val="single"/>
        </w:rPr>
        <w:t>尽管有以上规定，但当监理人认为出现了危及、生命、工程或毗邻财产等安全的紧急事件时，在不免除合同规定的承包人责任的情况下，监理人可以指示承包人实施为消除或减少这种危险所必须进行的工作，即使没有发包人的事先批准，承包人也应立即遵照执行。监理人应按第15条的规定增加相应的费用，并通知发包人。</w:t>
      </w:r>
      <w:bookmarkEnd w:id="527"/>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8" w:name="_Toc24807"/>
      <w:r>
        <w:rPr>
          <w:rFonts w:hint="eastAsia" w:ascii="Times New Roman" w:hAnsi="Times New Roman"/>
          <w:b w:val="0"/>
          <w:bCs w:val="0"/>
          <w:color w:val="auto"/>
          <w:sz w:val="21"/>
          <w:szCs w:val="21"/>
          <w:highlight w:val="none"/>
          <w:u w:val="single"/>
        </w:rPr>
        <w:t>3.3</w:t>
      </w:r>
      <w:r>
        <w:rPr>
          <w:rFonts w:hint="eastAsia" w:ascii="Times New Roman" w:hAnsi="Times New Roman"/>
          <w:color w:val="auto"/>
          <w:sz w:val="21"/>
          <w:szCs w:val="21"/>
          <w:highlight w:val="none"/>
          <w:u w:val="single"/>
        </w:rPr>
        <w:t>监理人员：实行考勤制度</w:t>
      </w:r>
      <w:r>
        <w:rPr>
          <w:rFonts w:hint="eastAsia" w:ascii="Times New Roman" w:hAnsi="Times New Roman"/>
          <w:b w:val="0"/>
          <w:bCs w:val="0"/>
          <w:color w:val="auto"/>
          <w:sz w:val="21"/>
          <w:szCs w:val="21"/>
          <w:highlight w:val="none"/>
          <w:u w:val="single"/>
        </w:rPr>
        <w:t>。</w:t>
      </w:r>
      <w:bookmarkEnd w:id="528"/>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29" w:name="_Toc6537"/>
      <w:r>
        <w:rPr>
          <w:rFonts w:ascii="Times New Roman" w:hAnsi="Times New Roman"/>
          <w:bCs w:val="0"/>
          <w:color w:val="auto"/>
          <w:sz w:val="21"/>
          <w:szCs w:val="21"/>
          <w:highlight w:val="none"/>
        </w:rPr>
        <w:t>4</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承包人</w:t>
      </w:r>
      <w:bookmarkEnd w:id="524"/>
      <w:bookmarkEnd w:id="529"/>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4.1承包人的一般义务</w:t>
      </w:r>
    </w:p>
    <w:p>
      <w:pPr>
        <w:spacing w:line="490" w:lineRule="exact"/>
        <w:ind w:firstLine="422" w:firstLineChars="200"/>
        <w:rPr>
          <w:rFonts w:ascii="Times New Roman" w:hAnsi="Times New Roman"/>
          <w:b/>
          <w:szCs w:val="21"/>
          <w:highlight w:val="none"/>
        </w:rPr>
      </w:pPr>
      <w:r>
        <w:rPr>
          <w:rFonts w:ascii="Times New Roman" w:hAnsi="Times New Roman"/>
          <w:b/>
          <w:szCs w:val="21"/>
          <w:highlight w:val="none"/>
        </w:rPr>
        <w:t>4.1.10 其它义务</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（1）采取工程和技术措施，配备相应设备防止因施工原因引起的振动、噪声、粉尘、排水等 影响当地环境及周边企事业单位和居民的正常生产、生活或造成财产损失。承包人应充分考虑上述潜在的风险因素，并承担为解决上述问题而发生的一切费用。</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（2）负责处理与地方各级组织（乡镇、村委会及村民小组）及个人引起的各种纠纷，所发生的一切费用由承包人承担。</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（3）承包人应自行勘察施工场地，包括施工场地的地下障碍物的探测和调查。承包人应保证施工场地的地下障碍物的探测和调查资料真实、准确、完整，并在工程验收时按档案管理规定一并移交给发包人存档。</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4）承包人应根据合同工程的施工需要，自行办理施工场地内除发包人负责办理的有关项目以外的道路、河流、渠道、堤防、管线（包括但不限于地上和地下的供水、排水、供电、供气、供热、通讯、广播电视等管路和线路）等交叉施工许可，并承担相关费用。</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（6）承包人应保证投标文件中承诺的主要施工设备按期进场。</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（7）承包人应对发包人布设的管理设施负有管理和保护的义务，并提供施工方便。</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（8）承包人应当为发包人及其他有关人员检查工作提供便利条件，并不得以此为由索取额外费用和工期。</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（9）主要材料及设备的供货厂家需经发包人审核同意后方可采购。</w:t>
      </w:r>
    </w:p>
    <w:p>
      <w:pPr>
        <w:pStyle w:val="26"/>
        <w:ind w:firstLine="201" w:firstLineChars="100"/>
        <w:rPr>
          <w:rFonts w:ascii="宋体" w:hAnsi="宋体"/>
          <w:highlight w:val="none"/>
        </w:rPr>
      </w:pPr>
      <w:r>
        <w:rPr>
          <w:rFonts w:hint="eastAsia" w:ascii="宋体" w:hAnsi="宋体"/>
          <w:highlight w:val="none"/>
        </w:rPr>
        <w:t>承包人无正当理不允许擅自更换主要施工管理人员。</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4.3分包</w:t>
      </w:r>
    </w:p>
    <w:p>
      <w:pPr>
        <w:spacing w:line="490" w:lineRule="exact"/>
        <w:ind w:firstLine="420" w:firstLineChars="200"/>
        <w:rPr>
          <w:rFonts w:ascii="Times New Roman" w:hAnsi="Times New Roman"/>
          <w:szCs w:val="21"/>
          <w:highlight w:val="none"/>
          <w:u w:val="single"/>
        </w:rPr>
      </w:pPr>
      <w:bookmarkStart w:id="530" w:name="_Toc28448"/>
      <w:r>
        <w:rPr>
          <w:rFonts w:hint="eastAsia" w:ascii="Times New Roman" w:hAnsi="Times New Roman"/>
          <w:szCs w:val="21"/>
          <w:highlight w:val="none"/>
        </w:rPr>
        <w:t>删除本款全文，并代之以：</w:t>
      </w:r>
      <w:r>
        <w:rPr>
          <w:rFonts w:hint="eastAsia" w:ascii="Times New Roman" w:hAnsi="Times New Roman"/>
          <w:szCs w:val="21"/>
          <w:highlight w:val="none"/>
          <w:u w:val="single"/>
        </w:rPr>
        <w:t>本工程不允许分包，如承包人有分包现象，发包人可以单方解除合同，由承包人承担违约金、以及合同解除后的一切损失。</w:t>
      </w:r>
    </w:p>
    <w:p>
      <w:pPr>
        <w:ind w:firstLine="211" w:firstLineChars="100"/>
        <w:rPr>
          <w:rFonts w:ascii="宋体" w:hAnsi="宋体"/>
          <w:highlight w:val="none"/>
        </w:rPr>
      </w:pPr>
      <w:r>
        <w:rPr>
          <w:rFonts w:hint="eastAsia" w:ascii="宋体" w:hAnsi="宋体"/>
          <w:b/>
          <w:bCs/>
          <w:highlight w:val="none"/>
        </w:rPr>
        <w:t>4.6</w:t>
      </w:r>
      <w:r>
        <w:rPr>
          <w:rFonts w:hint="eastAsia" w:ascii="宋体" w:hAnsi="宋体"/>
          <w:highlight w:val="none"/>
        </w:rPr>
        <w:t xml:space="preserve"> 承包人人员的管理</w:t>
      </w:r>
    </w:p>
    <w:p>
      <w:pPr>
        <w:ind w:firstLine="422" w:firstLineChars="200"/>
        <w:rPr>
          <w:rFonts w:ascii="宋体" w:hAnsi="宋体"/>
          <w:b/>
          <w:bCs/>
          <w:highlight w:val="none"/>
          <w:u w:val="single"/>
        </w:rPr>
      </w:pPr>
      <w:r>
        <w:rPr>
          <w:rFonts w:hint="eastAsia" w:ascii="宋体" w:hAnsi="宋体"/>
          <w:b/>
          <w:bCs/>
          <w:highlight w:val="none"/>
        </w:rPr>
        <w:t>保证工程施工和人员的安全：</w:t>
      </w:r>
      <w:r>
        <w:rPr>
          <w:rFonts w:hint="eastAsia" w:ascii="宋体" w:hAnsi="宋体"/>
          <w:b/>
          <w:bCs/>
          <w:highlight w:val="none"/>
          <w:u w:val="single"/>
        </w:rPr>
        <w:t xml:space="preserve"> 施工现场必须设置安全警示标识,人员佩带安全帽等安全设备            </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1" w:name="_Toc22151"/>
      <w:r>
        <w:rPr>
          <w:rFonts w:ascii="Times New Roman" w:hAnsi="Times New Roman"/>
          <w:bCs w:val="0"/>
          <w:color w:val="auto"/>
          <w:sz w:val="21"/>
          <w:szCs w:val="21"/>
          <w:highlight w:val="none"/>
        </w:rPr>
        <w:t>5</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材料和工程设备</w:t>
      </w:r>
      <w:bookmarkEnd w:id="530"/>
      <w:bookmarkEnd w:id="531"/>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5.2发包人提供的材料和工程设备</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5.2.1发包人提供的材料和工程设备：</w:t>
      </w:r>
    </w:p>
    <w:p>
      <w:pPr>
        <w:spacing w:line="490" w:lineRule="exact"/>
        <w:ind w:firstLine="420" w:firstLineChars="200"/>
        <w:rPr>
          <w:rFonts w:ascii="Times New Roman" w:hAnsi="Times New Roman"/>
          <w:szCs w:val="21"/>
          <w:highlight w:val="none"/>
        </w:rPr>
      </w:pPr>
      <w:r>
        <w:rPr>
          <w:rFonts w:hint="eastAsia" w:ascii="Times New Roman" w:hAnsi="Times New Roman"/>
          <w:szCs w:val="21"/>
          <w:highlight w:val="none"/>
        </w:rPr>
        <w:t>删除本款全文，并代之以：</w:t>
      </w:r>
      <w:r>
        <w:rPr>
          <w:rFonts w:hint="eastAsia" w:ascii="Times New Roman" w:hAnsi="Times New Roman"/>
          <w:szCs w:val="21"/>
          <w:highlight w:val="none"/>
          <w:u w:val="single"/>
        </w:rPr>
        <w:t>发包人不向承包人提供任何材料和工程设备。</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2" w:name="_Toc12748"/>
      <w:bookmarkStart w:id="533" w:name="_Toc28760"/>
      <w:r>
        <w:rPr>
          <w:rFonts w:ascii="Times New Roman" w:hAnsi="Times New Roman"/>
          <w:bCs w:val="0"/>
          <w:color w:val="auto"/>
          <w:sz w:val="21"/>
          <w:szCs w:val="21"/>
          <w:highlight w:val="none"/>
        </w:rPr>
        <w:t>6</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施工设备和临时设施</w:t>
      </w:r>
      <w:bookmarkEnd w:id="532"/>
      <w:bookmarkEnd w:id="533"/>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6.2发包人提供的施工设备和临时设施</w:t>
      </w:r>
    </w:p>
    <w:p>
      <w:pPr>
        <w:spacing w:line="490" w:lineRule="exact"/>
        <w:ind w:firstLine="396" w:firstLineChars="200"/>
        <w:rPr>
          <w:rFonts w:ascii="Times New Roman" w:hAnsi="Times New Roman"/>
          <w:szCs w:val="21"/>
          <w:highlight w:val="none"/>
          <w:u w:val="single"/>
        </w:rPr>
      </w:pPr>
      <w:r>
        <w:rPr>
          <w:rFonts w:ascii="Times New Roman" w:hAnsi="Times New Roman"/>
          <w:spacing w:val="-6"/>
          <w:szCs w:val="21"/>
          <w:highlight w:val="none"/>
        </w:rPr>
        <w:t>发包人提供的临时设施：</w:t>
      </w:r>
      <w:r>
        <w:rPr>
          <w:rFonts w:ascii="Times New Roman" w:hAnsi="Times New Roman"/>
          <w:szCs w:val="21"/>
          <w:highlight w:val="none"/>
          <w:u w:val="single"/>
        </w:rPr>
        <w:t xml:space="preserve"> </w:t>
      </w:r>
      <w:r>
        <w:rPr>
          <w:rFonts w:hint="eastAsia" w:ascii="Times New Roman" w:hAnsi="Times New Roman"/>
          <w:szCs w:val="21"/>
          <w:highlight w:val="none"/>
          <w:u w:val="single"/>
        </w:rPr>
        <w:t>发包人不向承包人提供任何施工设备和临时设施。</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4" w:name="_Toc21610"/>
      <w:bookmarkStart w:id="535" w:name="_Toc9428"/>
      <w:r>
        <w:rPr>
          <w:rFonts w:ascii="Times New Roman" w:hAnsi="Times New Roman"/>
          <w:bCs w:val="0"/>
          <w:color w:val="auto"/>
          <w:sz w:val="21"/>
          <w:szCs w:val="21"/>
          <w:highlight w:val="none"/>
        </w:rPr>
        <w:t>8</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测量放线</w:t>
      </w:r>
      <w:bookmarkEnd w:id="534"/>
      <w:bookmarkEnd w:id="535"/>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8.1施工控制网</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8.1.1施工控制网的约定：</w:t>
      </w:r>
      <w:r>
        <w:rPr>
          <w:rFonts w:ascii="Times New Roman" w:hAnsi="Times New Roman"/>
          <w:szCs w:val="21"/>
          <w:highlight w:val="none"/>
          <w:u w:val="single"/>
        </w:rPr>
        <w:t xml:space="preserve"> </w:t>
      </w:r>
      <w:r>
        <w:rPr>
          <w:rFonts w:hint="eastAsia" w:ascii="Times New Roman" w:hAnsi="Times New Roman"/>
          <w:szCs w:val="21"/>
          <w:highlight w:val="none"/>
          <w:u w:val="single"/>
        </w:rPr>
        <w:t>本项中“承包人提交施工控制网资料的期限”为“承包人收到资料后的5天内”。</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6" w:name="_Toc29211"/>
      <w:bookmarkStart w:id="537" w:name="_Toc19899"/>
      <w:r>
        <w:rPr>
          <w:rFonts w:ascii="Times New Roman" w:hAnsi="Times New Roman"/>
          <w:bCs w:val="0"/>
          <w:color w:val="auto"/>
          <w:sz w:val="21"/>
          <w:szCs w:val="21"/>
          <w:highlight w:val="none"/>
        </w:rPr>
        <w:t>9</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施工安全、治安保卫和环境保护</w:t>
      </w:r>
      <w:bookmarkEnd w:id="536"/>
      <w:bookmarkEnd w:id="537"/>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9.7文明工地</w:t>
      </w:r>
    </w:p>
    <w:p>
      <w:pPr>
        <w:tabs>
          <w:tab w:val="left" w:pos="720"/>
        </w:tabs>
        <w:spacing w:line="490" w:lineRule="exact"/>
        <w:ind w:firstLine="420" w:firstLineChars="200"/>
        <w:rPr>
          <w:rFonts w:ascii="Times New Roman" w:hAnsi="Times New Roman"/>
          <w:szCs w:val="21"/>
          <w:highlight w:val="none"/>
        </w:rPr>
      </w:pPr>
      <w:r>
        <w:rPr>
          <w:rFonts w:ascii="Times New Roman" w:hAnsi="Times New Roman"/>
          <w:szCs w:val="21"/>
          <w:highlight w:val="none"/>
        </w:rPr>
        <w:t>9.7.1 本合同文明工地的约定：</w:t>
      </w:r>
      <w:r>
        <w:rPr>
          <w:rFonts w:ascii="Times New Roman" w:hAnsi="Times New Roman"/>
          <w:szCs w:val="21"/>
          <w:highlight w:val="none"/>
          <w:u w:val="single"/>
        </w:rPr>
        <w:t xml:space="preserve">  </w:t>
      </w:r>
      <w:r>
        <w:rPr>
          <w:rFonts w:hint="eastAsia" w:ascii="Times New Roman" w:hAnsi="Times New Roman"/>
          <w:szCs w:val="21"/>
          <w:highlight w:val="none"/>
          <w:u w:val="single"/>
        </w:rPr>
        <w:t>按建筑法第三十九条规定认真做到安全生产文明施工</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38" w:name="_Toc764"/>
      <w:bookmarkStart w:id="539" w:name="_Toc29059"/>
      <w:r>
        <w:rPr>
          <w:rFonts w:ascii="Times New Roman" w:hAnsi="Times New Roman"/>
          <w:bCs w:val="0"/>
          <w:color w:val="auto"/>
          <w:sz w:val="21"/>
          <w:szCs w:val="21"/>
          <w:highlight w:val="none"/>
        </w:rPr>
        <w:t>11</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开工和竣工（完工）</w:t>
      </w:r>
      <w:bookmarkEnd w:id="538"/>
      <w:bookmarkEnd w:id="539"/>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11.4异常恶劣的气候条件</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11.4.3  本合同工程界定异常恶劣气候条件的范围为：</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（1）日降雨量大于</w:t>
      </w:r>
      <w:r>
        <w:rPr>
          <w:rFonts w:ascii="Times New Roman" w:hAnsi="Times New Roman"/>
          <w:szCs w:val="21"/>
          <w:highlight w:val="none"/>
          <w:u w:val="single"/>
        </w:rPr>
        <w:t xml:space="preserve">  </w:t>
      </w:r>
      <w:r>
        <w:rPr>
          <w:rFonts w:hint="eastAsia" w:ascii="Times New Roman" w:hAnsi="Times New Roman"/>
          <w:szCs w:val="21"/>
          <w:highlight w:val="none"/>
          <w:u w:val="single"/>
        </w:rPr>
        <w:t>50</w:t>
      </w:r>
      <w:r>
        <w:rPr>
          <w:rFonts w:ascii="Times New Roman" w:hAnsi="Times New Roman"/>
          <w:szCs w:val="21"/>
          <w:highlight w:val="none"/>
          <w:u w:val="single"/>
        </w:rPr>
        <w:t xml:space="preserve"> </w:t>
      </w:r>
      <w:r>
        <w:rPr>
          <w:rFonts w:ascii="Times New Roman" w:hAnsi="Times New Roman"/>
          <w:szCs w:val="21"/>
          <w:highlight w:val="none"/>
        </w:rPr>
        <w:t>ｍｍ的雨日超过</w:t>
      </w:r>
      <w:r>
        <w:rPr>
          <w:rFonts w:ascii="Times New Roman" w:hAnsi="Times New Roman"/>
          <w:szCs w:val="21"/>
          <w:highlight w:val="none"/>
          <w:u w:val="single"/>
        </w:rPr>
        <w:t xml:space="preserve"> </w:t>
      </w:r>
      <w:r>
        <w:rPr>
          <w:rFonts w:hint="eastAsia" w:ascii="Times New Roman" w:hAnsi="Times New Roman"/>
          <w:szCs w:val="21"/>
          <w:highlight w:val="none"/>
          <w:u w:val="single"/>
        </w:rPr>
        <w:t>3</w:t>
      </w:r>
      <w:r>
        <w:rPr>
          <w:rFonts w:ascii="Times New Roman" w:hAnsi="Times New Roman"/>
          <w:szCs w:val="21"/>
          <w:highlight w:val="none"/>
          <w:u w:val="single"/>
        </w:rPr>
        <w:t xml:space="preserve">  </w:t>
      </w:r>
      <w:r>
        <w:rPr>
          <w:rFonts w:ascii="Times New Roman" w:hAnsi="Times New Roman"/>
          <w:szCs w:val="21"/>
          <w:highlight w:val="none"/>
        </w:rPr>
        <w:t xml:space="preserve">天； </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（2）风速大于</w:t>
      </w:r>
      <w:r>
        <w:rPr>
          <w:rFonts w:ascii="Times New Roman" w:hAnsi="Times New Roman"/>
          <w:szCs w:val="21"/>
          <w:highlight w:val="none"/>
          <w:u w:val="single"/>
        </w:rPr>
        <w:t xml:space="preserve"> </w:t>
      </w:r>
      <w:r>
        <w:rPr>
          <w:rFonts w:hint="eastAsia" w:ascii="Times New Roman" w:hAnsi="Times New Roman"/>
          <w:szCs w:val="21"/>
          <w:highlight w:val="none"/>
          <w:u w:val="single"/>
        </w:rPr>
        <w:t>18.6</w:t>
      </w:r>
      <w:r>
        <w:rPr>
          <w:rFonts w:ascii="Times New Roman" w:hAnsi="Times New Roman"/>
          <w:szCs w:val="21"/>
          <w:highlight w:val="none"/>
          <w:u w:val="single"/>
        </w:rPr>
        <w:t xml:space="preserve">   </w:t>
      </w:r>
      <w:r>
        <w:rPr>
          <w:rFonts w:ascii="Times New Roman" w:hAnsi="Times New Roman"/>
          <w:szCs w:val="21"/>
          <w:highlight w:val="none"/>
        </w:rPr>
        <w:t>ｍ／s的</w:t>
      </w:r>
      <w:r>
        <w:rPr>
          <w:rFonts w:ascii="Times New Roman" w:hAnsi="Times New Roman"/>
          <w:szCs w:val="21"/>
          <w:highlight w:val="none"/>
          <w:u w:val="single"/>
        </w:rPr>
        <w:t xml:space="preserve">  </w:t>
      </w:r>
      <w:r>
        <w:rPr>
          <w:rFonts w:hint="eastAsia" w:ascii="Times New Roman" w:hAnsi="Times New Roman"/>
          <w:szCs w:val="21"/>
          <w:highlight w:val="none"/>
          <w:u w:val="single"/>
        </w:rPr>
        <w:t>8</w:t>
      </w:r>
      <w:r>
        <w:rPr>
          <w:rFonts w:ascii="Times New Roman" w:hAnsi="Times New Roman"/>
          <w:szCs w:val="21"/>
          <w:highlight w:val="none"/>
          <w:u w:val="single"/>
        </w:rPr>
        <w:t xml:space="preserve"> </w:t>
      </w:r>
      <w:r>
        <w:rPr>
          <w:rFonts w:ascii="Times New Roman" w:hAnsi="Times New Roman"/>
          <w:szCs w:val="21"/>
          <w:highlight w:val="none"/>
        </w:rPr>
        <w:t>级以上台风灾害；</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（3）日气温超过</w:t>
      </w:r>
      <w:r>
        <w:rPr>
          <w:rFonts w:ascii="Times New Roman" w:hAnsi="Times New Roman"/>
          <w:szCs w:val="21"/>
          <w:highlight w:val="none"/>
          <w:u w:val="single"/>
        </w:rPr>
        <w:t xml:space="preserve">  </w:t>
      </w:r>
      <w:r>
        <w:rPr>
          <w:rFonts w:hint="eastAsia" w:ascii="Times New Roman" w:hAnsi="Times New Roman"/>
          <w:szCs w:val="21"/>
          <w:highlight w:val="none"/>
          <w:u w:val="single"/>
        </w:rPr>
        <w:t>36.6</w:t>
      </w:r>
      <w:r>
        <w:rPr>
          <w:rFonts w:ascii="Times New Roman" w:hAnsi="Times New Roman"/>
          <w:szCs w:val="21"/>
          <w:highlight w:val="none"/>
          <w:u w:val="single"/>
        </w:rPr>
        <w:t xml:space="preserve"> </w:t>
      </w:r>
      <w:r>
        <w:rPr>
          <w:rFonts w:hint="eastAsia" w:ascii="Times New Roman" w:hAnsi="Times New Roman" w:cs="宋体"/>
          <w:szCs w:val="21"/>
          <w:highlight w:val="none"/>
        </w:rPr>
        <w:t>℃</w:t>
      </w:r>
      <w:r>
        <w:rPr>
          <w:rFonts w:ascii="Times New Roman" w:hAnsi="Times New Roman"/>
          <w:szCs w:val="21"/>
          <w:highlight w:val="none"/>
        </w:rPr>
        <w:t>的高温连续超过</w:t>
      </w:r>
      <w:r>
        <w:rPr>
          <w:rFonts w:ascii="Times New Roman" w:hAnsi="Times New Roman"/>
          <w:szCs w:val="21"/>
          <w:highlight w:val="none"/>
          <w:u w:val="single"/>
        </w:rPr>
        <w:t xml:space="preserve"> </w:t>
      </w:r>
      <w:r>
        <w:rPr>
          <w:rFonts w:hint="eastAsia" w:ascii="Times New Roman" w:hAnsi="Times New Roman"/>
          <w:szCs w:val="21"/>
          <w:highlight w:val="none"/>
          <w:u w:val="single"/>
        </w:rPr>
        <w:t>3</w:t>
      </w:r>
      <w:r>
        <w:rPr>
          <w:rFonts w:ascii="Times New Roman" w:hAnsi="Times New Roman"/>
          <w:szCs w:val="21"/>
          <w:highlight w:val="none"/>
          <w:u w:val="single"/>
        </w:rPr>
        <w:t xml:space="preserve"> </w:t>
      </w:r>
      <w:r>
        <w:rPr>
          <w:rFonts w:ascii="Times New Roman" w:hAnsi="Times New Roman"/>
          <w:szCs w:val="21"/>
          <w:highlight w:val="none"/>
        </w:rPr>
        <w:t>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（4）日气温低于</w:t>
      </w:r>
      <w:r>
        <w:rPr>
          <w:rFonts w:ascii="Times New Roman" w:hAnsi="Times New Roman"/>
          <w:szCs w:val="21"/>
          <w:highlight w:val="none"/>
          <w:u w:val="single"/>
        </w:rPr>
        <w:t xml:space="preserve"> </w:t>
      </w:r>
      <w:r>
        <w:rPr>
          <w:rFonts w:hint="eastAsia" w:ascii="Times New Roman" w:hAnsi="Times New Roman"/>
          <w:szCs w:val="21"/>
          <w:highlight w:val="none"/>
          <w:u w:val="single"/>
        </w:rPr>
        <w:t>-28.1</w:t>
      </w:r>
      <w:r>
        <w:rPr>
          <w:rFonts w:ascii="Times New Roman" w:hAnsi="Times New Roman"/>
          <w:szCs w:val="21"/>
          <w:highlight w:val="none"/>
          <w:u w:val="single"/>
        </w:rPr>
        <w:t xml:space="preserve"> </w:t>
      </w:r>
      <w:r>
        <w:rPr>
          <w:rFonts w:hint="eastAsia" w:ascii="Times New Roman" w:hAnsi="Times New Roman" w:cs="宋体"/>
          <w:szCs w:val="21"/>
          <w:highlight w:val="none"/>
        </w:rPr>
        <w:t>℃</w:t>
      </w:r>
      <w:r>
        <w:rPr>
          <w:rFonts w:ascii="Times New Roman" w:hAnsi="Times New Roman"/>
          <w:szCs w:val="21"/>
          <w:highlight w:val="none"/>
        </w:rPr>
        <w:t>的严寒连续超过</w:t>
      </w:r>
      <w:r>
        <w:rPr>
          <w:rFonts w:ascii="Times New Roman" w:hAnsi="Times New Roman"/>
          <w:szCs w:val="21"/>
          <w:highlight w:val="none"/>
          <w:u w:val="single"/>
        </w:rPr>
        <w:t xml:space="preserve"> </w:t>
      </w:r>
      <w:r>
        <w:rPr>
          <w:rFonts w:hint="eastAsia" w:ascii="Times New Roman" w:hAnsi="Times New Roman"/>
          <w:szCs w:val="21"/>
          <w:highlight w:val="none"/>
          <w:u w:val="single"/>
        </w:rPr>
        <w:t>3</w:t>
      </w:r>
      <w:r>
        <w:rPr>
          <w:rFonts w:ascii="Times New Roman" w:hAnsi="Times New Roman"/>
          <w:szCs w:val="21"/>
          <w:highlight w:val="none"/>
        </w:rPr>
        <w:t>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（5）造成工程损坏的冰雹和大雪灾害：</w:t>
      </w:r>
      <w:r>
        <w:rPr>
          <w:rFonts w:ascii="Times New Roman" w:hAnsi="Times New Roman"/>
          <w:szCs w:val="21"/>
          <w:highlight w:val="none"/>
          <w:u w:val="single"/>
        </w:rPr>
        <w:t xml:space="preserve">  </w:t>
      </w:r>
      <w:r>
        <w:rPr>
          <w:rFonts w:hint="eastAsia" w:ascii="Times New Roman" w:hAnsi="Times New Roman"/>
          <w:szCs w:val="21"/>
          <w:highlight w:val="none"/>
          <w:u w:val="single"/>
        </w:rPr>
        <w:t>中度冰雹等级，暴雪等级</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（6）其它异常恶劣气候灾害：</w:t>
      </w:r>
      <w:r>
        <w:rPr>
          <w:rFonts w:ascii="Times New Roman" w:hAnsi="Times New Roman"/>
          <w:szCs w:val="21"/>
          <w:highlight w:val="none"/>
          <w:u w:val="single"/>
        </w:rPr>
        <w:t xml:space="preserve"> </w:t>
      </w:r>
      <w:r>
        <w:rPr>
          <w:rFonts w:hint="eastAsia" w:ascii="Times New Roman" w:hAnsi="Times New Roman"/>
          <w:szCs w:val="21"/>
          <w:highlight w:val="none"/>
          <w:u w:val="single"/>
        </w:rPr>
        <w:t>最大积雪深度22cm，最大冻土深度1.1m。</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11.5承包人工期延误</w:t>
      </w:r>
    </w:p>
    <w:p>
      <w:pPr>
        <w:spacing w:before="216" w:line="221" w:lineRule="auto"/>
        <w:rPr>
          <w:rFonts w:ascii="宋体" w:hAnsi="宋体" w:cs="宋体"/>
          <w:szCs w:val="21"/>
          <w:highlight w:val="none"/>
        </w:rPr>
      </w:pPr>
      <w:r>
        <w:rPr>
          <w:rFonts w:ascii="宋体" w:hAnsi="宋体" w:cs="宋体"/>
          <w:spacing w:val="-1"/>
          <w:szCs w:val="21"/>
          <w:highlight w:val="none"/>
        </w:rPr>
        <w:t>（1）逾期完工违约金表(参考格式)</w:t>
      </w:r>
    </w:p>
    <w:p>
      <w:pPr>
        <w:spacing w:line="89" w:lineRule="exact"/>
        <w:rPr>
          <w:szCs w:val="21"/>
          <w:highlight w:val="none"/>
        </w:rPr>
      </w:pPr>
    </w:p>
    <w:tbl>
      <w:tblPr>
        <w:tblStyle w:val="140"/>
        <w:tblW w:w="7908" w:type="dxa"/>
        <w:tblInd w:w="7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3118"/>
        <w:gridCol w:w="2156"/>
        <w:gridCol w:w="17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54" w:type="dxa"/>
            <w:tcBorders>
              <w:top w:val="single" w:color="000000" w:sz="10" w:space="0"/>
              <w:left w:val="single" w:color="000000" w:sz="10" w:space="0"/>
            </w:tcBorders>
          </w:tcPr>
          <w:p>
            <w:pPr>
              <w:pStyle w:val="139"/>
              <w:spacing w:before="131" w:line="222" w:lineRule="auto"/>
              <w:ind w:left="205"/>
              <w:rPr>
                <w:highlight w:val="none"/>
              </w:rPr>
            </w:pPr>
            <w:r>
              <w:rPr>
                <w:spacing w:val="-2"/>
                <w:highlight w:val="none"/>
              </w:rPr>
              <w:t>序号</w:t>
            </w:r>
          </w:p>
        </w:tc>
        <w:tc>
          <w:tcPr>
            <w:tcW w:w="3118" w:type="dxa"/>
            <w:tcBorders>
              <w:top w:val="single" w:color="000000" w:sz="10" w:space="0"/>
            </w:tcBorders>
          </w:tcPr>
          <w:p>
            <w:pPr>
              <w:pStyle w:val="139"/>
              <w:spacing w:before="131" w:line="221" w:lineRule="auto"/>
              <w:ind w:left="933"/>
              <w:rPr>
                <w:highlight w:val="none"/>
              </w:rPr>
            </w:pPr>
            <w:r>
              <w:rPr>
                <w:spacing w:val="-2"/>
                <w:highlight w:val="none"/>
              </w:rPr>
              <w:t>项目及其说明</w:t>
            </w:r>
          </w:p>
        </w:tc>
        <w:tc>
          <w:tcPr>
            <w:tcW w:w="2156" w:type="dxa"/>
            <w:tcBorders>
              <w:top w:val="single" w:color="000000" w:sz="10" w:space="0"/>
            </w:tcBorders>
          </w:tcPr>
          <w:p>
            <w:pPr>
              <w:pStyle w:val="139"/>
              <w:spacing w:before="131" w:line="221" w:lineRule="auto"/>
              <w:ind w:left="458"/>
              <w:rPr>
                <w:highlight w:val="none"/>
              </w:rPr>
            </w:pPr>
            <w:r>
              <w:rPr>
                <w:spacing w:val="-1"/>
                <w:highlight w:val="none"/>
              </w:rPr>
              <w:t>要求完工日期</w:t>
            </w:r>
          </w:p>
        </w:tc>
        <w:tc>
          <w:tcPr>
            <w:tcW w:w="1780" w:type="dxa"/>
            <w:tcBorders>
              <w:top w:val="single" w:color="000000" w:sz="10" w:space="0"/>
              <w:right w:val="single" w:color="000000" w:sz="10" w:space="0"/>
            </w:tcBorders>
          </w:tcPr>
          <w:p>
            <w:pPr>
              <w:pStyle w:val="139"/>
              <w:spacing w:before="132" w:line="221" w:lineRule="auto"/>
              <w:ind w:left="214"/>
              <w:rPr>
                <w:highlight w:val="none"/>
              </w:rPr>
            </w:pPr>
            <w:r>
              <w:rPr>
                <w:spacing w:val="-1"/>
                <w:highlight w:val="none"/>
              </w:rPr>
              <w:t>违约金(元/天)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54" w:type="dxa"/>
            <w:tcBorders>
              <w:left w:val="single" w:color="000000" w:sz="10" w:space="0"/>
              <w:bottom w:val="single" w:color="000000" w:sz="10" w:space="0"/>
            </w:tcBorders>
          </w:tcPr>
          <w:p>
            <w:pPr>
              <w:pStyle w:val="139"/>
              <w:spacing w:before="177" w:line="183" w:lineRule="auto"/>
              <w:ind w:left="378"/>
              <w:rPr>
                <w:highlight w:val="none"/>
              </w:rPr>
            </w:pPr>
            <w:r>
              <w:rPr>
                <w:highlight w:val="none"/>
              </w:rPr>
              <w:t>1</w:t>
            </w:r>
          </w:p>
        </w:tc>
        <w:tc>
          <w:tcPr>
            <w:tcW w:w="3118" w:type="dxa"/>
            <w:tcBorders>
              <w:bottom w:val="single" w:color="000000" w:sz="10" w:space="0"/>
            </w:tcBorders>
          </w:tcPr>
          <w:p>
            <w:pPr>
              <w:pStyle w:val="139"/>
              <w:spacing w:before="142" w:line="221" w:lineRule="auto"/>
              <w:ind w:left="719"/>
              <w:rPr>
                <w:highlight w:val="none"/>
              </w:rPr>
            </w:pPr>
            <w:r>
              <w:rPr>
                <w:spacing w:val="-1"/>
                <w:highlight w:val="none"/>
              </w:rPr>
              <w:t>合同工程全部完工</w:t>
            </w:r>
          </w:p>
        </w:tc>
        <w:tc>
          <w:tcPr>
            <w:tcW w:w="2156" w:type="dxa"/>
            <w:tcBorders>
              <w:bottom w:val="single" w:color="000000" w:sz="10" w:space="0"/>
            </w:tcBorders>
          </w:tcPr>
          <w:p>
            <w:pPr>
              <w:pStyle w:val="139"/>
              <w:spacing w:before="142" w:line="221" w:lineRule="auto"/>
              <w:ind w:left="275"/>
              <w:rPr>
                <w:highlight w:val="none"/>
              </w:rPr>
            </w:pPr>
            <w:r>
              <w:rPr>
                <w:spacing w:val="-7"/>
                <w:highlight w:val="none"/>
              </w:rPr>
              <w:t>2024</w:t>
            </w:r>
            <w:r>
              <w:rPr>
                <w:spacing w:val="-43"/>
                <w:highlight w:val="none"/>
              </w:rPr>
              <w:t xml:space="preserve"> </w:t>
            </w:r>
            <w:r>
              <w:rPr>
                <w:spacing w:val="-7"/>
                <w:highlight w:val="none"/>
              </w:rPr>
              <w:t>年</w:t>
            </w:r>
            <w:r>
              <w:rPr>
                <w:spacing w:val="-40"/>
                <w:highlight w:val="none"/>
              </w:rPr>
              <w:t xml:space="preserve"> </w:t>
            </w:r>
            <w:r>
              <w:rPr>
                <w:rFonts w:hint="eastAsia"/>
                <w:spacing w:val="-7"/>
                <w:highlight w:val="none"/>
                <w:lang w:eastAsia="zh-CN"/>
              </w:rPr>
              <w:t xml:space="preserve">  </w:t>
            </w:r>
            <w:r>
              <w:rPr>
                <w:spacing w:val="-7"/>
                <w:highlight w:val="none"/>
              </w:rPr>
              <w:t>月</w:t>
            </w:r>
            <w:r>
              <w:rPr>
                <w:rFonts w:hint="eastAsia"/>
                <w:spacing w:val="-28"/>
                <w:highlight w:val="none"/>
                <w:lang w:eastAsia="zh-CN"/>
              </w:rPr>
              <w:t xml:space="preserve">  </w:t>
            </w:r>
            <w:r>
              <w:rPr>
                <w:spacing w:val="-7"/>
                <w:highlight w:val="none"/>
              </w:rPr>
              <w:t xml:space="preserve"> 日</w:t>
            </w:r>
          </w:p>
        </w:tc>
        <w:tc>
          <w:tcPr>
            <w:tcW w:w="1780" w:type="dxa"/>
            <w:tcBorders>
              <w:bottom w:val="single" w:color="000000" w:sz="10" w:space="0"/>
              <w:right w:val="single" w:color="000000" w:sz="10" w:space="0"/>
            </w:tcBorders>
          </w:tcPr>
          <w:p>
            <w:pPr>
              <w:pStyle w:val="139"/>
              <w:spacing w:before="178" w:line="182" w:lineRule="auto"/>
              <w:ind w:left="691"/>
              <w:rPr>
                <w:highlight w:val="none"/>
              </w:rPr>
            </w:pPr>
            <w:r>
              <w:rPr>
                <w:spacing w:val="-2"/>
                <w:highlight w:val="none"/>
              </w:rPr>
              <w:t>5000</w:t>
            </w:r>
          </w:p>
        </w:tc>
      </w:tr>
    </w:tbl>
    <w:p>
      <w:pPr>
        <w:spacing w:line="490" w:lineRule="exact"/>
        <w:ind w:firstLine="422" w:firstLineChars="200"/>
        <w:outlineLvl w:val="3"/>
        <w:rPr>
          <w:rFonts w:ascii="Times New Roman" w:hAnsi="Times New Roman"/>
          <w:b/>
          <w:bCs/>
          <w:szCs w:val="21"/>
          <w:highlight w:val="none"/>
        </w:rPr>
      </w:pP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（2）全部逾期完工违约金的总限额为</w:t>
      </w:r>
      <w:r>
        <w:rPr>
          <w:rFonts w:ascii="Times New Roman" w:hAnsi="Times New Roman"/>
          <w:szCs w:val="21"/>
          <w:highlight w:val="none"/>
          <w:u w:val="single"/>
        </w:rPr>
        <w:t>（不超过</w:t>
      </w:r>
      <w:r>
        <w:rPr>
          <w:rFonts w:hint="eastAsia" w:ascii="Times New Roman" w:hAnsi="Times New Roman"/>
          <w:szCs w:val="21"/>
          <w:highlight w:val="none"/>
          <w:u w:val="single"/>
        </w:rPr>
        <w:t>合同总价</w:t>
      </w:r>
      <w:r>
        <w:rPr>
          <w:rFonts w:ascii="Times New Roman" w:hAnsi="Times New Roman"/>
          <w:szCs w:val="21"/>
          <w:highlight w:val="none"/>
          <w:u w:val="single"/>
        </w:rPr>
        <w:t xml:space="preserve">的 </w:t>
      </w:r>
      <w:r>
        <w:rPr>
          <w:rFonts w:hint="eastAsia" w:ascii="Times New Roman" w:hAnsi="Times New Roman"/>
          <w:szCs w:val="21"/>
          <w:highlight w:val="none"/>
          <w:u w:val="single"/>
        </w:rPr>
        <w:t>5</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11.6工期提前</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工期提前的奖金约定：</w:t>
      </w:r>
      <w:r>
        <w:rPr>
          <w:rFonts w:ascii="Times New Roman" w:hAnsi="Times New Roman"/>
          <w:szCs w:val="21"/>
          <w:highlight w:val="none"/>
          <w:u w:val="single"/>
        </w:rPr>
        <w:t xml:space="preserve">      </w:t>
      </w:r>
      <w:r>
        <w:rPr>
          <w:rFonts w:hint="eastAsia" w:ascii="Times New Roman" w:hAnsi="Times New Roman"/>
          <w:szCs w:val="21"/>
          <w:highlight w:val="none"/>
          <w:u w:val="single"/>
        </w:rPr>
        <w:t>/</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40" w:name="_Toc15743"/>
      <w:bookmarkStart w:id="541" w:name="_Toc29070"/>
      <w:r>
        <w:rPr>
          <w:rFonts w:ascii="Times New Roman" w:hAnsi="Times New Roman"/>
          <w:color w:val="auto"/>
          <w:sz w:val="21"/>
          <w:szCs w:val="21"/>
          <w:highlight w:val="none"/>
        </w:rPr>
        <w:t>12</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暂停施工</w:t>
      </w:r>
      <w:bookmarkEnd w:id="540"/>
      <w:bookmarkEnd w:id="541"/>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12.1承包人暂停施工的责任</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rPr>
        <w:t>（5）承包人承担暂停施工责任的其它情形：</w:t>
      </w:r>
      <w:r>
        <w:rPr>
          <w:rFonts w:hint="eastAsia" w:ascii="Times New Roman" w:hAnsi="Times New Roman"/>
          <w:szCs w:val="21"/>
          <w:highlight w:val="none"/>
          <w:u w:val="single"/>
        </w:rPr>
        <w:t xml:space="preserve"> 1.现场非异常恶劣气候条件引起的正常停工 。</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42" w:name="_Toc15140"/>
      <w:bookmarkStart w:id="543" w:name="_Toc25867"/>
      <w:r>
        <w:rPr>
          <w:rFonts w:ascii="Times New Roman" w:hAnsi="Times New Roman"/>
          <w:bCs w:val="0"/>
          <w:color w:val="auto"/>
          <w:sz w:val="21"/>
          <w:szCs w:val="21"/>
          <w:highlight w:val="none"/>
        </w:rPr>
        <w:t>13</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工程质量</w:t>
      </w:r>
      <w:bookmarkEnd w:id="542"/>
      <w:bookmarkEnd w:id="543"/>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13.7质量评定</w:t>
      </w:r>
    </w:p>
    <w:p>
      <w:pPr>
        <w:spacing w:line="400" w:lineRule="exact"/>
        <w:ind w:firstLine="420" w:firstLineChars="200"/>
        <w:rPr>
          <w:rFonts w:ascii="Times New Roman" w:hAnsi="Times New Roman" w:cs="仿宋_GB2312"/>
          <w:szCs w:val="21"/>
          <w:highlight w:val="none"/>
          <w:u w:val="single"/>
        </w:rPr>
      </w:pPr>
      <w:r>
        <w:rPr>
          <w:rFonts w:hint="eastAsia" w:ascii="Times New Roman" w:hAnsi="Times New Roman" w:cs="仿宋_GB2312"/>
          <w:szCs w:val="21"/>
          <w:highlight w:val="none"/>
        </w:rPr>
        <w:t>13.7.7 工程合格标准为：</w:t>
      </w:r>
      <w:r>
        <w:rPr>
          <w:rFonts w:hint="eastAsia" w:ascii="Times New Roman" w:hAnsi="Times New Roman" w:cs="仿宋_GB2312"/>
          <w:szCs w:val="21"/>
          <w:highlight w:val="none"/>
          <w:u w:val="single"/>
        </w:rPr>
        <w:t xml:space="preserve"> </w:t>
      </w:r>
      <w:r>
        <w:rPr>
          <w:rFonts w:hint="eastAsia" w:ascii="Times New Roman" w:hAnsi="Times New Roman"/>
          <w:szCs w:val="21"/>
          <w:highlight w:val="none"/>
          <w:u w:val="single"/>
        </w:rPr>
        <w:t xml:space="preserve">符合国家验收规范的合格标准 </w:t>
      </w:r>
      <w:r>
        <w:rPr>
          <w:rFonts w:hint="eastAsia" w:ascii="Times New Roman" w:hAnsi="Times New Roman" w:cs="仿宋_GB2312"/>
          <w:szCs w:val="21"/>
          <w:highlight w:val="none"/>
          <w:u w:val="single"/>
        </w:rPr>
        <w:t xml:space="preserve"> </w:t>
      </w:r>
      <w:r>
        <w:rPr>
          <w:rFonts w:hint="eastAsia" w:ascii="Times New Roman" w:hAnsi="Times New Roman" w:cs="仿宋_GB2312"/>
          <w:szCs w:val="21"/>
          <w:highlight w:val="none"/>
        </w:rPr>
        <w:t>；</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44" w:name="_Toc7385"/>
      <w:bookmarkStart w:id="545" w:name="_Toc20079"/>
      <w:r>
        <w:rPr>
          <w:rFonts w:ascii="Times New Roman" w:hAnsi="Times New Roman"/>
          <w:color w:val="auto"/>
          <w:sz w:val="21"/>
          <w:szCs w:val="21"/>
          <w:highlight w:val="none"/>
        </w:rPr>
        <w:t>14</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试验和检验</w:t>
      </w:r>
      <w:bookmarkEnd w:id="544"/>
      <w:bookmarkEnd w:id="545"/>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14.1材料、工程设备和工程的试验和检验</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14.1.6 本工程实行见证取样的试块、试件及有关材料：</w:t>
      </w:r>
      <w:r>
        <w:rPr>
          <w:rFonts w:ascii="Times New Roman" w:hAnsi="Times New Roman"/>
          <w:szCs w:val="21"/>
          <w:highlight w:val="none"/>
          <w:u w:val="single"/>
        </w:rPr>
        <w:t xml:space="preserve"> </w:t>
      </w:r>
      <w:r>
        <w:rPr>
          <w:rFonts w:hint="eastAsia" w:ascii="Times New Roman" w:hAnsi="Times New Roman"/>
          <w:szCs w:val="21"/>
          <w:highlight w:val="none"/>
          <w:u w:val="single"/>
        </w:rPr>
        <w:t>凡涉及工程结构安全的以及监理人认为应实行见证取样的有关材料。</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46" w:name="_Toc609"/>
      <w:bookmarkStart w:id="547" w:name="_Toc10620"/>
      <w:r>
        <w:rPr>
          <w:rFonts w:ascii="Times New Roman" w:hAnsi="Times New Roman"/>
          <w:bCs w:val="0"/>
          <w:color w:val="auto"/>
          <w:sz w:val="21"/>
          <w:szCs w:val="21"/>
          <w:highlight w:val="none"/>
        </w:rPr>
        <w:t>15</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变更</w:t>
      </w:r>
      <w:bookmarkEnd w:id="546"/>
      <w:bookmarkEnd w:id="547"/>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15.1变更的范围和内容</w:t>
      </w:r>
    </w:p>
    <w:p>
      <w:pPr>
        <w:spacing w:line="490" w:lineRule="exact"/>
        <w:ind w:firstLine="420" w:firstLineChars="200"/>
        <w:jc w:val="left"/>
        <w:rPr>
          <w:rFonts w:ascii="Times New Roman" w:hAnsi="Times New Roman"/>
          <w:szCs w:val="21"/>
          <w:highlight w:val="none"/>
          <w:u w:val="single"/>
        </w:rPr>
      </w:pPr>
      <w:r>
        <w:rPr>
          <w:rFonts w:ascii="Times New Roman" w:hAnsi="Times New Roman"/>
          <w:szCs w:val="21"/>
          <w:highlight w:val="none"/>
          <w:u w:val="single"/>
        </w:rPr>
        <w:t>（6）</w:t>
      </w:r>
      <w:r>
        <w:rPr>
          <w:rFonts w:hint="eastAsia" w:ascii="Times New Roman" w:hAnsi="Times New Roman"/>
          <w:szCs w:val="21"/>
          <w:highlight w:val="none"/>
          <w:u w:val="single"/>
        </w:rPr>
        <w:t>合同中的任何项目的工程量增加或减少时，其单价均不予调整。</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15.5承包人的合理化建议</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15.5.2 承包人实现合理化建议的奖励金额为：</w:t>
      </w:r>
      <w:r>
        <w:rPr>
          <w:rFonts w:ascii="Times New Roman" w:hAnsi="Times New Roman"/>
          <w:szCs w:val="21"/>
          <w:highlight w:val="none"/>
          <w:u w:val="single"/>
        </w:rPr>
        <w:t xml:space="preserve"> </w:t>
      </w:r>
      <w:r>
        <w:rPr>
          <w:rFonts w:hint="eastAsia" w:ascii="Times New Roman" w:hAnsi="Times New Roman"/>
          <w:szCs w:val="21"/>
          <w:highlight w:val="none"/>
          <w:u w:val="single"/>
        </w:rPr>
        <w:t>无</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15.8暂估价</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 xml:space="preserve">15.8.1（1）发包人和承包人组织招标的暂估价项目： </w:t>
      </w:r>
      <w:r>
        <w:rPr>
          <w:rFonts w:ascii="Times New Roman" w:hAnsi="Times New Roman"/>
          <w:szCs w:val="21"/>
          <w:highlight w:val="none"/>
          <w:u w:val="single"/>
        </w:rPr>
        <w:t xml:space="preserve">（签约后填入） </w:t>
      </w:r>
      <w:r>
        <w:rPr>
          <w:rFonts w:ascii="Times New Roman" w:hAnsi="Times New Roman"/>
          <w:szCs w:val="21"/>
          <w:highlight w:val="none"/>
        </w:rPr>
        <w:t>；发包人组织招标的暂估价项目：</w:t>
      </w:r>
      <w:r>
        <w:rPr>
          <w:rFonts w:ascii="Times New Roman" w:hAnsi="Times New Roman"/>
          <w:szCs w:val="21"/>
          <w:highlight w:val="none"/>
          <w:u w:val="single"/>
        </w:rPr>
        <w:t xml:space="preserve"> （签约后填入）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（2）发包人和承包人以招标方式选择暂估价项目供应商或分包人时，双方的权利义务关系：</w:t>
      </w:r>
      <w:r>
        <w:rPr>
          <w:rFonts w:ascii="Times New Roman" w:hAnsi="Times New Roman"/>
          <w:szCs w:val="21"/>
          <w:highlight w:val="none"/>
          <w:u w:val="single"/>
        </w:rPr>
        <w:t xml:space="preserve">   </w:t>
      </w:r>
      <w:r>
        <w:rPr>
          <w:rFonts w:hint="eastAsia" w:ascii="Times New Roman" w:hAnsi="Times New Roman"/>
          <w:szCs w:val="21"/>
          <w:highlight w:val="none"/>
          <w:u w:val="single"/>
        </w:rPr>
        <w:t>/</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48" w:name="_Toc26942"/>
      <w:bookmarkStart w:id="549" w:name="_Toc8991"/>
      <w:r>
        <w:rPr>
          <w:rFonts w:ascii="Times New Roman" w:hAnsi="Times New Roman"/>
          <w:bCs w:val="0"/>
          <w:color w:val="auto"/>
          <w:sz w:val="21"/>
          <w:szCs w:val="21"/>
          <w:highlight w:val="none"/>
        </w:rPr>
        <w:t>16</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价格调整</w:t>
      </w:r>
      <w:bookmarkEnd w:id="548"/>
      <w:bookmarkEnd w:id="549"/>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16.1物价波动引起的价格调整</w:t>
      </w:r>
    </w:p>
    <w:p>
      <w:pPr>
        <w:spacing w:line="490" w:lineRule="exact"/>
        <w:ind w:firstLine="420" w:firstLineChars="200"/>
        <w:jc w:val="left"/>
        <w:outlineLvl w:val="3"/>
        <w:rPr>
          <w:rFonts w:ascii="Times New Roman" w:hAnsi="Times New Roman"/>
          <w:bCs/>
          <w:szCs w:val="21"/>
          <w:highlight w:val="none"/>
        </w:rPr>
      </w:pPr>
      <w:r>
        <w:rPr>
          <w:rFonts w:hint="eastAsia" w:ascii="Times New Roman" w:hAnsi="Times New Roman"/>
          <w:bCs/>
          <w:szCs w:val="21"/>
          <w:highlight w:val="none"/>
        </w:rPr>
        <w:t>物价波动引起的价格调整方式：</w:t>
      </w:r>
      <w:r>
        <w:rPr>
          <w:rFonts w:ascii="Times New Roman" w:hAnsi="Times New Roman"/>
          <w:bCs/>
          <w:szCs w:val="21"/>
          <w:highlight w:val="none"/>
        </w:rPr>
        <w:t xml:space="preserve"> </w:t>
      </w:r>
      <w:r>
        <w:rPr>
          <w:rFonts w:hint="eastAsia" w:ascii="Times New Roman" w:hAnsi="Times New Roman"/>
          <w:bCs/>
          <w:szCs w:val="21"/>
          <w:highlight w:val="none"/>
          <w:u w:val="single"/>
        </w:rPr>
        <w:t>本合同执行期间，不因物价波动而进行合同价格调整。在基准日期后，除考虑国家、省有关部门依据法律法规关于税金的调整政策外，本合同执行期间不进行合同价格调整。</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50" w:name="_Toc9303"/>
      <w:bookmarkStart w:id="551" w:name="_Toc18472"/>
      <w:r>
        <w:rPr>
          <w:rFonts w:ascii="Times New Roman" w:hAnsi="Times New Roman"/>
          <w:bCs w:val="0"/>
          <w:color w:val="auto"/>
          <w:sz w:val="21"/>
          <w:szCs w:val="21"/>
          <w:highlight w:val="none"/>
        </w:rPr>
        <w:t>17</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计量与支付</w:t>
      </w:r>
      <w:bookmarkEnd w:id="550"/>
      <w:bookmarkEnd w:id="551"/>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17.2预付款</w:t>
      </w:r>
    </w:p>
    <w:p>
      <w:pPr>
        <w:spacing w:line="490" w:lineRule="exact"/>
        <w:ind w:firstLine="420" w:firstLineChars="200"/>
        <w:rPr>
          <w:rFonts w:ascii="Times New Roman" w:hAnsi="Times New Roman"/>
          <w:bCs/>
          <w:szCs w:val="21"/>
          <w:highlight w:val="none"/>
        </w:rPr>
      </w:pPr>
      <w:r>
        <w:rPr>
          <w:rFonts w:ascii="Times New Roman" w:hAnsi="Times New Roman"/>
          <w:bCs/>
          <w:szCs w:val="21"/>
          <w:highlight w:val="none"/>
        </w:rPr>
        <w:t>17.2.1 预付款：</w:t>
      </w:r>
      <w:r>
        <w:rPr>
          <w:rFonts w:hint="eastAsia" w:ascii="Times New Roman" w:hAnsi="Times New Roman"/>
          <w:bCs/>
          <w:szCs w:val="21"/>
          <w:highlight w:val="none"/>
          <w:u w:val="single"/>
        </w:rPr>
        <w:t>无</w:t>
      </w:r>
      <w:r>
        <w:rPr>
          <w:rFonts w:hint="eastAsia" w:ascii="Times New Roman" w:hAnsi="Times New Roman"/>
          <w:bCs/>
          <w:szCs w:val="21"/>
          <w:highlight w:val="none"/>
        </w:rPr>
        <w:t>。</w:t>
      </w:r>
    </w:p>
    <w:p>
      <w:pPr>
        <w:spacing w:line="490" w:lineRule="exact"/>
        <w:ind w:firstLine="422" w:firstLineChars="200"/>
        <w:rPr>
          <w:rFonts w:ascii="Times New Roman" w:hAnsi="Times New Roman"/>
          <w:b/>
          <w:bCs/>
          <w:szCs w:val="21"/>
          <w:highlight w:val="none"/>
        </w:rPr>
      </w:pPr>
      <w:r>
        <w:rPr>
          <w:rFonts w:hint="eastAsia" w:ascii="Times New Roman" w:hAnsi="Times New Roman"/>
          <w:b/>
          <w:bCs/>
          <w:szCs w:val="21"/>
          <w:highlight w:val="none"/>
        </w:rPr>
        <w:t>17.3</w:t>
      </w:r>
      <w:r>
        <w:rPr>
          <w:rFonts w:ascii="Times New Roman" w:hAnsi="Times New Roman"/>
          <w:b/>
          <w:bCs/>
          <w:szCs w:val="21"/>
          <w:highlight w:val="none"/>
        </w:rPr>
        <w:t>工程进度付款</w:t>
      </w:r>
    </w:p>
    <w:p>
      <w:pPr>
        <w:spacing w:line="490" w:lineRule="exact"/>
        <w:ind w:firstLine="420" w:firstLineChars="200"/>
        <w:rPr>
          <w:rFonts w:ascii="Times New Roman" w:hAnsi="Times New Roman"/>
          <w:szCs w:val="21"/>
          <w:highlight w:val="none"/>
          <w:u w:val="single"/>
        </w:rPr>
      </w:pPr>
      <w:r>
        <w:rPr>
          <w:rFonts w:hint="eastAsia" w:ascii="Times New Roman" w:hAnsi="Times New Roman"/>
          <w:szCs w:val="21"/>
          <w:highlight w:val="none"/>
          <w:u w:val="single"/>
        </w:rPr>
        <w:t xml:space="preserve">按工程进度支付，合同工程完工验收合格后，支付工程款至 90%，其余工程款在审计完成后一次性支付完成，按审定工程款的 2%作为质量保证金。（质保期满后无息返还）。具体以签订合同为准。 </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17.4质量保证金</w:t>
      </w:r>
    </w:p>
    <w:p>
      <w:pPr>
        <w:spacing w:line="490" w:lineRule="exact"/>
        <w:ind w:firstLine="420" w:firstLineChars="200"/>
        <w:rPr>
          <w:rFonts w:ascii="Times New Roman" w:hAnsi="Times New Roman"/>
          <w:szCs w:val="21"/>
          <w:highlight w:val="none"/>
          <w:u w:val="single"/>
        </w:rPr>
      </w:pPr>
      <w:r>
        <w:rPr>
          <w:rFonts w:hint="eastAsia" w:ascii="Times New Roman" w:hAnsi="Times New Roman"/>
          <w:szCs w:val="21"/>
          <w:highlight w:val="none"/>
          <w:u w:val="single"/>
        </w:rPr>
        <w:t>质量保证金为合同结算价款的 2%。以银行汇款、网银方式缴纳履约保证金的，工程完工后在退还履约保证金时按合同结算价款的2%转为质量保证金；以其他方式缴纳履约保证金的，工程完工后从合同结算价款中扣除相应质量保证金。在约定的缺陷责任期（工程质量 保修期）满时，发包人将会同承包人按照合同约定的内容核实承包人是否完成保修责任。如无异议，发包人应当在核实后将质量保证金（不计利息）支付给承包人。</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17.5竣工（完工）结算</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17.5.1竣工（完工）付款申请单</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（1）承包人应提交完工付款申请单一式</w:t>
      </w:r>
      <w:r>
        <w:rPr>
          <w:rFonts w:ascii="Times New Roman" w:hAnsi="Times New Roman"/>
          <w:szCs w:val="21"/>
          <w:highlight w:val="none"/>
          <w:u w:val="single"/>
        </w:rPr>
        <w:t xml:space="preserve"> </w:t>
      </w:r>
      <w:r>
        <w:rPr>
          <w:rFonts w:hint="eastAsia" w:ascii="Times New Roman" w:hAnsi="Times New Roman"/>
          <w:szCs w:val="21"/>
          <w:highlight w:val="none"/>
          <w:u w:val="single"/>
        </w:rPr>
        <w:t>6</w:t>
      </w:r>
      <w:r>
        <w:rPr>
          <w:rFonts w:ascii="Times New Roman" w:hAnsi="Times New Roman"/>
          <w:szCs w:val="21"/>
          <w:highlight w:val="none"/>
          <w:u w:val="single"/>
        </w:rPr>
        <w:t xml:space="preserve"> </w:t>
      </w:r>
      <w:r>
        <w:rPr>
          <w:rFonts w:ascii="Times New Roman" w:hAnsi="Times New Roman"/>
          <w:szCs w:val="21"/>
          <w:highlight w:val="none"/>
        </w:rPr>
        <w:t>份。</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17.6最终结清</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17.6.1最终结清申请单</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（1）承包人应提交最终结清申请单一式</w:t>
      </w:r>
      <w:r>
        <w:rPr>
          <w:rFonts w:ascii="Times New Roman" w:hAnsi="Times New Roman"/>
          <w:szCs w:val="21"/>
          <w:highlight w:val="none"/>
          <w:u w:val="single"/>
        </w:rPr>
        <w:t xml:space="preserve"> </w:t>
      </w:r>
      <w:r>
        <w:rPr>
          <w:rFonts w:hint="eastAsia" w:ascii="Times New Roman" w:hAnsi="Times New Roman"/>
          <w:szCs w:val="21"/>
          <w:highlight w:val="none"/>
          <w:u w:val="single"/>
        </w:rPr>
        <w:t>6</w:t>
      </w:r>
      <w:r>
        <w:rPr>
          <w:rFonts w:ascii="Times New Roman" w:hAnsi="Times New Roman"/>
          <w:szCs w:val="21"/>
          <w:highlight w:val="none"/>
          <w:u w:val="single"/>
        </w:rPr>
        <w:t xml:space="preserve"> </w:t>
      </w:r>
      <w:r>
        <w:rPr>
          <w:rFonts w:ascii="Times New Roman" w:hAnsi="Times New Roman"/>
          <w:szCs w:val="21"/>
          <w:highlight w:val="none"/>
        </w:rPr>
        <w:t>份。</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17.7竣工财务决算</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rPr>
        <w:t>承包人应为竣工财务决算编制提供的资料：</w:t>
      </w:r>
      <w:r>
        <w:rPr>
          <w:rFonts w:ascii="Times New Roman" w:hAnsi="Times New Roman"/>
          <w:szCs w:val="21"/>
          <w:highlight w:val="none"/>
          <w:u w:val="single"/>
        </w:rPr>
        <w:t xml:space="preserve"> </w:t>
      </w:r>
      <w:r>
        <w:rPr>
          <w:rFonts w:hint="eastAsia" w:ascii="Times New Roman" w:hAnsi="Times New Roman"/>
          <w:szCs w:val="21"/>
          <w:highlight w:val="none"/>
          <w:u w:val="single"/>
        </w:rPr>
        <w:t>发包人要求提供的资料</w:t>
      </w:r>
      <w:r>
        <w:rPr>
          <w:rFonts w:ascii="Times New Roman" w:hAnsi="Times New Roman"/>
          <w:szCs w:val="21"/>
          <w:highlight w:val="none"/>
          <w:u w:val="single"/>
        </w:rPr>
        <w:t xml:space="preserve">  </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52" w:name="_Toc9030"/>
      <w:bookmarkStart w:id="553" w:name="_Toc27336"/>
      <w:r>
        <w:rPr>
          <w:rFonts w:ascii="Times New Roman" w:hAnsi="Times New Roman"/>
          <w:color w:val="auto"/>
          <w:sz w:val="21"/>
          <w:szCs w:val="21"/>
          <w:highlight w:val="none"/>
        </w:rPr>
        <w:t>18</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竣工验收（验收）</w:t>
      </w:r>
      <w:bookmarkEnd w:id="552"/>
      <w:bookmarkEnd w:id="553"/>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18.1验收工作分类</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u w:val="single"/>
        </w:rPr>
        <w:t>本工程法人验收包括：</w:t>
      </w:r>
      <w:r>
        <w:rPr>
          <w:rFonts w:hint="eastAsia" w:ascii="Times New Roman" w:hAnsi="Times New Roman"/>
          <w:szCs w:val="21"/>
          <w:highlight w:val="none"/>
          <w:u w:val="single"/>
        </w:rPr>
        <w:t>分部工程验收、单位工程验收、合同工程完工验收；政府验收包括：竣工验收。验收条件和验收程序：按《水利水电建设工程验收规程》（SL223-2008）规定执行和《水利水电工程施工质量检验与评定规程》（SL176 2021）。</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54" w:name="_Toc29453"/>
      <w:bookmarkStart w:id="555" w:name="_Toc7130"/>
      <w:r>
        <w:rPr>
          <w:rFonts w:ascii="Times New Roman" w:hAnsi="Times New Roman"/>
          <w:color w:val="auto"/>
          <w:sz w:val="21"/>
          <w:szCs w:val="21"/>
          <w:highlight w:val="none"/>
        </w:rPr>
        <w:t>19</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缺陷责任与保修责任</w:t>
      </w:r>
      <w:bookmarkEnd w:id="554"/>
      <w:bookmarkEnd w:id="555"/>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19.1缺陷责任期（工程质量保修期）的起算时间</w:t>
      </w:r>
    </w:p>
    <w:p>
      <w:pPr>
        <w:spacing w:line="490" w:lineRule="exact"/>
        <w:ind w:firstLine="420" w:firstLineChars="200"/>
        <w:rPr>
          <w:rFonts w:ascii="Times New Roman" w:hAnsi="Times New Roman"/>
          <w:kern w:val="0"/>
          <w:szCs w:val="21"/>
          <w:highlight w:val="none"/>
        </w:rPr>
      </w:pPr>
      <w:r>
        <w:rPr>
          <w:rFonts w:ascii="Times New Roman" w:hAnsi="Times New Roman"/>
          <w:kern w:val="0"/>
          <w:szCs w:val="21"/>
          <w:highlight w:val="none"/>
        </w:rPr>
        <w:t>本工程缺陷责任期（工程质量保修期）如下：</w:t>
      </w:r>
      <w:r>
        <w:rPr>
          <w:rFonts w:ascii="Times New Roman" w:hAnsi="Times New Roman"/>
          <w:szCs w:val="21"/>
          <w:highlight w:val="none"/>
          <w:u w:val="single"/>
        </w:rPr>
        <w:t xml:space="preserve"> </w:t>
      </w:r>
      <w:r>
        <w:rPr>
          <w:rFonts w:hint="eastAsia" w:ascii="Times New Roman" w:hAnsi="Times New Roman"/>
          <w:szCs w:val="21"/>
          <w:highlight w:val="none"/>
          <w:u w:val="single"/>
        </w:rPr>
        <w:t>12个月</w:t>
      </w:r>
      <w:r>
        <w:rPr>
          <w:rFonts w:ascii="Times New Roman" w:hAnsi="Times New Roman"/>
          <w:szCs w:val="21"/>
          <w:highlight w:val="none"/>
          <w:u w:val="single"/>
        </w:rPr>
        <w:t xml:space="preserve"> </w:t>
      </w:r>
      <w:r>
        <w:rPr>
          <w:rFonts w:ascii="Times New Roman" w:hAnsi="Times New Roman"/>
          <w:kern w:val="0"/>
          <w:szCs w:val="21"/>
          <w:highlight w:val="none"/>
        </w:rPr>
        <w:t>。</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56" w:name="_Toc17990"/>
      <w:bookmarkStart w:id="557" w:name="_Toc4964"/>
      <w:r>
        <w:rPr>
          <w:rFonts w:ascii="Times New Roman" w:hAnsi="Times New Roman"/>
          <w:color w:val="auto"/>
          <w:sz w:val="21"/>
          <w:szCs w:val="21"/>
          <w:highlight w:val="none"/>
        </w:rPr>
        <w:t>20</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保险</w:t>
      </w:r>
      <w:bookmarkEnd w:id="556"/>
      <w:bookmarkEnd w:id="557"/>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20.1工程保险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建筑工程一切险和（或）安装工程一切险投保人：</w:t>
      </w:r>
      <w:r>
        <w:rPr>
          <w:rFonts w:ascii="Times New Roman" w:hAnsi="Times New Roman"/>
          <w:szCs w:val="21"/>
          <w:highlight w:val="none"/>
          <w:u w:val="single"/>
        </w:rPr>
        <w:t xml:space="preserve"> </w:t>
      </w:r>
      <w:r>
        <w:rPr>
          <w:rFonts w:hint="eastAsia" w:ascii="Times New Roman" w:hAnsi="Times New Roman"/>
          <w:szCs w:val="21"/>
          <w:highlight w:val="none"/>
          <w:u w:val="single"/>
        </w:rPr>
        <w:t>以发包人和承包人的名义，由承包人负责投保。</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投保内容：</w:t>
      </w:r>
      <w:r>
        <w:rPr>
          <w:rFonts w:ascii="Times New Roman" w:hAnsi="Times New Roman"/>
          <w:szCs w:val="21"/>
          <w:highlight w:val="none"/>
          <w:u w:val="single"/>
        </w:rPr>
        <w:t xml:space="preserve">  </w:t>
      </w:r>
      <w:r>
        <w:rPr>
          <w:rFonts w:hint="eastAsia" w:ascii="Times New Roman" w:hAnsi="Times New Roman"/>
          <w:szCs w:val="21"/>
          <w:highlight w:val="none"/>
          <w:u w:val="single"/>
        </w:rPr>
        <w:t>建筑工程一切险和安装工程一切险</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保险金额、保险费率和保险期限：</w:t>
      </w:r>
      <w:r>
        <w:rPr>
          <w:rFonts w:ascii="Times New Roman" w:hAnsi="Times New Roman"/>
          <w:szCs w:val="21"/>
          <w:highlight w:val="none"/>
          <w:u w:val="single"/>
        </w:rPr>
        <w:t xml:space="preserve"> </w:t>
      </w:r>
      <w:r>
        <w:rPr>
          <w:rFonts w:hint="eastAsia" w:ascii="Times New Roman" w:hAnsi="Times New Roman"/>
          <w:szCs w:val="21"/>
          <w:highlight w:val="none"/>
          <w:u w:val="single"/>
        </w:rPr>
        <w:t>以保险合同为准</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承包人投保的费用摊入到相应工程的单价或合价中，发包人不另行支付。</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20.4第三者责任险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20.4.2</w:t>
      </w:r>
      <w:r>
        <w:rPr>
          <w:rFonts w:hint="eastAsia" w:ascii="Times New Roman" w:hAnsi="Times New Roman"/>
          <w:szCs w:val="21"/>
          <w:highlight w:val="none"/>
        </w:rPr>
        <w:t xml:space="preserve"> 第三者责任险：</w:t>
      </w:r>
      <w:r>
        <w:rPr>
          <w:rFonts w:ascii="Times New Roman" w:hAnsi="Times New Roman"/>
          <w:szCs w:val="21"/>
          <w:highlight w:val="none"/>
          <w:u w:val="single"/>
        </w:rPr>
        <w:t>承包人投保。</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20.5其它保险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需要投保的其它内容：</w:t>
      </w:r>
      <w:r>
        <w:rPr>
          <w:rFonts w:ascii="Times New Roman" w:hAnsi="Times New Roman"/>
          <w:szCs w:val="21"/>
          <w:highlight w:val="none"/>
          <w:u w:val="single"/>
        </w:rPr>
        <w:t xml:space="preserve">  </w:t>
      </w:r>
      <w:r>
        <w:rPr>
          <w:rFonts w:hint="eastAsia" w:ascii="Times New Roman" w:hAnsi="Times New Roman"/>
          <w:szCs w:val="21"/>
          <w:highlight w:val="none"/>
          <w:u w:val="single"/>
        </w:rPr>
        <w:t>承包人应为其施工设备办理保险</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hint="eastAsia" w:ascii="Times New Roman" w:hAnsi="Times New Roman"/>
          <w:szCs w:val="21"/>
          <w:highlight w:val="none"/>
        </w:rPr>
        <w:t>保险金额、保险费率和保险期限</w:t>
      </w:r>
      <w:r>
        <w:rPr>
          <w:rFonts w:hint="eastAsia" w:ascii="Times New Roman" w:hAnsi="Times New Roman"/>
          <w:szCs w:val="21"/>
          <w:highlight w:val="none"/>
          <w:u w:val="single"/>
        </w:rPr>
        <w:t>：</w:t>
      </w:r>
      <w:r>
        <w:rPr>
          <w:rFonts w:ascii="Times New Roman" w:hAnsi="Times New Roman"/>
          <w:szCs w:val="21"/>
          <w:highlight w:val="none"/>
          <w:u w:val="single"/>
        </w:rPr>
        <w:t xml:space="preserve">        </w:t>
      </w:r>
      <w:r>
        <w:rPr>
          <w:rFonts w:hint="eastAsia" w:ascii="Times New Roman" w:hAnsi="Times New Roman"/>
          <w:szCs w:val="21"/>
          <w:highlight w:val="none"/>
          <w:u w:val="single"/>
        </w:rPr>
        <w:t xml:space="preserve">        </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20.6对各项保险的一般要求</w:t>
      </w:r>
    </w:p>
    <w:p>
      <w:pPr>
        <w:spacing w:line="490" w:lineRule="exact"/>
        <w:ind w:firstLine="420" w:firstLineChars="200"/>
        <w:rPr>
          <w:rFonts w:ascii="Times New Roman" w:hAnsi="Times New Roman"/>
          <w:szCs w:val="21"/>
          <w:highlight w:val="none"/>
        </w:rPr>
      </w:pPr>
      <w:bookmarkStart w:id="558" w:name="_Toc511318205"/>
      <w:r>
        <w:rPr>
          <w:rFonts w:ascii="Times New Roman" w:hAnsi="Times New Roman"/>
          <w:szCs w:val="21"/>
          <w:highlight w:val="none"/>
        </w:rPr>
        <w:t>20.6.1保险凭证</w:t>
      </w:r>
      <w:bookmarkEnd w:id="558"/>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承包人提交保险凭证的期限：</w:t>
      </w:r>
      <w:r>
        <w:rPr>
          <w:rFonts w:ascii="Times New Roman" w:hAnsi="Times New Roman"/>
          <w:szCs w:val="21"/>
          <w:highlight w:val="none"/>
          <w:u w:val="single"/>
        </w:rPr>
        <w:t xml:space="preserve"> </w:t>
      </w:r>
      <w:r>
        <w:rPr>
          <w:rFonts w:hint="eastAsia" w:ascii="Times New Roman" w:hAnsi="Times New Roman"/>
          <w:szCs w:val="21"/>
          <w:highlight w:val="none"/>
          <w:u w:val="single"/>
        </w:rPr>
        <w:t>工程开工通知后28天内</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保险条件：</w:t>
      </w:r>
      <w:r>
        <w:rPr>
          <w:rFonts w:ascii="Times New Roman" w:hAnsi="Times New Roman"/>
          <w:szCs w:val="21"/>
          <w:highlight w:val="none"/>
          <w:u w:val="single"/>
        </w:rPr>
        <w:t xml:space="preserve"> </w:t>
      </w:r>
      <w:r>
        <w:rPr>
          <w:rFonts w:hint="eastAsia" w:ascii="Times New Roman" w:hAnsi="Times New Roman"/>
          <w:szCs w:val="21"/>
          <w:highlight w:val="none"/>
          <w:u w:val="single"/>
        </w:rPr>
        <w:t>承包人向发包人提交按合同规定的各项保险单的副本以及保险生效的证明材料，并通知监理人。</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20.6.4保险金不足的补偿</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承包人负责补偿的范围与金额：</w:t>
      </w:r>
      <w:r>
        <w:rPr>
          <w:rFonts w:ascii="Times New Roman" w:hAnsi="Times New Roman"/>
          <w:szCs w:val="21"/>
          <w:highlight w:val="none"/>
          <w:u w:val="single"/>
        </w:rPr>
        <w:t xml:space="preserve">  </w:t>
      </w:r>
      <w:r>
        <w:rPr>
          <w:rFonts w:hint="eastAsia" w:ascii="Times New Roman" w:hAnsi="Times New Roman"/>
          <w:szCs w:val="21"/>
          <w:highlight w:val="none"/>
          <w:u w:val="single"/>
        </w:rPr>
        <w:t>承包人根据其应付责任承担应补偿部分</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发包人负责补偿的范围与金额：</w:t>
      </w:r>
      <w:r>
        <w:rPr>
          <w:rFonts w:ascii="Times New Roman" w:hAnsi="Times New Roman"/>
          <w:szCs w:val="21"/>
          <w:highlight w:val="none"/>
          <w:u w:val="single"/>
        </w:rPr>
        <w:t xml:space="preserve">  </w:t>
      </w:r>
      <w:r>
        <w:rPr>
          <w:rFonts w:hint="eastAsia" w:ascii="Times New Roman" w:hAnsi="Times New Roman"/>
          <w:szCs w:val="21"/>
          <w:highlight w:val="none"/>
          <w:u w:val="single"/>
        </w:rPr>
        <w:t>发包人根据其应付责任承担应补偿部分</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lang w:val="zh-CN"/>
        </w:rPr>
      </w:pPr>
      <w:bookmarkStart w:id="559" w:name="_Toc66038301"/>
      <w:bookmarkStart w:id="560" w:name="_Toc66038576"/>
      <w:r>
        <w:rPr>
          <w:rFonts w:hint="eastAsia" w:ascii="Times New Roman" w:hAnsi="Times New Roman"/>
          <w:szCs w:val="21"/>
          <w:highlight w:val="none"/>
          <w:lang w:val="zh-CN"/>
        </w:rPr>
        <w:t>21. 不可抗力</w:t>
      </w:r>
      <w:bookmarkEnd w:id="559"/>
      <w:bookmarkEnd w:id="560"/>
    </w:p>
    <w:p>
      <w:pPr>
        <w:spacing w:line="490" w:lineRule="exact"/>
        <w:ind w:firstLine="420" w:firstLineChars="200"/>
        <w:rPr>
          <w:rFonts w:ascii="Times New Roman" w:hAnsi="Times New Roman"/>
          <w:szCs w:val="21"/>
          <w:highlight w:val="none"/>
          <w:lang w:val="zh-CN"/>
        </w:rPr>
      </w:pPr>
      <w:bookmarkStart w:id="561" w:name="_Toc447823223"/>
      <w:bookmarkStart w:id="562" w:name="_Toc66038302"/>
      <w:bookmarkStart w:id="563" w:name="_Toc292198108"/>
      <w:bookmarkStart w:id="564" w:name="_Toc66038577"/>
      <w:r>
        <w:rPr>
          <w:rFonts w:hint="eastAsia" w:ascii="Times New Roman" w:hAnsi="Times New Roman"/>
          <w:szCs w:val="21"/>
          <w:highlight w:val="none"/>
          <w:lang w:val="zh-CN"/>
        </w:rPr>
        <w:t>21.1 不可抗力的确认</w:t>
      </w:r>
      <w:bookmarkEnd w:id="561"/>
      <w:bookmarkEnd w:id="562"/>
      <w:bookmarkEnd w:id="563"/>
      <w:bookmarkEnd w:id="564"/>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21.1.1 不可抗力的其他情形包括因重大政治活动等政府指令的原因引起的停止施工。</w:t>
      </w:r>
    </w:p>
    <w:p>
      <w:pPr>
        <w:spacing w:line="490" w:lineRule="exact"/>
        <w:ind w:firstLine="420" w:firstLineChars="200"/>
        <w:rPr>
          <w:rFonts w:ascii="Times New Roman" w:hAnsi="Times New Roman"/>
          <w:szCs w:val="21"/>
          <w:highlight w:val="none"/>
          <w:lang w:val="zh-CN"/>
        </w:rPr>
      </w:pPr>
      <w:bookmarkStart w:id="565" w:name="_Toc66038578"/>
      <w:bookmarkStart w:id="566" w:name="_Toc508279769"/>
      <w:bookmarkStart w:id="567" w:name="_Toc468952847"/>
      <w:bookmarkStart w:id="568" w:name="_Toc416870640"/>
      <w:bookmarkStart w:id="569" w:name="_Toc66038303"/>
      <w:bookmarkStart w:id="570" w:name="_Toc248731369"/>
      <w:bookmarkStart w:id="571" w:name="_Toc21622658"/>
      <w:r>
        <w:rPr>
          <w:rFonts w:ascii="Times New Roman" w:hAnsi="Times New Roman"/>
          <w:szCs w:val="21"/>
          <w:highlight w:val="none"/>
          <w:lang w:val="zh-CN"/>
        </w:rPr>
        <w:t>22.</w:t>
      </w:r>
      <w:r>
        <w:rPr>
          <w:rFonts w:hint="eastAsia" w:ascii="Times New Roman" w:hAnsi="Times New Roman"/>
          <w:szCs w:val="21"/>
          <w:highlight w:val="none"/>
          <w:lang w:val="zh-CN"/>
        </w:rPr>
        <w:t xml:space="preserve"> </w:t>
      </w:r>
      <w:r>
        <w:rPr>
          <w:rFonts w:ascii="Times New Roman" w:hAnsi="Times New Roman"/>
          <w:szCs w:val="21"/>
          <w:highlight w:val="none"/>
          <w:lang w:val="zh-CN"/>
        </w:rPr>
        <w:t>违约</w:t>
      </w:r>
      <w:bookmarkEnd w:id="565"/>
      <w:bookmarkEnd w:id="566"/>
      <w:bookmarkEnd w:id="567"/>
      <w:bookmarkEnd w:id="568"/>
      <w:bookmarkEnd w:id="569"/>
      <w:bookmarkEnd w:id="570"/>
      <w:bookmarkEnd w:id="571"/>
    </w:p>
    <w:p>
      <w:pPr>
        <w:spacing w:line="490" w:lineRule="exact"/>
        <w:ind w:firstLine="420" w:firstLineChars="200"/>
        <w:rPr>
          <w:rFonts w:ascii="Times New Roman" w:hAnsi="Times New Roman"/>
          <w:szCs w:val="21"/>
          <w:highlight w:val="none"/>
          <w:lang w:val="zh-CN"/>
        </w:rPr>
      </w:pPr>
      <w:bookmarkStart w:id="572" w:name="_Toc66038304"/>
      <w:bookmarkStart w:id="573" w:name="_Toc66038579"/>
      <w:bookmarkStart w:id="574" w:name="_Toc21622659"/>
      <w:bookmarkStart w:id="575" w:name="_Toc248731370"/>
      <w:r>
        <w:rPr>
          <w:rFonts w:ascii="Times New Roman" w:hAnsi="Times New Roman"/>
          <w:szCs w:val="21"/>
          <w:highlight w:val="none"/>
          <w:lang w:val="zh-CN"/>
        </w:rPr>
        <w:t>22.1 承包人违约</w:t>
      </w:r>
      <w:bookmarkEnd w:id="572"/>
      <w:bookmarkEnd w:id="573"/>
      <w:bookmarkEnd w:id="574"/>
      <w:bookmarkEnd w:id="575"/>
    </w:p>
    <w:p>
      <w:pPr>
        <w:spacing w:line="490" w:lineRule="exact"/>
        <w:ind w:firstLine="420" w:firstLineChars="200"/>
        <w:rPr>
          <w:rFonts w:ascii="Times New Roman" w:hAnsi="Times New Roman"/>
          <w:szCs w:val="21"/>
          <w:highlight w:val="none"/>
          <w:lang w:val="zh-CN"/>
        </w:rPr>
      </w:pPr>
      <w:bookmarkStart w:id="576" w:name="_Toc235621659"/>
      <w:bookmarkStart w:id="577" w:name="_Toc248731371"/>
      <w:r>
        <w:rPr>
          <w:rFonts w:ascii="Times New Roman" w:hAnsi="Times New Roman"/>
          <w:szCs w:val="21"/>
          <w:highlight w:val="none"/>
          <w:lang w:val="zh-CN"/>
        </w:rPr>
        <w:t>22.1.1 承包人违约的情形</w:t>
      </w:r>
      <w:bookmarkEnd w:id="576"/>
      <w:bookmarkEnd w:id="577"/>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本款补充如下：</w:t>
      </w:r>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（8）未经发包人同意，承包人派驻的项目经理、</w:t>
      </w:r>
      <w:r>
        <w:rPr>
          <w:rFonts w:hint="eastAsia" w:ascii="Times New Roman" w:hAnsi="Times New Roman"/>
          <w:szCs w:val="21"/>
          <w:highlight w:val="none"/>
          <w:lang w:val="zh-CN"/>
        </w:rPr>
        <w:t>项目</w:t>
      </w:r>
      <w:r>
        <w:rPr>
          <w:rFonts w:ascii="Times New Roman" w:hAnsi="Times New Roman"/>
          <w:szCs w:val="21"/>
          <w:highlight w:val="none"/>
          <w:lang w:val="zh-CN"/>
        </w:rPr>
        <w:t>技术负责人、质检</w:t>
      </w:r>
      <w:r>
        <w:rPr>
          <w:rFonts w:hint="eastAsia" w:ascii="Times New Roman" w:hAnsi="Times New Roman"/>
          <w:szCs w:val="21"/>
          <w:highlight w:val="none"/>
          <w:lang w:val="zh-CN"/>
        </w:rPr>
        <w:t>员、专职安全员、施工员、材料员、资料员等主要管理人员和技术骨干</w:t>
      </w:r>
      <w:r>
        <w:rPr>
          <w:rFonts w:ascii="Times New Roman" w:hAnsi="Times New Roman"/>
          <w:szCs w:val="21"/>
          <w:highlight w:val="none"/>
          <w:lang w:val="zh-CN"/>
        </w:rPr>
        <w:t>与投标文件中承诺不符。</w:t>
      </w:r>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（9）未经发包人同意，承包人进场的主要</w:t>
      </w:r>
      <w:r>
        <w:rPr>
          <w:rFonts w:hint="eastAsia" w:ascii="Times New Roman" w:hAnsi="Times New Roman"/>
          <w:szCs w:val="21"/>
          <w:highlight w:val="none"/>
          <w:lang w:val="zh-CN"/>
        </w:rPr>
        <w:t>施工</w:t>
      </w:r>
      <w:r>
        <w:rPr>
          <w:rFonts w:ascii="Times New Roman" w:hAnsi="Times New Roman"/>
          <w:szCs w:val="21"/>
          <w:highlight w:val="none"/>
          <w:lang w:val="zh-CN"/>
        </w:rPr>
        <w:t>设备与投标文件中承诺</w:t>
      </w:r>
      <w:r>
        <w:rPr>
          <w:rFonts w:hint="eastAsia" w:ascii="Times New Roman" w:hAnsi="Times New Roman"/>
          <w:szCs w:val="21"/>
          <w:highlight w:val="none"/>
          <w:lang w:val="zh-CN"/>
        </w:rPr>
        <w:t>不</w:t>
      </w:r>
      <w:r>
        <w:rPr>
          <w:rFonts w:ascii="Times New Roman" w:hAnsi="Times New Roman"/>
          <w:szCs w:val="21"/>
          <w:highlight w:val="none"/>
          <w:lang w:val="zh-CN"/>
        </w:rPr>
        <w:t>符。</w:t>
      </w:r>
      <w:bookmarkStart w:id="578" w:name="_Toc229305401"/>
      <w:bookmarkStart w:id="579" w:name="_Toc222032712"/>
      <w:bookmarkStart w:id="580" w:name="_Toc468952848"/>
      <w:bookmarkStart w:id="581" w:name="_Toc222029543"/>
      <w:bookmarkStart w:id="582" w:name="_Toc416870641"/>
      <w:bookmarkStart w:id="583" w:name="_Toc222031045"/>
      <w:bookmarkStart w:id="584" w:name="_Toc221951334"/>
      <w:bookmarkStart w:id="585" w:name="_Toc222033894"/>
      <w:bookmarkStart w:id="586" w:name="_Toc508279770"/>
      <w:bookmarkStart w:id="587" w:name="_Toc21622660"/>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（10）</w:t>
      </w:r>
      <w:r>
        <w:rPr>
          <w:rFonts w:hint="eastAsia" w:ascii="Times New Roman" w:hAnsi="Times New Roman"/>
          <w:szCs w:val="21"/>
          <w:highlight w:val="none"/>
          <w:lang w:val="zh-CN"/>
        </w:rPr>
        <w:t>承包人在施工中粗制滥造、弄虚作假，在工程质量检查验收中伪造施工记录。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w:t>
      </w:r>
      <w:r>
        <w:rPr>
          <w:rFonts w:ascii="Times New Roman" w:hAnsi="Times New Roman"/>
          <w:szCs w:val="21"/>
          <w:highlight w:val="none"/>
          <w:lang w:val="zh-CN"/>
        </w:rPr>
        <w:t>1</w:t>
      </w:r>
      <w:r>
        <w:rPr>
          <w:rFonts w:hint="eastAsia" w:ascii="Times New Roman" w:hAnsi="Times New Roman"/>
          <w:szCs w:val="21"/>
          <w:highlight w:val="none"/>
          <w:lang w:val="zh-CN"/>
        </w:rPr>
        <w:t>）严重违反安全施工操作规程和施工质量强制性标准的施工行为。</w:t>
      </w:r>
    </w:p>
    <w:p>
      <w:pPr>
        <w:spacing w:line="490" w:lineRule="exact"/>
        <w:ind w:firstLine="420" w:firstLineChars="200"/>
        <w:rPr>
          <w:rFonts w:ascii="Times New Roman" w:hAnsi="Times New Roman"/>
          <w:szCs w:val="21"/>
          <w:highlight w:val="none"/>
          <w:lang w:val="zh-CN"/>
        </w:rPr>
      </w:pPr>
      <w:bookmarkStart w:id="588" w:name="_Toc66038580"/>
      <w:bookmarkStart w:id="589" w:name="_Toc66038305"/>
      <w:r>
        <w:rPr>
          <w:rFonts w:ascii="Times New Roman" w:hAnsi="Times New Roman"/>
          <w:szCs w:val="21"/>
          <w:highlight w:val="none"/>
          <w:lang w:val="zh-CN"/>
        </w:rPr>
        <w:t>24</w:t>
      </w:r>
      <w:r>
        <w:rPr>
          <w:rFonts w:hint="eastAsia" w:ascii="Times New Roman" w:hAnsi="Times New Roman"/>
          <w:szCs w:val="21"/>
          <w:highlight w:val="none"/>
          <w:lang w:val="zh-CN"/>
        </w:rPr>
        <w:t>. 争议的解决</w:t>
      </w:r>
      <w:bookmarkEnd w:id="578"/>
      <w:bookmarkEnd w:id="579"/>
      <w:bookmarkEnd w:id="580"/>
      <w:bookmarkEnd w:id="581"/>
      <w:bookmarkEnd w:id="582"/>
      <w:bookmarkEnd w:id="583"/>
      <w:bookmarkEnd w:id="584"/>
      <w:bookmarkEnd w:id="585"/>
      <w:bookmarkEnd w:id="586"/>
      <w:bookmarkEnd w:id="587"/>
      <w:bookmarkEnd w:id="588"/>
      <w:bookmarkEnd w:id="589"/>
    </w:p>
    <w:p>
      <w:pPr>
        <w:spacing w:line="490" w:lineRule="exact"/>
        <w:ind w:firstLine="420" w:firstLineChars="200"/>
        <w:rPr>
          <w:rFonts w:ascii="Times New Roman" w:hAnsi="Times New Roman"/>
          <w:szCs w:val="21"/>
          <w:highlight w:val="none"/>
          <w:lang w:val="zh-CN"/>
        </w:rPr>
      </w:pPr>
      <w:bookmarkStart w:id="590" w:name="_Toc66038581"/>
      <w:bookmarkStart w:id="591" w:name="_Toc21622661"/>
      <w:bookmarkStart w:id="592" w:name="_Toc66038306"/>
      <w:bookmarkStart w:id="593" w:name="_Toc221951335"/>
      <w:r>
        <w:rPr>
          <w:rFonts w:hint="eastAsia" w:ascii="Times New Roman" w:hAnsi="Times New Roman"/>
          <w:szCs w:val="21"/>
          <w:highlight w:val="none"/>
          <w:lang w:val="zh-CN"/>
        </w:rPr>
        <w:t>24.1 争议的解决方式</w:t>
      </w:r>
      <w:bookmarkEnd w:id="590"/>
      <w:bookmarkEnd w:id="591"/>
      <w:bookmarkEnd w:id="592"/>
    </w:p>
    <w:p>
      <w:pPr>
        <w:spacing w:line="490" w:lineRule="exact"/>
        <w:ind w:firstLine="420" w:firstLineChars="200"/>
        <w:rPr>
          <w:sz w:val="40"/>
          <w:szCs w:val="44"/>
          <w:highlight w:val="none"/>
        </w:rPr>
      </w:pPr>
      <w:r>
        <w:rPr>
          <w:rFonts w:hint="eastAsia" w:ascii="Times New Roman" w:hAnsi="Times New Roman"/>
          <w:szCs w:val="21"/>
          <w:highlight w:val="none"/>
          <w:lang w:val="zh-CN"/>
        </w:rPr>
        <w:t>合同当事人友好协商解决不成、不愿提请争议评审或不接受争议评审组意见的，约定的合同争议解决方式 ：向项目所在地人民法院提起诉讼。</w:t>
      </w:r>
      <w:bookmarkEnd w:id="593"/>
      <w:r>
        <w:rPr>
          <w:highlight w:val="none"/>
        </w:rPr>
        <w:br w:type="page"/>
      </w:r>
    </w:p>
    <w:p>
      <w:pPr>
        <w:spacing w:line="600" w:lineRule="exact"/>
        <w:rPr>
          <w:sz w:val="40"/>
          <w:szCs w:val="44"/>
          <w:highlight w:val="none"/>
        </w:rPr>
      </w:pPr>
    </w:p>
    <w:p>
      <w:pPr>
        <w:spacing w:line="600" w:lineRule="exact"/>
        <w:rPr>
          <w:sz w:val="40"/>
          <w:szCs w:val="44"/>
          <w:highlight w:val="none"/>
        </w:rPr>
      </w:pPr>
    </w:p>
    <w:p>
      <w:pPr>
        <w:spacing w:line="600" w:lineRule="exact"/>
        <w:rPr>
          <w:sz w:val="40"/>
          <w:szCs w:val="44"/>
          <w:highlight w:val="none"/>
        </w:rPr>
      </w:pPr>
    </w:p>
    <w:p>
      <w:pPr>
        <w:spacing w:line="600" w:lineRule="exact"/>
        <w:rPr>
          <w:sz w:val="32"/>
          <w:szCs w:val="36"/>
          <w:highlight w:val="none"/>
        </w:rPr>
      </w:pPr>
    </w:p>
    <w:p>
      <w:pPr>
        <w:jc w:val="center"/>
        <w:outlineLvl w:val="1"/>
        <w:rPr>
          <w:b/>
          <w:sz w:val="32"/>
          <w:szCs w:val="36"/>
          <w:highlight w:val="none"/>
        </w:rPr>
      </w:pPr>
      <w:bookmarkStart w:id="594" w:name="_Toc28269"/>
      <w:bookmarkStart w:id="595" w:name="_Toc1206"/>
      <w:r>
        <w:rPr>
          <w:b/>
          <w:sz w:val="32"/>
          <w:szCs w:val="36"/>
          <w:highlight w:val="none"/>
        </w:rPr>
        <w:t>第3节  合同附件格式</w:t>
      </w:r>
      <w:bookmarkEnd w:id="594"/>
      <w:bookmarkEnd w:id="595"/>
    </w:p>
    <w:p>
      <w:pPr>
        <w:spacing w:before="91" w:line="219" w:lineRule="auto"/>
        <w:ind w:left="44"/>
        <w:rPr>
          <w:rFonts w:ascii="宋体" w:hAnsi="宋体" w:cs="宋体"/>
          <w:sz w:val="28"/>
          <w:szCs w:val="28"/>
          <w:highlight w:val="none"/>
        </w:rPr>
      </w:pPr>
      <w:r>
        <w:rPr>
          <w:highlight w:val="none"/>
        </w:rPr>
        <w:br w:type="page"/>
      </w:r>
      <w:r>
        <w:rPr>
          <w:rFonts w:ascii="宋体" w:hAnsi="宋体" w:cs="宋体"/>
          <w:spacing w:val="-5"/>
          <w:sz w:val="28"/>
          <w:szCs w:val="28"/>
          <w:highlight w:val="none"/>
        </w:rPr>
        <w:t>附件一：合同协议书</w:t>
      </w:r>
    </w:p>
    <w:p>
      <w:pPr>
        <w:spacing w:before="291" w:line="219" w:lineRule="auto"/>
        <w:ind w:left="3480"/>
        <w:rPr>
          <w:rFonts w:ascii="黑体" w:hAnsi="黑体" w:eastAsia="黑体" w:cs="黑体"/>
          <w:sz w:val="28"/>
          <w:szCs w:val="28"/>
          <w:highlight w:val="none"/>
        </w:rPr>
      </w:pPr>
      <w:r>
        <w:rPr>
          <w:rFonts w:ascii="黑体" w:hAnsi="黑体" w:eastAsia="黑体" w:cs="黑体"/>
          <w:spacing w:val="-2"/>
          <w:sz w:val="28"/>
          <w:szCs w:val="28"/>
          <w:highlight w:val="none"/>
        </w:rPr>
        <w:t>合同协议书</w:t>
      </w:r>
    </w:p>
    <w:p>
      <w:pPr>
        <w:pStyle w:val="16"/>
        <w:spacing w:line="321" w:lineRule="auto"/>
        <w:rPr>
          <w:highlight w:val="none"/>
        </w:rPr>
      </w:pPr>
    </w:p>
    <w:p>
      <w:pPr>
        <w:pStyle w:val="16"/>
        <w:spacing w:line="322" w:lineRule="auto"/>
        <w:rPr>
          <w:highlight w:val="none"/>
        </w:rPr>
      </w:pPr>
    </w:p>
    <w:p>
      <w:pPr>
        <w:spacing w:before="68" w:line="468" w:lineRule="exact"/>
        <w:ind w:right="60"/>
        <w:jc w:val="right"/>
        <w:rPr>
          <w:rFonts w:ascii="宋体" w:hAnsi="宋体" w:cs="宋体"/>
          <w:szCs w:val="21"/>
          <w:highlight w:val="none"/>
        </w:rPr>
      </w:pPr>
      <w:r>
        <w:rPr>
          <w:rFonts w:ascii="宋体" w:hAnsi="宋体" w:cs="宋体"/>
          <w:spacing w:val="-2"/>
          <w:position w:val="19"/>
          <w:szCs w:val="21"/>
          <w:highlight w:val="none"/>
        </w:rPr>
        <w:t>（发包人名称，以下简称</w:t>
      </w:r>
      <w:r>
        <w:rPr>
          <w:rFonts w:eastAsia="Calibri" w:cs="Calibri"/>
          <w:spacing w:val="-2"/>
          <w:position w:val="19"/>
          <w:szCs w:val="21"/>
          <w:highlight w:val="none"/>
        </w:rPr>
        <w:t>“</w:t>
      </w:r>
      <w:r>
        <w:rPr>
          <w:rFonts w:ascii="宋体" w:hAnsi="宋体" w:cs="宋体"/>
          <w:spacing w:val="-2"/>
          <w:position w:val="19"/>
          <w:szCs w:val="21"/>
          <w:highlight w:val="none"/>
        </w:rPr>
        <w:t>发包人</w:t>
      </w:r>
      <w:r>
        <w:rPr>
          <w:rFonts w:eastAsia="Calibri" w:cs="Calibri"/>
          <w:spacing w:val="-2"/>
          <w:position w:val="19"/>
          <w:szCs w:val="21"/>
          <w:highlight w:val="none"/>
        </w:rPr>
        <w:t>”</w:t>
      </w:r>
      <w:r>
        <w:rPr>
          <w:rFonts w:eastAsia="Calibri" w:cs="Calibri"/>
          <w:spacing w:val="-19"/>
          <w:position w:val="19"/>
          <w:szCs w:val="21"/>
          <w:highlight w:val="none"/>
        </w:rPr>
        <w:t xml:space="preserve"> </w:t>
      </w:r>
      <w:r>
        <w:rPr>
          <w:rFonts w:ascii="宋体" w:hAnsi="宋体" w:cs="宋体"/>
          <w:spacing w:val="-2"/>
          <w:position w:val="19"/>
          <w:szCs w:val="21"/>
          <w:highlight w:val="none"/>
        </w:rPr>
        <w:t>）为实施（标段</w:t>
      </w:r>
      <w:r>
        <w:rPr>
          <w:rFonts w:ascii="宋体" w:hAnsi="宋体" w:cs="宋体"/>
          <w:spacing w:val="-3"/>
          <w:position w:val="19"/>
          <w:szCs w:val="21"/>
          <w:highlight w:val="none"/>
        </w:rPr>
        <w:t>名称</w:t>
      </w:r>
      <w:r>
        <w:rPr>
          <w:rFonts w:ascii="宋体" w:hAnsi="宋体" w:cs="宋体"/>
          <w:spacing w:val="-29"/>
          <w:position w:val="19"/>
          <w:szCs w:val="21"/>
          <w:highlight w:val="none"/>
        </w:rPr>
        <w:t>），</w:t>
      </w:r>
      <w:r>
        <w:rPr>
          <w:rFonts w:ascii="宋体" w:hAnsi="宋体" w:cs="宋体"/>
          <w:spacing w:val="-3"/>
          <w:position w:val="19"/>
          <w:szCs w:val="21"/>
          <w:highlight w:val="none"/>
        </w:rPr>
        <w:t>已接受（承包人名称，以下</w:t>
      </w:r>
    </w:p>
    <w:p>
      <w:pPr>
        <w:spacing w:before="1" w:line="219" w:lineRule="auto"/>
        <w:ind w:left="24"/>
        <w:rPr>
          <w:rFonts w:ascii="宋体" w:hAnsi="宋体" w:cs="宋体"/>
          <w:szCs w:val="21"/>
          <w:highlight w:val="none"/>
        </w:rPr>
      </w:pPr>
      <w:r>
        <w:rPr>
          <w:rFonts w:ascii="宋体" w:hAnsi="宋体" w:cs="宋体"/>
          <w:spacing w:val="-2"/>
          <w:szCs w:val="21"/>
          <w:highlight w:val="none"/>
        </w:rPr>
        <w:t>简称</w:t>
      </w:r>
      <w:r>
        <w:rPr>
          <w:rFonts w:eastAsia="Calibri" w:cs="Calibri"/>
          <w:spacing w:val="-2"/>
          <w:szCs w:val="21"/>
          <w:highlight w:val="none"/>
        </w:rPr>
        <w:t>“</w:t>
      </w:r>
      <w:r>
        <w:rPr>
          <w:rFonts w:ascii="宋体" w:hAnsi="宋体" w:cs="宋体"/>
          <w:spacing w:val="-2"/>
          <w:szCs w:val="21"/>
          <w:highlight w:val="none"/>
        </w:rPr>
        <w:t>承包人</w:t>
      </w:r>
      <w:r>
        <w:rPr>
          <w:rFonts w:eastAsia="Calibri" w:cs="Calibri"/>
          <w:spacing w:val="-2"/>
          <w:szCs w:val="21"/>
          <w:highlight w:val="none"/>
        </w:rPr>
        <w:t>”</w:t>
      </w:r>
      <w:r>
        <w:rPr>
          <w:rFonts w:eastAsia="Calibri" w:cs="Calibri"/>
          <w:spacing w:val="-8"/>
          <w:szCs w:val="21"/>
          <w:highlight w:val="none"/>
        </w:rPr>
        <w:t xml:space="preserve"> </w:t>
      </w:r>
      <w:r>
        <w:rPr>
          <w:rFonts w:ascii="宋体" w:hAnsi="宋体" w:cs="宋体"/>
          <w:spacing w:val="-2"/>
          <w:szCs w:val="21"/>
          <w:highlight w:val="none"/>
        </w:rPr>
        <w:t>）对该项目的投标。发包人和承包人共同达成如下协议。</w:t>
      </w:r>
    </w:p>
    <w:p>
      <w:pPr>
        <w:spacing w:before="218" w:line="468" w:lineRule="exact"/>
        <w:ind w:left="389"/>
        <w:rPr>
          <w:rFonts w:ascii="宋体" w:hAnsi="宋体" w:cs="宋体"/>
          <w:szCs w:val="21"/>
          <w:highlight w:val="none"/>
        </w:rPr>
      </w:pPr>
      <w:r>
        <w:rPr>
          <w:rFonts w:eastAsia="Calibri" w:cs="Calibri"/>
          <w:spacing w:val="-1"/>
          <w:position w:val="19"/>
          <w:szCs w:val="21"/>
          <w:highlight w:val="none"/>
        </w:rPr>
        <w:t xml:space="preserve">1.  </w:t>
      </w:r>
      <w:r>
        <w:rPr>
          <w:rFonts w:ascii="宋体" w:hAnsi="宋体" w:cs="宋体"/>
          <w:spacing w:val="-1"/>
          <w:position w:val="19"/>
          <w:szCs w:val="21"/>
          <w:highlight w:val="none"/>
        </w:rPr>
        <w:t>本协议书与下列文件一起构成合同文件：</w:t>
      </w:r>
    </w:p>
    <w:p>
      <w:pPr>
        <w:spacing w:before="1" w:line="219" w:lineRule="auto"/>
        <w:ind w:left="744"/>
        <w:rPr>
          <w:rFonts w:ascii="宋体" w:hAnsi="宋体" w:cs="宋体"/>
          <w:szCs w:val="21"/>
          <w:highlight w:val="none"/>
        </w:rPr>
      </w:pPr>
      <w:r>
        <w:rPr>
          <w:rFonts w:ascii="宋体" w:hAnsi="宋体" w:cs="宋体"/>
          <w:spacing w:val="-2"/>
          <w:szCs w:val="21"/>
          <w:highlight w:val="none"/>
        </w:rPr>
        <w:t>（</w:t>
      </w:r>
      <w:r>
        <w:rPr>
          <w:rFonts w:eastAsia="Calibri" w:cs="Calibri"/>
          <w:spacing w:val="-2"/>
          <w:szCs w:val="21"/>
          <w:highlight w:val="none"/>
        </w:rPr>
        <w:t>1</w:t>
      </w:r>
      <w:r>
        <w:rPr>
          <w:rFonts w:ascii="宋体" w:hAnsi="宋体" w:cs="宋体"/>
          <w:spacing w:val="-2"/>
          <w:szCs w:val="21"/>
          <w:highlight w:val="none"/>
        </w:rPr>
        <w:t>）中标通知书；</w:t>
      </w:r>
    </w:p>
    <w:p>
      <w:pPr>
        <w:spacing w:before="218" w:line="468" w:lineRule="exact"/>
        <w:ind w:left="744"/>
        <w:rPr>
          <w:rFonts w:ascii="宋体" w:hAnsi="宋体" w:cs="宋体"/>
          <w:szCs w:val="21"/>
          <w:highlight w:val="none"/>
        </w:rPr>
      </w:pPr>
      <w:r>
        <w:rPr>
          <w:rFonts w:ascii="宋体" w:hAnsi="宋体" w:cs="宋体"/>
          <w:spacing w:val="-1"/>
          <w:position w:val="19"/>
          <w:szCs w:val="21"/>
          <w:highlight w:val="none"/>
        </w:rPr>
        <w:t>（</w:t>
      </w:r>
      <w:r>
        <w:rPr>
          <w:rFonts w:eastAsia="Calibri" w:cs="Calibri"/>
          <w:spacing w:val="-1"/>
          <w:position w:val="19"/>
          <w:szCs w:val="21"/>
          <w:highlight w:val="none"/>
        </w:rPr>
        <w:t>2</w:t>
      </w:r>
      <w:r>
        <w:rPr>
          <w:rFonts w:ascii="宋体" w:hAnsi="宋体" w:cs="宋体"/>
          <w:spacing w:val="-1"/>
          <w:position w:val="19"/>
          <w:szCs w:val="21"/>
          <w:highlight w:val="none"/>
        </w:rPr>
        <w:t>）投标函及投标函附录；</w:t>
      </w:r>
    </w:p>
    <w:p>
      <w:pPr>
        <w:spacing w:before="1" w:line="220" w:lineRule="auto"/>
        <w:ind w:left="744"/>
        <w:rPr>
          <w:rFonts w:ascii="宋体" w:hAnsi="宋体" w:cs="宋体"/>
          <w:szCs w:val="21"/>
          <w:highlight w:val="none"/>
        </w:rPr>
      </w:pPr>
      <w:r>
        <w:rPr>
          <w:rFonts w:ascii="宋体" w:hAnsi="宋体" w:cs="宋体"/>
          <w:spacing w:val="-4"/>
          <w:szCs w:val="21"/>
          <w:highlight w:val="none"/>
        </w:rPr>
        <w:t>（</w:t>
      </w:r>
      <w:r>
        <w:rPr>
          <w:rFonts w:eastAsia="Calibri" w:cs="Calibri"/>
          <w:spacing w:val="-4"/>
          <w:szCs w:val="21"/>
          <w:highlight w:val="none"/>
        </w:rPr>
        <w:t>3</w:t>
      </w:r>
      <w:r>
        <w:rPr>
          <w:rFonts w:ascii="宋体" w:hAnsi="宋体" w:cs="宋体"/>
          <w:spacing w:val="-4"/>
          <w:szCs w:val="21"/>
          <w:highlight w:val="none"/>
        </w:rPr>
        <w:t>）专用合同条款；</w:t>
      </w:r>
    </w:p>
    <w:p>
      <w:pPr>
        <w:spacing w:before="217" w:line="221" w:lineRule="auto"/>
        <w:ind w:left="744"/>
        <w:rPr>
          <w:rFonts w:ascii="宋体" w:hAnsi="宋体" w:cs="宋体"/>
          <w:szCs w:val="21"/>
          <w:highlight w:val="none"/>
        </w:rPr>
      </w:pPr>
      <w:r>
        <w:rPr>
          <w:rFonts w:ascii="宋体" w:hAnsi="宋体" w:cs="宋体"/>
          <w:spacing w:val="-4"/>
          <w:szCs w:val="21"/>
          <w:highlight w:val="none"/>
        </w:rPr>
        <w:t>（</w:t>
      </w:r>
      <w:r>
        <w:rPr>
          <w:rFonts w:eastAsia="Calibri" w:cs="Calibri"/>
          <w:spacing w:val="-4"/>
          <w:szCs w:val="21"/>
          <w:highlight w:val="none"/>
        </w:rPr>
        <w:t>4</w:t>
      </w:r>
      <w:r>
        <w:rPr>
          <w:rFonts w:ascii="宋体" w:hAnsi="宋体" w:cs="宋体"/>
          <w:spacing w:val="-4"/>
          <w:szCs w:val="21"/>
          <w:highlight w:val="none"/>
        </w:rPr>
        <w:t>）通用合同条款；</w:t>
      </w:r>
    </w:p>
    <w:p>
      <w:pPr>
        <w:spacing w:before="217" w:line="468" w:lineRule="exact"/>
        <w:ind w:left="744"/>
        <w:rPr>
          <w:rFonts w:ascii="宋体" w:hAnsi="宋体" w:cs="宋体"/>
          <w:szCs w:val="21"/>
          <w:highlight w:val="none"/>
        </w:rPr>
      </w:pPr>
      <w:r>
        <w:rPr>
          <w:rFonts w:ascii="宋体" w:hAnsi="宋体" w:cs="宋体"/>
          <w:spacing w:val="-2"/>
          <w:position w:val="19"/>
          <w:szCs w:val="21"/>
          <w:highlight w:val="none"/>
        </w:rPr>
        <w:t>（</w:t>
      </w:r>
      <w:r>
        <w:rPr>
          <w:rFonts w:eastAsia="Calibri" w:cs="Calibri"/>
          <w:spacing w:val="-2"/>
          <w:position w:val="19"/>
          <w:szCs w:val="21"/>
          <w:highlight w:val="none"/>
        </w:rPr>
        <w:t>5</w:t>
      </w:r>
      <w:r>
        <w:rPr>
          <w:rFonts w:ascii="宋体" w:hAnsi="宋体" w:cs="宋体"/>
          <w:spacing w:val="-2"/>
          <w:position w:val="19"/>
          <w:szCs w:val="21"/>
          <w:highlight w:val="none"/>
        </w:rPr>
        <w:t>）技术标准和要求；</w:t>
      </w:r>
    </w:p>
    <w:p>
      <w:pPr>
        <w:spacing w:line="222" w:lineRule="auto"/>
        <w:ind w:left="744"/>
        <w:rPr>
          <w:rFonts w:ascii="宋体" w:hAnsi="宋体" w:cs="宋体"/>
          <w:szCs w:val="21"/>
          <w:highlight w:val="none"/>
        </w:rPr>
      </w:pPr>
      <w:r>
        <w:rPr>
          <w:rFonts w:ascii="宋体" w:hAnsi="宋体" w:cs="宋体"/>
          <w:spacing w:val="-8"/>
          <w:szCs w:val="21"/>
          <w:highlight w:val="none"/>
        </w:rPr>
        <w:t>（</w:t>
      </w:r>
      <w:r>
        <w:rPr>
          <w:rFonts w:eastAsia="Calibri" w:cs="Calibri"/>
          <w:spacing w:val="-8"/>
          <w:szCs w:val="21"/>
          <w:highlight w:val="none"/>
        </w:rPr>
        <w:t>6</w:t>
      </w:r>
      <w:r>
        <w:rPr>
          <w:rFonts w:ascii="宋体" w:hAnsi="宋体" w:cs="宋体"/>
          <w:spacing w:val="-8"/>
          <w:szCs w:val="21"/>
          <w:highlight w:val="none"/>
        </w:rPr>
        <w:t>）图纸；</w:t>
      </w:r>
    </w:p>
    <w:p>
      <w:pPr>
        <w:spacing w:before="215" w:line="468" w:lineRule="exact"/>
        <w:ind w:left="744"/>
        <w:rPr>
          <w:rFonts w:ascii="宋体" w:hAnsi="宋体" w:cs="宋体"/>
          <w:szCs w:val="21"/>
          <w:highlight w:val="none"/>
        </w:rPr>
      </w:pPr>
      <w:r>
        <w:rPr>
          <w:rFonts w:ascii="宋体" w:hAnsi="宋体" w:cs="宋体"/>
          <w:spacing w:val="-4"/>
          <w:position w:val="19"/>
          <w:szCs w:val="21"/>
          <w:highlight w:val="none"/>
        </w:rPr>
        <w:t>（</w:t>
      </w:r>
      <w:r>
        <w:rPr>
          <w:rFonts w:eastAsia="Calibri" w:cs="Calibri"/>
          <w:spacing w:val="-4"/>
          <w:position w:val="19"/>
          <w:szCs w:val="21"/>
          <w:highlight w:val="none"/>
        </w:rPr>
        <w:t>7</w:t>
      </w:r>
      <w:r>
        <w:rPr>
          <w:rFonts w:ascii="宋体" w:hAnsi="宋体" w:cs="宋体"/>
          <w:spacing w:val="-4"/>
          <w:position w:val="19"/>
          <w:szCs w:val="21"/>
          <w:highlight w:val="none"/>
        </w:rPr>
        <w:t>）已标价工程量清单；</w:t>
      </w:r>
    </w:p>
    <w:p>
      <w:pPr>
        <w:spacing w:before="1" w:line="220" w:lineRule="auto"/>
        <w:ind w:left="744"/>
        <w:rPr>
          <w:rFonts w:ascii="宋体" w:hAnsi="宋体" w:cs="宋体"/>
          <w:szCs w:val="21"/>
          <w:highlight w:val="none"/>
        </w:rPr>
      </w:pPr>
      <w:r>
        <w:rPr>
          <w:rFonts w:ascii="宋体" w:hAnsi="宋体" w:cs="宋体"/>
          <w:spacing w:val="-3"/>
          <w:szCs w:val="21"/>
          <w:highlight w:val="none"/>
        </w:rPr>
        <w:t>（</w:t>
      </w:r>
      <w:r>
        <w:rPr>
          <w:rFonts w:eastAsia="Calibri" w:cs="Calibri"/>
          <w:spacing w:val="-3"/>
          <w:szCs w:val="21"/>
          <w:highlight w:val="none"/>
        </w:rPr>
        <w:t>8</w:t>
      </w:r>
      <w:r>
        <w:rPr>
          <w:rFonts w:ascii="宋体" w:hAnsi="宋体" w:cs="宋体"/>
          <w:spacing w:val="-3"/>
          <w:szCs w:val="21"/>
          <w:highlight w:val="none"/>
        </w:rPr>
        <w:t>）其他合同文件。</w:t>
      </w:r>
    </w:p>
    <w:p>
      <w:pPr>
        <w:spacing w:before="217" w:line="468" w:lineRule="exact"/>
        <w:jc w:val="right"/>
        <w:rPr>
          <w:rFonts w:ascii="宋体" w:hAnsi="宋体" w:cs="宋体"/>
          <w:szCs w:val="21"/>
          <w:highlight w:val="none"/>
        </w:rPr>
      </w:pPr>
      <w:r>
        <w:rPr>
          <w:rFonts w:eastAsia="Calibri" w:cs="Calibri"/>
          <w:spacing w:val="-4"/>
          <w:position w:val="19"/>
          <w:szCs w:val="21"/>
          <w:highlight w:val="none"/>
        </w:rPr>
        <w:t xml:space="preserve">2.  </w:t>
      </w:r>
      <w:r>
        <w:rPr>
          <w:rFonts w:ascii="宋体" w:hAnsi="宋体" w:cs="宋体"/>
          <w:spacing w:val="-4"/>
          <w:position w:val="19"/>
          <w:szCs w:val="21"/>
          <w:highlight w:val="none"/>
        </w:rPr>
        <w:t>上述文件互相补充和解释，如有不明确或不一致之处，</w:t>
      </w:r>
      <w:r>
        <w:rPr>
          <w:rFonts w:ascii="宋体" w:hAnsi="宋体" w:cs="宋体"/>
          <w:spacing w:val="29"/>
          <w:position w:val="19"/>
          <w:szCs w:val="21"/>
          <w:highlight w:val="none"/>
        </w:rPr>
        <w:t xml:space="preserve"> </w:t>
      </w:r>
      <w:r>
        <w:rPr>
          <w:rFonts w:ascii="宋体" w:hAnsi="宋体" w:cs="宋体"/>
          <w:spacing w:val="-4"/>
          <w:position w:val="19"/>
          <w:szCs w:val="21"/>
          <w:highlight w:val="none"/>
        </w:rPr>
        <w:t>以合同约定次序在先者为准。</w:t>
      </w:r>
    </w:p>
    <w:p>
      <w:pPr>
        <w:spacing w:line="219" w:lineRule="auto"/>
        <w:ind w:left="382"/>
        <w:rPr>
          <w:rFonts w:ascii="宋体" w:hAnsi="宋体" w:cs="宋体"/>
          <w:szCs w:val="21"/>
          <w:highlight w:val="none"/>
        </w:rPr>
      </w:pPr>
      <w:r>
        <w:rPr>
          <w:rFonts w:eastAsia="Calibri" w:cs="Calibri"/>
          <w:spacing w:val="-1"/>
          <w:szCs w:val="21"/>
          <w:highlight w:val="none"/>
        </w:rPr>
        <w:t xml:space="preserve">3.  </w:t>
      </w:r>
      <w:r>
        <w:rPr>
          <w:rFonts w:ascii="宋体" w:hAnsi="宋体" w:cs="宋体"/>
          <w:spacing w:val="-1"/>
          <w:szCs w:val="21"/>
          <w:highlight w:val="none"/>
        </w:rPr>
        <w:t>签约合同价：人民币（大写）(</w:t>
      </w:r>
      <w:r>
        <w:rPr>
          <w:rFonts w:eastAsia="Calibri" w:cs="Calibri"/>
          <w:spacing w:val="-1"/>
          <w:szCs w:val="21"/>
          <w:highlight w:val="none"/>
        </w:rPr>
        <w:t>¥</w:t>
      </w:r>
      <w:r>
        <w:rPr>
          <w:rFonts w:ascii="宋体" w:hAnsi="宋体" w:cs="宋体"/>
          <w:spacing w:val="-1"/>
          <w:szCs w:val="21"/>
          <w:highlight w:val="none"/>
        </w:rPr>
        <w:t>)。</w:t>
      </w:r>
    </w:p>
    <w:p>
      <w:pPr>
        <w:spacing w:before="219" w:line="222" w:lineRule="auto"/>
        <w:ind w:left="376"/>
        <w:rPr>
          <w:rFonts w:ascii="宋体" w:hAnsi="宋体" w:cs="宋体"/>
          <w:szCs w:val="21"/>
          <w:highlight w:val="none"/>
        </w:rPr>
      </w:pPr>
      <w:r>
        <w:rPr>
          <w:rFonts w:eastAsia="Calibri" w:cs="Calibri"/>
          <w:spacing w:val="-19"/>
          <w:szCs w:val="21"/>
          <w:highlight w:val="none"/>
        </w:rPr>
        <w:t>4.</w:t>
      </w:r>
      <w:r>
        <w:rPr>
          <w:rFonts w:eastAsia="Calibri" w:cs="Calibri"/>
          <w:spacing w:val="10"/>
          <w:szCs w:val="21"/>
          <w:highlight w:val="none"/>
        </w:rPr>
        <w:t xml:space="preserve">  </w:t>
      </w:r>
      <w:r>
        <w:rPr>
          <w:rFonts w:ascii="宋体" w:hAnsi="宋体" w:cs="宋体"/>
          <w:spacing w:val="-19"/>
          <w:szCs w:val="21"/>
          <w:highlight w:val="none"/>
        </w:rPr>
        <w:t>合同形式：。</w:t>
      </w:r>
    </w:p>
    <w:p>
      <w:pPr>
        <w:spacing w:before="215" w:line="221" w:lineRule="auto"/>
        <w:ind w:left="382"/>
        <w:rPr>
          <w:rFonts w:ascii="宋体" w:hAnsi="宋体" w:cs="宋体"/>
          <w:szCs w:val="21"/>
          <w:highlight w:val="none"/>
        </w:rPr>
      </w:pPr>
      <w:r>
        <w:rPr>
          <w:rFonts w:eastAsia="Calibri" w:cs="Calibri"/>
          <w:spacing w:val="-6"/>
          <w:szCs w:val="21"/>
          <w:highlight w:val="none"/>
        </w:rPr>
        <w:t xml:space="preserve">5.  </w:t>
      </w:r>
      <w:r>
        <w:rPr>
          <w:rFonts w:ascii="宋体" w:hAnsi="宋体" w:cs="宋体"/>
          <w:spacing w:val="-6"/>
          <w:szCs w:val="21"/>
          <w:highlight w:val="none"/>
        </w:rPr>
        <w:t>计划开工日期：</w:t>
      </w:r>
      <w:r>
        <w:rPr>
          <w:rFonts w:ascii="宋体" w:hAnsi="宋体" w:cs="宋体"/>
          <w:spacing w:val="-14"/>
          <w:szCs w:val="21"/>
          <w:highlight w:val="none"/>
        </w:rPr>
        <w:t xml:space="preserve"> </w:t>
      </w:r>
      <w:r>
        <w:rPr>
          <w:rFonts w:ascii="宋体" w:hAnsi="宋体" w:cs="宋体"/>
          <w:spacing w:val="-6"/>
          <w:szCs w:val="21"/>
          <w:highlight w:val="none"/>
        </w:rPr>
        <w:t>年月日；</w:t>
      </w:r>
    </w:p>
    <w:p>
      <w:pPr>
        <w:spacing w:before="217" w:line="468" w:lineRule="exact"/>
        <w:ind w:left="651"/>
        <w:rPr>
          <w:rFonts w:ascii="宋体" w:hAnsi="宋体" w:cs="宋体"/>
          <w:szCs w:val="21"/>
          <w:highlight w:val="none"/>
        </w:rPr>
      </w:pPr>
      <w:r>
        <w:rPr>
          <w:rFonts w:ascii="宋体" w:hAnsi="宋体" w:cs="宋体"/>
          <w:spacing w:val="-19"/>
          <w:position w:val="19"/>
          <w:szCs w:val="21"/>
          <w:highlight w:val="none"/>
        </w:rPr>
        <w:t>计划竣工日期： 年月日；</w:t>
      </w:r>
      <w:r>
        <w:rPr>
          <w:rFonts w:ascii="宋体" w:hAnsi="宋体" w:cs="宋体"/>
          <w:spacing w:val="-12"/>
          <w:position w:val="19"/>
          <w:szCs w:val="21"/>
          <w:highlight w:val="none"/>
        </w:rPr>
        <w:t xml:space="preserve"> </w:t>
      </w:r>
      <w:r>
        <w:rPr>
          <w:rFonts w:ascii="宋体" w:hAnsi="宋体" w:cs="宋体"/>
          <w:spacing w:val="-19"/>
          <w:position w:val="19"/>
          <w:szCs w:val="21"/>
          <w:highlight w:val="none"/>
        </w:rPr>
        <w:t>工期：</w:t>
      </w:r>
      <w:r>
        <w:rPr>
          <w:rFonts w:ascii="宋体" w:hAnsi="宋体" w:cs="宋体"/>
          <w:spacing w:val="38"/>
          <w:position w:val="19"/>
          <w:szCs w:val="21"/>
          <w:highlight w:val="none"/>
        </w:rPr>
        <w:t xml:space="preserve"> </w:t>
      </w:r>
      <w:r>
        <w:rPr>
          <w:rFonts w:ascii="宋体" w:hAnsi="宋体" w:cs="宋体"/>
          <w:spacing w:val="-19"/>
          <w:position w:val="19"/>
          <w:szCs w:val="21"/>
          <w:highlight w:val="none"/>
        </w:rPr>
        <w:t>日历天。</w:t>
      </w:r>
    </w:p>
    <w:p>
      <w:pPr>
        <w:spacing w:before="1" w:line="220" w:lineRule="auto"/>
        <w:ind w:left="383"/>
        <w:rPr>
          <w:rFonts w:ascii="宋体" w:hAnsi="宋体" w:cs="宋体"/>
          <w:szCs w:val="21"/>
          <w:highlight w:val="none"/>
        </w:rPr>
      </w:pPr>
      <w:r>
        <w:rPr>
          <w:rFonts w:eastAsia="Calibri" w:cs="Calibri"/>
          <w:spacing w:val="-14"/>
          <w:szCs w:val="21"/>
          <w:highlight w:val="none"/>
        </w:rPr>
        <w:t>6.</w:t>
      </w:r>
      <w:r>
        <w:rPr>
          <w:rFonts w:eastAsia="Calibri" w:cs="Calibri"/>
          <w:spacing w:val="9"/>
          <w:szCs w:val="21"/>
          <w:highlight w:val="none"/>
        </w:rPr>
        <w:t xml:space="preserve">  </w:t>
      </w:r>
      <w:r>
        <w:rPr>
          <w:rFonts w:ascii="宋体" w:hAnsi="宋体" w:cs="宋体"/>
          <w:spacing w:val="-14"/>
          <w:szCs w:val="21"/>
          <w:highlight w:val="none"/>
        </w:rPr>
        <w:t>承包人项目经理：。</w:t>
      </w:r>
    </w:p>
    <w:p>
      <w:pPr>
        <w:spacing w:before="217" w:line="221" w:lineRule="auto"/>
        <w:ind w:left="382"/>
        <w:rPr>
          <w:rFonts w:ascii="宋体" w:hAnsi="宋体" w:cs="宋体"/>
          <w:szCs w:val="21"/>
          <w:highlight w:val="none"/>
        </w:rPr>
      </w:pPr>
      <w:r>
        <w:rPr>
          <w:rFonts w:eastAsia="Calibri" w:cs="Calibri"/>
          <w:spacing w:val="-4"/>
          <w:szCs w:val="21"/>
          <w:highlight w:val="none"/>
        </w:rPr>
        <w:t>7.</w:t>
      </w:r>
      <w:r>
        <w:rPr>
          <w:rFonts w:eastAsia="Calibri" w:cs="Calibri"/>
          <w:spacing w:val="15"/>
          <w:szCs w:val="21"/>
          <w:highlight w:val="none"/>
        </w:rPr>
        <w:t xml:space="preserve">  </w:t>
      </w:r>
      <w:r>
        <w:rPr>
          <w:rFonts w:ascii="宋体" w:hAnsi="宋体" w:cs="宋体"/>
          <w:spacing w:val="-4"/>
          <w:szCs w:val="21"/>
          <w:highlight w:val="none"/>
        </w:rPr>
        <w:t>工程质量符合标准。</w:t>
      </w:r>
    </w:p>
    <w:p>
      <w:pPr>
        <w:spacing w:before="216" w:line="221" w:lineRule="auto"/>
        <w:ind w:left="380"/>
        <w:rPr>
          <w:rFonts w:ascii="宋体" w:hAnsi="宋体" w:cs="宋体"/>
          <w:szCs w:val="21"/>
          <w:highlight w:val="none"/>
        </w:rPr>
      </w:pPr>
      <w:r>
        <w:rPr>
          <w:rFonts w:eastAsia="Calibri" w:cs="Calibri"/>
          <w:szCs w:val="21"/>
          <w:highlight w:val="none"/>
        </w:rPr>
        <w:t xml:space="preserve">8.  </w:t>
      </w:r>
      <w:r>
        <w:rPr>
          <w:rFonts w:ascii="宋体" w:hAnsi="宋体" w:cs="宋体"/>
          <w:szCs w:val="21"/>
          <w:highlight w:val="none"/>
        </w:rPr>
        <w:t>承包人承诺按合同约定承担工程的施工、</w:t>
      </w:r>
      <w:r>
        <w:rPr>
          <w:rFonts w:ascii="宋体" w:hAnsi="宋体" w:cs="宋体"/>
          <w:spacing w:val="-1"/>
          <w:szCs w:val="21"/>
          <w:highlight w:val="none"/>
        </w:rPr>
        <w:t>竣工交付及缺陷修复。</w:t>
      </w:r>
    </w:p>
    <w:p>
      <w:pPr>
        <w:spacing w:before="217" w:line="469" w:lineRule="exact"/>
        <w:ind w:left="380"/>
        <w:rPr>
          <w:rFonts w:ascii="宋体" w:hAnsi="宋体" w:cs="宋体"/>
          <w:szCs w:val="21"/>
          <w:highlight w:val="none"/>
        </w:rPr>
      </w:pPr>
      <w:r>
        <w:rPr>
          <w:rFonts w:eastAsia="Calibri" w:cs="Calibri"/>
          <w:position w:val="19"/>
          <w:szCs w:val="21"/>
          <w:highlight w:val="none"/>
        </w:rPr>
        <w:t xml:space="preserve">9.  </w:t>
      </w:r>
      <w:r>
        <w:rPr>
          <w:rFonts w:ascii="宋体" w:hAnsi="宋体" w:cs="宋体"/>
          <w:position w:val="19"/>
          <w:szCs w:val="21"/>
          <w:highlight w:val="none"/>
        </w:rPr>
        <w:t>发包人承诺按合同约定的条件、时间和方式向</w:t>
      </w:r>
      <w:r>
        <w:rPr>
          <w:rFonts w:ascii="宋体" w:hAnsi="宋体" w:cs="宋体"/>
          <w:spacing w:val="-1"/>
          <w:position w:val="19"/>
          <w:szCs w:val="21"/>
          <w:highlight w:val="none"/>
        </w:rPr>
        <w:t>承包人支付合同价款。</w:t>
      </w:r>
    </w:p>
    <w:p>
      <w:pPr>
        <w:spacing w:before="1" w:line="219" w:lineRule="auto"/>
        <w:ind w:left="389"/>
        <w:rPr>
          <w:rFonts w:ascii="宋体" w:hAnsi="宋体" w:cs="宋体"/>
          <w:szCs w:val="21"/>
          <w:highlight w:val="none"/>
        </w:rPr>
      </w:pPr>
      <w:r>
        <w:rPr>
          <w:rFonts w:eastAsia="Calibri" w:cs="Calibri"/>
          <w:spacing w:val="-6"/>
          <w:szCs w:val="21"/>
          <w:highlight w:val="none"/>
        </w:rPr>
        <w:t>10.</w:t>
      </w:r>
      <w:r>
        <w:rPr>
          <w:rFonts w:ascii="宋体" w:hAnsi="宋体" w:cs="宋体"/>
          <w:spacing w:val="-6"/>
          <w:szCs w:val="21"/>
          <w:highlight w:val="none"/>
        </w:rPr>
        <w:t>本协议书一式份， 合同双方各执份。</w:t>
      </w:r>
    </w:p>
    <w:p>
      <w:pPr>
        <w:spacing w:before="217" w:line="221" w:lineRule="auto"/>
        <w:ind w:left="389"/>
        <w:rPr>
          <w:rFonts w:ascii="宋体" w:hAnsi="宋体" w:cs="宋体"/>
          <w:szCs w:val="21"/>
          <w:highlight w:val="none"/>
        </w:rPr>
      </w:pPr>
      <w:r>
        <w:rPr>
          <w:rFonts w:eastAsia="Calibri" w:cs="Calibri"/>
          <w:spacing w:val="-1"/>
          <w:szCs w:val="21"/>
          <w:highlight w:val="none"/>
        </w:rPr>
        <w:t xml:space="preserve">11.  </w:t>
      </w:r>
      <w:r>
        <w:rPr>
          <w:rFonts w:ascii="宋体" w:hAnsi="宋体" w:cs="宋体"/>
          <w:spacing w:val="-1"/>
          <w:szCs w:val="21"/>
          <w:highlight w:val="none"/>
        </w:rPr>
        <w:t>合同未尽事宜，双方另行签订补充协议。补充协议是合同的组成部分。</w:t>
      </w:r>
    </w:p>
    <w:p>
      <w:pPr>
        <w:pStyle w:val="16"/>
        <w:spacing w:line="306" w:lineRule="auto"/>
        <w:rPr>
          <w:highlight w:val="none"/>
        </w:rPr>
      </w:pPr>
    </w:p>
    <w:p>
      <w:pPr>
        <w:pStyle w:val="16"/>
        <w:spacing w:line="306" w:lineRule="auto"/>
        <w:rPr>
          <w:highlight w:val="none"/>
        </w:rPr>
      </w:pPr>
    </w:p>
    <w:p>
      <w:pPr>
        <w:spacing w:before="69" w:line="220" w:lineRule="auto"/>
        <w:ind w:left="23"/>
        <w:rPr>
          <w:rFonts w:ascii="宋体" w:hAnsi="宋体" w:cs="宋体"/>
          <w:szCs w:val="21"/>
          <w:highlight w:val="none"/>
        </w:rPr>
      </w:pPr>
      <w:r>
        <w:rPr>
          <w:rFonts w:ascii="宋体" w:hAnsi="宋体" w:cs="宋体"/>
          <w:spacing w:val="-2"/>
          <w:szCs w:val="21"/>
          <w:highlight w:val="none"/>
        </w:rPr>
        <w:t>发包人</w:t>
      </w:r>
      <w:r>
        <w:rPr>
          <w:rFonts w:ascii="宋体" w:hAnsi="宋体" w:cs="宋体"/>
          <w:spacing w:val="-47"/>
          <w:szCs w:val="21"/>
          <w:highlight w:val="none"/>
        </w:rPr>
        <w:t>：（</w:t>
      </w:r>
      <w:r>
        <w:rPr>
          <w:rFonts w:ascii="宋体" w:hAnsi="宋体" w:cs="宋体"/>
          <w:spacing w:val="-2"/>
          <w:szCs w:val="21"/>
          <w:highlight w:val="none"/>
        </w:rPr>
        <w:t>盖单位章）承包人</w:t>
      </w:r>
      <w:r>
        <w:rPr>
          <w:rFonts w:ascii="宋体" w:hAnsi="宋体" w:cs="宋体"/>
          <w:spacing w:val="-47"/>
          <w:szCs w:val="21"/>
          <w:highlight w:val="none"/>
        </w:rPr>
        <w:t>：（</w:t>
      </w:r>
      <w:r>
        <w:rPr>
          <w:rFonts w:ascii="宋体" w:hAnsi="宋体" w:cs="宋体"/>
          <w:spacing w:val="-2"/>
          <w:szCs w:val="21"/>
          <w:highlight w:val="none"/>
        </w:rPr>
        <w:t>盖单位章）</w:t>
      </w:r>
    </w:p>
    <w:p>
      <w:pPr>
        <w:spacing w:before="218" w:line="468" w:lineRule="exact"/>
        <w:ind w:left="21"/>
        <w:rPr>
          <w:rFonts w:ascii="宋体" w:hAnsi="宋体" w:cs="宋体"/>
          <w:szCs w:val="21"/>
          <w:highlight w:val="none"/>
        </w:rPr>
      </w:pPr>
      <w:r>
        <w:rPr>
          <w:rFonts w:ascii="宋体" w:hAnsi="宋体" w:cs="宋体"/>
          <w:spacing w:val="-4"/>
          <w:position w:val="19"/>
          <w:szCs w:val="21"/>
          <w:highlight w:val="none"/>
        </w:rPr>
        <w:t>法定代表人或其委托代理人</w:t>
      </w:r>
      <w:r>
        <w:rPr>
          <w:rFonts w:ascii="宋体" w:hAnsi="宋体" w:cs="宋体"/>
          <w:spacing w:val="-27"/>
          <w:position w:val="19"/>
          <w:szCs w:val="21"/>
          <w:highlight w:val="none"/>
        </w:rPr>
        <w:t>：（</w:t>
      </w:r>
      <w:r>
        <w:rPr>
          <w:rFonts w:ascii="宋体" w:hAnsi="宋体" w:cs="宋体"/>
          <w:spacing w:val="-4"/>
          <w:position w:val="19"/>
          <w:szCs w:val="21"/>
          <w:highlight w:val="none"/>
        </w:rPr>
        <w:t>签字）法定代表人或其委托代理人</w:t>
      </w:r>
      <w:r>
        <w:rPr>
          <w:rFonts w:ascii="宋体" w:hAnsi="宋体" w:cs="宋体"/>
          <w:spacing w:val="-27"/>
          <w:position w:val="19"/>
          <w:szCs w:val="21"/>
          <w:highlight w:val="none"/>
        </w:rPr>
        <w:t>：（</w:t>
      </w:r>
      <w:r>
        <w:rPr>
          <w:rFonts w:ascii="宋体" w:hAnsi="宋体" w:cs="宋体"/>
          <w:spacing w:val="-4"/>
          <w:position w:val="19"/>
          <w:szCs w:val="21"/>
          <w:highlight w:val="none"/>
        </w:rPr>
        <w:t>签字）</w:t>
      </w:r>
    </w:p>
    <w:p>
      <w:pPr>
        <w:spacing w:before="1" w:line="220" w:lineRule="auto"/>
        <w:ind w:left="21"/>
        <w:rPr>
          <w:rFonts w:ascii="宋体" w:hAnsi="宋体" w:cs="宋体"/>
          <w:szCs w:val="21"/>
          <w:highlight w:val="none"/>
        </w:rPr>
      </w:pPr>
      <w:r>
        <w:rPr>
          <w:rFonts w:ascii="宋体" w:hAnsi="宋体" w:cs="宋体"/>
          <w:spacing w:val="-1"/>
          <w:szCs w:val="21"/>
          <w:highlight w:val="none"/>
        </w:rPr>
        <w:t>年月日年月日</w:t>
      </w:r>
    </w:p>
    <w:p>
      <w:pPr>
        <w:spacing w:line="220" w:lineRule="auto"/>
        <w:rPr>
          <w:rFonts w:ascii="宋体" w:hAnsi="宋体" w:cs="宋体"/>
          <w:szCs w:val="21"/>
          <w:highlight w:val="none"/>
        </w:rPr>
        <w:sectPr>
          <w:pgSz w:w="11907" w:h="16839"/>
          <w:pgMar w:top="400" w:right="1740" w:bottom="400" w:left="1785" w:header="0" w:footer="0" w:gutter="0"/>
          <w:cols w:space="720" w:num="1"/>
        </w:sectPr>
      </w:pPr>
    </w:p>
    <w:p>
      <w:pPr>
        <w:spacing w:before="91" w:line="219" w:lineRule="auto"/>
        <w:ind w:left="44"/>
        <w:rPr>
          <w:rFonts w:ascii="宋体" w:hAnsi="宋体" w:cs="宋体"/>
          <w:sz w:val="28"/>
          <w:szCs w:val="28"/>
          <w:highlight w:val="none"/>
        </w:rPr>
      </w:pPr>
      <w:r>
        <w:rPr>
          <w:rFonts w:ascii="宋体" w:hAnsi="宋体" w:cs="宋体"/>
          <w:spacing w:val="-4"/>
          <w:sz w:val="28"/>
          <w:szCs w:val="28"/>
          <w:highlight w:val="none"/>
        </w:rPr>
        <w:t>附件二：履约担保格式</w:t>
      </w:r>
    </w:p>
    <w:p>
      <w:pPr>
        <w:spacing w:before="91" w:line="219" w:lineRule="auto"/>
        <w:ind w:left="3617"/>
        <w:rPr>
          <w:rFonts w:ascii="黑体" w:hAnsi="黑体" w:eastAsia="黑体" w:cs="黑体"/>
          <w:sz w:val="28"/>
          <w:szCs w:val="28"/>
          <w:highlight w:val="none"/>
        </w:rPr>
      </w:pPr>
      <w:r>
        <w:rPr>
          <w:rFonts w:ascii="黑体" w:hAnsi="黑体" w:eastAsia="黑体" w:cs="黑体"/>
          <w:spacing w:val="-2"/>
          <w:sz w:val="28"/>
          <w:szCs w:val="28"/>
          <w:highlight w:val="none"/>
        </w:rPr>
        <w:t>履约担保</w:t>
      </w:r>
    </w:p>
    <w:p>
      <w:pPr>
        <w:tabs>
          <w:tab w:val="left" w:pos="851"/>
        </w:tabs>
        <w:spacing w:before="68" w:line="221" w:lineRule="auto"/>
        <w:ind w:left="12"/>
        <w:rPr>
          <w:rFonts w:ascii="宋体" w:hAnsi="宋体" w:cs="宋体"/>
          <w:szCs w:val="21"/>
          <w:highlight w:val="none"/>
        </w:rPr>
      </w:pPr>
      <w:r>
        <w:rPr>
          <w:rFonts w:ascii="宋体" w:hAnsi="宋体" w:cs="宋体"/>
          <w:szCs w:val="21"/>
          <w:highlight w:val="none"/>
          <w:u w:val="single"/>
        </w:rPr>
        <w:tab/>
      </w:r>
      <w:r>
        <w:rPr>
          <w:rFonts w:ascii="宋体" w:hAnsi="宋体" w:cs="宋体"/>
          <w:spacing w:val="57"/>
          <w:szCs w:val="21"/>
          <w:highlight w:val="none"/>
        </w:rPr>
        <w:t xml:space="preserve"> </w:t>
      </w:r>
      <w:r>
        <w:rPr>
          <w:rFonts w:ascii="宋体" w:hAnsi="宋体" w:cs="宋体"/>
          <w:spacing w:val="-23"/>
          <w:szCs w:val="21"/>
          <w:highlight w:val="none"/>
        </w:rPr>
        <w:t>（发包人名称</w:t>
      </w:r>
      <w:r>
        <w:rPr>
          <w:rFonts w:ascii="宋体" w:hAnsi="宋体" w:cs="宋体"/>
          <w:spacing w:val="-18"/>
          <w:szCs w:val="21"/>
          <w:highlight w:val="none"/>
        </w:rPr>
        <w:t>）：</w:t>
      </w:r>
    </w:p>
    <w:p>
      <w:pPr>
        <w:pStyle w:val="16"/>
        <w:spacing w:line="306" w:lineRule="auto"/>
        <w:rPr>
          <w:highlight w:val="none"/>
        </w:rPr>
      </w:pPr>
    </w:p>
    <w:p>
      <w:pPr>
        <w:pStyle w:val="16"/>
        <w:spacing w:line="306" w:lineRule="auto"/>
        <w:rPr>
          <w:highlight w:val="none"/>
        </w:rPr>
      </w:pPr>
    </w:p>
    <w:p>
      <w:pPr>
        <w:pStyle w:val="16"/>
        <w:spacing w:line="306" w:lineRule="auto"/>
        <w:ind w:firstLine="420" w:firstLineChars="200"/>
        <w:rPr>
          <w:highlight w:val="none"/>
        </w:rPr>
      </w:pPr>
      <w:r>
        <w:rPr>
          <w:rFonts w:hint="eastAsia"/>
          <w:highlight w:val="none"/>
        </w:rPr>
        <w:t>鉴于（发包人名称，以下简称“发包人” ）接受 （承包人名称，以下称“承包人” ）于年月日参加（标段名称）的投标。我方愿意就承包人履行与你方订立的合同，向你方提供担保。</w:t>
      </w:r>
    </w:p>
    <w:p>
      <w:pPr>
        <w:pStyle w:val="16"/>
        <w:spacing w:line="306" w:lineRule="auto"/>
        <w:rPr>
          <w:highlight w:val="none"/>
        </w:rPr>
      </w:pPr>
      <w:r>
        <w:rPr>
          <w:rFonts w:hint="eastAsia"/>
          <w:highlight w:val="none"/>
        </w:rPr>
        <w:t>1.  担保金额人民币（大写）(¥)。</w:t>
      </w:r>
    </w:p>
    <w:p>
      <w:pPr>
        <w:pStyle w:val="16"/>
        <w:spacing w:line="306" w:lineRule="auto"/>
        <w:rPr>
          <w:highlight w:val="none"/>
        </w:rPr>
      </w:pPr>
      <w:r>
        <w:rPr>
          <w:rFonts w:hint="eastAsia"/>
          <w:highlight w:val="none"/>
        </w:rPr>
        <w:t>2.  担保有效期自发包人与承包人签订的合同生效之日起至发包人签发工程接收证书之</w:t>
      </w:r>
    </w:p>
    <w:p>
      <w:pPr>
        <w:pStyle w:val="16"/>
        <w:spacing w:line="306" w:lineRule="auto"/>
        <w:rPr>
          <w:highlight w:val="none"/>
        </w:rPr>
      </w:pPr>
      <w:r>
        <w:rPr>
          <w:rFonts w:hint="eastAsia"/>
          <w:highlight w:val="none"/>
        </w:rPr>
        <w:t>日止。</w:t>
      </w:r>
    </w:p>
    <w:p>
      <w:pPr>
        <w:pStyle w:val="16"/>
        <w:spacing w:line="306" w:lineRule="auto"/>
        <w:rPr>
          <w:highlight w:val="none"/>
        </w:rPr>
      </w:pPr>
      <w:r>
        <w:rPr>
          <w:rFonts w:hint="eastAsia"/>
          <w:highlight w:val="none"/>
        </w:rPr>
        <w:t>3.  在本担保有效期内，因承包人违反合同约定的义务给你方造成经济损失时， 我方在</w:t>
      </w:r>
    </w:p>
    <w:p>
      <w:pPr>
        <w:pStyle w:val="16"/>
        <w:spacing w:line="306" w:lineRule="auto"/>
        <w:rPr>
          <w:highlight w:val="none"/>
        </w:rPr>
      </w:pPr>
      <w:r>
        <w:rPr>
          <w:rFonts w:hint="eastAsia"/>
          <w:highlight w:val="none"/>
        </w:rPr>
        <w:t>收到你方以书面形式提出的在担保金额内的赔偿要求后， 在 7 天内支付。</w:t>
      </w:r>
    </w:p>
    <w:p>
      <w:pPr>
        <w:pStyle w:val="16"/>
        <w:spacing w:line="306" w:lineRule="auto"/>
        <w:rPr>
          <w:highlight w:val="none"/>
        </w:rPr>
      </w:pPr>
      <w:r>
        <w:rPr>
          <w:rFonts w:hint="eastAsia"/>
          <w:highlight w:val="none"/>
        </w:rPr>
        <w:t>4.发包人和承包人按《通用合同条款》第 9  条变更合同时，我方承担本担保规定的义务不变。</w:t>
      </w:r>
    </w:p>
    <w:p>
      <w:pPr>
        <w:pStyle w:val="16"/>
        <w:spacing w:line="307" w:lineRule="auto"/>
        <w:rPr>
          <w:highlight w:val="none"/>
        </w:rPr>
      </w:pPr>
    </w:p>
    <w:p>
      <w:pPr>
        <w:spacing w:before="68" w:line="220" w:lineRule="auto"/>
        <w:ind w:left="3441"/>
        <w:rPr>
          <w:rFonts w:ascii="宋体" w:hAnsi="宋体" w:cs="宋体"/>
          <w:szCs w:val="21"/>
          <w:highlight w:val="none"/>
        </w:rPr>
      </w:pPr>
      <w:r>
        <w:rPr>
          <w:rFonts w:ascii="宋体" w:hAnsi="宋体" w:cs="宋体"/>
          <w:spacing w:val="-8"/>
          <w:szCs w:val="21"/>
          <w:highlight w:val="none"/>
        </w:rPr>
        <w:t>担 保</w:t>
      </w:r>
      <w:r>
        <w:rPr>
          <w:rFonts w:ascii="宋体" w:hAnsi="宋体" w:cs="宋体"/>
          <w:spacing w:val="8"/>
          <w:szCs w:val="21"/>
          <w:highlight w:val="none"/>
        </w:rPr>
        <w:t xml:space="preserve"> </w:t>
      </w:r>
      <w:r>
        <w:rPr>
          <w:rFonts w:ascii="宋体" w:hAnsi="宋体" w:cs="宋体"/>
          <w:spacing w:val="-8"/>
          <w:szCs w:val="21"/>
          <w:highlight w:val="none"/>
        </w:rPr>
        <w:t>人</w:t>
      </w:r>
      <w:r>
        <w:rPr>
          <w:rFonts w:ascii="宋体" w:hAnsi="宋体" w:cs="宋体"/>
          <w:spacing w:val="-28"/>
          <w:szCs w:val="21"/>
          <w:highlight w:val="none"/>
        </w:rPr>
        <w:t>：（</w:t>
      </w:r>
      <w:r>
        <w:rPr>
          <w:rFonts w:ascii="宋体" w:hAnsi="宋体" w:cs="宋体"/>
          <w:spacing w:val="-8"/>
          <w:szCs w:val="21"/>
          <w:highlight w:val="none"/>
        </w:rPr>
        <w:t>盖单位章）</w:t>
      </w:r>
    </w:p>
    <w:p>
      <w:pPr>
        <w:spacing w:before="218" w:line="468" w:lineRule="exact"/>
        <w:ind w:left="3441"/>
        <w:rPr>
          <w:rFonts w:ascii="宋体" w:hAnsi="宋体" w:cs="宋体"/>
          <w:szCs w:val="21"/>
          <w:highlight w:val="none"/>
        </w:rPr>
      </w:pPr>
      <w:r>
        <w:rPr>
          <w:rFonts w:ascii="宋体" w:hAnsi="宋体" w:cs="宋体"/>
          <w:spacing w:val="-4"/>
          <w:position w:val="19"/>
          <w:szCs w:val="21"/>
          <w:highlight w:val="none"/>
        </w:rPr>
        <w:t>法定代表人或其委托代理人</w:t>
      </w:r>
      <w:r>
        <w:rPr>
          <w:rFonts w:ascii="宋体" w:hAnsi="宋体" w:cs="宋体"/>
          <w:spacing w:val="-26"/>
          <w:position w:val="19"/>
          <w:szCs w:val="21"/>
          <w:highlight w:val="none"/>
        </w:rPr>
        <w:t>：（</w:t>
      </w:r>
      <w:r>
        <w:rPr>
          <w:rFonts w:ascii="宋体" w:hAnsi="宋体" w:cs="宋体"/>
          <w:spacing w:val="-4"/>
          <w:position w:val="19"/>
          <w:szCs w:val="21"/>
          <w:highlight w:val="none"/>
        </w:rPr>
        <w:t>签字）</w:t>
      </w:r>
    </w:p>
    <w:p>
      <w:pPr>
        <w:spacing w:before="1" w:line="229" w:lineRule="auto"/>
        <w:ind w:left="3440"/>
        <w:rPr>
          <w:rFonts w:ascii="宋体" w:hAnsi="宋体" w:cs="宋体"/>
          <w:szCs w:val="21"/>
          <w:highlight w:val="none"/>
        </w:rPr>
      </w:pPr>
      <w:r>
        <w:rPr>
          <w:rFonts w:ascii="宋体" w:hAnsi="宋体" w:cs="宋体"/>
          <w:spacing w:val="-12"/>
          <w:szCs w:val="21"/>
          <w:highlight w:val="none"/>
        </w:rPr>
        <w:t>地</w:t>
      </w:r>
      <w:r>
        <w:rPr>
          <w:rFonts w:ascii="宋体" w:hAnsi="宋体" w:cs="宋体"/>
          <w:spacing w:val="2"/>
          <w:szCs w:val="21"/>
          <w:highlight w:val="none"/>
        </w:rPr>
        <w:t xml:space="preserve">    </w:t>
      </w:r>
      <w:r>
        <w:rPr>
          <w:rFonts w:ascii="宋体" w:hAnsi="宋体" w:cs="宋体"/>
          <w:spacing w:val="-12"/>
          <w:szCs w:val="21"/>
          <w:highlight w:val="none"/>
        </w:rPr>
        <w:t>址：</w:t>
      </w:r>
    </w:p>
    <w:p>
      <w:pPr>
        <w:spacing w:before="207" w:line="468" w:lineRule="exact"/>
        <w:ind w:left="3456"/>
        <w:rPr>
          <w:rFonts w:ascii="宋体" w:hAnsi="宋体" w:cs="宋体"/>
          <w:szCs w:val="21"/>
          <w:highlight w:val="none"/>
        </w:rPr>
      </w:pPr>
      <w:r>
        <w:rPr>
          <w:rFonts w:ascii="宋体" w:hAnsi="宋体" w:cs="宋体"/>
          <w:spacing w:val="-9"/>
          <w:position w:val="19"/>
          <w:szCs w:val="21"/>
          <w:highlight w:val="none"/>
        </w:rPr>
        <w:t>邮政编码：</w:t>
      </w:r>
    </w:p>
    <w:p>
      <w:pPr>
        <w:spacing w:line="222" w:lineRule="auto"/>
        <w:ind w:left="3465"/>
        <w:rPr>
          <w:rFonts w:ascii="宋体" w:hAnsi="宋体" w:cs="宋体"/>
          <w:szCs w:val="21"/>
          <w:highlight w:val="none"/>
        </w:rPr>
      </w:pPr>
      <w:r>
        <w:rPr>
          <w:rFonts w:ascii="宋体" w:hAnsi="宋体" w:cs="宋体"/>
          <w:spacing w:val="-20"/>
          <w:szCs w:val="21"/>
          <w:highlight w:val="none"/>
        </w:rPr>
        <w:t>电</w:t>
      </w:r>
      <w:r>
        <w:rPr>
          <w:rFonts w:ascii="宋体" w:hAnsi="宋体" w:cs="宋体"/>
          <w:spacing w:val="2"/>
          <w:szCs w:val="21"/>
          <w:highlight w:val="none"/>
        </w:rPr>
        <w:t xml:space="preserve">    </w:t>
      </w:r>
      <w:r>
        <w:rPr>
          <w:rFonts w:ascii="宋体" w:hAnsi="宋体" w:cs="宋体"/>
          <w:spacing w:val="-20"/>
          <w:szCs w:val="21"/>
          <w:highlight w:val="none"/>
        </w:rPr>
        <w:t>话：</w:t>
      </w:r>
    </w:p>
    <w:p>
      <w:pPr>
        <w:spacing w:before="215" w:line="220" w:lineRule="auto"/>
        <w:ind w:left="3439"/>
        <w:rPr>
          <w:rFonts w:ascii="宋体" w:hAnsi="宋体" w:cs="宋体"/>
          <w:szCs w:val="21"/>
          <w:highlight w:val="none"/>
        </w:rPr>
      </w:pPr>
      <w:r>
        <w:rPr>
          <w:rFonts w:ascii="宋体" w:hAnsi="宋体" w:cs="宋体"/>
          <w:spacing w:val="-12"/>
          <w:szCs w:val="21"/>
          <w:highlight w:val="none"/>
        </w:rPr>
        <w:t>传</w:t>
      </w:r>
      <w:r>
        <w:rPr>
          <w:rFonts w:ascii="宋体" w:hAnsi="宋体" w:cs="宋体"/>
          <w:spacing w:val="2"/>
          <w:szCs w:val="21"/>
          <w:highlight w:val="none"/>
        </w:rPr>
        <w:t xml:space="preserve">    </w:t>
      </w:r>
      <w:r>
        <w:rPr>
          <w:rFonts w:ascii="宋体" w:hAnsi="宋体" w:cs="宋体"/>
          <w:spacing w:val="-12"/>
          <w:szCs w:val="21"/>
          <w:highlight w:val="none"/>
        </w:rPr>
        <w:t>真：</w:t>
      </w:r>
    </w:p>
    <w:p>
      <w:pPr>
        <w:spacing w:before="217" w:line="221" w:lineRule="auto"/>
        <w:ind w:left="4221"/>
        <w:rPr>
          <w:rFonts w:ascii="宋体" w:hAnsi="宋体" w:cs="宋体"/>
          <w:szCs w:val="21"/>
          <w:highlight w:val="none"/>
        </w:rPr>
      </w:pPr>
      <w:r>
        <w:rPr>
          <w:rFonts w:ascii="宋体" w:hAnsi="宋体" w:cs="宋体"/>
          <w:spacing w:val="-2"/>
          <w:szCs w:val="21"/>
          <w:highlight w:val="none"/>
        </w:rPr>
        <w:t>年月日</w:t>
      </w:r>
    </w:p>
    <w:p>
      <w:pPr>
        <w:spacing w:line="490" w:lineRule="exact"/>
        <w:ind w:firstLine="3500" w:firstLineChars="1250"/>
        <w:rPr>
          <w:sz w:val="40"/>
          <w:szCs w:val="32"/>
          <w:highlight w:val="none"/>
        </w:rPr>
      </w:pPr>
      <w:r>
        <w:rPr>
          <w:sz w:val="28"/>
          <w:szCs w:val="32"/>
          <w:highlight w:val="none"/>
        </w:rPr>
        <w:br w:type="page"/>
      </w:r>
    </w:p>
    <w:p>
      <w:pPr>
        <w:pStyle w:val="3"/>
        <w:keepNext w:val="0"/>
        <w:keepLines w:val="0"/>
        <w:spacing w:before="0" w:after="0" w:line="490" w:lineRule="exact"/>
        <w:jc w:val="center"/>
        <w:rPr>
          <w:szCs w:val="36"/>
          <w:highlight w:val="none"/>
        </w:rPr>
      </w:pPr>
      <w:bookmarkStart w:id="596" w:name="_Toc5795"/>
      <w:bookmarkStart w:id="597" w:name="_Toc419379605"/>
      <w:bookmarkStart w:id="598" w:name="_Toc98"/>
      <w:r>
        <w:rPr>
          <w:szCs w:val="36"/>
          <w:highlight w:val="none"/>
        </w:rPr>
        <w:t>第五章 工程量清单</w:t>
      </w:r>
      <w:bookmarkEnd w:id="596"/>
      <w:bookmarkEnd w:id="597"/>
      <w:bookmarkEnd w:id="598"/>
    </w:p>
    <w:p>
      <w:pPr>
        <w:spacing w:line="490" w:lineRule="exact"/>
        <w:jc w:val="center"/>
        <w:rPr>
          <w:sz w:val="24"/>
          <w:highlight w:val="none"/>
        </w:rPr>
      </w:pPr>
    </w:p>
    <w:p>
      <w:pPr>
        <w:spacing w:before="148" w:line="221" w:lineRule="auto"/>
        <w:ind w:left="24"/>
        <w:rPr>
          <w:highlight w:val="none"/>
        </w:rPr>
      </w:pPr>
      <w:r>
        <w:rPr>
          <w:rFonts w:ascii="宋体" w:hAnsi="宋体" w:cs="宋体"/>
          <w:spacing w:val="-1"/>
          <w:szCs w:val="21"/>
          <w:highlight w:val="none"/>
        </w:rPr>
        <w:t>具体要求详见电子版招标清单文件</w:t>
      </w:r>
      <w:r>
        <w:rPr>
          <w:highlight w:val="none"/>
        </w:rPr>
        <w:br w:type="page"/>
      </w:r>
    </w:p>
    <w:p>
      <w:pPr>
        <w:pStyle w:val="141"/>
        <w:spacing w:line="600" w:lineRule="exact"/>
        <w:ind w:firstLine="640" w:firstLineChars="200"/>
        <w:rPr>
          <w:rFonts w:ascii="Times New Roman" w:cs="Times New Roman"/>
          <w:color w:val="auto"/>
          <w:sz w:val="32"/>
          <w:szCs w:val="32"/>
          <w:highlight w:val="none"/>
        </w:rPr>
      </w:pPr>
    </w:p>
    <w:p>
      <w:pPr>
        <w:jc w:val="center"/>
        <w:rPr>
          <w:b/>
          <w:spacing w:val="40"/>
          <w:sz w:val="90"/>
          <w:szCs w:val="90"/>
          <w:highlight w:val="none"/>
        </w:rPr>
      </w:pPr>
    </w:p>
    <w:p>
      <w:pPr>
        <w:jc w:val="center"/>
        <w:rPr>
          <w:b/>
          <w:spacing w:val="40"/>
          <w:sz w:val="90"/>
          <w:szCs w:val="90"/>
          <w:highlight w:val="none"/>
        </w:rPr>
      </w:pPr>
    </w:p>
    <w:p>
      <w:pPr>
        <w:jc w:val="center"/>
        <w:rPr>
          <w:b/>
          <w:spacing w:val="40"/>
          <w:sz w:val="90"/>
          <w:szCs w:val="90"/>
          <w:highlight w:val="none"/>
        </w:rPr>
      </w:pPr>
    </w:p>
    <w:p>
      <w:pPr>
        <w:pStyle w:val="3"/>
        <w:keepNext w:val="0"/>
        <w:keepLines w:val="0"/>
        <w:spacing w:before="0" w:after="0" w:line="240" w:lineRule="auto"/>
        <w:jc w:val="center"/>
        <w:rPr>
          <w:spacing w:val="40"/>
          <w:sz w:val="52"/>
          <w:szCs w:val="52"/>
          <w:highlight w:val="none"/>
        </w:rPr>
      </w:pPr>
      <w:bookmarkStart w:id="599" w:name="_Toc21048"/>
      <w:bookmarkStart w:id="600" w:name="_Toc22567"/>
      <w:bookmarkStart w:id="601" w:name="_Toc419379606"/>
      <w:r>
        <w:rPr>
          <w:spacing w:val="40"/>
          <w:sz w:val="52"/>
          <w:szCs w:val="52"/>
          <w:highlight w:val="none"/>
        </w:rPr>
        <w:t>第二卷</w:t>
      </w:r>
      <w:bookmarkEnd w:id="599"/>
      <w:bookmarkEnd w:id="600"/>
      <w:bookmarkEnd w:id="601"/>
    </w:p>
    <w:p>
      <w:pPr>
        <w:spacing w:line="490" w:lineRule="exact"/>
        <w:jc w:val="center"/>
        <w:rPr>
          <w:b/>
          <w:sz w:val="40"/>
          <w:szCs w:val="44"/>
          <w:highlight w:val="none"/>
        </w:rPr>
      </w:pPr>
      <w:r>
        <w:rPr>
          <w:szCs w:val="21"/>
          <w:highlight w:val="none"/>
        </w:rPr>
        <w:br w:type="page"/>
      </w:r>
    </w:p>
    <w:p>
      <w:pPr>
        <w:pStyle w:val="3"/>
        <w:keepNext w:val="0"/>
        <w:keepLines w:val="0"/>
        <w:spacing w:before="0" w:after="0" w:line="490" w:lineRule="exact"/>
        <w:jc w:val="center"/>
        <w:rPr>
          <w:highlight w:val="none"/>
        </w:rPr>
      </w:pPr>
      <w:bookmarkStart w:id="602" w:name="_Toc880"/>
      <w:bookmarkStart w:id="603" w:name="_Toc27771"/>
      <w:r>
        <w:rPr>
          <w:highlight w:val="none"/>
        </w:rPr>
        <w:t>第六章  图纸（招标图纸）</w:t>
      </w:r>
      <w:bookmarkEnd w:id="602"/>
      <w:bookmarkEnd w:id="603"/>
    </w:p>
    <w:p>
      <w:pPr>
        <w:spacing w:line="490" w:lineRule="exact"/>
        <w:jc w:val="center"/>
        <w:rPr>
          <w:b/>
          <w:sz w:val="40"/>
          <w:szCs w:val="44"/>
          <w:highlight w:val="none"/>
        </w:rPr>
      </w:pPr>
    </w:p>
    <w:p>
      <w:pPr>
        <w:rPr>
          <w:highlight w:val="none"/>
        </w:rPr>
      </w:pPr>
      <w:bookmarkStart w:id="604" w:name="第06章图纸招标01"/>
      <w:bookmarkEnd w:id="604"/>
    </w:p>
    <w:p>
      <w:pPr>
        <w:rPr>
          <w:highlight w:val="none"/>
        </w:rPr>
      </w:pPr>
    </w:p>
    <w:p>
      <w:pPr>
        <w:pStyle w:val="5"/>
        <w:keepNext w:val="0"/>
        <w:keepLines w:val="0"/>
        <w:spacing w:before="0" w:after="0" w:line="600" w:lineRule="exact"/>
        <w:ind w:firstLine="482" w:firstLineChars="200"/>
        <w:rPr>
          <w:bCs w:val="0"/>
          <w:color w:val="auto"/>
          <w:highlight w:val="none"/>
        </w:rPr>
      </w:pPr>
      <w:bookmarkStart w:id="605" w:name="第06章图纸招标03"/>
      <w:bookmarkEnd w:id="605"/>
      <w:bookmarkStart w:id="606" w:name="_Toc28923"/>
      <w:bookmarkStart w:id="607" w:name="_Toc6942"/>
      <w:r>
        <w:rPr>
          <w:rFonts w:hint="eastAsia"/>
          <w:bCs w:val="0"/>
          <w:color w:val="auto"/>
          <w:highlight w:val="none"/>
        </w:rPr>
        <w:t>1.</w:t>
      </w:r>
      <w:r>
        <w:rPr>
          <w:bCs w:val="0"/>
          <w:color w:val="auto"/>
          <w:highlight w:val="none"/>
        </w:rPr>
        <w:t>招标图纸目录</w:t>
      </w:r>
      <w:bookmarkEnd w:id="606"/>
      <w:bookmarkEnd w:id="607"/>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9"/>
        <w:gridCol w:w="1557"/>
        <w:gridCol w:w="1557"/>
        <w:gridCol w:w="1557"/>
        <w:gridCol w:w="1557"/>
        <w:gridCol w:w="1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vAlign w:val="center"/>
          </w:tcPr>
          <w:p>
            <w:pPr>
              <w:jc w:val="center"/>
              <w:rPr>
                <w:highlight w:val="none"/>
              </w:rPr>
            </w:pPr>
            <w:r>
              <w:rPr>
                <w:highlight w:val="none"/>
              </w:rPr>
              <w:t>序号</w:t>
            </w:r>
          </w:p>
        </w:tc>
        <w:tc>
          <w:tcPr>
            <w:tcW w:w="1557" w:type="dxa"/>
            <w:vAlign w:val="center"/>
          </w:tcPr>
          <w:p>
            <w:pPr>
              <w:jc w:val="center"/>
              <w:rPr>
                <w:highlight w:val="none"/>
              </w:rPr>
            </w:pPr>
            <w:r>
              <w:rPr>
                <w:highlight w:val="none"/>
              </w:rPr>
              <w:t>图名</w:t>
            </w:r>
          </w:p>
        </w:tc>
        <w:tc>
          <w:tcPr>
            <w:tcW w:w="1557" w:type="dxa"/>
            <w:vAlign w:val="center"/>
          </w:tcPr>
          <w:p>
            <w:pPr>
              <w:jc w:val="center"/>
              <w:rPr>
                <w:highlight w:val="none"/>
              </w:rPr>
            </w:pPr>
            <w:r>
              <w:rPr>
                <w:highlight w:val="none"/>
              </w:rPr>
              <w:t>图号</w:t>
            </w:r>
          </w:p>
        </w:tc>
        <w:tc>
          <w:tcPr>
            <w:tcW w:w="1557" w:type="dxa"/>
            <w:vAlign w:val="center"/>
          </w:tcPr>
          <w:p>
            <w:pPr>
              <w:jc w:val="center"/>
              <w:rPr>
                <w:highlight w:val="none"/>
              </w:rPr>
            </w:pPr>
            <w:r>
              <w:rPr>
                <w:highlight w:val="none"/>
              </w:rPr>
              <w:t>版本</w:t>
            </w:r>
          </w:p>
        </w:tc>
        <w:tc>
          <w:tcPr>
            <w:tcW w:w="1557" w:type="dxa"/>
            <w:vAlign w:val="center"/>
          </w:tcPr>
          <w:p>
            <w:pPr>
              <w:jc w:val="center"/>
              <w:rPr>
                <w:highlight w:val="none"/>
              </w:rPr>
            </w:pPr>
            <w:r>
              <w:rPr>
                <w:highlight w:val="none"/>
              </w:rPr>
              <w:t>出图日期</w:t>
            </w:r>
          </w:p>
        </w:tc>
        <w:tc>
          <w:tcPr>
            <w:tcW w:w="1395" w:type="dxa"/>
            <w:vAlign w:val="center"/>
          </w:tcPr>
          <w:p>
            <w:pPr>
              <w:jc w:val="center"/>
              <w:rPr>
                <w:highlight w:val="none"/>
              </w:rPr>
            </w:pPr>
            <w:r>
              <w:rPr>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395" w:type="dxa"/>
            <w:vAlign w:val="center"/>
          </w:tcPr>
          <w:p>
            <w:pPr>
              <w:jc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395" w:type="dxa"/>
            <w:vAlign w:val="center"/>
          </w:tcPr>
          <w:p>
            <w:pPr>
              <w:jc w:val="center"/>
              <w:rPr>
                <w:highlight w:val="none"/>
              </w:rPr>
            </w:pPr>
          </w:p>
        </w:tc>
      </w:tr>
    </w:tbl>
    <w:p>
      <w:pPr>
        <w:rPr>
          <w:highlight w:val="none"/>
        </w:rPr>
      </w:pPr>
    </w:p>
    <w:p>
      <w:pPr>
        <w:rPr>
          <w:highlight w:val="none"/>
        </w:rPr>
      </w:pPr>
    </w:p>
    <w:p>
      <w:pPr>
        <w:pStyle w:val="5"/>
        <w:keepNext w:val="0"/>
        <w:keepLines w:val="0"/>
        <w:spacing w:before="0" w:after="0" w:line="600" w:lineRule="exact"/>
        <w:ind w:firstLine="482" w:firstLineChars="200"/>
        <w:rPr>
          <w:color w:val="auto"/>
          <w:highlight w:val="none"/>
        </w:rPr>
      </w:pPr>
      <w:bookmarkStart w:id="608" w:name="_Toc1171"/>
      <w:bookmarkStart w:id="609" w:name="_Toc5471"/>
      <w:r>
        <w:rPr>
          <w:rFonts w:hint="eastAsia"/>
          <w:color w:val="auto"/>
          <w:highlight w:val="none"/>
        </w:rPr>
        <w:t>2.</w:t>
      </w:r>
      <w:r>
        <w:rPr>
          <w:color w:val="auto"/>
          <w:highlight w:val="none"/>
        </w:rPr>
        <w:t>招标图纸</w:t>
      </w:r>
      <w:r>
        <w:rPr>
          <w:rFonts w:hint="eastAsia"/>
          <w:color w:val="auto"/>
          <w:highlight w:val="none"/>
        </w:rPr>
        <w:t>及其他资料</w:t>
      </w:r>
      <w:r>
        <w:rPr>
          <w:color w:val="auto"/>
          <w:highlight w:val="none"/>
        </w:rPr>
        <w:t>在电子交易系统下载。</w:t>
      </w:r>
      <w:bookmarkEnd w:id="608"/>
      <w:bookmarkEnd w:id="609"/>
    </w:p>
    <w:p>
      <w:pPr>
        <w:rPr>
          <w:rFonts w:ascii="宋体" w:hAnsi="宋体"/>
          <w:color w:val="000000"/>
          <w:sz w:val="51"/>
          <w:szCs w:val="31"/>
          <w:highlight w:val="none"/>
        </w:rPr>
      </w:pPr>
      <w:r>
        <w:rPr>
          <w:highlight w:val="none"/>
        </w:rPr>
        <w:br w:type="page"/>
      </w:r>
    </w:p>
    <w:p>
      <w:pPr>
        <w:rPr>
          <w:rFonts w:ascii="宋体" w:hAnsi="宋体"/>
          <w:color w:val="000000"/>
          <w:sz w:val="51"/>
          <w:szCs w:val="31"/>
          <w:highlight w:val="none"/>
        </w:rPr>
      </w:pPr>
    </w:p>
    <w:p>
      <w:pPr>
        <w:rPr>
          <w:rFonts w:ascii="宋体" w:hAnsi="宋体"/>
          <w:color w:val="000000"/>
          <w:sz w:val="51"/>
          <w:szCs w:val="31"/>
          <w:highlight w:val="none"/>
        </w:rPr>
      </w:pPr>
    </w:p>
    <w:p>
      <w:pPr>
        <w:rPr>
          <w:rFonts w:ascii="宋体" w:hAnsi="宋体"/>
          <w:color w:val="000000"/>
          <w:sz w:val="51"/>
          <w:szCs w:val="31"/>
          <w:highlight w:val="none"/>
        </w:rPr>
      </w:pPr>
    </w:p>
    <w:p>
      <w:pPr>
        <w:rPr>
          <w:rFonts w:ascii="宋体" w:hAnsi="宋体"/>
          <w:color w:val="000000"/>
          <w:sz w:val="51"/>
          <w:szCs w:val="31"/>
          <w:highlight w:val="none"/>
        </w:rPr>
      </w:pPr>
    </w:p>
    <w:p>
      <w:pPr>
        <w:pStyle w:val="3"/>
        <w:spacing w:before="120" w:after="120" w:line="360" w:lineRule="auto"/>
        <w:jc w:val="center"/>
        <w:rPr>
          <w:rFonts w:ascii="宋体" w:hAnsi="宋体"/>
          <w:bCs w:val="0"/>
          <w:color w:val="000000"/>
          <w:sz w:val="48"/>
          <w:szCs w:val="48"/>
          <w:highlight w:val="none"/>
        </w:rPr>
      </w:pPr>
    </w:p>
    <w:p>
      <w:pPr>
        <w:pStyle w:val="3"/>
        <w:spacing w:before="120" w:after="120" w:line="360" w:lineRule="auto"/>
        <w:jc w:val="center"/>
        <w:rPr>
          <w:rFonts w:ascii="宋体" w:hAnsi="宋体"/>
          <w:bCs w:val="0"/>
          <w:color w:val="000000"/>
          <w:sz w:val="51"/>
          <w:szCs w:val="31"/>
          <w:highlight w:val="none"/>
        </w:rPr>
      </w:pPr>
      <w:bookmarkStart w:id="610" w:name="_Toc30163"/>
      <w:r>
        <w:rPr>
          <w:rFonts w:hint="eastAsia" w:ascii="宋体" w:hAnsi="宋体"/>
          <w:bCs w:val="0"/>
          <w:color w:val="000000"/>
          <w:sz w:val="48"/>
          <w:szCs w:val="48"/>
          <w:highlight w:val="none"/>
        </w:rPr>
        <w:t>第 二 卷</w:t>
      </w:r>
      <w:bookmarkEnd w:id="136"/>
      <w:bookmarkEnd w:id="610"/>
      <w:r>
        <w:rPr>
          <w:rFonts w:hint="eastAsia" w:ascii="宋体" w:hAnsi="宋体"/>
          <w:bCs w:val="0"/>
          <w:color w:val="000000"/>
          <w:sz w:val="48"/>
          <w:szCs w:val="48"/>
          <w:highlight w:val="none"/>
        </w:rPr>
        <w:t xml:space="preserve"> </w:t>
      </w:r>
      <w:r>
        <w:rPr>
          <w:rFonts w:hint="eastAsia" w:ascii="宋体" w:hAnsi="宋体"/>
          <w:bCs w:val="0"/>
          <w:color w:val="000000"/>
          <w:sz w:val="51"/>
          <w:szCs w:val="31"/>
          <w:highlight w:val="none"/>
        </w:rPr>
        <w:t xml:space="preserve"> </w:t>
      </w: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宋体" w:hAnsi="宋体"/>
          <w:b/>
          <w:color w:val="000000"/>
          <w:sz w:val="27"/>
          <w:szCs w:val="27"/>
          <w:highlight w:val="none"/>
        </w:rPr>
      </w:pPr>
      <w:r>
        <w:rPr>
          <w:rFonts w:ascii="宋体" w:hAnsi="宋体"/>
          <w:b/>
          <w:color w:val="000000"/>
          <w:sz w:val="27"/>
          <w:szCs w:val="27"/>
          <w:highlight w:val="none"/>
        </w:rPr>
        <w:br w:type="page"/>
      </w:r>
    </w:p>
    <w:p>
      <w:pPr>
        <w:pStyle w:val="3"/>
        <w:spacing w:before="120" w:after="120" w:line="400" w:lineRule="exact"/>
        <w:jc w:val="center"/>
        <w:rPr>
          <w:rFonts w:ascii="黑体" w:hAnsi="黑体" w:eastAsia="黑体"/>
          <w:bCs w:val="0"/>
          <w:color w:val="000000"/>
          <w:sz w:val="31"/>
          <w:szCs w:val="31"/>
          <w:highlight w:val="none"/>
        </w:rPr>
      </w:pPr>
      <w:bookmarkStart w:id="611" w:name="_Toc49870008"/>
      <w:bookmarkStart w:id="612" w:name="_Toc7150"/>
      <w:r>
        <w:rPr>
          <w:rFonts w:hint="eastAsia" w:ascii="黑体" w:hAnsi="黑体" w:eastAsia="黑体"/>
          <w:bCs w:val="0"/>
          <w:color w:val="000000"/>
          <w:sz w:val="31"/>
          <w:szCs w:val="31"/>
          <w:highlight w:val="none"/>
        </w:rPr>
        <w:t>第六章 技术标准和要求（合同技术条款）</w:t>
      </w:r>
      <w:bookmarkEnd w:id="611"/>
      <w:bookmarkEnd w:id="612"/>
    </w:p>
    <w:p>
      <w:pPr>
        <w:rPr>
          <w:highlight w:val="none"/>
        </w:rPr>
      </w:pPr>
      <w:bookmarkStart w:id="613" w:name="EB741dc3570c8c4efc9387f2fccdd1d59e"/>
    </w:p>
    <w:bookmarkEnd w:id="613"/>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第1节  一般规定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1.1工程说明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1.1.1项目概况与招标范围</w:t>
      </w:r>
    </w:p>
    <w:p>
      <w:pPr>
        <w:spacing w:line="490" w:lineRule="exact"/>
        <w:ind w:firstLine="420" w:firstLineChars="200"/>
        <w:rPr>
          <w:rFonts w:hint="eastAsia" w:ascii="Times New Roman" w:hAnsi="Times New Roman"/>
          <w:szCs w:val="21"/>
          <w:highlight w:val="none"/>
          <w:lang w:val="zh-CN"/>
        </w:rPr>
      </w:pPr>
      <w:r>
        <w:rPr>
          <w:rFonts w:hint="eastAsia" w:ascii="Times New Roman" w:hAnsi="Times New Roman"/>
          <w:szCs w:val="21"/>
          <w:highlight w:val="none"/>
          <w:lang w:val="zh-CN"/>
        </w:rPr>
        <w:t>项目名称：盖州市2024年大中型水库移民后期扶持规划项目</w:t>
      </w:r>
    </w:p>
    <w:p>
      <w:pPr>
        <w:spacing w:line="490" w:lineRule="exact"/>
        <w:ind w:firstLine="420" w:firstLineChars="200"/>
        <w:rPr>
          <w:rFonts w:hint="eastAsia" w:ascii="Times New Roman" w:hAnsi="Times New Roman"/>
          <w:szCs w:val="21"/>
          <w:highlight w:val="none"/>
          <w:lang w:val="zh-CN"/>
        </w:rPr>
      </w:pPr>
      <w:r>
        <w:rPr>
          <w:rFonts w:hint="eastAsia" w:ascii="Times New Roman" w:hAnsi="Times New Roman" w:eastAsia="宋体" w:cs="Times New Roman"/>
          <w:i w:val="0"/>
          <w:iCs w:val="0"/>
          <w:kern w:val="2"/>
          <w:sz w:val="21"/>
          <w:szCs w:val="21"/>
          <w:highlight w:val="none"/>
          <w:lang w:val="zh-CN" w:eastAsia="zh-CN" w:bidi="ar-SA"/>
        </w:rPr>
        <w:t>标段名称：</w:t>
      </w:r>
      <w:r>
        <w:rPr>
          <w:rFonts w:hint="eastAsia" w:ascii="Times New Roman" w:hAnsi="Times New Roman"/>
          <w:szCs w:val="21"/>
          <w:highlight w:val="none"/>
          <w:lang w:val="zh-CN"/>
        </w:rPr>
        <w:t>盖州市2024年大中型水库移民后期扶持规划项目（水利工程）四标段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资金来源：中央资金</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建设地点：盖州市万福镇洪屯村    </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质量标准：符合国家验收规范的合格标准；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招标范围:</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治理范围：建设任务为万福镇洪屯村河道治理工程河道护岸1547m。</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1.1.2水文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1.1.2.1 气象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流域内多年平均气温9.7℃，极端最低气温-28.1℃，极端最高气温36.6℃。多年平均降水量689mm，年内降水分配不均匀，6～9月降水占全年总降水量的73.1%。流域多年平均蒸发量1500mm。春季多西南风及东南风，夏季以东南风为主，多年平均最大风速18.6m/s，汛期多年平均最大风速14.8m/s，最大风速23.0m/s。最大积雪深度22cm，最大冻土深度1.1m。1.1.2.2 水文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碧流河是辽东半岛南部一条独流入海河流，发源于盖州市卧龙泉镇七盘岭山南麓，流经盖州市、庄河市、普兰店区和花园口经济区，在普兰店区城子坦街道谢家屯村南注入黄海。干流全长165km，流域面积2839km²。碧流河流河流域狭长，上下游宽，中间狭窄，形似葫芦，平均宽度18km。碧流河流域属千山山脉余脉，流域内地势由东北向西南倾斜，上游为低山区，最高山脉步云山海拔高程1129m，地形陡峻。碧流河流域内山地占67%，丘陵占24%，平原占9%。河流两岸山体相连，河谷宽窄相间，河谷一般宽度在700m左右，上游为卵石河床，主槽宽150～200m；中游为中砂河床，河道比降为2.39‰。</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1.1.3地质条件 </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本工程所在区域属中低山及山丘区。河谷漫滩及一级阶地较发育，二级阶地残缺不全。两岸山坡较陡，基岩裸露。本区属于华北地层区，本区域位于阴山～天山东西向复杂构造带的东端与新华夏系第二隆起带中段交接复合部位。本区山地丘陵与小盆地相间，多呈东北向分布，一般山脉高程在384～718m左右。山体受自然剥蚀程度弱，山上植被较发育，小部分基岩裸露。小盆地和河谷平原地势较平坦，一般高程在284～320m左右，其表面沉积了厚度较小的第四系地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1.2工程任务和规模</w:t>
      </w:r>
    </w:p>
    <w:p>
      <w:pPr>
        <w:ind w:right="22" w:firstLine="480"/>
        <w:rPr>
          <w:rFonts w:ascii="Times New Roman" w:hAnsi="Times New Roman"/>
          <w:highlight w:val="none"/>
        </w:rPr>
      </w:pPr>
      <w:r>
        <w:rPr>
          <w:rFonts w:hint="eastAsia" w:ascii="Times New Roman" w:hAnsi="Times New Roman"/>
          <w:szCs w:val="21"/>
          <w:highlight w:val="none"/>
          <w:lang w:val="zh-CN"/>
        </w:rPr>
        <w:t>1.2.1治理范围：</w:t>
      </w:r>
      <w:r>
        <w:rPr>
          <w:rFonts w:hint="eastAsia" w:ascii="Times New Roman" w:hAnsi="Times New Roman"/>
          <w:highlight w:val="none"/>
        </w:rPr>
        <w:t>万福镇洪屯村河道治理工程治理起点位于罗屯河洪黑线公路过水路K0+000（距河口1.72km），上游止于桩号K1+264，治理河道总长1264m，罗屯河洪屯村段固滨笼挡墙护岸左、右护岸总长1547m。其中：右岸桩号Y0+000-Y0+131、Y0+135-Y0+405、Y0+868-Y1+263段总长796m；左岸桩号Z0+000-Z0+123、Z0+127-Z0+203、Z0+303-Z0+404、Z0+570-Z0+619、Z0+868-Z1+270段总长751m。护岸采用固滨笼挡墙护岸，护岸高度2.0m。</w:t>
      </w:r>
    </w:p>
    <w:p>
      <w:pPr>
        <w:spacing w:line="490" w:lineRule="exact"/>
        <w:ind w:firstLine="420" w:firstLineChars="200"/>
        <w:rPr>
          <w:rFonts w:ascii="Times New Roman" w:hAnsi="Times New Roman"/>
          <w:szCs w:val="21"/>
          <w:highlight w:val="none"/>
          <w:lang w:val="zh-CN"/>
        </w:rPr>
      </w:pPr>
    </w:p>
    <w:p>
      <w:pPr>
        <w:ind w:right="22" w:firstLine="480"/>
        <w:rPr>
          <w:rFonts w:hint="eastAsia" w:ascii="Times New Roman" w:hAnsi="Times New Roman"/>
          <w:highlight w:val="none"/>
        </w:rPr>
      </w:pPr>
      <w:r>
        <w:rPr>
          <w:rFonts w:hint="eastAsia" w:ascii="Times New Roman" w:hAnsi="Times New Roman"/>
          <w:szCs w:val="21"/>
          <w:highlight w:val="none"/>
          <w:lang w:val="zh-CN"/>
        </w:rPr>
        <w:t>1.2.2建设内容及主要建筑物：万福镇洪屯村河道治理工程河道护岸1547m。</w:t>
      </w:r>
      <w:r>
        <w:rPr>
          <w:rFonts w:hint="eastAsia" w:ascii="Times New Roman" w:hAnsi="Times New Roman"/>
          <w:highlight w:val="none"/>
        </w:rPr>
        <w:t>2.0m高固滨笼墙式护岸布置于罗屯河洪屯村段。共计1547m。固滨笼护岸背水侧为直立式，迎水侧固滨笼错台布置，错台宽度0.5m，挡墙顶宽1.0m，基础底宽2.0m，基础埋深1.2m，固滨笼护岸基础依次设置砂砾垫层100mm及反滤土工布一道。墙背部铺设反滤土工布一道。固滨笼护岸规格为2m×1.0m×1.0m、2m×1.5m×1.0m、2m×1.0m×1.2m。</w:t>
      </w:r>
    </w:p>
    <w:p>
      <w:pPr>
        <w:ind w:right="22" w:firstLine="480"/>
        <w:jc w:val="center"/>
        <w:rPr>
          <w:rFonts w:hint="eastAsia" w:ascii="Times New Roman" w:hAnsi="Times New Roman"/>
          <w:highlight w:val="none"/>
        </w:rPr>
      </w:pPr>
      <w:r>
        <w:rPr>
          <w:highlight w:val="none"/>
        </w:rPr>
        <w:drawing>
          <wp:inline distT="0" distB="0" distL="0" distR="0">
            <wp:extent cx="2266315" cy="2027555"/>
            <wp:effectExtent l="19050" t="0" r="635" b="0"/>
            <wp:docPr id="9"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1"/>
                    <pic:cNvPicPr>
                      <a:picLocks noChangeAspect="1" noChangeArrowheads="1"/>
                    </pic:cNvPicPr>
                  </pic:nvPicPr>
                  <pic:blipFill>
                    <a:blip r:embed="rId7"/>
                    <a:srcRect/>
                    <a:stretch>
                      <a:fillRect/>
                    </a:stretch>
                  </pic:blipFill>
                  <pic:spPr>
                    <a:xfrm>
                      <a:off x="0" y="0"/>
                      <a:ext cx="2266315" cy="2027555"/>
                    </a:xfrm>
                    <a:prstGeom prst="rect">
                      <a:avLst/>
                    </a:prstGeom>
                    <a:noFill/>
                    <a:ln w="9525" cmpd="sng">
                      <a:noFill/>
                      <a:miter lim="800000"/>
                      <a:headEnd/>
                      <a:tailEnd/>
                    </a:ln>
                    <a:effectLst/>
                  </pic:spPr>
                </pic:pic>
              </a:graphicData>
            </a:graphic>
          </wp:inline>
        </w:drawing>
      </w:r>
    </w:p>
    <w:p>
      <w:pPr>
        <w:spacing w:line="490" w:lineRule="exact"/>
        <w:ind w:firstLine="420" w:firstLineChars="200"/>
        <w:rPr>
          <w:rFonts w:ascii="Times New Roman" w:hAnsi="Times New Roman"/>
          <w:szCs w:val="21"/>
          <w:highlight w:val="none"/>
          <w:lang w:val="zh-CN"/>
        </w:rPr>
      </w:pP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1.2.2.1 规范标准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（1）《防洪标准》（GB50201-2014）；</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（2）《水利水电工程等级划分及洪水标准》（SL252-2017）；</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（3）《堤防工程设计规范》（GB50286-2013）；</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（4）《堤防工程管理设计规范》（SL171-96）；</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（5）《河道整治设计规范》（GB50707-2011）；</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（6）《水电工程水工建筑物抗震设计规范》（NB35047-2015）；</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（7）《堤防工程施工规范》（SL260-2014）；</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（8）《水工挡土墙设计规范》（SL379-2007）；</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（9）《水利水电工程边坡设计规范》（SL386-2007）；</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（10）《生态格网结构技术规程》（CECS353:2013）；</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（11）《土工合成材料应用技术规范》（GB/T50290-2014）；</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（12）《中国地震动参数区划图》（GB18306-2015）；</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（13）其它有关的法规、条例、规范及技术要求。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1.2.2.2规范文件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（1）《辽宁省水库移民后期扶持项目管理办法》（辽水移[2023]188号）；</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（2）《水利部关于进一步做好大中型水库移民后期扶持工作的通知》（水移民〔2018〕208号）；</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（3）《水利部关于印发加强水库移民工作监督管理指导意见的通知》(水移民〔2019]365号)；</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（4）《中共中央办公厅、国务院办公厅关于加强和改进乡村治理的指导意见》(2019年6月)；</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（5）《中共中央国务院关于全面推进乡村振兴加快农业农村现代化的意见》(中发〔2021]1号)；</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（6）《营口市十四五水库移民后期扶持规划报告》。</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1.2.2.3工程等级和标准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1.2.2.3.1防洪标准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河道规划防护标准为10年一遇。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1.2.2.3.2 工程级别</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按照现行国家标准《堤防工程设计规范》（GB50286-2013）的要求，建筑物工程级别为5级，设计地震烈度Ⅶ度。建筑物合理使用年限为15年。</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1.2.3工程设计技术指标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（1）石料要求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要求耐久性好、不易碎、无风化迹象，石料粒径宜大于150mm，石料强度不小于30MPa。</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（2）土方回填要求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根据《堤防工程设计规范》（GB50286－2013）规定，结合本工程等级，岸坡回填土相对密度不应小于0.60。</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（3）生态格网要求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固滨笼生态网格网孔为10cm×12cm,采用热镀锌低碳钢丝，网面钢丝直径2.5mm，边丝直径3.0mm，扎丝直径2.2mm，中间设1隔片。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绿滨垫生态网格网孔为8cm×10cm，采用热镀锌低碳钢丝，网面钢丝直径2.2m，边丝直径2.7mm，扎丝直径2.2mm，中间设3隔片。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钢丝直径2.2mm镀层重量不应小于215g/m²，钢丝直径2.5mm和2.7mm镀层重量不应小于230g/m²，钢丝直径3.0m镀层重量不应小于245g/m²。</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（5）滤水土工布</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根据《土工合成材料 短纤针刺非织造土工布》（GBT 17638－2017）规定，土工布标称断裂强度须达到15kN/m，纵横向断裂强度15kN/m，对应伸长率为20%-100%，顶破强力2.5kN，单位面积质量偏差率为±5%，幅度偏差率为-0.5%，厚度偏差率为±10%，等效孔径O90(O95)为0.07mm-0.20mm，垂直渗透系数为K（K=1.0-9.9）×（10-1-10-3）cm/s，纵横向撕破强力0.40kN。铺设施工要求符合《土工合成材料应用技术规范》（GB/T50290-2014）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1.2.4移民工程标识牌设计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本工程结束后，在洪屯村设立移民工程标识牌。标识牌设置C30混凝土方墩，规格为长0.5×宽0.5×高0.5m，标识牌钢架选择镀锌管（DN40，壁厚3.5mm），牌面选择Q235钢板（长1.0×宽0.8m×厚2.5mm），反光膜选用PET材质，耐候性10年。</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1.2.6土方施工</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土方开挖采用单斗挖掘机，斗容1m³，开挖土方为砂砾料，土类级别Ⅲ。挖掘机挖土后期利用回填量就近堆放至基坑外部，剩余土料采用就近平整。土方回填采用74KW拖拉机压实回填，边角部分采用2.8KW蛙式打夯机夯实。土方回填相对密度0.6。施工结束后剩余土料严禁河道内堆放阻碍行洪。</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河道治理工程如遇场地条件限制，护岸措施的背坡土方开挖坡比采取1:0.5，施工时要根据实际情况，保证边坡安全稳定再进行施工。土方开挖应从上层往下层分段依次进行，严禁自下往上或采取倒悬的开挖方法，施工过程中作成一定的坡势，以利排水，在开挖过程中要避免边坡稳定范围形成积水。土方在开挖过程中，要检查土料是否按规定堆放。定期测量校正开挖区的平面尺寸和标高，以及按施工要求检查开挖边坡的坡度和平整度。</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砂砾料采用分层铺料，分层碾压，全断面填筑完毕后，作削坡处理。淤泥、腐植土、粉细砂不得填筑，选择填筑砂砾料级配良好，最大粒径不宜大于80mm或铺土厚度的2/3，对较大砾石不满足要求时应予以剔除，填筑时不得发生粗料集中架空现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1.2.7土工织物施工</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土工织物铺设前应进行复验，质量必须合格，有扯裂、蠕变、老化的土工织物均不得使用。铺设时并应避免张拉受力，折叠、褶皱等情况。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土工布由当地购进，采用人工铺设。施工前应进行施工场地平整，清除场地上的杂物。铺放时应平顺，松紧适度，并应与基面密贴。有损坏处应及时修补或更换，沿顺水流方向相邻片（块）搭接长度不小于0.5m。</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土工布标称断裂强度须达到15kN/m，纵横向断裂强度15kN/m，对应伸长率为20%-100%，顶破强力2.5kN，单位面积质量偏差率为±5%，幅度偏差率为-0.5%，厚度偏差率为±10%，等效孔径O90(O95)为0.07mm-0.20mm，垂直渗透系数为K（K=1.0-9.9）×（10-1-10-3）cm/s，纵横向撕破强力0.40kN。</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1.2.8生态网箱工程</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在土工布铺设完成后，采用人工铺设石笼网，人工选石、修石、砌筑、填缝、找平及封口。石料由石料场购进，场内运输采用机动翻斗车运输。石笼网为热镀锌低碳钢丝成品，由厂家直接购进，人工进行网箱内块石砌筑及封口，要求块石砌筑整齐、密实，错缝无通缝。网箱隔网为单层，隔网沿长度方向布置，间距1.0m。</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网箱内填充物采用块石，填料要求耐久性好、不易碎、无风化迹象，块石料粒径D150～200mm为宜，填充后生态格网结构的空隙率不超过30％，石料强度应低于MU30。单体块石质量控制在10kg～30kg之间，任意长度最小粒径不小于15cm，无尖角、薄片。石料要求未尽事宜参照《生态格网结构技术规程》（CECS353：2013）执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1.3发包人提供的施工图纸和文件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1.3.1发包人负责提供的施工图纸和文件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(1)由发包人负责设计的工程项目，应由监理人按本章第1.3.2条签订的供图计划提供施工图纸给承包人。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(2)发包人按合同约定向承包人提供的设计基本资料、材料样品、试验成果，以及根据合同要求提供的录像、照片、会议纪要等所有图纸、文件(包括软件、移动硬盘)和影像资料等，发包人不再另行收取费用。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1.3.2发包人供图计划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(1)发包人应在发出开工通知后5天内，与承包人共同商签发包人供图计划，经合同双方签订的供图计划作为合同的补充文件。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(2）不论何种原因调整和修订了合同进度计划，监理人应及时与承包人共同修订供图计划，并作为执行合同进度计划的补充文件。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(3)发包人应向承包人提供4份各类施工图纸，(包括设计修改图)。承包人可根据施工需要，要求增加提供图纸份数，并为增供的图纸支付费用。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1.3.3发包人提供施工图纸的期限</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(1)用于承包人编制施工进度计划和旌工总布置所需的工程枢纽总布置图和丰要工程建筑物布置图应在签署合同协议书后7天内提供给承包人。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(2)用丁各工程项目施工的工程建筑物结构布置图、体形图等施工图纸，应在该项目工程施工前5天提供给承包人。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(3)用于工程施工的开挖支护图、配筋图、细部设计图和浇筑图等施工图纸，应在该部位施工前5天提供给承包人。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（4）用于机电设备安装的安装总图及其有关的图纸和技术义件（包括由设备供货商提交的图纸和技术文件）应在机电设备安装开始前 28  天提供给承包人。用于机电设备安装的埋设件图纸应在安装埋设前28  天提供给承包人。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（5）用于金属结构的制作和安装的安装总图、分件图、安装说明书等图纸和文件，应在开始制作安装前28  天提供给承包人。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（6）用于安装监测仪器安装和埋设的施工图纸和技术文件应在开始安装埋设前28天提供给承包人。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1.3.4施工图纸的修改</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(1)承包人收到发包人按上述第1.3-3条的规定提交旋工图纸后，应进行详细检查，若发现错误或表达不清楚时，应在收到图纸后的5  天内书面通知监理人。若监理人确认需要作出修改或补充时，应在接件后5  天内将修改和补充后的施工图纸重新提交给承包人。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(2)监理人发出施工图纸后，需要对某些工程设计进行修改和补充时，应在该部位开始施工5  天前及时签发设计修改图。</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(3)若因施工情况紧急，监理人无法在上述规定的时间内签发修改施工图纸，可以临时发出施工图修改通知单，但应在此后的合理时限内补发正式施工图纸。</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1.4承包人提交的文件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1.4.1承包人文件的提交计划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承包人应在签署协议书后5天内，根据监理人批准的合同进度计划，编制一份由项目经理签署的承包人文件提交计划，提交监理人审批，监理人应在收到该提交计划后的7天内批复承包人。承包人文件的内容应包括本章第1.4-2～1.4.5条规定的各项提交件，以及按合同约定应由承包人提交的其它图纸和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1.4.2承包人负责设计的临时工程图纸和文件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(1)由承包人负责设计的临时工程项目，应在该项目开工前5天，提交该项目的总布置图、结构详图及其设计依据，以及监理人认为需要提交的其它图纸和文件，提交监理人批准。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(2)承包人提交的上述临时工程项目的基本资料、试验成果、施工样品，以及所有图纸、文件和影像资料等，其所需的费用均包括在相关项目的报价中，发包人不另行支付。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1.4.3施工总进度计划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(1)承包人按本合同专用合同条款第10.1款要求提交的施工总进度计划，应采用关键线路法编制网络图。网络图应包括以下各项数据和内容，表述全部工程施工作业间的逻辑关系：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1)作业和相应节点编号；</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2)各项施工作业问的衔接逻辑和协调关系；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3)持续时问：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4)最早开工及最早完工日期：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5)最迟开工及最迟完工同期；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6)总时差和自由时差：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7)主要项目施工强度曲线；</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8)附需要资源和说明。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(2)承包人编制的施工总进度计划应满足本合同约定的各工程施工控制节点工期要求。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1.4.4施工总布置设计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(1)承包人应在收到开工通知后的7天内，将本合同工程的施工总布置设计文件，提交监理人批准。监理人应在签收后7天内批复承包人。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提交的施工总布置设计文件，其内容应包括施工总平面布置图、主要剖面图和设计说明书。承包人应按本技术条款第2章所列各项临时设施的设计和使用要求进行总平面布置，施工总布置的占地范围不得超过发包人划定的界线。</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(3)承包人应按本技术条款第3章有关“施工安全措施”和第4章“环境保护和水土保持”的要求，保护好临时设施周围的边坡、冲沟、河道、河岸的稳定和安全。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1.4.5主要施工方法和措施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(1)承包人应在每项工程开始施工或安装前7天，编制各工程项目的施工方法和措施，提交监理人批准。监理人应在收到文件后的7天内批复承包人。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(2)承包人按监理人指示提交的施工方法和措施，应包括施工需要的浇筑图、车间加工图和安装图等施工文件。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1.4.6承包人文件的审批</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(1)除合同另有约定外，凡须经监理人审批的承包人文件，应在收到文件后5天内批复承包人，逾期不批复，则视为已经监理人批准。监理人的审批意见包括：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1)同意按此执行；或</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2)按修改意见执行；或</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3)修改后重新提交；或</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4)不予批准。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凡标有“按修改意见执行”或“修改后重新提交”的图纸和文件，应由承包人在收到批复件后7天内作出相应修改。所有修改都应由承包人在修改的图纸和文件上标明编号、日期以及说明修改范围和内容，并由承包人项目经理签字后，重新提交监理人批复，监理人应在图纸的角签部位和文件的签署栏签注处理意见后，发还承包人执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(3)凡合同约定由承包人提交监理人批准的图纸和文件，必须由项目经理或其授权代表签名，否则均属无效。凡未经监理人按上述第1款规定签署的图纸和文件，均属无效。</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1.5发包人提供的材料和工程设备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本合同工程发包人不提供任何材料和工程设备。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1.6承包人提供的材料和设备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1.6.1承包人提供的材料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(1)承包人提供的材料应由监理人按以下程序进行检查和验收：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1)查验证件：承包人应按供货合同的要求查验每批材料的发货单、计量单、装箱材料的合格证书、化验单以及其它有关图纸、文件和证件，并应将上述图纸，以及文件、证件的复印件提交监理人；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2)抽样检验：承包人应会同监理人按本合同约定和技术条款各章的有关规定进行材料抽样检验，检验结果应提交监理人。并对每批材料是否合格作出鉴定；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3)材料验收：经鉴定合格的材料方能验收，承包人应与监理人共同核对每批材料的品名、规格、数量，并作好记录，共同验点人库。</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(2)不合格材料的处理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经监理人查库发现的不合格材料，应禁止使用，并清除出场。承包人违约使用了不合格材料，应按本合同约定予以清除或返工至合格为止。</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(3)代用材料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承包人申请代用材料，应将代用材料的技术标准、质量证明书和试验报告提交监理人。经监理人批准后，才能采用代用材料。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1.6.2承包人提供的工程设备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按合同约定由承包人负责采购和安装的工程设备，应由承包人将工程设备的订货清单提交监理人批准。承包人应按监理人批准的工程设备订货清单办理订货，并应将订货协议副本提交监理人。承包人应承担工程设备的采购、验收、运输和保管的责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1.6.3承包人施工设备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(1)承包人应在签署合同协议书后5天内，提交一份为完成本合同各项工作所需的施工设备清单，提交监理人批准。施工设备清单的内容应包括：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1)新购设备的生产厂家、品名、型号、规格、主要性能、数量和预计进场时间，承包人应向监理人提交新购置主要施工设备的订货协议复印件；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2)旧施工设备的购置时间、残值、运行和检修记录以及维修保养证书等；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3)租赁设备的购置时间、租赁期限、租赁价格、运行检修记录以及维修保养证书等。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(2)承包人配置的旧施工设备(包括租赁的旧设备)，应由监理人进行检查，并须进行试运行，确认其符合使用要求后方可投人使用。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承包人施工设各进场后，监理人应按承包人提供的施工设备清单，仔细核查进场施工设备的数量、规格和性能是否符合施工进度计划和质量控制的要求，监理人有权索取必要的施工设备资料，如发现进场的施工设备不能满足施工要求时，监理人有权责令撤换。</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1.6.4不合格的材料和工程设备的处理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由于承包人使用了不合格材料和工程设备造成了工程损害，监理人可要求承包人立即采取措施进行补救，直至彻底清除工程的不合格部位以及不合格的材料或工程设备，由此增加的费用和工期延误责任由承包人承担。</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1.7进度计划的实施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1.7.1施工总进度实施措施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承包人应按监理人根据本章第1.4.3条要求批准的施工总进度实施计划，编制详细的施工总进度计划的实施措施，提交监理人批准。实施措施应说明以下内容：</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(1)各永久工程和临时工程项目按期完成的年、月工程量计划和各年度形象面貌。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(2)主要物资材料(如钢材、钢筋、木材、水泥、粉煤灰、外加剂、砂石骨料、土料和石料、用水和用电等)使用计划及主要材料订货安排。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(3)施工现场各类人员配备和劳务计划。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(4)工程设备的订货、交货计划。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(5)其它说明。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1.7.2年进度计划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承包人应在每年12月，将下年度的进度计划，提交监理人批准，其内容包括：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(1)计划完成的年工程量及其施工面貌。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(2)该年旋工所需的机具、设备、材料的数量和需要补充采购的计划。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(3)要求发包人提供的施工图纸计划。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(4)提出发包人和其它承包人提供工程设备预埋件的计划要求。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(5)该年施工工作面移交计划日期和要求其它承包人提供工作面的计划日期。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(6)该年各施工工程项目的试验检验计划。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(7)工程安全措施实施计划等。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1.7.3季、月进度计划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监理人认为有必要时，可要求承包人向监理人提交季、月进度计划，其内容包括：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(1)季、月工程量及其施工面貌。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(2)该季、月所需施工设备数量及材料用量。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(3)该季、月发包人应提供的施工图纸目录等。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1.7.4月、周进度报告</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(1)承包人应在每月底按批准的格式，向监理人提交月进度实施报告，其内容包括：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1)月完成工程量和累计完成工程量(包括永久工程和临时工程)：</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2)月完成的工程面貌图；</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3)材料实际进货、消耗和库存量；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4)现场施工设备的投运数量和运行状况；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5)工程设备的到货情况；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6)劳动力数量(木月及预计未来3个月劳动力的数量)；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7)当前影响施工进度计划的因素和采取的改进措施；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8)质量事故和质量缺陷处理纪录，质量状况评价；</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9)安全施工措施实施情况(包括安全事故处理情况)；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10)环境保护及水土保持措施实施情况。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月进度报告应附有一组充分显示工程施工面貌与实际进度相对应的定点摄影照片。</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(2)承包人应在每周进度会议上按批准的格式，向监理人提交周进度报表，其内容包括：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1)上周之前合同进度计划要求和实际完成工程量和累计完成工程量统计；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2)上周实际完成工程量统计；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3)下周计划完成的工程量；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4)要求监理人协调解决的主要问题。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1.7.5进度会议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(1)监理人应在每周的某一日和每月末定期召开周、月进度会议，检查承包人合同进度计划的执行情况，协调解决工程施工中发生的工程变更、质量缺陷处理等问题，以及与其它承包人的相互干扰和矛盾。</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(2)承包人应在每周、月进度会议上按规定的格式提交周、月进度报表。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1.8工程质量的检查、检验和验收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1.8.1承包人的质量自检</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(1)承包人应在收到开工通知后的5天内，向监理人提交本工程质量保证措施文件，其内容包括：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1)质量检查机构的组织框图；</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2)质量检查的岗位设置及检查人员名单；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3)各主要工程建筑物施工，以及各施工工种的质量检查程序；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4)隐蔽工程和工程隐蔽部位的质量检查程序；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5)质量检查记录及验收单格式。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(2)承包人应按监理人指示和批准的格式，编制工程质量报表，定期提交监理人。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(3)工程发生质量事故时，承包人应约请监理人共同对工程质量事故进行检查，做好质量事故检查的同期记录和事故处理的自检报告。自检报告应提交监理人。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1.8.2监理人的质量检查</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(1)监理人为检查工程和工程设备质量的需要，可要求承包人提交材料质量和设备出厂合格证、材料试验和设备检测成果、施工和安装记录等，承包人应及时予以提供。</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(2)监理人有权要求承包人按合同约定提供试验用的材料样品或在现场钻取试件，并使用承包人的测试设备进行试验检验；监理人还可要求承包人进行补充的试验检验。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1.8.3发包人的完工预验收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在施工过程中，发包人(或监理人)应会同承包人和有关部门，根据本合同技术条款的规定，对完工的工程项目进行检查验收。检查合格后，发包人、监理人、承包人及有关各方均应在检查验收单上签字后，作为工程完工预验收资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(2)承包人完成每项单位工程和分部工程后，发包人和(或)监理人应组织承包人及有关各方进行完工预验收。承包人应按技术条款的规定与完工验收要求参加验收各方共同签字后，作为工程竣工验收资料。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1.9验收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1.9.1专项验收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(1)专项验收是指与国家和地方有关的环境保护、水土保持、工程档案等的专项工程验收。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(2)专项验收可与工程竣工验收一并进行，其工程竣工验收资料.的整编内容可参照本章第1.9.3条的要求进行。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1.9.2阶段验收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根据国家对工程施工过程的安全管理需要，由发包人确定丁程建设的阶段验收项目。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1.9.3工程竣工验收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(1)工程竣工验收应遵守《水利工程建设项目验收管理规定》  水利部30号令《水利水电建设工程验收规程》(SL223--2008)的规定。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(2)各项单位工程、分部工程完工后，承包人应按本合同的约定，向发包人提交该项验收工程的竣工验收申请报告。发包人收到竣工验收申请报告后，应按合同约定的程序和时限完成验收工作。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(3)各项工程竣工验收前，承包人应整编以下竣工验收资料提交发包人，其内容包括(不限于)：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1)验收工程的各项施工材料的试验检验成果：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2)监理人对验收工程及其工程设备的质量检查记录；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3)施工过程中，本项工程及其工程设备的变更文件及资料；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4)质量事故记录以及工程及其工程设备的缺陷处理报告；</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5)施工过程中，对验收工程质量的专题评定报告；</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6)质量监督机构签认的质量鉴定报告和有关文件；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7)验收工程施工期的安全监测成果，以及工程设备的试运行检测成果；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8)监理人指示提交的其它竣工验收资料。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(4)工程竣工验收应在工程建设项目全部完成，各单位工程、分部工程和单项工程的竣工验收全部合格，并已满足一定运行条件后1年内进行。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(5)工程竣工验收应由发包人向国家主管部门提出工程竣工验收申请，并经国家主管部门批准后，由国家主管部门主持、发包人组织进行。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1.10工程量计量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1.10.1说明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(1)本合同工程项目应按本合同通用和专用合同条款第17条的约定进行计量。计量方去应符合本技术条款各章的有关规定。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(2)承包人应保证自供的一切计量设备和用具符合国家度量衡标准的精度要求。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(3)除合同另有约定外，凡超出施工图纸所示和合同技术条款规定的有效工程量以外的超挖、超填工程量，施工附加量，加工、运输损耗量等均不予计量。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根据合同完成的有效工程量，由承包人按施工图纸计算，或采用标准的计量设备进行秤量，并经监理人签认后，列人承包人的每月完成工程量报表。当分次结算累计工程量与按完成施工图纸所示及合同文件规定计算的有效工程量不一致时，以按完成施工图纸所示及合同文件规定计算的有效工程量为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(5)分次结算工程量的测量工作，应在监理人在场的情况下，由承包人负责。必要时，监理人有权指示承包人对结算工程量重新进行复核测量，并由监理人核查确认。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1.10.2重量计量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(1)按施工图纸所示计算的有效重量以吨或千克为单位计量。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(2)凡以重量计量并需秤量的材料，由承包人合格的测量人员使用经国家计量监督部门检验合格的秤量设备，根据合同约定，在监理人指定的地点进行秤量。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1.10.3面积计量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按施工图纸所示施工轮廓尺寸或结构物尺寸计算的有效面积以平方米为单位计量。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1.10.4体积计量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按施工图纸所示施工轮廓尺寸或结构物尺寸计算的有效体积以立方米为单位计量。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1.10.5长度计量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按施工图纸所示施工轮廓尺寸或结构物尺寸计算的有效长度以米为单位计量。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1.11引用技术标准和规程规范的规定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1.11.1遵守国家和行业标准的强制性规定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技术条款中有关工程等级、防洪标准和工程安全鉴定标准等涉及工程安全的施工安装技术要求及其验收标准，必须严格遵守国家和行业标准中的强制性规定。遇有矛盾时，应由监理人按国家和行业标准的强制性规定进行修正。</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1.11.2引用标准和规程规范以最新版本为准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新技术条款中引用的标准和规程规范均标有出版年代，引用截止期为2009年底，应用时执行国家和各行业最新出版的版本。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1.12工程保险</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1.12.1投保险种</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发包人和承包人应按本合同通用合同条款第20条的约定投保以下险种：</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(1)建筑安装工程一切险(包括材料和工程设备，以发包人和承包人共同名义投保)；</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(2)人员工伤事故险(按各自管辖的人员投保)：</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(3)人身意外伤害险(按各自管辖的人员投保)；</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(4)第三者责任险(按各自管辖区，以发包人和承包人共同名义投保)；</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(5)施工设备险(由承包人负责投保)。</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1.12.2保险费用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(1)本合同约定由发包人负责投保建筑安装工程一切险，承包人不需列报。</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(2)承包人人员的工伤事故险和人身意外伤害险应由承包人按本合同通用合同条款第20.2款、第20.3款约定的责任和内容，为全部现场施工人员办理保险，保险费用含在《工程量清单》有关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(3)承包人管辖区内的第三者责任险应由承包人根据本合同通用合同条款第20.4款约定的责任和内容投保，其费用含在《工程量清单》有关项目的工程单价或总价中，发包人不另行支付。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(4)施工设备险由承包人负责投保，保险费用包括在施工设备运行费内。</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1.13 工程价款支付方法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1.13.1　单价支付项目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除合同另有约定外，承包人在《工程量清单》以单价形式列报的所有工程项目，发包人均按《工程量清单》相应项目的工程单价支付。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1.13.2　一般总价支付项目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除合同另有约定外，承包人在《工程量清单》以总价形式列报的所有工程项目，发包人均按《工程量清单》相应项目(不包括以总价形式列报的暂列金额)的总价支付。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1.13.3　特殊约定的总价支付项目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xml:space="preserve"> (1)保险费</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发包人按本章第1.12节规定支付。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(2)其它费用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 施工临时设施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 一般规定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2.1.1 应用范围</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本章规定适用于本合同工程施工临时设施的设计、施工及其附属设备的采购和配置、安装、运行、维护、管理和拆除等全部工作。其工作项目包括：现场施工测量、现场试验、施工交通、施工供电、施工供水、施工供风、施工照明、施工通信、邮政服务、砂石料料物开采加工系统、混凝土生产系统、机械修配厂、加工厂、仓库、存料场、弃料场以及施工现场办公和生活建筑设施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2.1.2 承包人责任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承包人应按本章第2.2节、第2.3节的规定，负责本工程的现场施工测量和现场试验工作。并对其提供的测量和试验成果负全部责任。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承包人应负责修建完成本章第2.4~2.15节所列的各项施工临时设施，并在各项永久工程建筑物施工前，完成全部施工临时设施及其附属设备的安装和试运行。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承包人应按发包人提供的施工交通规划及本章第2.4节的规定，负责场内施工临时道路及其交通设施、设备的设计、施工、采购和配置、安装、运行和维护。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(4) 承包人应按本章第2.5~2.9节的规定，负责设计和配置施工供水、供电、供风通信等施工临时设施。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(5) 承包人应按本章第2.10~2.14节的规定，负责设计、建造砂石料加工系统、混凝土生产系统、钢筋加工、机械修配加工、汽车修理保养、仓储设施、弃渣场等的临时生产设施。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(6) 承包人应按本章第2.15节的规定，负责现场办公和生活建筑等临时设施的规划、布置、设计、施工和维护，并应对现场办公和生活建筑物的使用安全负责。</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2.1.3 主要提交件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承包人应按本技术条款第1.4.2条，以及批准的施工总布置设计和本章第2.4~2.15节的规定，编制各项施工临时设施的设计文件，提交监理人批准。其内容包括：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施工临时设施布置图；</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施工工艺流程和(或)施工程序说明；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安全和环境保护措施；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(4) 施工期运行管理方式。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2.1.4 引用标准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(1)《生活饮用水卫生标准》（GB5749-2006）；</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(2)《水工建筑物地下开挖工程施工规范》（SL378-2007）；</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(3)《水利水电工程施工组织设计规范》（SL303-2004）；</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(4)《水利水电工程施工测量规范》（SL52-2003）。</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2.2 现场施工测量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承包人应按本合同通用合同条款的规定执行。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2.3 现场试验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承包人应按本合同通用合同条款的规定执行。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2.4 施工交通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2.4.1 场内施工道路</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本合同约定由发包人提供的施工道路外，承包人应负责修建本合同施工区内自发包人提供的道路至各施工点的全部施工道路、桥涵和停车场，并在合同实施期间负责管理和维护（包括管理和维护发包人提供的施工道路）。</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2.4.2 场外公共交通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承包人应按本合同通用合同条款的规定执行。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2.5 施工供电</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2.5.1 施工电源</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除合同另有约定外，本合同工程的一切施工供电设施均由承包人自行解决。</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承包人应负责设计、施工、采购、安装、调试、管理和维修由发包人施工电源输出端的接口处至所有施工区和生活区的输电线路、配电所及其全部配电装置和功率补偿装置。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承包人应为其出现停电事故后急需恢复用电的重要工程部位(如基坑抽水、补救中断的混凝土浇筑、混凝土温控冷却水、办公和生活区的安全照明等)配备一定容量的事故备用电源，为紧急供电之用。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2.5.2 施工用电计划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承包人应在每年末、每季开始前　14　天向监理人提供下一年、各季度和各月的施工用电计划，并按监理人批准的用电计划执行。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2.6 施工供水</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承包人应自行解决水源，负责提供本合同工程的施工和生活用水，其供水系统的总供水能力应不小于承包人每天所需的总用水量，水质应符合GB5749-2006有关的规定。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承包人应按本合同施工总布置的要求，负责设计、施工、采购、安装、管理和维修其施工区和生活区的供水系统，包括修建为保证正常供水的引水、储水和水处理设施等。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负责向发包人和监理人提供现场办公和生活用水，包括引向发包人和监理人办公地点和生活区的引水、储水和水处理设施及其设备、设施的施工、安装和日常维修等工作。上述供水设施建设和日常供水费用包括在供水项目的总价内。</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(4) 为进入现场的其它承包人提供施工和生活用水方便，具体提供措施和收费办法由双方协商确定。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2.7 施工供风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承包人应负责提供本合同工程所需的施工供风，包括负责施工供风系统的设计、建造、运行管理和维护。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2.8 施工照明</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承包人应负责设计、施工、采购、安装、管理和维修其工程所有施工作业区、办公区和生活区以及相关的道路、桥涵内的施工区照明线路和照明设施。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承包人应按监理人指示，为进入现场工作的其它承包人施工和生活用电提供方便。</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2.9 施工通信和邮政服务</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除合同另有约定外，承包人应自行与当地电信部门协商获得通信接口，其通信接口外的一切通信设施均由承包人自行解决。</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承包人应自行负责设计、施工、采购、安装、管理和维修其施工现场内部的通信服务设施。承包人应为发包人和其它承包人使用其内部通信设施提供方便。</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承包人应自行与当地邮政部门协商解决其施工现场邮政服务事宜。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2.10 砂石料场开采加工系统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2.10.1 承包人自建砂石料加工系统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承包人应负责提供本合同工程施工所需的全部砂石料，并负责砂石料加工系统的设计和施工以及开采加工设备的采购、安装、调试、运行、管理和维护。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承包人应按批准的施工进度计划和各种砂石料和土料的需用量确定各项加工设备的生产能力和规模，进行加工、储存和供料平衡，并应满足高峰用量的要求。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2.11 混凝土生产系统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承包人应按施工图纸和本合同技术条款规定的温控要求，负责混凝土制冷（热）系统的设计和施工，并负责制冷（热）设备的采购、安装、调试、运行管理和维修。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2.12 临时工厂设施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承包人应按批准的施工总进度和施工图纸的要求，修建以下临时工厂设施，并各工厂设施施工前，将临时工厂设施的设计文件提交监理人批准。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钢筋加工厂；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木材加工厂；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混凝土构件预制工厂；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机械修配工厂；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汽车保养站；</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(6) 钢结构加工厂（包括预装配场地）。</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2.13 仓库和堆、存料场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承包人应按批准的施工组织设计和合同进度计划的要求，修建本工程的仓库和堆、存料场，并在开始施工前，将仓库和堆、存料场的设计图纸与文件提交监理人批准。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 承包人应负责本合同工程所需的各项材料和设备仓库的设计、修建、管理和维护。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除合同另有约定外，储存炸药、雷管和油料等特殊材料仓库应按监理人批准的地点进行布置和修建，并应严格遵守国家有关安全管理的规定。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2.14 弃渣场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承包人应按监理人批准的环境保护措施计划，在弃渣场周围及场地内设置防洪和排水设施，防止冲刷弃渣，造成水土流失。</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2.15 临时生产管理和生活设施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2.15.1 承包人临时生产管理和生活设施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除合同另有约定外，承包人应负责其施工需要的全部临时生产管理与生活设施的设计、建造及其设备的采购、安装、管理和维护等。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承包人应在收到开工通知后的　14　天内，按发包人批准的施工规划总布置，向监理人编制一份临时生产管理和生活设施的布置和房屋建筑物设计的图纸和文件提交监理人批准。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2.15.2 发包人提供临时生产管理和生活设施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发包人可将已建成的办公管理和生活房屋建筑及其设施提供给承包人使用。具体管理办法由发包人和承包人另行签订协议。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 计量和支付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 现场施工测量</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现场施工测量（包括根据合同约定由承包人测设的施工控制网、工程施工阶段的全部施工测量放样工作等）所需费用包含在《工程量清单》相应项目的工程单价或总价中，发包人不另行支付。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2.16.2 现场试验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现场室内试验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承包人现场试验室的建设费用，包含在《工程量清单》相应项目的工程单价或总价中，发包人不另行支付。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现场工艺试验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除合同另有约定外，现场工艺试验所需费用，包含在《工程量清单》相应项目的工程单价或总价中，发包人不另行支付。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现场生产性试验</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除合同约定的大型现场生产性试验项目由发包人按《工程量清单》所列项目的总价支付外，其它各项生产性试验费用均包含在《工程量清单》相应项目的工程单价或总价中，发包人不另行支付。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2.16.3 施工交通设施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除合同另有约定外，承包人根据合同要求完成场内施工道路的建设和施工期的管理维护工作所需的费用，均包含在其他临时工程中，发包人不另行支付。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场外公共交通的费用，除合同约定由承包人为场外公共交通修建和（或）维护的临时设施外，承包人在施工场地外的一切交通费用，均由承包人自行承担，发包人不另行支付。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承包人承担的超大、超重件的运输费用，均由承包人自行负责，发包人不另行支付。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2.16.4 施工及生活供电设施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除合同另有约定外，承包人根据合同要求完成施工用电设施的建设、移设和拆除工作所需的费用，所需费用包含在《工程量清单》相应项目的工程单价或总价中，发包人不另行支付。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2.16.5 施工及生活供水设施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除合同另有约定外，承包人根据合同要求完成施工及生活供水设施的建设、移设和拆除工作所需的费用，所需费用包含在《工程量清单》相应项目的工程单价或总价中，发包人不另行支付。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2.16.6 施工供风设施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除合同另有约定外，承包人根据合同要求完成施工供风设施的建设、移设和拆除工作所需的费用，所需费用均包含在其他临时工程中，发包人不另行支付。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2.16.7 施工照明设施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除合同另有约定外，承包人根据合同要求完成施工照明设施的建设、移置、维护管理和拆除工作所需的费用，所需费用包含在其他临时工程中，发包人不另行支付。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2.16.8 施工通信和邮政设施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除合同另有约定外，承包人根据合同要求完成现场施工通信和邮政设施的建设、移设、维护管理和拆除工作所需的费用，所需费用均包含在其他临时工程中，发包人不另行支付。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2.16.9 砂石料生产系统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除合同另有约定外，承包人根据合同要求完成砂石料生产系统的建设和拆除工作所需的费用，已包含在相应项目的单价中，发包人不另行支付。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2.16.10 混凝土生产系统</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除合同另有约定外，承包人根据合同要求完成混凝土生产系统的建设和拆除工作所需的费用，包含在《工程量清单》相应的混凝土工程单价或总价中，发包人不另行支付。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2.16.11 附属加工厂</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除合同另有约定外，承包人根据合同要求完成附属加工厂的建设、维护管理和拆除工作所需的费用，所需费用均包含在其他临时工程中，发包人不另行支付。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2.16.12 仓库和存料场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除合同另有约定外，承包人根据合同要求完成仓库或存料场的建设、维护管理和拆除工作所需的费用，所需费用均包含在其他临时工程中，发包人不另行支付。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2.16.13 弃渣场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除合同另有约定外，承包人根据合同要求完成弃渣场的建设和维护管理等工作所需的费用，所需费用包含在《工程量清单》相应项目的工程单价或总价中，发包人不另行支付。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2.16.14 临时生产管理和生活设施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除合同另有约定外，承包人根据合同要求完成临时生产管理和生活设施的建设、移设、维护管理和拆除工作所需的费用，所需费用包含在《工程量清单》相应项目的工程单价或总价中，发包人不另行支付。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2.16.15 其它临时设施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未列入《工程量清单》的其它临时设施，承包人根据合同要求完成这些设施的建设、移置、维护管理和拆除工作所需的费用，包含在相应永久工程项目的工程单价或总价中，发包人不另行支付。</w:t>
      </w:r>
    </w:p>
    <w:p>
      <w:pPr>
        <w:spacing w:line="490" w:lineRule="exact"/>
        <w:ind w:firstLine="420" w:firstLineChars="200"/>
        <w:rPr>
          <w:rFonts w:ascii="Times New Roman" w:hAnsi="Times New Roman"/>
          <w:szCs w:val="21"/>
          <w:highlight w:val="none"/>
          <w:lang w:val="zh-CN"/>
        </w:rPr>
      </w:pPr>
    </w:p>
    <w:p>
      <w:pPr>
        <w:spacing w:line="490" w:lineRule="exact"/>
        <w:ind w:firstLine="420" w:firstLineChars="200"/>
        <w:rPr>
          <w:rFonts w:ascii="Times New Roman" w:hAnsi="Times New Roman"/>
          <w:szCs w:val="21"/>
          <w:highlight w:val="none"/>
          <w:lang w:val="zh-CN"/>
        </w:rPr>
      </w:pP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 施工安全措施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3.1 一般规定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3.1.1 应用范围</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本章适用于水利工程施工现场的安全管理工作包括：现场施工劳动保护、爆破作业、照明、场内交通、消防施工作业保护、洪水和气象灾害保护、施工安全监测等。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3.1.2 承包人责任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承包人应按本合同通用合同条款第9.2款的约定和《水利水电工程施工通用安全技术规程》(SL398-2007)的规定履行其安全施工职责，对本工程的施工安全负责。</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坚持“安全第一，预防为主”的方针，建立、健全安全生产责任制度，制定各项安全生产规章制度和操作规程，建立完善的施工安全生产设施，健全安全生产保证体系，加强监督管理，切实保障全体人员的生命和财产安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承包人应加强对职工进行施工安全教育，应按本章第3.2节规定的内容，编印安全保护手册发给全体职工。工人上岗前应进行安全操作的培训和考核。合格者才准上岗。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(4) 承包人必须遵守国家颁布的有关安全规程。若承包人责任区内发生重大安全事故时，承包人应立即报告发包人，并在事故发生后24小时内提交事故情况的书面报告</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(5) 承包人应为施工作业人员配置必需的劳动保护用品。承包人应对其施工安全措施不到位而发生的安全事故承担责任。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(6) 承包人应负责全部施工作业的安全检查，建立专门的安全检查机构，配备专职的安检人员，进行经常性的安全生产检查，并及时作好安全记录。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3.1.3 主要提交件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承包人应在本工程开工前　5　天，根据《中华人民共和国安全生产法》、《中华人民共和国消防法》、《中华人民共和国道路交通安全法》、《中华人民共和国传染病防治法》、《水利工程建设安全生产管理规定》等国家行业和地方有关法规，以及本章第3.2.1条规定的内容和要求，编制一份施工安全措施计划，提交监理人批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承包人应在每年、每季和每月的进度报告中，按本章规定的各项安全工作内容，详细说明本工程安全措施计划的实施情况，以及按规定的格式提交安全检查和事故处理记录。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3.1.4 引用的法律法规</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《水利工程建设安全生产管理规定》；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《安全技术措施计划的项目总名称表》；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《中华人民共和国道路交通安全法》；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《中华人民共和国安全生产法》；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《中华人民共和国消防法》；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《中华人民共和国传染病防治法实施办法》；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《中华人民共和国食品卫生法》；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《中华人民共和国劳动法》。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3.1.5 引用标准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《爆破安全规程》（GB6722-2003）；</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《安全标志及其使用导则》（GB2894-2008）；</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《水利水电工程施工通用安全技术规程》（SL398-2007）；</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《水利水电工程金属结构与机电设备安装安全技术规程》（SL400-2007）；</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《职业健康安全管理体系规范》（GB/T28001-2011）。</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 施工安全措施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3.2.1 施工安全措施计划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按本章第3.1.3条的规定提交施工安全措施计划，其内容应包括施工安全机构的设置、专职安全人员的配备，以及防洪、防火、防毒、防噪声、防爆破烟尘、救护、警报、治安和炸药管理等。施工安全措施的项目和范围，还应符合国家颁发的《安全技术措施计划的项目总名称表》及其附录H、I、J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3.2.2 劳动保护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承包人应定期向所有现场施工人员发放安全帽、水鞋、雨衣、手套、手灯、防护面具和安全带等劳动保护用品，以及特殊工种作业人员的劳动保护津贴和营养补助等。</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按《中华人民共和国劳动法》的有关规定安排现场作业人员的劳动和休息时间，加班时间不得超过《中华人民共和国劳动法》第四章的规定。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3.2.3 伤病防治和卫生保健</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 承包人应在施工现场设置医疗卫生机构，负责施工人员的伤病防治和卫生保健工作。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 施工人员进入生活区和作业面前，应对环境进行卫生清理，以及采取消毒、杀虫、灭鼠等卫生措施，并对饮用水进行消毒。</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 及时做好病源和疫情监测。一旦发现疫情，应立即采取措施控制感染源和感染者。</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(4) 职工食堂应严格执行《中华人民共和国食品卫生法》的有关规定。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(5) 所有传染病人、病原携带者和疑似病人一律不得从事易于使该病传播的工作。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3.2.4 危险物品的安全管理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承包人运输和存放爆破器材，应遵守SL398-2007第8.3.3条、第8.3.4条的规定；油料的运输和管理应遵守SL398-2007第11.5节的规定。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3.2.5 照明安全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承包人应在施工作业区、施工道路、临时设施、办公区和生活区设置足够的照明，布置照明设施符合相关规范的规定。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3.2.6 接地及防雷装置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接地及防雷装置应符合SL398-2007第4.2节接地（接零）与防雷规定的要求。凡可能漏电伤人或易受雷击的电器及建筑物均应设置接地或防雷装置。</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3.2.7 防有毒，有害物品的控制</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承包人应遵守SL378-2007第11.3节防尘、有害气体的规定。</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3.2.8 爆破作业安全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承包人的施工爆破作业应严格遵照GB6722-2003及国家有关爆破安全管理的规定、承包人应对爆破造成的工程和人身损害和财产损失承担责任。</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对实施电引爆的作业区，承包人应采用必要的特殊安全装置，以防止暴风雨时的大气或邻近电气设备放电的影响。特殊安全装置应经过试验证明其确保安全可靠时方可使用。试验报告应提交监理人。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当承包人的现场爆破作业对其它承包人的施工造成干扰及影响临近设施和人员的安全时，应由监理人协调解决、现场爆破时，各方均应服从爆破作业指挥人员的命令。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3.2.9 消防</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承包人应遵守《中华人民共和国消防法》，并负责其自己辖区内的消防工作。承包人应对其辖区内发生的火灾及其造成的人员伤亡和财产损失负责。</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按SL398-2007第3.5节的规定，建立现场消防组织，配置必要的消防专职人员和消防设备器材。消防设备的型号和功率应满足消防任务的需要。在现场配备必要的灭火器材、设置防火警示标志，保持畅通的消防通道。</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承包人应对职工进行经常性的消防知识教育和消防安全训练，消防设备器材应经常检查和保养，使其处于良好的待命状态。</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(4) 承包人应制定经常性的消防检查制度，划分施工现场的防火责任区。承包人的消防专职人员应定期检查各施工现场，以及办公与生活区的消防安全，特别是用电安全。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3.2.10 洪水和气象灾害的防护</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做好水情和气象预报工作。承包人应向发包人或地方主管水文、气象预报工作的部门获取工程所在区域短、中、长期水文、气象预报资料。一旦发现有可能危及工程和人身财产安全的灾害预兆时，应立即采取确保安全的有效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每年汛前，承包人应编制防洪度汛预案，并按《水利水电工程施工通用安全技术规程》(SL398-2007)第3.6节、第3.7节的规定，制定切实可行的预防和减灾措施。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3.2.11 安全标志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承包人应按GB2894-2008的要求，在施工区内设置一切必需的安全标志，其标志类型包括：</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禁止标志；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警告标志；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指令标志；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4) 提示标志。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承包人应负责保护施工区内的所有标志，并按监理人指示补充或更换失效的标志。</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3.2.12 施工安全监测</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有关施工期的安全监测详见本技术条款第16章。</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3.3 应急救援措施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3.3.1 事故应急救援预案</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承包人应制定生产安全事故的应急救援预案，应急救援预案应能随时紧急调动应救人员，救援专职人员应定期组织演练。</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发生事故后，承包人应按应急救援要求，配备必需的应急救援器材和设备，并及时将应急救援的措施报告提交监理人。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3.3.2 伤亡事故处理</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施工过程中，若发生施工生产人员或第三者人员的伤亡事故时，承包人应按本合同通用合同条款第9.5款的约定，及时进行处理，并立即报告监理人。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发生重大伤亡或特大事故时，承包人必须保护事故现场，立即报告发包人和当地政府的安全管理部门，并在当地政府的支持和协助下，按国家有关规定妥善处理好事故。</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事故处理结案后，承包人应向公众张榜告示处理事故结果。</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3.3.3 预防自然灾害措施</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(1) 施工期间一旦发生洪水、或可能危及人身财产安全事故的预兆时，承包人应立即采取有效的防灾措施，确保工程人员和财产的安全。</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(2) 一旦发生安全事故，承包人应立即按其安全职责分工，组织人员、设备和物资，尽快制止事故发展，及时消除隐患，划定警戒范围，并在最短时间内组织好人员、车辆和设备的疏散，避免再次发生人员伤亡和财产损失。</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　　(3) 承包人应保护好事故现场，为事故调查分析提供直接证据，做好现场标志和书面记录，绘制现场简图，并妥善保存现场重要痕迹、物证，必要时应对事故现场和伤亡情况进行录像或拍照，待事故调查部门有明确指令后，才能清除事故现场。</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3.4 计量和支付</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直接属于具体工程项目的安全文明施工措施费，应包含在《工程量清单》各具体工程项目有效工程量的工程单</w:t>
      </w:r>
    </w:p>
    <w:p>
      <w:pPr>
        <w:rPr>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pStyle w:val="3"/>
        <w:spacing w:before="120" w:after="120" w:line="400" w:lineRule="exact"/>
        <w:jc w:val="center"/>
        <w:rPr>
          <w:rFonts w:ascii="宋体" w:hAnsi="宋体"/>
          <w:bCs w:val="0"/>
          <w:color w:val="000000"/>
          <w:sz w:val="51"/>
          <w:szCs w:val="31"/>
          <w:highlight w:val="none"/>
        </w:rPr>
      </w:pPr>
      <w:bookmarkStart w:id="614" w:name="_Toc570"/>
      <w:bookmarkStart w:id="615" w:name="_Toc49870009"/>
      <w:r>
        <w:rPr>
          <w:rFonts w:hint="eastAsia" w:ascii="宋体" w:hAnsi="宋体"/>
          <w:bCs w:val="0"/>
          <w:color w:val="000000"/>
          <w:sz w:val="51"/>
          <w:szCs w:val="31"/>
          <w:highlight w:val="none"/>
        </w:rPr>
        <w:t>第 三 卷</w:t>
      </w:r>
      <w:bookmarkEnd w:id="614"/>
      <w:bookmarkEnd w:id="615"/>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pStyle w:val="3"/>
        <w:spacing w:before="120" w:after="120" w:line="400" w:lineRule="exact"/>
        <w:jc w:val="center"/>
        <w:rPr>
          <w:rFonts w:ascii="黑体" w:hAnsi="黑体" w:eastAsia="黑体"/>
          <w:bCs w:val="0"/>
          <w:color w:val="000000"/>
          <w:sz w:val="31"/>
          <w:szCs w:val="31"/>
          <w:highlight w:val="none"/>
        </w:rPr>
      </w:pPr>
      <w:bookmarkStart w:id="616" w:name="_Toc49870010"/>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Cs w:val="0"/>
          <w:color w:val="000000"/>
          <w:sz w:val="31"/>
          <w:szCs w:val="31"/>
          <w:highlight w:val="none"/>
        </w:rPr>
      </w:pPr>
    </w:p>
    <w:p>
      <w:pPr>
        <w:rPr>
          <w:rFonts w:ascii="黑体" w:hAnsi="黑体" w:eastAsia="黑体"/>
          <w:color w:val="000000"/>
          <w:sz w:val="31"/>
          <w:szCs w:val="31"/>
          <w:highlight w:val="none"/>
        </w:rPr>
      </w:pPr>
    </w:p>
    <w:p>
      <w:pPr>
        <w:pStyle w:val="2"/>
        <w:rPr>
          <w:rFonts w:ascii="黑体" w:hAnsi="黑体" w:eastAsia="黑体"/>
          <w:color w:val="000000"/>
          <w:sz w:val="31"/>
          <w:szCs w:val="31"/>
          <w:highlight w:val="none"/>
        </w:rPr>
      </w:pPr>
    </w:p>
    <w:p>
      <w:pPr>
        <w:rPr>
          <w:rFonts w:ascii="黑体" w:hAnsi="黑体" w:eastAsia="黑体"/>
          <w:color w:val="000000"/>
          <w:sz w:val="31"/>
          <w:szCs w:val="31"/>
          <w:highlight w:val="none"/>
        </w:rPr>
      </w:pPr>
    </w:p>
    <w:p>
      <w:pPr>
        <w:pStyle w:val="2"/>
        <w:rPr>
          <w:rFonts w:ascii="黑体" w:hAnsi="黑体" w:eastAsia="黑体"/>
          <w:color w:val="000000"/>
          <w:sz w:val="31"/>
          <w:szCs w:val="31"/>
          <w:highlight w:val="none"/>
        </w:rPr>
      </w:pPr>
    </w:p>
    <w:p>
      <w:pPr>
        <w:rPr>
          <w:rFonts w:ascii="黑体" w:hAnsi="黑体" w:eastAsia="黑体"/>
          <w:color w:val="000000"/>
          <w:sz w:val="31"/>
          <w:szCs w:val="31"/>
          <w:highlight w:val="none"/>
        </w:rPr>
      </w:pPr>
    </w:p>
    <w:p>
      <w:pPr>
        <w:pStyle w:val="2"/>
        <w:rPr>
          <w:rFonts w:ascii="黑体" w:hAnsi="黑体" w:eastAsia="黑体"/>
          <w:color w:val="000000"/>
          <w:sz w:val="31"/>
          <w:szCs w:val="31"/>
          <w:highlight w:val="none"/>
        </w:rPr>
      </w:pPr>
    </w:p>
    <w:p>
      <w:pPr>
        <w:rPr>
          <w:rFonts w:ascii="黑体" w:hAnsi="黑体" w:eastAsia="黑体"/>
          <w:color w:val="000000"/>
          <w:sz w:val="31"/>
          <w:szCs w:val="31"/>
          <w:highlight w:val="none"/>
        </w:rPr>
      </w:pPr>
    </w:p>
    <w:p>
      <w:pPr>
        <w:pStyle w:val="2"/>
        <w:rPr>
          <w:highlight w:val="none"/>
        </w:rPr>
      </w:pPr>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Cs w:val="0"/>
          <w:color w:val="000000"/>
          <w:sz w:val="31"/>
          <w:szCs w:val="31"/>
          <w:highlight w:val="none"/>
        </w:rPr>
      </w:pPr>
      <w:bookmarkStart w:id="617" w:name="_Toc13040"/>
      <w:r>
        <w:rPr>
          <w:rFonts w:hint="eastAsia" w:ascii="黑体" w:hAnsi="黑体" w:eastAsia="黑体"/>
          <w:bCs w:val="0"/>
          <w:color w:val="000000"/>
          <w:sz w:val="31"/>
          <w:szCs w:val="31"/>
          <w:highlight w:val="none"/>
        </w:rPr>
        <w:t>第七章  投标文件格式</w:t>
      </w:r>
      <w:bookmarkEnd w:id="616"/>
      <w:bookmarkEnd w:id="617"/>
    </w:p>
    <w:p>
      <w:pPr>
        <w:rPr>
          <w:highlight w:val="none"/>
        </w:rPr>
      </w:pPr>
      <w:r>
        <w:rPr>
          <w:highlight w:val="none"/>
        </w:rPr>
        <w:br w:type="page"/>
      </w:r>
    </w:p>
    <w:p>
      <w:pPr>
        <w:pStyle w:val="4"/>
        <w:spacing w:line="400" w:lineRule="exact"/>
        <w:rPr>
          <w:rFonts w:ascii="Times New Roman" w:hAnsi="Times New Roman"/>
          <w:color w:val="000000"/>
          <w:sz w:val="23"/>
          <w:szCs w:val="21"/>
          <w:highlight w:val="none"/>
        </w:rPr>
      </w:pPr>
      <w:bookmarkStart w:id="618" w:name="_Toc28078"/>
      <w:r>
        <w:rPr>
          <w:rFonts w:hint="eastAsia" w:ascii="Times New Roman" w:hAnsi="Times New Roman"/>
          <w:color w:val="000000"/>
          <w:sz w:val="23"/>
          <w:szCs w:val="21"/>
          <w:highlight w:val="none"/>
        </w:rPr>
        <w:t>评标要素索引表</w:t>
      </w:r>
      <w:bookmarkEnd w:id="618"/>
    </w:p>
    <w:p>
      <w:pPr>
        <w:adjustRightInd w:val="0"/>
        <w:snapToGrid w:val="0"/>
        <w:spacing w:afterLines="50" w:line="400" w:lineRule="exact"/>
        <w:jc w:val="center"/>
        <w:rPr>
          <w:rFonts w:ascii="Times New Roman" w:hAnsi="Times New Roman"/>
          <w:b/>
          <w:color w:val="000000"/>
          <w:sz w:val="20"/>
          <w:szCs w:val="20"/>
          <w:highlight w:val="none"/>
        </w:rPr>
      </w:pPr>
      <w:r>
        <w:rPr>
          <w:rFonts w:hint="eastAsia"/>
          <w:b/>
          <w:color w:val="000000"/>
          <w:sz w:val="20"/>
          <w:szCs w:val="20"/>
          <w:highlight w:val="none"/>
        </w:rPr>
        <w:t>评标要素索引表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58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r>
              <w:rPr>
                <w:rFonts w:hint="eastAsia"/>
                <w:b/>
                <w:color w:val="000000"/>
                <w:sz w:val="20"/>
                <w:szCs w:val="20"/>
                <w:highlight w:val="none"/>
              </w:rPr>
              <w:t>序号</w:t>
            </w: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r>
              <w:rPr>
                <w:rFonts w:hint="eastAsia"/>
                <w:b/>
                <w:color w:val="000000"/>
                <w:sz w:val="20"/>
                <w:szCs w:val="20"/>
                <w:highlight w:val="none"/>
              </w:rPr>
              <w:t>评审内容</w:t>
            </w: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r>
              <w:rPr>
                <w:rFonts w:hint="eastAsia"/>
                <w:b/>
                <w:color w:val="000000"/>
                <w:sz w:val="20"/>
                <w:szCs w:val="20"/>
                <w:highlight w:val="none"/>
              </w:rPr>
              <w:t>投标文件页码范围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pStyle w:val="61"/>
              <w:widowControl w:val="0"/>
              <w:pBdr>
                <w:bottom w:val="none" w:color="auto" w:sz="0" w:space="0"/>
                <w:right w:val="none" w:color="auto" w:sz="0" w:space="0"/>
              </w:pBdr>
              <w:adjustRightInd w:val="0"/>
              <w:snapToGrid w:val="0"/>
              <w:spacing w:before="0" w:beforeAutospacing="0" w:after="0" w:afterAutospacing="0" w:line="400" w:lineRule="exact"/>
              <w:rPr>
                <w:b/>
                <w:color w:val="000000"/>
                <w:kern w:val="2"/>
                <w:sz w:val="20"/>
                <w:szCs w:val="20"/>
                <w:highlight w:val="none"/>
              </w:rPr>
            </w:pPr>
          </w:p>
        </w:tc>
        <w:tc>
          <w:tcPr>
            <w:tcW w:w="770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2008" w:firstLineChars="1000"/>
              <w:rPr>
                <w:b/>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u w:val="singl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u w:val="singl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p>
        </w:tc>
        <w:tc>
          <w:tcPr>
            <w:tcW w:w="770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2008" w:firstLineChars="1000"/>
              <w:rPr>
                <w:b/>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u w:val="singl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bl>
    <w:p>
      <w:pPr>
        <w:spacing w:line="400" w:lineRule="exact"/>
        <w:rPr>
          <w:rFonts w:ascii="Times New Roman" w:hAnsi="Times New Roman"/>
          <w:color w:val="000000"/>
          <w:sz w:val="20"/>
          <w:szCs w:val="20"/>
          <w:highlight w:val="none"/>
        </w:rPr>
      </w:pPr>
    </w:p>
    <w:p>
      <w:pPr>
        <w:rPr>
          <w:highlight w:val="none"/>
        </w:rPr>
      </w:pPr>
      <w:r>
        <w:rPr>
          <w:highlight w:val="none"/>
        </w:rPr>
        <w:br w:type="page"/>
      </w:r>
    </w:p>
    <w:p>
      <w:pPr>
        <w:rPr>
          <w:highlight w:val="none"/>
        </w:rPr>
      </w:pPr>
      <w:bookmarkStart w:id="619" w:name="EBcea738247aac44409f150352b6093b7c"/>
    </w:p>
    <w:p>
      <w:pPr>
        <w:pStyle w:val="138"/>
        <w:spacing w:after="400"/>
        <w:jc w:val="center"/>
        <w:rPr>
          <w:rFonts w:ascii="黑体" w:hAnsi="黑体" w:eastAsia="黑体" w:cs="黑体"/>
          <w:sz w:val="40"/>
          <w:szCs w:val="40"/>
          <w:highlight w:val="none"/>
        </w:rPr>
      </w:pPr>
      <w:r>
        <w:rPr>
          <w:rFonts w:ascii="黑体" w:hAnsi="黑体" w:eastAsia="黑体" w:cs="黑体"/>
          <w:sz w:val="40"/>
          <w:szCs w:val="40"/>
          <w:highlight w:val="none"/>
        </w:rPr>
        <w:t>目  录</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一、封面</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二、投标函及投标函附录</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三、法定代表人身份证明及授权委托书</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四、投标保证金</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五、已标价工程量清单</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六、施工组织设计</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七、项目管理机构</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(二)项目管理机构组成表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(三)主要人员简历表</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八、拟分包项目情况表</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九、资格审查资料</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(二)投标人基本情况表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(三)近3年财务状况表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(四)近</w:t>
      </w:r>
      <w:r>
        <w:rPr>
          <w:rFonts w:hint="eastAsia" w:ascii="宋体" w:hAnsi="宋体" w:eastAsia="宋体" w:cs="宋体"/>
          <w:highlight w:val="none"/>
        </w:rPr>
        <w:t>5</w:t>
      </w:r>
      <w:r>
        <w:rPr>
          <w:rFonts w:ascii="宋体" w:hAnsi="宋体" w:eastAsia="宋体" w:cs="宋体"/>
          <w:highlight w:val="none"/>
        </w:rPr>
        <w:t>年完成的类似项目情况表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(五)正在施工的和新承接的项目情况表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(六)近3年发生的诉讼及仲裁情况</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(七)资格审查自审表</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十、原件的复印件</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十一、投标人告知承诺书</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十二、其他材料</w:t>
      </w:r>
    </w:p>
    <w:p>
      <w:pPr>
        <w:rPr>
          <w:highlight w:val="none"/>
        </w:rPr>
      </w:pPr>
    </w:p>
    <w:p>
      <w:pPr>
        <w:pStyle w:val="89"/>
        <w:spacing w:line="400" w:lineRule="exact"/>
        <w:rPr>
          <w:color w:val="000000"/>
          <w:sz w:val="35"/>
          <w:szCs w:val="35"/>
          <w:highlight w:val="none"/>
        </w:rPr>
      </w:pPr>
    </w:p>
    <w:p>
      <w:pPr>
        <w:pStyle w:val="89"/>
        <w:spacing w:line="400" w:lineRule="exact"/>
        <w:rPr>
          <w:rFonts w:eastAsia="黑体"/>
          <w:color w:val="000000"/>
          <w:sz w:val="19"/>
          <w:szCs w:val="19"/>
          <w:highlight w:val="none"/>
        </w:rPr>
      </w:pPr>
    </w:p>
    <w:p>
      <w:pPr>
        <w:pStyle w:val="89"/>
        <w:spacing w:line="400" w:lineRule="exact"/>
        <w:rPr>
          <w:rFonts w:eastAsia="黑体"/>
          <w:color w:val="000000"/>
          <w:sz w:val="19"/>
          <w:szCs w:val="19"/>
          <w:highlight w:val="none"/>
        </w:rPr>
      </w:pPr>
    </w:p>
    <w:p>
      <w:pPr>
        <w:pStyle w:val="89"/>
        <w:spacing w:line="400" w:lineRule="exact"/>
        <w:jc w:val="center"/>
        <w:rPr>
          <w:rFonts w:eastAsia="黑体"/>
          <w:color w:val="000000"/>
          <w:sz w:val="27"/>
          <w:szCs w:val="27"/>
          <w:highlight w:val="none"/>
        </w:rPr>
      </w:pPr>
      <w:r>
        <w:rPr>
          <w:rFonts w:eastAsia="黑体"/>
          <w:color w:val="000000"/>
          <w:sz w:val="27"/>
          <w:szCs w:val="27"/>
          <w:highlight w:val="none"/>
          <w:u w:val="single"/>
        </w:rPr>
        <w:t xml:space="preserve">            </w:t>
      </w:r>
      <w:r>
        <w:rPr>
          <w:rFonts w:hint="eastAsia" w:eastAsia="黑体"/>
          <w:color w:val="000000"/>
          <w:sz w:val="27"/>
          <w:szCs w:val="27"/>
          <w:highlight w:val="none"/>
        </w:rPr>
        <w:t>（</w:t>
      </w:r>
      <w:r>
        <w:rPr>
          <w:rFonts w:hint="eastAsia" w:ascii="仿宋_GB2312" w:eastAsia="仿宋_GB2312"/>
          <w:color w:val="000000"/>
          <w:sz w:val="27"/>
          <w:szCs w:val="27"/>
          <w:highlight w:val="none"/>
        </w:rPr>
        <w:t>项目名称）</w:t>
      </w:r>
      <w:r>
        <w:rPr>
          <w:rFonts w:hint="eastAsia" w:ascii="仿宋_GB2312" w:eastAsia="仿宋_GB2312"/>
          <w:color w:val="000000"/>
          <w:sz w:val="27"/>
          <w:szCs w:val="27"/>
          <w:highlight w:val="none"/>
          <w:u w:val="single"/>
        </w:rPr>
        <w:t xml:space="preserve">            （</w:t>
      </w:r>
      <w:r>
        <w:rPr>
          <w:rFonts w:hint="eastAsia" w:ascii="仿宋_GB2312" w:eastAsia="仿宋_GB2312"/>
          <w:color w:val="000000"/>
          <w:sz w:val="27"/>
          <w:szCs w:val="27"/>
          <w:highlight w:val="none"/>
        </w:rPr>
        <w:t>标段名称</w:t>
      </w:r>
      <w:r>
        <w:rPr>
          <w:rFonts w:hint="eastAsia" w:eastAsia="黑体"/>
          <w:color w:val="000000"/>
          <w:sz w:val="27"/>
          <w:szCs w:val="27"/>
          <w:highlight w:val="none"/>
        </w:rPr>
        <w:t>）</w:t>
      </w:r>
      <w:r>
        <w:rPr>
          <w:rFonts w:eastAsia="黑体"/>
          <w:color w:val="000000"/>
          <w:sz w:val="27"/>
          <w:szCs w:val="27"/>
          <w:highlight w:val="none"/>
        </w:rPr>
        <w:t xml:space="preserve"> </w:t>
      </w:r>
    </w:p>
    <w:p>
      <w:pPr>
        <w:pStyle w:val="89"/>
        <w:spacing w:line="400" w:lineRule="exact"/>
        <w:rPr>
          <w:rFonts w:eastAsia="黑体"/>
          <w:color w:val="000000"/>
          <w:sz w:val="19"/>
          <w:szCs w:val="19"/>
          <w:highlight w:val="none"/>
        </w:rPr>
      </w:pPr>
    </w:p>
    <w:p>
      <w:pPr>
        <w:pStyle w:val="89"/>
        <w:spacing w:line="400" w:lineRule="exact"/>
        <w:rPr>
          <w:rFonts w:eastAsia="黑体"/>
          <w:color w:val="000000"/>
          <w:sz w:val="19"/>
          <w:szCs w:val="19"/>
          <w:highlight w:val="none"/>
        </w:rPr>
      </w:pPr>
    </w:p>
    <w:p>
      <w:pPr>
        <w:pStyle w:val="89"/>
        <w:spacing w:line="400" w:lineRule="exact"/>
        <w:jc w:val="center"/>
        <w:rPr>
          <w:rFonts w:eastAsia="黑体"/>
          <w:color w:val="000000"/>
          <w:sz w:val="42"/>
          <w:szCs w:val="42"/>
          <w:highlight w:val="none"/>
        </w:rPr>
      </w:pPr>
      <w:r>
        <w:rPr>
          <w:rFonts w:hint="eastAsia" w:eastAsia="黑体"/>
          <w:color w:val="000000"/>
          <w:sz w:val="42"/>
          <w:szCs w:val="42"/>
          <w:highlight w:val="none"/>
        </w:rPr>
        <w:t>投</w:t>
      </w:r>
      <w:r>
        <w:rPr>
          <w:rFonts w:eastAsia="黑体"/>
          <w:color w:val="000000"/>
          <w:sz w:val="42"/>
          <w:szCs w:val="42"/>
          <w:highlight w:val="none"/>
        </w:rPr>
        <w:t xml:space="preserve">  </w:t>
      </w:r>
      <w:r>
        <w:rPr>
          <w:rFonts w:hint="eastAsia" w:eastAsia="黑体"/>
          <w:color w:val="000000"/>
          <w:sz w:val="42"/>
          <w:szCs w:val="42"/>
          <w:highlight w:val="none"/>
        </w:rPr>
        <w:t>标</w:t>
      </w:r>
      <w:r>
        <w:rPr>
          <w:rFonts w:eastAsia="黑体"/>
          <w:color w:val="000000"/>
          <w:sz w:val="42"/>
          <w:szCs w:val="42"/>
          <w:highlight w:val="none"/>
        </w:rPr>
        <w:t xml:space="preserve">  </w:t>
      </w:r>
      <w:r>
        <w:rPr>
          <w:rFonts w:hint="eastAsia" w:eastAsia="黑体"/>
          <w:color w:val="000000"/>
          <w:sz w:val="42"/>
          <w:szCs w:val="42"/>
          <w:highlight w:val="none"/>
        </w:rPr>
        <w:t>文</w:t>
      </w:r>
      <w:r>
        <w:rPr>
          <w:rFonts w:eastAsia="黑体"/>
          <w:color w:val="000000"/>
          <w:sz w:val="42"/>
          <w:szCs w:val="42"/>
          <w:highlight w:val="none"/>
        </w:rPr>
        <w:t xml:space="preserve">  </w:t>
      </w:r>
      <w:r>
        <w:rPr>
          <w:rFonts w:hint="eastAsia" w:eastAsia="黑体"/>
          <w:color w:val="000000"/>
          <w:sz w:val="42"/>
          <w:szCs w:val="42"/>
          <w:highlight w:val="none"/>
        </w:rPr>
        <w:t>件</w:t>
      </w: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jc w:val="center"/>
        <w:rPr>
          <w:rFonts w:eastAsia="黑体"/>
          <w:color w:val="000000"/>
          <w:sz w:val="27"/>
          <w:szCs w:val="27"/>
          <w:highlight w:val="none"/>
        </w:rPr>
      </w:pPr>
      <w:r>
        <w:rPr>
          <w:rFonts w:hint="eastAsia" w:eastAsia="黑体"/>
          <w:color w:val="000000"/>
          <w:sz w:val="27"/>
          <w:szCs w:val="27"/>
          <w:highlight w:val="none"/>
        </w:rPr>
        <w:t>投标人：</w:t>
      </w:r>
      <w:r>
        <w:rPr>
          <w:rFonts w:eastAsia="黑体"/>
          <w:color w:val="000000"/>
          <w:sz w:val="27"/>
          <w:szCs w:val="27"/>
          <w:highlight w:val="none"/>
          <w:u w:val="single"/>
        </w:rPr>
        <w:t xml:space="preserve">                              </w:t>
      </w:r>
      <w:r>
        <w:rPr>
          <w:rFonts w:hint="eastAsia" w:eastAsia="黑体"/>
          <w:color w:val="000000"/>
          <w:sz w:val="27"/>
          <w:szCs w:val="27"/>
          <w:highlight w:val="none"/>
        </w:rPr>
        <w:t>（盖单位章）</w:t>
      </w:r>
    </w:p>
    <w:p>
      <w:pPr>
        <w:pStyle w:val="89"/>
        <w:spacing w:line="400" w:lineRule="exact"/>
        <w:jc w:val="center"/>
        <w:rPr>
          <w:rFonts w:eastAsia="黑体"/>
          <w:color w:val="000000"/>
          <w:sz w:val="27"/>
          <w:szCs w:val="27"/>
          <w:highlight w:val="none"/>
          <w:u w:val="single"/>
        </w:rPr>
      </w:pPr>
    </w:p>
    <w:p>
      <w:pPr>
        <w:pStyle w:val="89"/>
        <w:spacing w:line="400" w:lineRule="exact"/>
        <w:jc w:val="center"/>
        <w:rPr>
          <w:rFonts w:eastAsia="黑体"/>
          <w:color w:val="000000"/>
          <w:sz w:val="27"/>
          <w:szCs w:val="27"/>
          <w:highlight w:val="none"/>
        </w:rPr>
      </w:pPr>
      <w:r>
        <w:rPr>
          <w:rFonts w:eastAsia="黑体"/>
          <w:color w:val="000000"/>
          <w:sz w:val="27"/>
          <w:szCs w:val="27"/>
          <w:highlight w:val="none"/>
          <w:u w:val="single"/>
        </w:rPr>
        <w:t xml:space="preserve">        </w:t>
      </w:r>
      <w:r>
        <w:rPr>
          <w:rFonts w:hint="eastAsia" w:eastAsia="黑体"/>
          <w:color w:val="000000"/>
          <w:sz w:val="27"/>
          <w:szCs w:val="27"/>
          <w:highlight w:val="none"/>
        </w:rPr>
        <w:t>年</w:t>
      </w:r>
      <w:r>
        <w:rPr>
          <w:rFonts w:eastAsia="黑体"/>
          <w:color w:val="000000"/>
          <w:sz w:val="27"/>
          <w:szCs w:val="27"/>
          <w:highlight w:val="none"/>
          <w:u w:val="single"/>
        </w:rPr>
        <w:t xml:space="preserve">        </w:t>
      </w:r>
      <w:r>
        <w:rPr>
          <w:rFonts w:hint="eastAsia" w:eastAsia="黑体"/>
          <w:color w:val="000000"/>
          <w:sz w:val="27"/>
          <w:szCs w:val="27"/>
          <w:highlight w:val="none"/>
        </w:rPr>
        <w:t>月</w:t>
      </w:r>
      <w:r>
        <w:rPr>
          <w:rFonts w:eastAsia="黑体"/>
          <w:color w:val="000000"/>
          <w:sz w:val="27"/>
          <w:szCs w:val="27"/>
          <w:highlight w:val="none"/>
          <w:u w:val="single"/>
        </w:rPr>
        <w:t xml:space="preserve">         </w:t>
      </w:r>
      <w:r>
        <w:rPr>
          <w:rFonts w:hint="eastAsia" w:eastAsia="黑体"/>
          <w:color w:val="000000"/>
          <w:sz w:val="27"/>
          <w:szCs w:val="27"/>
          <w:highlight w:val="none"/>
        </w:rPr>
        <w:t>日</w:t>
      </w:r>
    </w:p>
    <w:p>
      <w:pPr>
        <w:pStyle w:val="90"/>
        <w:outlineLvl w:val="1"/>
        <w:rPr>
          <w:highlight w:val="none"/>
        </w:rPr>
      </w:pPr>
      <w:r>
        <w:rPr>
          <w:highlight w:val="none"/>
        </w:rPr>
        <w:br w:type="page"/>
      </w:r>
      <w:bookmarkStart w:id="620" w:name="_Toc12223"/>
      <w:r>
        <w:rPr>
          <w:rFonts w:ascii="黑体" w:hAnsi="黑体" w:eastAsia="黑体" w:cs="黑体"/>
          <w:b/>
          <w:sz w:val="32"/>
          <w:highlight w:val="none"/>
        </w:rPr>
        <w:t>一、投标函及投标函附录</w:t>
      </w:r>
      <w:bookmarkEnd w:id="620"/>
    </w:p>
    <w:p>
      <w:pPr>
        <w:pStyle w:val="91"/>
        <w:spacing w:line="400" w:lineRule="exact"/>
        <w:jc w:val="center"/>
        <w:rPr>
          <w:rFonts w:ascii="Times New Roman" w:hAnsi="Times New Roman"/>
          <w:color w:val="000000"/>
          <w:sz w:val="30"/>
          <w:szCs w:val="30"/>
          <w:highlight w:val="none"/>
        </w:rPr>
      </w:pPr>
      <w:bookmarkStart w:id="621" w:name="_Toc18393"/>
      <w:r>
        <w:rPr>
          <w:rFonts w:ascii="Times New Roman" w:hAnsi="Times New Roman"/>
          <w:color w:val="000000"/>
          <w:sz w:val="30"/>
          <w:szCs w:val="30"/>
          <w:highlight w:val="none"/>
        </w:rPr>
        <w:t>一、投标函及投标函附录</w:t>
      </w:r>
      <w:bookmarkEnd w:id="621"/>
    </w:p>
    <w:p>
      <w:pPr>
        <w:pStyle w:val="94"/>
        <w:rPr>
          <w:color w:val="000000"/>
          <w:highlight w:val="none"/>
        </w:rPr>
      </w:pPr>
      <w:bookmarkStart w:id="622" w:name="_Toc1299"/>
      <w:r>
        <w:rPr>
          <w:rFonts w:hint="eastAsia"/>
          <w:color w:val="000000"/>
          <w:highlight w:val="none"/>
        </w:rPr>
        <w:t>（一）投标函</w:t>
      </w:r>
      <w:bookmarkEnd w:id="622"/>
    </w:p>
    <w:p>
      <w:pPr>
        <w:pStyle w:val="92"/>
        <w:spacing w:line="400" w:lineRule="exact"/>
        <w:rPr>
          <w:color w:val="000000"/>
          <w:sz w:val="19"/>
          <w:szCs w:val="19"/>
          <w:highlight w:val="none"/>
        </w:rPr>
      </w:pPr>
    </w:p>
    <w:p>
      <w:pPr>
        <w:pStyle w:val="92"/>
        <w:spacing w:line="400" w:lineRule="exact"/>
        <w:rPr>
          <w:rFonts w:ascii="宋体" w:hAnsi="宋体"/>
          <w:color w:val="000000"/>
          <w:szCs w:val="21"/>
          <w:highlight w:val="none"/>
        </w:rPr>
      </w:pPr>
      <w:r>
        <w:rPr>
          <w:rFonts w:hint="eastAsia" w:ascii="宋体" w:hAnsi="宋体"/>
          <w:color w:val="000000"/>
          <w:szCs w:val="21"/>
          <w:highlight w:val="none"/>
          <w:u w:val="single"/>
        </w:rPr>
        <w:t xml:space="preserve">                        </w:t>
      </w:r>
      <w:r>
        <w:rPr>
          <w:rFonts w:hint="eastAsia" w:ascii="宋体" w:hAnsi="宋体"/>
          <w:color w:val="000000"/>
          <w:szCs w:val="21"/>
          <w:highlight w:val="none"/>
        </w:rPr>
        <w:t>（招标人名称）：</w:t>
      </w:r>
    </w:p>
    <w:p>
      <w:pPr>
        <w:pStyle w:val="92"/>
        <w:spacing w:line="400" w:lineRule="exact"/>
        <w:rPr>
          <w:rFonts w:ascii="宋体" w:hAnsi="宋体"/>
          <w:color w:val="000000"/>
          <w:szCs w:val="21"/>
          <w:highlight w:val="none"/>
        </w:rPr>
      </w:pP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1．我方已仔细研究了</w:t>
      </w:r>
      <w:r>
        <w:rPr>
          <w:rFonts w:hint="eastAsia" w:ascii="宋体" w:hAnsi="宋体"/>
          <w:color w:val="000000"/>
          <w:szCs w:val="21"/>
          <w:highlight w:val="none"/>
          <w:u w:val="single"/>
        </w:rPr>
        <w:t xml:space="preserve">          </w:t>
      </w:r>
      <w:r>
        <w:rPr>
          <w:rFonts w:hint="eastAsia" w:ascii="宋体" w:hAnsi="宋体"/>
          <w:color w:val="000000"/>
          <w:szCs w:val="21"/>
          <w:highlight w:val="none"/>
        </w:rPr>
        <w:t>（项目名称）</w:t>
      </w:r>
      <w:r>
        <w:rPr>
          <w:rFonts w:hint="eastAsia" w:ascii="宋体" w:hAnsi="宋体"/>
          <w:color w:val="000000"/>
          <w:szCs w:val="21"/>
          <w:highlight w:val="none"/>
          <w:u w:val="single"/>
        </w:rPr>
        <w:t xml:space="preserve">      </w:t>
      </w:r>
      <w:r>
        <w:rPr>
          <w:rFonts w:hint="eastAsia" w:ascii="宋体" w:hAnsi="宋体"/>
          <w:color w:val="000000"/>
          <w:szCs w:val="21"/>
          <w:highlight w:val="none"/>
        </w:rPr>
        <w:t>（标段名称）招标文件的全部内容，愿意以人民币（大写）</w:t>
      </w:r>
      <w:r>
        <w:rPr>
          <w:rFonts w:hint="eastAsia" w:ascii="宋体" w:hAnsi="宋体"/>
          <w:color w:val="000000"/>
          <w:szCs w:val="21"/>
          <w:highlight w:val="none"/>
          <w:u w:val="single"/>
        </w:rPr>
        <w:t xml:space="preserve">         </w:t>
      </w:r>
      <w:r>
        <w:rPr>
          <w:rFonts w:hint="eastAsia" w:ascii="宋体" w:hAnsi="宋体"/>
          <w:color w:val="000000"/>
          <w:szCs w:val="21"/>
          <w:highlight w:val="none"/>
        </w:rPr>
        <w:t>元（¥</w:t>
      </w:r>
      <w:r>
        <w:rPr>
          <w:rFonts w:hint="eastAsia" w:ascii="宋体" w:hAnsi="宋体"/>
          <w:color w:val="000000"/>
          <w:szCs w:val="21"/>
          <w:highlight w:val="none"/>
          <w:u w:val="single"/>
        </w:rPr>
        <w:t xml:space="preserve">           </w:t>
      </w:r>
      <w:r>
        <w:rPr>
          <w:rFonts w:hint="eastAsia" w:ascii="宋体" w:hAnsi="宋体"/>
          <w:color w:val="000000"/>
          <w:szCs w:val="21"/>
          <w:highlight w:val="none"/>
        </w:rPr>
        <w:t>）的投标总报价，工期</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日历天，按合同约定实施和完成承包工程，修补工程中的任何缺陷，工程质量达到</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pStyle w:val="92"/>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2．我方承诺在投标有效期内不补充、修改、替代或撤回本投标文件。</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 随同本投标函提交投标保证金一份，金额为人民币（大写）</w:t>
      </w:r>
      <w:r>
        <w:rPr>
          <w:rFonts w:hint="eastAsia" w:ascii="宋体" w:hAnsi="宋体"/>
          <w:color w:val="000000"/>
          <w:szCs w:val="21"/>
          <w:highlight w:val="none"/>
          <w:u w:val="single"/>
        </w:rPr>
        <w:t xml:space="preserve">        </w:t>
      </w:r>
      <w:r>
        <w:rPr>
          <w:rFonts w:hint="eastAsia" w:ascii="宋体" w:hAnsi="宋体"/>
          <w:color w:val="000000"/>
          <w:szCs w:val="21"/>
          <w:highlight w:val="none"/>
        </w:rPr>
        <w:t>元（¥</w:t>
      </w:r>
      <w:r>
        <w:rPr>
          <w:rFonts w:hint="eastAsia" w:ascii="宋体" w:hAnsi="宋体"/>
          <w:color w:val="000000"/>
          <w:szCs w:val="21"/>
          <w:highlight w:val="none"/>
          <w:u w:val="single"/>
        </w:rPr>
        <w:t xml:space="preserve">      </w:t>
      </w:r>
      <w:r>
        <w:rPr>
          <w:rFonts w:hint="eastAsia" w:ascii="宋体" w:hAnsi="宋体"/>
          <w:color w:val="000000"/>
          <w:szCs w:val="21"/>
          <w:highlight w:val="none"/>
        </w:rPr>
        <w:t>元 ）。</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4．如我方中标：</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（1）我方承诺在收到中标通知书后，在中标通知书规定的期限内与你方签订合同。</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（2）随同本投标函递交的投标函附录属于合同文件的组成部分。</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（3）我方承诺按照招标文件规定向你方递交履约担保。</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（4）我方承诺在合同约定的期限内完成并移交全部合同工程。</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5．我方在此声明，所递交的投标文件及有关资料内容完整、真实和准确，且不存在第二章“投标人须知”第1.4.3项规定的任何一种情形。</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6．</w:t>
      </w:r>
      <w:r>
        <w:rPr>
          <w:rFonts w:hint="eastAsia" w:ascii="宋体" w:hAnsi="宋体"/>
          <w:color w:val="000000"/>
          <w:szCs w:val="21"/>
          <w:highlight w:val="none"/>
          <w:u w:val="single"/>
        </w:rPr>
        <w:t xml:space="preserve">                                       </w:t>
      </w:r>
      <w:r>
        <w:rPr>
          <w:rFonts w:hint="eastAsia" w:ascii="宋体" w:hAnsi="宋体"/>
          <w:color w:val="000000"/>
          <w:szCs w:val="21"/>
          <w:highlight w:val="none"/>
        </w:rPr>
        <w:t>（其他补充说明）。</w:t>
      </w:r>
    </w:p>
    <w:p>
      <w:pPr>
        <w:pStyle w:val="92"/>
        <w:spacing w:line="400" w:lineRule="exact"/>
        <w:rPr>
          <w:rFonts w:ascii="宋体" w:hAnsi="宋体"/>
          <w:color w:val="000000"/>
          <w:szCs w:val="21"/>
          <w:highlight w:val="none"/>
        </w:rPr>
      </w:pP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投 标 人：</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法定代表人或其委托代理人：</w:t>
      </w:r>
      <w:r>
        <w:rPr>
          <w:rFonts w:hint="eastAsia" w:ascii="宋体" w:hAnsi="宋体"/>
          <w:color w:val="000000"/>
          <w:szCs w:val="21"/>
          <w:highlight w:val="none"/>
          <w:u w:val="single"/>
        </w:rPr>
        <w:t xml:space="preserve">          </w:t>
      </w:r>
      <w:r>
        <w:rPr>
          <w:rFonts w:hint="eastAsia" w:ascii="宋体" w:hAnsi="宋体"/>
          <w:color w:val="000000"/>
          <w:szCs w:val="21"/>
          <w:highlight w:val="none"/>
        </w:rPr>
        <w:t>（签字）</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地址：</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网址：</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电话：</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传真：</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邮政编码：</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p>
    <w:p>
      <w:pPr>
        <w:pStyle w:val="92"/>
        <w:spacing w:line="400" w:lineRule="exact"/>
        <w:ind w:firstLine="4725" w:firstLineChars="2250"/>
        <w:rPr>
          <w:rFonts w:ascii="宋体" w:hAnsi="宋体"/>
          <w:color w:val="000000"/>
          <w:szCs w:val="21"/>
          <w:highlight w:val="none"/>
        </w:rPr>
      </w:pPr>
      <w:r>
        <w:rPr>
          <w:rFonts w:hint="eastAsia" w:ascii="宋体" w:hAnsi="宋体"/>
          <w:color w:val="000000"/>
          <w:szCs w:val="21"/>
          <w:highlight w:val="none"/>
          <w:u w:val="single"/>
        </w:rPr>
        <w:t>___   __</w:t>
      </w:r>
      <w:r>
        <w:rPr>
          <w:rFonts w:hint="eastAsia" w:ascii="宋体" w:hAnsi="宋体"/>
          <w:color w:val="000000"/>
          <w:szCs w:val="21"/>
          <w:highlight w:val="none"/>
        </w:rPr>
        <w:t>年</w:t>
      </w:r>
      <w:r>
        <w:rPr>
          <w:rFonts w:hint="eastAsia" w:ascii="宋体" w:hAnsi="宋体"/>
          <w:color w:val="000000"/>
          <w:szCs w:val="21"/>
          <w:highlight w:val="none"/>
          <w:u w:val="single"/>
        </w:rPr>
        <w:t>__   __</w:t>
      </w:r>
      <w:r>
        <w:rPr>
          <w:rFonts w:hint="eastAsia" w:ascii="宋体" w:hAnsi="宋体"/>
          <w:color w:val="000000"/>
          <w:szCs w:val="21"/>
          <w:highlight w:val="none"/>
        </w:rPr>
        <w:t>月__</w:t>
      </w:r>
      <w:r>
        <w:rPr>
          <w:rFonts w:hint="eastAsia" w:ascii="宋体" w:hAnsi="宋体"/>
          <w:color w:val="000000"/>
          <w:szCs w:val="21"/>
          <w:highlight w:val="none"/>
          <w:u w:val="single"/>
        </w:rPr>
        <w:t>_  _</w:t>
      </w:r>
      <w:r>
        <w:rPr>
          <w:rFonts w:hint="eastAsia" w:ascii="宋体" w:hAnsi="宋体"/>
          <w:color w:val="000000"/>
          <w:szCs w:val="21"/>
          <w:highlight w:val="none"/>
        </w:rPr>
        <w:t>日</w:t>
      </w:r>
    </w:p>
    <w:p>
      <w:pPr>
        <w:pStyle w:val="92"/>
        <w:spacing w:line="400" w:lineRule="exact"/>
        <w:rPr>
          <w:rFonts w:ascii="Times New Roman" w:hAnsi="Times New Roman" w:eastAsia="黑体"/>
          <w:color w:val="000000"/>
          <w:sz w:val="20"/>
          <w:szCs w:val="20"/>
          <w:highlight w:val="none"/>
        </w:rPr>
      </w:pPr>
    </w:p>
    <w:p>
      <w:pPr>
        <w:pStyle w:val="92"/>
        <w:spacing w:line="400" w:lineRule="exact"/>
        <w:rPr>
          <w:rFonts w:eastAsia="黑体"/>
          <w:color w:val="000000"/>
          <w:sz w:val="19"/>
          <w:szCs w:val="19"/>
          <w:highlight w:val="none"/>
        </w:rPr>
      </w:pPr>
      <w:r>
        <w:rPr>
          <w:rFonts w:eastAsia="黑体"/>
          <w:color w:val="000000"/>
          <w:sz w:val="19"/>
          <w:szCs w:val="19"/>
          <w:highlight w:val="none"/>
        </w:rPr>
        <w:br w:type="page"/>
      </w:r>
    </w:p>
    <w:p>
      <w:pPr>
        <w:pStyle w:val="94"/>
        <w:rPr>
          <w:color w:val="000000"/>
          <w:highlight w:val="none"/>
        </w:rPr>
      </w:pPr>
      <w:bookmarkStart w:id="623" w:name="_Toc7038"/>
      <w:r>
        <w:rPr>
          <w:rFonts w:hint="eastAsia"/>
          <w:color w:val="000000"/>
          <w:highlight w:val="none"/>
        </w:rPr>
        <w:t>（二）投标函附录</w:t>
      </w:r>
      <w:bookmarkEnd w:id="623"/>
    </w:p>
    <w:p>
      <w:pPr>
        <w:pStyle w:val="92"/>
        <w:spacing w:line="400" w:lineRule="exact"/>
        <w:rPr>
          <w:rFonts w:eastAsia="黑体"/>
          <w:color w:val="000000"/>
          <w:sz w:val="19"/>
          <w:szCs w:val="19"/>
          <w:highlight w:val="none"/>
        </w:rPr>
      </w:pPr>
    </w:p>
    <w:tbl>
      <w:tblPr>
        <w:tblStyle w:val="140"/>
        <w:tblW w:w="8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2337"/>
        <w:gridCol w:w="2159"/>
        <w:gridCol w:w="2701"/>
        <w:gridCol w:w="7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55" w:type="dxa"/>
          </w:tcPr>
          <w:p>
            <w:pPr>
              <w:pStyle w:val="139"/>
              <w:spacing w:before="216" w:line="222" w:lineRule="auto"/>
              <w:ind w:left="119"/>
              <w:rPr>
                <w:highlight w:val="none"/>
              </w:rPr>
            </w:pPr>
            <w:r>
              <w:rPr>
                <w:spacing w:val="-2"/>
                <w:highlight w:val="none"/>
              </w:rPr>
              <w:t>序号</w:t>
            </w:r>
          </w:p>
        </w:tc>
        <w:tc>
          <w:tcPr>
            <w:tcW w:w="2337" w:type="dxa"/>
          </w:tcPr>
          <w:p>
            <w:pPr>
              <w:pStyle w:val="139"/>
              <w:spacing w:before="216" w:line="221" w:lineRule="auto"/>
              <w:ind w:left="751"/>
              <w:rPr>
                <w:highlight w:val="none"/>
              </w:rPr>
            </w:pPr>
            <w:r>
              <w:rPr>
                <w:spacing w:val="-1"/>
                <w:highlight w:val="none"/>
              </w:rPr>
              <w:t>条款名称</w:t>
            </w:r>
          </w:p>
        </w:tc>
        <w:tc>
          <w:tcPr>
            <w:tcW w:w="2159" w:type="dxa"/>
          </w:tcPr>
          <w:p>
            <w:pPr>
              <w:pStyle w:val="139"/>
              <w:spacing w:before="216" w:line="221" w:lineRule="auto"/>
              <w:ind w:left="555"/>
              <w:rPr>
                <w:highlight w:val="none"/>
              </w:rPr>
            </w:pPr>
            <w:r>
              <w:rPr>
                <w:spacing w:val="-1"/>
                <w:highlight w:val="none"/>
              </w:rPr>
              <w:t>合同条款号</w:t>
            </w:r>
          </w:p>
        </w:tc>
        <w:tc>
          <w:tcPr>
            <w:tcW w:w="2701" w:type="dxa"/>
          </w:tcPr>
          <w:p>
            <w:pPr>
              <w:pStyle w:val="139"/>
              <w:spacing w:before="216" w:line="221" w:lineRule="auto"/>
              <w:ind w:left="939"/>
              <w:rPr>
                <w:highlight w:val="none"/>
              </w:rPr>
            </w:pPr>
            <w:r>
              <w:rPr>
                <w:spacing w:val="-3"/>
                <w:highlight w:val="none"/>
              </w:rPr>
              <w:t>约定内容</w:t>
            </w:r>
          </w:p>
        </w:tc>
        <w:tc>
          <w:tcPr>
            <w:tcW w:w="722" w:type="dxa"/>
          </w:tcPr>
          <w:p>
            <w:pPr>
              <w:pStyle w:val="139"/>
              <w:spacing w:before="216" w:line="222" w:lineRule="auto"/>
              <w:ind w:left="156"/>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55" w:type="dxa"/>
          </w:tcPr>
          <w:p>
            <w:pPr>
              <w:spacing w:before="254" w:line="179" w:lineRule="auto"/>
              <w:ind w:left="288"/>
              <w:rPr>
                <w:rFonts w:eastAsia="Calibri" w:cs="Calibri"/>
                <w:szCs w:val="21"/>
                <w:highlight w:val="none"/>
              </w:rPr>
            </w:pPr>
            <w:r>
              <w:rPr>
                <w:rFonts w:eastAsia="Calibri" w:cs="Calibri"/>
                <w:szCs w:val="21"/>
                <w:highlight w:val="none"/>
              </w:rPr>
              <w:t>1</w:t>
            </w:r>
          </w:p>
        </w:tc>
        <w:tc>
          <w:tcPr>
            <w:tcW w:w="2337" w:type="dxa"/>
          </w:tcPr>
          <w:p>
            <w:pPr>
              <w:pStyle w:val="139"/>
              <w:spacing w:before="213" w:line="221" w:lineRule="auto"/>
              <w:ind w:left="755"/>
              <w:rPr>
                <w:highlight w:val="none"/>
              </w:rPr>
            </w:pPr>
            <w:r>
              <w:rPr>
                <w:spacing w:val="-3"/>
                <w:highlight w:val="none"/>
              </w:rPr>
              <w:t>项目经理</w:t>
            </w:r>
          </w:p>
        </w:tc>
        <w:tc>
          <w:tcPr>
            <w:tcW w:w="2159" w:type="dxa"/>
          </w:tcPr>
          <w:p>
            <w:pPr>
              <w:spacing w:before="254" w:line="179" w:lineRule="auto"/>
              <w:ind w:left="799"/>
              <w:rPr>
                <w:rFonts w:eastAsia="Calibri" w:cs="Calibri"/>
                <w:szCs w:val="21"/>
                <w:highlight w:val="none"/>
              </w:rPr>
            </w:pPr>
            <w:r>
              <w:rPr>
                <w:highlight w:val="none"/>
              </w:rPr>
              <w:fldChar w:fldCharType="begin"/>
            </w:r>
            <w:r>
              <w:rPr>
                <w:highlight w:val="none"/>
              </w:rPr>
              <w:instrText xml:space="preserve"> HYPERLINK "1.1.2.4" </w:instrText>
            </w:r>
            <w:r>
              <w:rPr>
                <w:highlight w:val="none"/>
              </w:rPr>
              <w:fldChar w:fldCharType="separate"/>
            </w:r>
            <w:r>
              <w:rPr>
                <w:rFonts w:eastAsia="Calibri" w:cs="Calibri"/>
                <w:spacing w:val="-3"/>
                <w:szCs w:val="21"/>
                <w:highlight w:val="none"/>
              </w:rPr>
              <w:t>1.1.2.4</w:t>
            </w:r>
            <w:r>
              <w:rPr>
                <w:rFonts w:eastAsia="Calibri" w:cs="Calibri"/>
                <w:spacing w:val="-3"/>
                <w:szCs w:val="21"/>
                <w:highlight w:val="none"/>
              </w:rPr>
              <w:fldChar w:fldCharType="end"/>
            </w:r>
          </w:p>
        </w:tc>
        <w:tc>
          <w:tcPr>
            <w:tcW w:w="2701" w:type="dxa"/>
          </w:tcPr>
          <w:p>
            <w:pPr>
              <w:pStyle w:val="139"/>
              <w:spacing w:before="212" w:line="221" w:lineRule="auto"/>
              <w:ind w:left="113"/>
              <w:rPr>
                <w:highlight w:val="none"/>
              </w:rPr>
            </w:pPr>
            <w:r>
              <w:rPr>
                <w:spacing w:val="-12"/>
                <w:highlight w:val="none"/>
              </w:rPr>
              <w:t>姓名：</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655" w:type="dxa"/>
          </w:tcPr>
          <w:p>
            <w:pPr>
              <w:spacing w:before="256" w:line="180" w:lineRule="auto"/>
              <w:ind w:left="282"/>
              <w:rPr>
                <w:rFonts w:eastAsia="Calibri" w:cs="Calibri"/>
                <w:szCs w:val="21"/>
                <w:highlight w:val="none"/>
              </w:rPr>
            </w:pPr>
            <w:r>
              <w:rPr>
                <w:rFonts w:eastAsia="Calibri" w:cs="Calibri"/>
                <w:szCs w:val="21"/>
                <w:highlight w:val="none"/>
              </w:rPr>
              <w:t>2</w:t>
            </w:r>
          </w:p>
        </w:tc>
        <w:tc>
          <w:tcPr>
            <w:tcW w:w="2337" w:type="dxa"/>
          </w:tcPr>
          <w:p>
            <w:pPr>
              <w:pStyle w:val="139"/>
              <w:spacing w:before="216" w:line="221" w:lineRule="auto"/>
              <w:ind w:left="963"/>
              <w:rPr>
                <w:highlight w:val="none"/>
              </w:rPr>
            </w:pPr>
            <w:r>
              <w:rPr>
                <w:spacing w:val="-3"/>
                <w:highlight w:val="none"/>
              </w:rPr>
              <w:t>工期</w:t>
            </w:r>
          </w:p>
        </w:tc>
        <w:tc>
          <w:tcPr>
            <w:tcW w:w="2159" w:type="dxa"/>
          </w:tcPr>
          <w:p>
            <w:pPr>
              <w:spacing w:before="257" w:line="179" w:lineRule="auto"/>
              <w:ind w:left="799"/>
              <w:rPr>
                <w:rFonts w:eastAsia="Calibri" w:cs="Calibri"/>
                <w:szCs w:val="21"/>
                <w:highlight w:val="none"/>
              </w:rPr>
            </w:pPr>
            <w:r>
              <w:rPr>
                <w:highlight w:val="none"/>
              </w:rPr>
              <w:fldChar w:fldCharType="begin"/>
            </w:r>
            <w:r>
              <w:rPr>
                <w:highlight w:val="none"/>
              </w:rPr>
              <w:instrText xml:space="preserve"> HYPERLINK "1.1.4.3" </w:instrText>
            </w:r>
            <w:r>
              <w:rPr>
                <w:highlight w:val="none"/>
              </w:rPr>
              <w:fldChar w:fldCharType="separate"/>
            </w:r>
            <w:r>
              <w:rPr>
                <w:rFonts w:eastAsia="Calibri" w:cs="Calibri"/>
                <w:spacing w:val="-3"/>
                <w:szCs w:val="21"/>
                <w:highlight w:val="none"/>
              </w:rPr>
              <w:t>1.1.4.3</w:t>
            </w:r>
            <w:r>
              <w:rPr>
                <w:rFonts w:eastAsia="Calibri" w:cs="Calibri"/>
                <w:spacing w:val="-3"/>
                <w:szCs w:val="21"/>
                <w:highlight w:val="none"/>
              </w:rPr>
              <w:fldChar w:fldCharType="end"/>
            </w:r>
          </w:p>
        </w:tc>
        <w:tc>
          <w:tcPr>
            <w:tcW w:w="2701" w:type="dxa"/>
          </w:tcPr>
          <w:p>
            <w:pPr>
              <w:pStyle w:val="139"/>
              <w:spacing w:before="215" w:line="221" w:lineRule="auto"/>
              <w:ind w:left="118"/>
              <w:rPr>
                <w:highlight w:val="none"/>
              </w:rPr>
            </w:pPr>
            <w:r>
              <w:rPr>
                <w:spacing w:val="-26"/>
                <w:highlight w:val="none"/>
              </w:rPr>
              <w:t>天数：</w:t>
            </w:r>
            <w:r>
              <w:rPr>
                <w:spacing w:val="41"/>
                <w:highlight w:val="none"/>
              </w:rPr>
              <w:t xml:space="preserve"> </w:t>
            </w:r>
            <w:r>
              <w:rPr>
                <w:spacing w:val="-26"/>
                <w:highlight w:val="none"/>
              </w:rPr>
              <w:t>日历天</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655" w:type="dxa"/>
          </w:tcPr>
          <w:p>
            <w:pPr>
              <w:spacing w:before="234" w:line="179" w:lineRule="auto"/>
              <w:ind w:left="281"/>
              <w:rPr>
                <w:rFonts w:eastAsia="Calibri" w:cs="Calibri"/>
                <w:szCs w:val="21"/>
                <w:highlight w:val="none"/>
              </w:rPr>
            </w:pPr>
            <w:r>
              <w:rPr>
                <w:rFonts w:eastAsia="Calibri" w:cs="Calibri"/>
                <w:szCs w:val="21"/>
                <w:highlight w:val="none"/>
              </w:rPr>
              <w:t>3</w:t>
            </w:r>
          </w:p>
        </w:tc>
        <w:tc>
          <w:tcPr>
            <w:tcW w:w="2337" w:type="dxa"/>
          </w:tcPr>
          <w:p>
            <w:pPr>
              <w:pStyle w:val="139"/>
              <w:spacing w:before="192" w:line="221" w:lineRule="auto"/>
              <w:ind w:left="646"/>
              <w:rPr>
                <w:highlight w:val="none"/>
              </w:rPr>
            </w:pPr>
            <w:r>
              <w:rPr>
                <w:spacing w:val="-1"/>
                <w:highlight w:val="none"/>
              </w:rPr>
              <w:t>缺陷责任期</w:t>
            </w:r>
          </w:p>
        </w:tc>
        <w:tc>
          <w:tcPr>
            <w:tcW w:w="2159" w:type="dxa"/>
          </w:tcPr>
          <w:p>
            <w:pPr>
              <w:spacing w:before="236" w:line="178" w:lineRule="auto"/>
              <w:ind w:left="799"/>
              <w:rPr>
                <w:rFonts w:eastAsia="Calibri" w:cs="Calibri"/>
                <w:szCs w:val="21"/>
                <w:highlight w:val="none"/>
              </w:rPr>
            </w:pPr>
            <w:r>
              <w:rPr>
                <w:highlight w:val="none"/>
              </w:rPr>
              <w:fldChar w:fldCharType="begin"/>
            </w:r>
            <w:r>
              <w:rPr>
                <w:highlight w:val="none"/>
              </w:rPr>
              <w:instrText xml:space="preserve"> HYPERLINK "1.1.4.5" </w:instrText>
            </w:r>
            <w:r>
              <w:rPr>
                <w:highlight w:val="none"/>
              </w:rPr>
              <w:fldChar w:fldCharType="separate"/>
            </w:r>
            <w:r>
              <w:rPr>
                <w:rFonts w:eastAsia="Calibri" w:cs="Calibri"/>
                <w:spacing w:val="-3"/>
                <w:szCs w:val="21"/>
                <w:highlight w:val="none"/>
              </w:rPr>
              <w:t>1.1.4.5</w:t>
            </w:r>
            <w:r>
              <w:rPr>
                <w:rFonts w:eastAsia="Calibri" w:cs="Calibri"/>
                <w:spacing w:val="-3"/>
                <w:szCs w:val="21"/>
                <w:highlight w:val="none"/>
              </w:rPr>
              <w:fldChar w:fldCharType="end"/>
            </w:r>
          </w:p>
        </w:tc>
        <w:tc>
          <w:tcPr>
            <w:tcW w:w="2701" w:type="dxa"/>
          </w:tcPr>
          <w:p>
            <w:pPr>
              <w:pStyle w:val="139"/>
              <w:spacing w:before="192" w:line="221" w:lineRule="auto"/>
              <w:ind w:left="117"/>
              <w:rPr>
                <w:highlight w:val="none"/>
                <w:lang w:eastAsia="zh-CN"/>
              </w:rPr>
            </w:pPr>
            <w:r>
              <w:rPr>
                <w:rFonts w:hint="eastAsia"/>
                <w:spacing w:val="-5"/>
                <w:highlight w:val="none"/>
                <w:lang w:eastAsia="zh-CN"/>
              </w:rPr>
              <w:t>12个月</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655" w:type="dxa"/>
          </w:tcPr>
          <w:p>
            <w:pPr>
              <w:spacing w:before="258" w:line="178" w:lineRule="auto"/>
              <w:ind w:left="275"/>
              <w:rPr>
                <w:rFonts w:eastAsia="Calibri" w:cs="Calibri"/>
                <w:szCs w:val="21"/>
                <w:highlight w:val="none"/>
              </w:rPr>
            </w:pPr>
            <w:r>
              <w:rPr>
                <w:rFonts w:eastAsia="Calibri" w:cs="Calibri"/>
                <w:szCs w:val="21"/>
                <w:highlight w:val="none"/>
              </w:rPr>
              <w:t>4</w:t>
            </w:r>
          </w:p>
        </w:tc>
        <w:tc>
          <w:tcPr>
            <w:tcW w:w="2337" w:type="dxa"/>
          </w:tcPr>
          <w:p>
            <w:pPr>
              <w:pStyle w:val="139"/>
              <w:spacing w:before="215" w:line="221" w:lineRule="auto"/>
              <w:ind w:left="649"/>
              <w:rPr>
                <w:highlight w:val="none"/>
              </w:rPr>
            </w:pPr>
            <w:r>
              <w:rPr>
                <w:spacing w:val="-2"/>
                <w:highlight w:val="none"/>
              </w:rPr>
              <w:t>投标有效期</w:t>
            </w:r>
          </w:p>
        </w:tc>
        <w:tc>
          <w:tcPr>
            <w:tcW w:w="2159" w:type="dxa"/>
          </w:tcPr>
          <w:p>
            <w:pPr>
              <w:rPr>
                <w:rFonts w:ascii="Arial"/>
                <w:highlight w:val="none"/>
              </w:rPr>
            </w:pPr>
          </w:p>
        </w:tc>
        <w:tc>
          <w:tcPr>
            <w:tcW w:w="2701" w:type="dxa"/>
          </w:tcPr>
          <w:p>
            <w:pPr>
              <w:pStyle w:val="139"/>
              <w:spacing w:before="215" w:line="221" w:lineRule="auto"/>
              <w:ind w:left="114"/>
              <w:rPr>
                <w:highlight w:val="none"/>
              </w:rPr>
            </w:pPr>
            <w:r>
              <w:rPr>
                <w:spacing w:val="-10"/>
                <w:highlight w:val="none"/>
              </w:rPr>
              <w:t>90 日历天</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655" w:type="dxa"/>
          </w:tcPr>
          <w:p>
            <w:pPr>
              <w:spacing w:before="259" w:line="178" w:lineRule="auto"/>
              <w:ind w:left="281"/>
              <w:rPr>
                <w:rFonts w:eastAsia="Calibri" w:cs="Calibri"/>
                <w:szCs w:val="21"/>
                <w:highlight w:val="none"/>
              </w:rPr>
            </w:pPr>
            <w:r>
              <w:rPr>
                <w:rFonts w:eastAsia="Calibri" w:cs="Calibri"/>
                <w:szCs w:val="21"/>
                <w:highlight w:val="none"/>
              </w:rPr>
              <w:t>5</w:t>
            </w:r>
          </w:p>
        </w:tc>
        <w:tc>
          <w:tcPr>
            <w:tcW w:w="2337" w:type="dxa"/>
          </w:tcPr>
          <w:p>
            <w:pPr>
              <w:pStyle w:val="139"/>
              <w:spacing w:before="217" w:line="221" w:lineRule="auto"/>
              <w:ind w:left="753"/>
              <w:rPr>
                <w:highlight w:val="none"/>
              </w:rPr>
            </w:pPr>
            <w:r>
              <w:rPr>
                <w:spacing w:val="-2"/>
                <w:highlight w:val="none"/>
              </w:rPr>
              <w:t>质量标准</w:t>
            </w:r>
          </w:p>
        </w:tc>
        <w:tc>
          <w:tcPr>
            <w:tcW w:w="2159" w:type="dxa"/>
          </w:tcPr>
          <w:p>
            <w:pPr>
              <w:pStyle w:val="139"/>
              <w:spacing w:before="217" w:line="221" w:lineRule="auto"/>
              <w:ind w:left="319"/>
              <w:rPr>
                <w:rFonts w:ascii="Calibri" w:hAnsi="Calibri" w:eastAsia="Calibri" w:cs="Calibri"/>
                <w:highlight w:val="none"/>
              </w:rPr>
            </w:pPr>
            <w:r>
              <w:rPr>
                <w:spacing w:val="-3"/>
                <w:highlight w:val="none"/>
              </w:rPr>
              <w:t>投标人须知</w:t>
            </w:r>
            <w:r>
              <w:rPr>
                <w:spacing w:val="-32"/>
                <w:highlight w:val="none"/>
              </w:rPr>
              <w:t xml:space="preserve"> </w:t>
            </w:r>
            <w:r>
              <w:rPr>
                <w:rFonts w:ascii="Calibri" w:hAnsi="Calibri" w:eastAsia="Calibri" w:cs="Calibri"/>
                <w:spacing w:val="-3"/>
                <w:highlight w:val="none"/>
              </w:rPr>
              <w:t>1.3.3</w:t>
            </w:r>
          </w:p>
        </w:tc>
        <w:tc>
          <w:tcPr>
            <w:tcW w:w="2701" w:type="dxa"/>
          </w:tcPr>
          <w:p>
            <w:pPr>
              <w:rPr>
                <w:rFonts w:ascii="Arial"/>
                <w:highlight w:val="none"/>
              </w:rPr>
            </w:pP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55" w:type="dxa"/>
          </w:tcPr>
          <w:p>
            <w:pPr>
              <w:spacing w:before="258" w:line="179" w:lineRule="auto"/>
              <w:ind w:left="281"/>
              <w:rPr>
                <w:rFonts w:eastAsia="Calibri" w:cs="Calibri"/>
                <w:szCs w:val="21"/>
                <w:highlight w:val="none"/>
              </w:rPr>
            </w:pPr>
            <w:r>
              <w:rPr>
                <w:rFonts w:eastAsia="Calibri" w:cs="Calibri"/>
                <w:szCs w:val="21"/>
                <w:highlight w:val="none"/>
              </w:rPr>
              <w:t>6</w:t>
            </w:r>
          </w:p>
        </w:tc>
        <w:tc>
          <w:tcPr>
            <w:tcW w:w="2337" w:type="dxa"/>
          </w:tcPr>
          <w:p>
            <w:pPr>
              <w:pStyle w:val="139"/>
              <w:spacing w:before="216" w:line="221" w:lineRule="auto"/>
              <w:ind w:left="754"/>
              <w:rPr>
                <w:highlight w:val="none"/>
              </w:rPr>
            </w:pPr>
            <w:r>
              <w:rPr>
                <w:spacing w:val="-2"/>
                <w:highlight w:val="none"/>
              </w:rPr>
              <w:t>投标内容</w:t>
            </w:r>
          </w:p>
        </w:tc>
        <w:tc>
          <w:tcPr>
            <w:tcW w:w="2159" w:type="dxa"/>
          </w:tcPr>
          <w:p>
            <w:pPr>
              <w:pStyle w:val="139"/>
              <w:spacing w:before="217" w:line="221" w:lineRule="auto"/>
              <w:ind w:left="319"/>
              <w:rPr>
                <w:rFonts w:ascii="Calibri" w:hAnsi="Calibri" w:eastAsia="Calibri" w:cs="Calibri"/>
                <w:highlight w:val="none"/>
              </w:rPr>
            </w:pPr>
            <w:r>
              <w:rPr>
                <w:spacing w:val="-3"/>
                <w:highlight w:val="none"/>
              </w:rPr>
              <w:t>投标人须知</w:t>
            </w:r>
            <w:r>
              <w:rPr>
                <w:spacing w:val="-32"/>
                <w:highlight w:val="none"/>
              </w:rPr>
              <w:t xml:space="preserve"> </w:t>
            </w:r>
            <w:r>
              <w:rPr>
                <w:rFonts w:ascii="Calibri" w:hAnsi="Calibri" w:eastAsia="Calibri" w:cs="Calibri"/>
                <w:spacing w:val="-3"/>
                <w:highlight w:val="none"/>
              </w:rPr>
              <w:t>1.3.1</w:t>
            </w:r>
          </w:p>
        </w:tc>
        <w:tc>
          <w:tcPr>
            <w:tcW w:w="2701" w:type="dxa"/>
          </w:tcPr>
          <w:p>
            <w:pPr>
              <w:rPr>
                <w:rFonts w:ascii="Arial"/>
                <w:highlight w:val="none"/>
              </w:rPr>
            </w:pPr>
          </w:p>
        </w:tc>
        <w:tc>
          <w:tcPr>
            <w:tcW w:w="722" w:type="dxa"/>
          </w:tcPr>
          <w:p>
            <w:pPr>
              <w:rPr>
                <w:rFonts w:ascii="Arial"/>
                <w:highlight w:val="none"/>
              </w:rPr>
            </w:pPr>
          </w:p>
        </w:tc>
      </w:tr>
    </w:tbl>
    <w:p>
      <w:pPr>
        <w:pStyle w:val="92"/>
        <w:spacing w:line="400" w:lineRule="exact"/>
        <w:ind w:left="840" w:leftChars="400" w:firstLine="2090" w:firstLineChars="1100"/>
        <w:rPr>
          <w:rFonts w:ascii="Times New Roman" w:hAnsi="Times New Roman" w:eastAsia="黑体"/>
          <w:color w:val="000000"/>
          <w:sz w:val="19"/>
          <w:szCs w:val="19"/>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highlight w:val="none"/>
        </w:rPr>
      </w:pPr>
      <w:bookmarkStart w:id="624" w:name="_Toc4581"/>
      <w:r>
        <w:rPr>
          <w:rFonts w:ascii="黑体" w:hAnsi="黑体" w:eastAsia="黑体" w:cs="黑体"/>
          <w:b/>
          <w:sz w:val="32"/>
          <w:highlight w:val="none"/>
        </w:rPr>
        <w:t>二、法定代表人身份证明及授权委托书</w:t>
      </w:r>
      <w:bookmarkEnd w:id="624"/>
    </w:p>
    <w:p>
      <w:pPr>
        <w:pStyle w:val="98"/>
        <w:jc w:val="center"/>
        <w:rPr>
          <w:rFonts w:ascii="黑体" w:hAnsi="黑体" w:eastAsia="黑体"/>
          <w:b/>
          <w:sz w:val="30"/>
          <w:szCs w:val="30"/>
          <w:highlight w:val="none"/>
        </w:rPr>
      </w:pPr>
      <w:r>
        <w:rPr>
          <w:rFonts w:hint="eastAsia" w:ascii="黑体" w:hAnsi="黑体" w:eastAsia="黑体"/>
          <w:b/>
          <w:sz w:val="30"/>
          <w:szCs w:val="30"/>
          <w:highlight w:val="none"/>
        </w:rPr>
        <w:t>法定代表人身份证明</w:t>
      </w:r>
    </w:p>
    <w:p>
      <w:pPr>
        <w:pStyle w:val="98"/>
        <w:spacing w:line="400" w:lineRule="exact"/>
        <w:rPr>
          <w:rFonts w:ascii="Times New Roman" w:hAnsi="Times New Roman"/>
          <w:color w:val="000000"/>
          <w:sz w:val="19"/>
          <w:szCs w:val="19"/>
          <w:highlight w:val="none"/>
        </w:rPr>
      </w:pPr>
    </w:p>
    <w:p>
      <w:pPr>
        <w:pStyle w:val="98"/>
        <w:spacing w:line="400" w:lineRule="exact"/>
        <w:rPr>
          <w:rFonts w:ascii="宋体" w:hAnsi="宋体"/>
          <w:color w:val="000000"/>
          <w:szCs w:val="21"/>
          <w:highlight w:val="none"/>
        </w:rPr>
      </w:pPr>
    </w:p>
    <w:p>
      <w:pPr>
        <w:pStyle w:val="98"/>
        <w:spacing w:line="400" w:lineRule="exact"/>
        <w:rPr>
          <w:rFonts w:ascii="宋体" w:hAnsi="宋体"/>
          <w:color w:val="000000"/>
          <w:szCs w:val="21"/>
          <w:highlight w:val="none"/>
        </w:rPr>
      </w:pPr>
      <w:r>
        <w:rPr>
          <w:rFonts w:hint="eastAsia" w:ascii="宋体" w:hAnsi="宋体"/>
          <w:color w:val="000000"/>
          <w:szCs w:val="21"/>
          <w:highlight w:val="none"/>
        </w:rPr>
        <w:t>投标人名称：</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单位性质：</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地址：</w:t>
      </w:r>
      <w:r>
        <w:rPr>
          <w:rFonts w:hint="eastAsia" w:ascii="宋体" w:hAnsi="宋体"/>
          <w:color w:val="000000"/>
          <w:szCs w:val="21"/>
          <w:highlight w:val="none"/>
          <w:u w:val="singl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成立时间：</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年</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月</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日</w:t>
      </w:r>
    </w:p>
    <w:p>
      <w:pPr>
        <w:pStyle w:val="98"/>
        <w:spacing w:line="400" w:lineRule="exact"/>
        <w:rPr>
          <w:rFonts w:ascii="宋体" w:hAnsi="宋体"/>
          <w:color w:val="000000"/>
          <w:szCs w:val="21"/>
          <w:highlight w:val="none"/>
        </w:rPr>
      </w:pPr>
      <w:r>
        <w:rPr>
          <w:rFonts w:hint="eastAsia" w:ascii="宋体" w:hAnsi="宋体"/>
          <w:color w:val="000000"/>
          <w:szCs w:val="21"/>
          <w:highlight w:val="none"/>
        </w:rPr>
        <w:t>经营期限：</w:t>
      </w:r>
      <w:r>
        <w:rPr>
          <w:rFonts w:hint="eastAsia" w:ascii="宋体" w:hAnsi="宋体"/>
          <w:color w:val="000000"/>
          <w:szCs w:val="21"/>
          <w:highlight w:val="none"/>
          <w:u w:val="singl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姓名：</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性别：</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年龄：</w:t>
      </w:r>
      <w:r>
        <w:rPr>
          <w:rFonts w:hint="eastAsia" w:ascii="宋体" w:hAnsi="宋体"/>
          <w:color w:val="000000"/>
          <w:szCs w:val="21"/>
          <w:highlight w:val="none"/>
          <w:u w:val="single"/>
        </w:rPr>
        <w:t xml:space="preserve">        </w:t>
      </w:r>
      <w:r>
        <w:rPr>
          <w:rFonts w:hint="eastAsia" w:ascii="宋体" w:hAnsi="宋体"/>
          <w:color w:val="000000"/>
          <w:szCs w:val="21"/>
          <w:highlight w:val="none"/>
        </w:rPr>
        <w:t>身份证号码：</w:t>
      </w:r>
      <w:r>
        <w:rPr>
          <w:rFonts w:hint="eastAsia" w:ascii="宋体" w:hAnsi="宋体"/>
          <w:color w:val="000000"/>
          <w:szCs w:val="21"/>
          <w:highlight w:val="none"/>
          <w:u w:val="single"/>
        </w:rPr>
        <w:t xml:space="preserve">                    </w:t>
      </w:r>
      <w:r>
        <w:rPr>
          <w:rFonts w:hint="eastAsia" w:ascii="宋体" w:hAnsi="宋体"/>
          <w:color w:val="000000"/>
          <w:szCs w:val="21"/>
          <w:highlight w:val="none"/>
        </w:rPr>
        <w:t>职务：</w:t>
      </w:r>
      <w:r>
        <w:rPr>
          <w:rFonts w:hint="eastAsia" w:ascii="宋体" w:hAnsi="宋体"/>
          <w:color w:val="000000"/>
          <w:szCs w:val="21"/>
          <w:highlight w:val="none"/>
          <w:u w:val="single"/>
        </w:rPr>
        <w:t xml:space="preserve">             </w:t>
      </w:r>
      <w:r>
        <w:rPr>
          <w:rFonts w:hint="eastAsia" w:ascii="宋体" w:hAnsi="宋体"/>
          <w:color w:val="000000"/>
          <w:szCs w:val="21"/>
          <w:highlight w:val="none"/>
        </w:rPr>
        <w:t>系</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(投标人名称)的法定代表人。</w:t>
      </w:r>
    </w:p>
    <w:p>
      <w:pPr>
        <w:pStyle w:val="98"/>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特此证明。</w:t>
      </w:r>
    </w:p>
    <w:p>
      <w:pPr>
        <w:pStyle w:val="98"/>
        <w:spacing w:line="400" w:lineRule="exact"/>
        <w:rPr>
          <w:rFonts w:ascii="宋体" w:hAnsi="宋体"/>
          <w:color w:val="000000"/>
          <w:szCs w:val="21"/>
          <w:highlight w:val="none"/>
        </w:rPr>
      </w:pPr>
    </w:p>
    <w:p>
      <w:pPr>
        <w:pStyle w:val="98"/>
        <w:spacing w:line="400" w:lineRule="exact"/>
        <w:rPr>
          <w:rFonts w:ascii="宋体" w:hAnsi="宋体"/>
          <w:color w:val="000000"/>
          <w:szCs w:val="21"/>
          <w:highlight w:val="none"/>
        </w:rPr>
      </w:pPr>
    </w:p>
    <w:p>
      <w:pPr>
        <w:pStyle w:val="98"/>
        <w:spacing w:line="400" w:lineRule="exact"/>
        <w:rPr>
          <w:rFonts w:ascii="宋体" w:hAnsi="宋体"/>
          <w:color w:val="000000"/>
          <w:szCs w:val="21"/>
          <w:highlight w:val="none"/>
        </w:rPr>
      </w:pPr>
      <w:r>
        <w:rPr>
          <w:rFonts w:hint="eastAsia" w:ascii="宋体" w:hAnsi="宋体"/>
          <w:color w:val="000000"/>
          <w:szCs w:val="21"/>
          <w:highlight w:val="none"/>
        </w:rPr>
        <w:t xml:space="preserve">                          投标人：</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pPr>
        <w:pStyle w:val="98"/>
        <w:spacing w:line="400" w:lineRule="exact"/>
        <w:rPr>
          <w:rFonts w:ascii="宋体" w:hAnsi="宋体"/>
          <w:color w:val="000000"/>
          <w:szCs w:val="21"/>
          <w:highlight w:val="none"/>
        </w:rPr>
      </w:pPr>
      <w:r>
        <w:rPr>
          <w:rFonts w:hint="eastAsia" w:ascii="宋体" w:hAnsi="宋体"/>
          <w:color w:val="000000"/>
          <w:szCs w:val="21"/>
          <w:highlight w:val="none"/>
        </w:rPr>
        <w:t xml:space="preserve">                                </w:t>
      </w: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日           </w:t>
      </w:r>
    </w:p>
    <w:p>
      <w:pPr>
        <w:pStyle w:val="98"/>
        <w:spacing w:line="400" w:lineRule="exact"/>
        <w:jc w:val="center"/>
        <w:rPr>
          <w:rFonts w:ascii="Times New Roman" w:hAnsi="Times New Roman" w:eastAsia="黑体"/>
          <w:color w:val="000000"/>
          <w:sz w:val="19"/>
          <w:szCs w:val="19"/>
          <w:highlight w:val="none"/>
        </w:rPr>
      </w:pPr>
      <w:r>
        <w:rPr>
          <w:rFonts w:hint="eastAsia" w:ascii="宋体" w:hAnsi="宋体"/>
          <w:color w:val="000000"/>
          <w:szCs w:val="21"/>
          <w:highlight w:val="none"/>
        </w:rPr>
        <w:br w:type="page"/>
      </w:r>
    </w:p>
    <w:p>
      <w:pPr>
        <w:pStyle w:val="98"/>
        <w:jc w:val="center"/>
        <w:rPr>
          <w:rFonts w:ascii="黑体" w:hAnsi="黑体" w:eastAsia="黑体"/>
          <w:b/>
          <w:sz w:val="30"/>
          <w:szCs w:val="30"/>
          <w:highlight w:val="none"/>
        </w:rPr>
      </w:pPr>
      <w:r>
        <w:rPr>
          <w:rFonts w:hint="eastAsia" w:ascii="黑体" w:hAnsi="黑体" w:eastAsia="黑体"/>
          <w:b/>
          <w:sz w:val="30"/>
          <w:szCs w:val="30"/>
          <w:highlight w:val="none"/>
        </w:rPr>
        <w:t>授权委托书</w:t>
      </w:r>
    </w:p>
    <w:p>
      <w:pPr>
        <w:pStyle w:val="98"/>
        <w:spacing w:line="400" w:lineRule="exact"/>
        <w:rPr>
          <w:rFonts w:ascii="Times New Roman" w:hAnsi="Times New Roman" w:eastAsia="黑体"/>
          <w:color w:val="000000"/>
          <w:sz w:val="20"/>
          <w:szCs w:val="20"/>
          <w:highlight w:val="none"/>
        </w:rPr>
      </w:pPr>
    </w:p>
    <w:p>
      <w:pPr>
        <w:pStyle w:val="98"/>
        <w:topLinePunct/>
        <w:spacing w:line="400" w:lineRule="exact"/>
        <w:ind w:firstLine="420" w:firstLineChars="200"/>
        <w:rPr>
          <w:color w:val="000000"/>
          <w:szCs w:val="21"/>
          <w:highlight w:val="none"/>
        </w:rPr>
      </w:pPr>
      <w:r>
        <w:rPr>
          <w:rFonts w:hint="eastAsia"/>
          <w:color w:val="000000"/>
          <w:szCs w:val="21"/>
          <w:highlight w:val="none"/>
        </w:rPr>
        <w:t>本人</w:t>
      </w:r>
      <w:r>
        <w:rPr>
          <w:color w:val="000000"/>
          <w:szCs w:val="21"/>
          <w:highlight w:val="none"/>
          <w:u w:val="single"/>
        </w:rPr>
        <w:t xml:space="preserve">       </w:t>
      </w:r>
      <w:r>
        <w:rPr>
          <w:rFonts w:hint="eastAsia"/>
          <w:color w:val="000000"/>
          <w:szCs w:val="21"/>
          <w:highlight w:val="none"/>
        </w:rPr>
        <w:t>（姓名）系</w:t>
      </w:r>
      <w:r>
        <w:rPr>
          <w:color w:val="000000"/>
          <w:szCs w:val="21"/>
          <w:highlight w:val="none"/>
          <w:u w:val="single"/>
        </w:rPr>
        <w:t xml:space="preserve">        </w:t>
      </w:r>
      <w:r>
        <w:rPr>
          <w:rFonts w:hint="eastAsia"/>
          <w:color w:val="000000"/>
          <w:szCs w:val="21"/>
          <w:highlight w:val="none"/>
        </w:rPr>
        <w:t>（投标人名称）的法定代表人，现委托</w:t>
      </w:r>
      <w:r>
        <w:rPr>
          <w:color w:val="000000"/>
          <w:szCs w:val="21"/>
          <w:highlight w:val="none"/>
          <w:u w:val="single"/>
        </w:rPr>
        <w:t xml:space="preserve">        </w:t>
      </w:r>
      <w:r>
        <w:rPr>
          <w:rFonts w:hint="eastAsia"/>
          <w:color w:val="000000"/>
          <w:szCs w:val="21"/>
          <w:highlight w:val="none"/>
        </w:rPr>
        <w:t>（姓名）为我方代理人。代理人根据授权，以我方名义签署、澄清、说明、补正、递交、撤回、修改</w:t>
      </w:r>
      <w:r>
        <w:rPr>
          <w:color w:val="000000"/>
          <w:szCs w:val="21"/>
          <w:highlight w:val="none"/>
          <w:u w:val="single"/>
        </w:rPr>
        <w:t xml:space="preserve">           </w:t>
      </w:r>
      <w:r>
        <w:rPr>
          <w:rFonts w:hint="eastAsia"/>
          <w:color w:val="000000"/>
          <w:szCs w:val="21"/>
          <w:highlight w:val="none"/>
        </w:rPr>
        <w:t>（项目名称）</w:t>
      </w:r>
      <w:r>
        <w:rPr>
          <w:color w:val="000000"/>
          <w:szCs w:val="21"/>
          <w:highlight w:val="none"/>
          <w:u w:val="single"/>
        </w:rPr>
        <w:t xml:space="preserve">           </w:t>
      </w:r>
      <w:r>
        <w:rPr>
          <w:rFonts w:hint="eastAsia"/>
          <w:color w:val="000000"/>
          <w:szCs w:val="21"/>
          <w:highlight w:val="none"/>
        </w:rPr>
        <w:t>（标段名称）投标文件、签订合同和处理有关事宜，其法律后果由我方承担。</w:t>
      </w:r>
    </w:p>
    <w:p>
      <w:pPr>
        <w:pStyle w:val="98"/>
        <w:spacing w:line="400" w:lineRule="exact"/>
        <w:rPr>
          <w:color w:val="000000"/>
          <w:szCs w:val="21"/>
          <w:highlight w:val="none"/>
        </w:rPr>
      </w:pPr>
      <w:r>
        <w:rPr>
          <w:color w:val="000000"/>
          <w:szCs w:val="21"/>
          <w:highlight w:val="none"/>
        </w:rPr>
        <w:t xml:space="preserve">    </w:t>
      </w:r>
      <w:r>
        <w:rPr>
          <w:rFonts w:hint="eastAsia"/>
          <w:color w:val="000000"/>
          <w:szCs w:val="21"/>
          <w:highlight w:val="none"/>
        </w:rPr>
        <w:t>委托期限：</w:t>
      </w:r>
      <w:r>
        <w:rPr>
          <w:color w:val="000000"/>
          <w:szCs w:val="21"/>
          <w:highlight w:val="none"/>
          <w:u w:val="single"/>
        </w:rPr>
        <w:t xml:space="preserve">             </w:t>
      </w:r>
      <w:r>
        <w:rPr>
          <w:rFonts w:hint="eastAsia"/>
          <w:color w:val="000000"/>
          <w:szCs w:val="21"/>
          <w:highlight w:val="none"/>
        </w:rPr>
        <w:t>。</w:t>
      </w:r>
    </w:p>
    <w:p>
      <w:pPr>
        <w:pStyle w:val="98"/>
        <w:spacing w:line="400" w:lineRule="exact"/>
        <w:ind w:firstLine="420" w:firstLineChars="200"/>
        <w:rPr>
          <w:color w:val="000000"/>
          <w:szCs w:val="21"/>
          <w:highlight w:val="none"/>
        </w:rPr>
      </w:pPr>
      <w:r>
        <w:rPr>
          <w:rFonts w:hint="eastAsia"/>
          <w:color w:val="000000"/>
          <w:szCs w:val="21"/>
          <w:highlight w:val="none"/>
        </w:rPr>
        <w:t>代理人无转委托权。</w:t>
      </w:r>
    </w:p>
    <w:p>
      <w:pPr>
        <w:pStyle w:val="98"/>
        <w:spacing w:line="400" w:lineRule="exact"/>
        <w:ind w:firstLine="420" w:firstLineChars="200"/>
        <w:rPr>
          <w:color w:val="000000"/>
          <w:szCs w:val="21"/>
          <w:highlight w:val="none"/>
        </w:rPr>
      </w:pPr>
      <w:r>
        <w:rPr>
          <w:rFonts w:hint="eastAsia"/>
          <w:color w:val="000000"/>
          <w:szCs w:val="21"/>
          <w:highlight w:val="none"/>
        </w:rPr>
        <w:t>附：法定代表人身份证明</w:t>
      </w:r>
    </w:p>
    <w:p>
      <w:pPr>
        <w:pStyle w:val="98"/>
        <w:spacing w:line="400" w:lineRule="exact"/>
        <w:rPr>
          <w:color w:val="000000"/>
          <w:szCs w:val="21"/>
          <w:highlight w:val="none"/>
        </w:rPr>
      </w:pPr>
    </w:p>
    <w:p>
      <w:pPr>
        <w:pStyle w:val="98"/>
        <w:spacing w:line="400" w:lineRule="exact"/>
        <w:rPr>
          <w:color w:val="000000"/>
          <w:szCs w:val="21"/>
          <w:highlight w:val="none"/>
        </w:rPr>
      </w:pPr>
    </w:p>
    <w:p>
      <w:pPr>
        <w:pStyle w:val="98"/>
        <w:spacing w:line="400" w:lineRule="exact"/>
        <w:jc w:val="right"/>
        <w:rPr>
          <w:color w:val="000000"/>
          <w:szCs w:val="21"/>
          <w:highlight w:val="none"/>
        </w:rPr>
      </w:pPr>
      <w:r>
        <w:rPr>
          <w:rFonts w:hint="eastAsia"/>
          <w:color w:val="000000"/>
          <w:szCs w:val="21"/>
          <w:highlight w:val="none"/>
        </w:rPr>
        <w:t>投标人：</w:t>
      </w:r>
      <w:r>
        <w:rPr>
          <w:color w:val="000000"/>
          <w:szCs w:val="21"/>
          <w:highlight w:val="none"/>
          <w:u w:val="single"/>
        </w:rPr>
        <w:t xml:space="preserve">                               </w:t>
      </w:r>
      <w:r>
        <w:rPr>
          <w:rFonts w:hint="eastAsia"/>
          <w:color w:val="000000"/>
          <w:szCs w:val="21"/>
          <w:highlight w:val="none"/>
        </w:rPr>
        <w:t>（盖单位章）</w:t>
      </w:r>
    </w:p>
    <w:p>
      <w:pPr>
        <w:pStyle w:val="98"/>
        <w:spacing w:line="400" w:lineRule="exact"/>
        <w:jc w:val="right"/>
        <w:rPr>
          <w:color w:val="000000"/>
          <w:szCs w:val="21"/>
          <w:highlight w:val="none"/>
        </w:rPr>
      </w:pPr>
    </w:p>
    <w:p>
      <w:pPr>
        <w:pStyle w:val="98"/>
        <w:spacing w:line="400" w:lineRule="exact"/>
        <w:jc w:val="right"/>
        <w:rPr>
          <w:color w:val="000000"/>
          <w:szCs w:val="21"/>
          <w:highlight w:val="none"/>
        </w:rPr>
      </w:pPr>
      <w:r>
        <w:rPr>
          <w:rFonts w:hint="eastAsia"/>
          <w:color w:val="000000"/>
          <w:szCs w:val="21"/>
          <w:highlight w:val="none"/>
        </w:rPr>
        <w:t>法定代表人：</w:t>
      </w:r>
      <w:r>
        <w:rPr>
          <w:color w:val="000000"/>
          <w:szCs w:val="21"/>
          <w:highlight w:val="none"/>
          <w:u w:val="single"/>
        </w:rPr>
        <w:t xml:space="preserve">                               </w:t>
      </w:r>
      <w:r>
        <w:rPr>
          <w:rFonts w:hint="eastAsia"/>
          <w:color w:val="000000"/>
          <w:szCs w:val="21"/>
          <w:highlight w:val="none"/>
        </w:rPr>
        <w:t>（签字）</w:t>
      </w:r>
    </w:p>
    <w:p>
      <w:pPr>
        <w:pStyle w:val="98"/>
        <w:spacing w:line="400" w:lineRule="exact"/>
        <w:jc w:val="right"/>
        <w:rPr>
          <w:color w:val="000000"/>
          <w:szCs w:val="21"/>
          <w:highlight w:val="none"/>
        </w:rPr>
      </w:pPr>
    </w:p>
    <w:p>
      <w:pPr>
        <w:pStyle w:val="98"/>
        <w:spacing w:line="400" w:lineRule="exact"/>
        <w:ind w:right="420" w:firstLine="2940" w:firstLineChars="1400"/>
        <w:rPr>
          <w:color w:val="000000"/>
          <w:szCs w:val="21"/>
          <w:highlight w:val="none"/>
        </w:rPr>
      </w:pPr>
      <w:r>
        <w:rPr>
          <w:rFonts w:hint="eastAsia"/>
          <w:color w:val="000000"/>
          <w:szCs w:val="21"/>
          <w:highlight w:val="none"/>
        </w:rPr>
        <w:t>身份证号码：</w:t>
      </w:r>
      <w:r>
        <w:rPr>
          <w:color w:val="000000"/>
          <w:szCs w:val="21"/>
          <w:highlight w:val="none"/>
          <w:u w:val="single"/>
        </w:rPr>
        <w:t xml:space="preserve">                                     </w:t>
      </w:r>
    </w:p>
    <w:p>
      <w:pPr>
        <w:pStyle w:val="98"/>
        <w:spacing w:line="400" w:lineRule="exact"/>
        <w:jc w:val="right"/>
        <w:rPr>
          <w:color w:val="000000"/>
          <w:szCs w:val="21"/>
          <w:highlight w:val="none"/>
        </w:rPr>
      </w:pPr>
    </w:p>
    <w:p>
      <w:pPr>
        <w:pStyle w:val="98"/>
        <w:spacing w:line="400" w:lineRule="exact"/>
        <w:jc w:val="right"/>
        <w:rPr>
          <w:color w:val="000000"/>
          <w:szCs w:val="21"/>
          <w:highlight w:val="none"/>
        </w:rPr>
      </w:pPr>
      <w:r>
        <w:rPr>
          <w:rFonts w:hint="eastAsia"/>
          <w:color w:val="000000"/>
          <w:szCs w:val="21"/>
          <w:highlight w:val="none"/>
        </w:rPr>
        <w:t>委托代理人：</w:t>
      </w:r>
      <w:r>
        <w:rPr>
          <w:color w:val="000000"/>
          <w:szCs w:val="21"/>
          <w:highlight w:val="none"/>
          <w:u w:val="single"/>
        </w:rPr>
        <w:t xml:space="preserve">                               </w:t>
      </w:r>
      <w:r>
        <w:rPr>
          <w:rFonts w:hint="eastAsia"/>
          <w:color w:val="000000"/>
          <w:szCs w:val="21"/>
          <w:highlight w:val="none"/>
        </w:rPr>
        <w:t>（签字）</w:t>
      </w:r>
      <w:r>
        <w:rPr>
          <w:color w:val="000000"/>
          <w:szCs w:val="21"/>
          <w:highlight w:val="none"/>
        </w:rPr>
        <w:t xml:space="preserve"> </w:t>
      </w:r>
    </w:p>
    <w:p>
      <w:pPr>
        <w:pStyle w:val="98"/>
        <w:spacing w:line="400" w:lineRule="exact"/>
        <w:jc w:val="right"/>
        <w:rPr>
          <w:color w:val="000000"/>
          <w:szCs w:val="21"/>
          <w:highlight w:val="none"/>
        </w:rPr>
      </w:pPr>
    </w:p>
    <w:p>
      <w:pPr>
        <w:pStyle w:val="98"/>
        <w:spacing w:line="400" w:lineRule="exact"/>
        <w:ind w:right="420" w:firstLine="2940" w:firstLineChars="1400"/>
        <w:rPr>
          <w:color w:val="000000"/>
          <w:szCs w:val="21"/>
          <w:highlight w:val="none"/>
        </w:rPr>
      </w:pPr>
      <w:r>
        <w:rPr>
          <w:rFonts w:hint="eastAsia"/>
          <w:color w:val="000000"/>
          <w:szCs w:val="21"/>
          <w:highlight w:val="none"/>
        </w:rPr>
        <w:t>身份证号码：</w:t>
      </w:r>
      <w:r>
        <w:rPr>
          <w:color w:val="000000"/>
          <w:szCs w:val="21"/>
          <w:highlight w:val="none"/>
          <w:u w:val="single"/>
        </w:rPr>
        <w:t xml:space="preserve">                                      </w:t>
      </w:r>
    </w:p>
    <w:p>
      <w:pPr>
        <w:pStyle w:val="98"/>
        <w:spacing w:line="400" w:lineRule="exact"/>
        <w:jc w:val="right"/>
        <w:rPr>
          <w:color w:val="000000"/>
          <w:szCs w:val="21"/>
          <w:highlight w:val="none"/>
        </w:rPr>
      </w:pPr>
    </w:p>
    <w:p>
      <w:pPr>
        <w:pStyle w:val="98"/>
        <w:spacing w:line="400" w:lineRule="exact"/>
        <w:jc w:val="right"/>
        <w:rPr>
          <w:color w:val="000000"/>
          <w:szCs w:val="21"/>
          <w:highlight w:val="none"/>
        </w:rPr>
      </w:pPr>
    </w:p>
    <w:p>
      <w:pPr>
        <w:pStyle w:val="98"/>
        <w:spacing w:line="400" w:lineRule="exact"/>
        <w:ind w:firstLine="1575" w:firstLineChars="750"/>
        <w:jc w:val="right"/>
        <w:rPr>
          <w:rFonts w:eastAsia="黑体"/>
          <w:color w:val="000000"/>
          <w:szCs w:val="21"/>
          <w:highlight w:val="none"/>
        </w:rPr>
      </w:pPr>
      <w:r>
        <w:rPr>
          <w:color w:val="000000"/>
          <w:szCs w:val="21"/>
          <w:highlight w:val="none"/>
          <w:u w:val="single"/>
        </w:rPr>
        <w:t xml:space="preserve">       </w:t>
      </w:r>
      <w:r>
        <w:rPr>
          <w:rFonts w:hint="eastAsia"/>
          <w:color w:val="000000"/>
          <w:szCs w:val="21"/>
          <w:highlight w:val="none"/>
        </w:rPr>
        <w:t>年</w:t>
      </w:r>
      <w:r>
        <w:rPr>
          <w:color w:val="000000"/>
          <w:szCs w:val="21"/>
          <w:highlight w:val="none"/>
        </w:rPr>
        <w:t xml:space="preserve"> </w:t>
      </w:r>
      <w:r>
        <w:rPr>
          <w:color w:val="000000"/>
          <w:szCs w:val="21"/>
          <w:highlight w:val="none"/>
          <w:u w:val="single"/>
        </w:rPr>
        <w:t xml:space="preserve">     </w:t>
      </w:r>
      <w:r>
        <w:rPr>
          <w:rFonts w:hint="eastAsia"/>
          <w:color w:val="000000"/>
          <w:szCs w:val="21"/>
          <w:highlight w:val="none"/>
        </w:rPr>
        <w:t>月</w:t>
      </w:r>
      <w:r>
        <w:rPr>
          <w:color w:val="000000"/>
          <w:szCs w:val="21"/>
          <w:highlight w:val="none"/>
          <w:u w:val="single"/>
        </w:rPr>
        <w:t xml:space="preserve">    </w:t>
      </w:r>
      <w:r>
        <w:rPr>
          <w:rFonts w:hint="eastAsia"/>
          <w:color w:val="000000"/>
          <w:szCs w:val="21"/>
          <w:highlight w:val="none"/>
        </w:rPr>
        <w:t>日</w:t>
      </w:r>
    </w:p>
    <w:p>
      <w:pPr>
        <w:pStyle w:val="99"/>
        <w:outlineLvl w:val="1"/>
        <w:rPr>
          <w:highlight w:val="none"/>
        </w:rPr>
      </w:pPr>
      <w:r>
        <w:rPr>
          <w:highlight w:val="none"/>
        </w:rPr>
        <w:br w:type="page"/>
      </w:r>
      <w:bookmarkStart w:id="625" w:name="_Toc21994"/>
      <w:r>
        <w:rPr>
          <w:rFonts w:ascii="黑体" w:hAnsi="黑体" w:eastAsia="黑体" w:cs="黑体"/>
          <w:b/>
          <w:sz w:val="32"/>
          <w:highlight w:val="none"/>
        </w:rPr>
        <w:t>三、投标保证金</w:t>
      </w:r>
      <w:bookmarkEnd w:id="625"/>
    </w:p>
    <w:p>
      <w:pPr>
        <w:pStyle w:val="100"/>
        <w:jc w:val="center"/>
        <w:rPr>
          <w:rFonts w:ascii="黑体" w:hAnsi="黑体" w:eastAsia="黑体"/>
          <w:b/>
          <w:sz w:val="30"/>
          <w:szCs w:val="30"/>
          <w:highlight w:val="none"/>
        </w:rPr>
      </w:pPr>
      <w:r>
        <w:rPr>
          <w:rFonts w:hint="eastAsia" w:ascii="黑体" w:hAnsi="黑体" w:eastAsia="黑体"/>
          <w:b/>
          <w:sz w:val="30"/>
          <w:szCs w:val="30"/>
          <w:highlight w:val="none"/>
        </w:rPr>
        <w:t>投标保证金</w:t>
      </w:r>
    </w:p>
    <w:p>
      <w:pPr>
        <w:pStyle w:val="100"/>
        <w:spacing w:line="400" w:lineRule="exact"/>
        <w:jc w:val="left"/>
        <w:rPr>
          <w:rFonts w:ascii="宋体" w:hAnsi="宋体"/>
          <w:color w:val="000000"/>
          <w:szCs w:val="21"/>
          <w:highlight w:val="none"/>
          <w:u w:val="single"/>
        </w:rPr>
      </w:pPr>
    </w:p>
    <w:p>
      <w:pPr>
        <w:pStyle w:val="100"/>
        <w:spacing w:line="400" w:lineRule="exact"/>
        <w:jc w:val="left"/>
        <w:rPr>
          <w:rFonts w:ascii="宋体" w:hAnsi="宋体"/>
          <w:color w:val="000000"/>
          <w:szCs w:val="21"/>
          <w:highlight w:val="none"/>
        </w:rPr>
      </w:pPr>
      <w:r>
        <w:rPr>
          <w:rFonts w:hint="eastAsia" w:ascii="宋体" w:hAnsi="宋体"/>
          <w:color w:val="000000"/>
          <w:szCs w:val="21"/>
          <w:highlight w:val="none"/>
          <w:u w:val="single"/>
        </w:rPr>
        <w:t xml:space="preserve">         </w:t>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 xml:space="preserve">  </w:t>
      </w:r>
      <w:r>
        <w:rPr>
          <w:rFonts w:hint="eastAsia" w:ascii="宋体" w:hAnsi="宋体"/>
          <w:color w:val="000000"/>
          <w:szCs w:val="21"/>
          <w:highlight w:val="none"/>
        </w:rPr>
        <w:t>（招标人名称）：</w:t>
      </w:r>
    </w:p>
    <w:p>
      <w:pPr>
        <w:pStyle w:val="100"/>
        <w:spacing w:line="400" w:lineRule="exact"/>
        <w:jc w:val="left"/>
        <w:rPr>
          <w:rFonts w:ascii="宋体" w:hAnsi="宋体"/>
          <w:color w:val="000000"/>
          <w:szCs w:val="21"/>
          <w:highlight w:val="none"/>
        </w:rPr>
      </w:pPr>
    </w:p>
    <w:p>
      <w:pPr>
        <w:pStyle w:val="10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鉴于</w:t>
      </w:r>
      <w:r>
        <w:rPr>
          <w:rFonts w:hint="eastAsia" w:ascii="宋体" w:hAnsi="宋体"/>
          <w:color w:val="000000"/>
          <w:szCs w:val="21"/>
          <w:highlight w:val="none"/>
          <w:u w:val="single"/>
        </w:rPr>
        <w:t xml:space="preserve">       </w:t>
      </w:r>
      <w:r>
        <w:rPr>
          <w:rFonts w:hint="eastAsia" w:ascii="宋体" w:hAnsi="宋体"/>
          <w:color w:val="000000"/>
          <w:szCs w:val="21"/>
          <w:highlight w:val="none"/>
        </w:rPr>
        <w:t>（投标人名称，以下称“投标人”）于</w:t>
      </w: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日参加</w:t>
      </w:r>
      <w:r>
        <w:rPr>
          <w:rFonts w:hint="eastAsia" w:ascii="宋体" w:hAnsi="宋体"/>
          <w:color w:val="000000"/>
          <w:szCs w:val="21"/>
          <w:highlight w:val="none"/>
          <w:u w:val="single"/>
        </w:rPr>
        <w:t xml:space="preserve">         </w:t>
      </w:r>
      <w:r>
        <w:rPr>
          <w:rFonts w:hint="eastAsia" w:ascii="宋体" w:hAnsi="宋体"/>
          <w:color w:val="000000"/>
          <w:szCs w:val="21"/>
          <w:highlight w:val="none"/>
        </w:rPr>
        <w:t>（项目名称）</w:t>
      </w:r>
      <w:r>
        <w:rPr>
          <w:rFonts w:hint="eastAsia" w:ascii="宋体" w:hAnsi="宋体"/>
          <w:color w:val="000000"/>
          <w:szCs w:val="21"/>
          <w:highlight w:val="none"/>
          <w:u w:val="single"/>
        </w:rPr>
        <w:t xml:space="preserve">          </w:t>
      </w:r>
      <w:r>
        <w:rPr>
          <w:rFonts w:hint="eastAsia" w:ascii="宋体" w:hAnsi="宋体"/>
          <w:color w:val="000000"/>
          <w:szCs w:val="21"/>
          <w:highlight w:val="none"/>
        </w:rPr>
        <w:t>（标段名称）的投标，</w:t>
      </w:r>
      <w:r>
        <w:rPr>
          <w:rFonts w:hint="eastAsia" w:ascii="宋体" w:hAnsi="宋体"/>
          <w:color w:val="000000"/>
          <w:szCs w:val="21"/>
          <w:highlight w:val="none"/>
          <w:u w:val="single"/>
        </w:rPr>
        <w:t xml:space="preserve">        </w:t>
      </w:r>
      <w:r>
        <w:rPr>
          <w:rFonts w:hint="eastAsia" w:ascii="宋体" w:hAnsi="宋体"/>
          <w:color w:val="000000"/>
          <w:szCs w:val="21"/>
          <w:highlight w:val="none"/>
        </w:rPr>
        <w:t>（担保人名称，以下简称“我方”）无条件地、不可撤销地保证：投标人在规定的投标文件有效期内补充、修改、替代或撤回其投标文件的，或者投标人在收到中标通知书后无正当理由拒签合同或拒交规定履约担保的，我方承担保证责任。收到你方书面通知后，在7日内无条件向你方支付人民币（大写）</w:t>
      </w:r>
      <w:r>
        <w:rPr>
          <w:rFonts w:hint="eastAsia" w:ascii="宋体" w:hAnsi="宋体"/>
          <w:color w:val="000000"/>
          <w:szCs w:val="21"/>
          <w:highlight w:val="none"/>
          <w:u w:val="single"/>
        </w:rPr>
        <w:t xml:space="preserve">         </w:t>
      </w:r>
      <w:r>
        <w:rPr>
          <w:rFonts w:hint="eastAsia" w:ascii="宋体" w:hAnsi="宋体"/>
          <w:color w:val="000000"/>
          <w:szCs w:val="21"/>
          <w:highlight w:val="none"/>
        </w:rPr>
        <w:t>元。（¥</w:t>
      </w:r>
      <w:r>
        <w:rPr>
          <w:rFonts w:hint="eastAsia" w:ascii="宋体" w:hAnsi="宋体"/>
          <w:color w:val="000000"/>
          <w:szCs w:val="21"/>
          <w:highlight w:val="none"/>
          <w:u w:val="single"/>
        </w:rPr>
        <w:t xml:space="preserve">           </w:t>
      </w:r>
      <w:r>
        <w:rPr>
          <w:rFonts w:hint="eastAsia" w:ascii="宋体" w:hAnsi="宋体"/>
          <w:color w:val="000000"/>
          <w:szCs w:val="21"/>
          <w:highlight w:val="none"/>
        </w:rPr>
        <w:t>）</w:t>
      </w:r>
    </w:p>
    <w:p>
      <w:pPr>
        <w:pStyle w:val="10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本担保在投标有效期内保持有效。要求我方承担保证责任的书面通知应在投标有效期内送达我方。</w:t>
      </w:r>
    </w:p>
    <w:p>
      <w:pPr>
        <w:pStyle w:val="100"/>
        <w:spacing w:line="400" w:lineRule="exact"/>
        <w:jc w:val="left"/>
        <w:rPr>
          <w:rFonts w:ascii="宋体" w:hAnsi="宋体"/>
          <w:color w:val="000000"/>
          <w:szCs w:val="21"/>
          <w:highlight w:val="none"/>
        </w:rPr>
      </w:pPr>
      <w:r>
        <w:rPr>
          <w:rFonts w:hint="eastAsia" w:ascii="宋体" w:hAnsi="宋体"/>
          <w:color w:val="000000"/>
          <w:szCs w:val="21"/>
          <w:highlight w:val="none"/>
        </w:rPr>
        <w:t xml:space="preserve"> </w:t>
      </w: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担保人：</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法定代表人或其委托代理人：</w:t>
      </w:r>
      <w:r>
        <w:rPr>
          <w:rFonts w:hint="eastAsia" w:ascii="宋体" w:hAnsi="宋体"/>
          <w:color w:val="000000"/>
          <w:szCs w:val="21"/>
          <w:highlight w:val="none"/>
          <w:u w:val="single"/>
        </w:rPr>
        <w:t xml:space="preserve">                    </w:t>
      </w:r>
      <w:r>
        <w:rPr>
          <w:rFonts w:hint="eastAsia" w:ascii="宋体" w:hAnsi="宋体"/>
          <w:color w:val="000000"/>
          <w:szCs w:val="21"/>
          <w:highlight w:val="none"/>
        </w:rPr>
        <w:t>（签字）</w:t>
      </w: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地    址：</w:t>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 xml:space="preserve">                               </w:t>
      </w:r>
      <w:r>
        <w:rPr>
          <w:rFonts w:hint="eastAsia" w:ascii="宋体" w:hAnsi="宋体"/>
          <w:color w:val="000000"/>
          <w:szCs w:val="21"/>
          <w:highlight w:val="none"/>
          <w:u w:val="single"/>
        </w:rPr>
        <w:tab/>
      </w:r>
    </w:p>
    <w:p>
      <w:pPr>
        <w:pStyle w:val="100"/>
        <w:spacing w:line="400" w:lineRule="exact"/>
        <w:ind w:firstLine="2158" w:firstLineChars="1028"/>
        <w:jc w:val="left"/>
        <w:rPr>
          <w:rFonts w:ascii="宋体" w:hAnsi="宋体"/>
          <w:color w:val="000000"/>
          <w:szCs w:val="21"/>
          <w:highlight w:val="none"/>
          <w:u w:val="single"/>
        </w:rPr>
      </w:pPr>
      <w:r>
        <w:rPr>
          <w:rFonts w:hint="eastAsia" w:ascii="宋体" w:hAnsi="宋体"/>
          <w:color w:val="000000"/>
          <w:szCs w:val="21"/>
          <w:highlight w:val="none"/>
        </w:rPr>
        <w:t>邮政编码：</w:t>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 xml:space="preserve">                 </w:t>
      </w:r>
      <w:r>
        <w:rPr>
          <w:rFonts w:hint="eastAsia" w:ascii="宋体" w:hAnsi="宋体"/>
          <w:color w:val="000000"/>
          <w:szCs w:val="21"/>
          <w:highlight w:val="none"/>
          <w:u w:val="single"/>
        </w:rPr>
        <w:tab/>
      </w: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电    话：</w:t>
      </w:r>
      <w:r>
        <w:rPr>
          <w:rFonts w:hint="eastAsia" w:ascii="宋体" w:hAnsi="宋体"/>
          <w:color w:val="000000"/>
          <w:szCs w:val="21"/>
          <w:highlight w:val="none"/>
          <w:u w:val="single"/>
        </w:rPr>
        <w:t xml:space="preserve">                                          </w:t>
      </w:r>
    </w:p>
    <w:p>
      <w:pPr>
        <w:pStyle w:val="100"/>
        <w:spacing w:line="400" w:lineRule="exact"/>
        <w:ind w:firstLine="3313" w:firstLineChars="1578"/>
        <w:jc w:val="left"/>
        <w:rPr>
          <w:rFonts w:ascii="宋体" w:hAnsi="宋体"/>
          <w:color w:val="000000"/>
          <w:szCs w:val="21"/>
          <w:highlight w:val="none"/>
        </w:rPr>
      </w:pP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日</w:t>
      </w: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r>
        <w:rPr>
          <w:rFonts w:hint="eastAsia" w:ascii="宋体" w:hAnsi="宋体"/>
          <w:color w:val="000000"/>
          <w:szCs w:val="21"/>
          <w:highlight w:val="none"/>
        </w:rPr>
        <w:t>注1：投标保证金采取电汇、保函的，附上述票据的复印件；采取担保的，应采用上述格式。</w:t>
      </w:r>
    </w:p>
    <w:p>
      <w:pPr>
        <w:pStyle w:val="100"/>
        <w:rPr>
          <w:highlight w:val="none"/>
        </w:rPr>
      </w:pPr>
      <w:r>
        <w:rPr>
          <w:rFonts w:hint="eastAsia" w:ascii="宋体" w:hAnsi="宋体"/>
          <w:color w:val="000000"/>
          <w:szCs w:val="21"/>
          <w:highlight w:val="none"/>
        </w:rPr>
        <w:t>注2：委托代理人应附授权委托书。</w:t>
      </w:r>
    </w:p>
    <w:p>
      <w:pPr>
        <w:pStyle w:val="101"/>
        <w:outlineLvl w:val="1"/>
        <w:rPr>
          <w:highlight w:val="none"/>
        </w:rPr>
      </w:pPr>
      <w:r>
        <w:rPr>
          <w:highlight w:val="none"/>
        </w:rPr>
        <w:br w:type="page"/>
      </w:r>
      <w:bookmarkStart w:id="626" w:name="_Toc22428"/>
      <w:r>
        <w:rPr>
          <w:rFonts w:ascii="黑体" w:hAnsi="黑体" w:eastAsia="黑体" w:cs="黑体"/>
          <w:b/>
          <w:sz w:val="32"/>
          <w:highlight w:val="none"/>
        </w:rPr>
        <w:t>四、已标价工程量清单</w:t>
      </w:r>
      <w:bookmarkEnd w:id="626"/>
    </w:p>
    <w:p>
      <w:pPr>
        <w:pStyle w:val="102"/>
        <w:rPr>
          <w:highlight w:val="none"/>
        </w:rPr>
      </w:pPr>
    </w:p>
    <w:p>
      <w:pPr>
        <w:pStyle w:val="103"/>
        <w:outlineLvl w:val="1"/>
        <w:rPr>
          <w:highlight w:val="none"/>
        </w:rPr>
      </w:pPr>
      <w:r>
        <w:rPr>
          <w:highlight w:val="none"/>
        </w:rPr>
        <w:br w:type="page"/>
      </w:r>
      <w:bookmarkStart w:id="627" w:name="_Toc24306"/>
      <w:r>
        <w:rPr>
          <w:rFonts w:ascii="黑体" w:hAnsi="黑体" w:eastAsia="黑体" w:cs="黑体"/>
          <w:b/>
          <w:sz w:val="32"/>
          <w:highlight w:val="none"/>
        </w:rPr>
        <w:t>五、施工组织设计</w:t>
      </w:r>
      <w:bookmarkEnd w:id="627"/>
    </w:p>
    <w:p>
      <w:pPr>
        <w:pStyle w:val="104"/>
        <w:jc w:val="center"/>
        <w:rPr>
          <w:rFonts w:ascii="黑体" w:hAnsi="黑体" w:eastAsia="黑体"/>
          <w:b/>
          <w:sz w:val="30"/>
          <w:szCs w:val="30"/>
          <w:highlight w:val="none"/>
        </w:rPr>
      </w:pPr>
      <w:r>
        <w:rPr>
          <w:rFonts w:hint="eastAsia" w:ascii="黑体" w:hAnsi="黑体" w:eastAsia="黑体"/>
          <w:b/>
          <w:sz w:val="30"/>
          <w:szCs w:val="30"/>
          <w:highlight w:val="none"/>
        </w:rPr>
        <w:t>施工组织设计</w:t>
      </w:r>
    </w:p>
    <w:p>
      <w:pPr>
        <w:pStyle w:val="104"/>
        <w:spacing w:line="400" w:lineRule="exact"/>
        <w:rPr>
          <w:rFonts w:ascii="Times New Roman" w:hAnsi="Times New Roman" w:eastAsia="黑体"/>
          <w:color w:val="000000"/>
          <w:sz w:val="20"/>
          <w:szCs w:val="20"/>
          <w:highlight w:val="none"/>
        </w:rPr>
      </w:pPr>
    </w:p>
    <w:p>
      <w:pPr>
        <w:pStyle w:val="104"/>
        <w:spacing w:line="400" w:lineRule="exact"/>
        <w:ind w:firstLine="525" w:firstLineChars="250"/>
        <w:rPr>
          <w:rFonts w:ascii="宋体" w:hAnsi="宋体"/>
          <w:color w:val="000000"/>
          <w:szCs w:val="21"/>
          <w:highlight w:val="none"/>
        </w:rPr>
      </w:pPr>
      <w:r>
        <w:rPr>
          <w:rFonts w:hint="eastAsia" w:ascii="宋体" w:hAnsi="宋体"/>
          <w:color w:val="000000"/>
          <w:szCs w:val="21"/>
          <w:highlight w:val="none"/>
        </w:rPr>
        <w:t>1.投标人编制施工组织设计时应采用文字并结合图表形式说明工程的施工组织、施工方法、技术组织措施，同时应对关键工序、复杂环节重点提出相应技术措施，如冬雨季施工技术、减少噪音、降低环境污染、地下管线及其他地上地下设施的保护加固措施等。施工组织设计还应结合工程特点提出切实可行的工程质量、工程进度、安全生产、防汛度汛、文明施工、水土保持、环境保护管理方案。</w:t>
      </w:r>
    </w:p>
    <w:p>
      <w:pPr>
        <w:pStyle w:val="104"/>
        <w:spacing w:line="400" w:lineRule="exact"/>
        <w:ind w:firstLine="315" w:firstLineChars="150"/>
        <w:rPr>
          <w:rFonts w:ascii="宋体" w:hAnsi="宋体"/>
          <w:color w:val="000000"/>
          <w:szCs w:val="21"/>
          <w:highlight w:val="none"/>
        </w:rPr>
      </w:pPr>
      <w:r>
        <w:rPr>
          <w:rFonts w:hint="eastAsia" w:ascii="宋体" w:hAnsi="宋体"/>
          <w:color w:val="000000"/>
          <w:szCs w:val="21"/>
          <w:highlight w:val="none"/>
        </w:rPr>
        <w:t>施工组织设计应附的文字说明及配图见下表（不限于,仅供参考）：</w:t>
      </w:r>
    </w:p>
    <w:tbl>
      <w:tblPr>
        <w:tblStyle w:val="36"/>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6008"/>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b/>
                <w:color w:val="000000"/>
                <w:szCs w:val="21"/>
                <w:highlight w:val="none"/>
              </w:rPr>
            </w:pPr>
            <w:r>
              <w:rPr>
                <w:rFonts w:hint="eastAsia" w:ascii="宋体" w:hAnsi="宋体"/>
                <w:b/>
                <w:color w:val="000000"/>
                <w:szCs w:val="21"/>
                <w:highlight w:val="none"/>
              </w:rPr>
              <w:t>序号</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b/>
                <w:color w:val="000000"/>
                <w:szCs w:val="21"/>
                <w:highlight w:val="none"/>
              </w:rPr>
            </w:pPr>
            <w:r>
              <w:rPr>
                <w:rFonts w:hint="eastAsia" w:ascii="宋体" w:hAnsi="宋体"/>
                <w:b/>
                <w:color w:val="000000"/>
                <w:szCs w:val="21"/>
                <w:highlight w:val="none"/>
              </w:rPr>
              <w:t>名           称</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b/>
                <w:color w:val="000000"/>
                <w:szCs w:val="21"/>
                <w:highlight w:val="none"/>
              </w:rPr>
            </w:pPr>
            <w:r>
              <w:rPr>
                <w:rFonts w:hint="eastAsia" w:ascii="宋体" w:hAnsi="宋体"/>
                <w:b/>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施工围堰设计说明书及附图（包括加高、维护、拆除）</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2</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施工排水设计说明书及附图（包括降水方案、场地排水等）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3</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材料采购（黄砂、碎石、块石的产地、矿名等均应明示，钢材、水泥的生产厂家，转运方案：卸料、短驳、运输、道路维护等）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4</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土方工程施工说明书及附图（施工工艺及质量保证措施和有关试验要求，施工进度工期计划等）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5</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基坑支护、地基加固工程施工说明书及附图（施工工艺及质量保证措施和有关试验要求，施工进度工期计划等）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6</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主体建筑物工程施工说明书及附图（施工工艺及质量保证措施和有关试验要求，施工进度工期计划等）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7</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金属结构制造和安装计划、措施及附图</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8</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机电设备安装、调试方案、施工进度计划说明书</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9</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建筑与装修工程施工说明书（施工工艺及质量保证措施，施工进度工期计划等）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10</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工程质量管理方案</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11</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安全生产管理方案</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12</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防汛度汛</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13</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文明工地建设措施，为其他承包人提供方便的措施等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14</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水土保持、环境保护管理方案</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15</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其他有关工程的施工工艺及进度计划</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16</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有关施工建议</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bl>
    <w:p>
      <w:pPr>
        <w:pStyle w:val="104"/>
        <w:tabs>
          <w:tab w:val="left" w:pos="720"/>
        </w:tabs>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2.施工组织设计除采用文字表述外应附下列图表,图表及格式要求附后。</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附表一  拟投入本标段的主要施工设备表</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附表二  拟投入本标段的实验和检测仪器设备表</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附表三  拟投入本标段的劳动力计划表</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附表四  计划开工日期、完工日期和施工进度网络图</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附表五  施工总平面图</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附表六  临时用地表</w:t>
      </w:r>
    </w:p>
    <w:p>
      <w:pPr>
        <w:pStyle w:val="104"/>
        <w:spacing w:line="400" w:lineRule="exact"/>
        <w:rPr>
          <w:rFonts w:ascii="Times New Roman" w:hAnsi="Times New Roman"/>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28" w:name="_Toc672"/>
      <w:r>
        <w:rPr>
          <w:rFonts w:hint="eastAsia"/>
          <w:color w:val="000000"/>
          <w:highlight w:val="none"/>
        </w:rPr>
        <w:t>附表一：拟投入本标段的主要施工设备表</w:t>
      </w:r>
      <w:bookmarkEnd w:id="628"/>
    </w:p>
    <w:p>
      <w:pPr>
        <w:pStyle w:val="104"/>
        <w:spacing w:line="400" w:lineRule="exact"/>
        <w:rPr>
          <w:color w:val="000000"/>
          <w:sz w:val="19"/>
          <w:szCs w:val="19"/>
          <w:highlight w:val="none"/>
        </w:rPr>
      </w:pPr>
    </w:p>
    <w:tbl>
      <w:tblPr>
        <w:tblStyle w:val="36"/>
        <w:tblW w:w="51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87"/>
        <w:gridCol w:w="761"/>
        <w:gridCol w:w="991"/>
        <w:gridCol w:w="672"/>
        <w:gridCol w:w="739"/>
        <w:gridCol w:w="1213"/>
        <w:gridCol w:w="875"/>
        <w:gridCol w:w="105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序号</w:t>
            </w: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设备名称</w:t>
            </w: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型号</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规格</w:t>
            </w: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数量</w:t>
            </w: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国别</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产地</w:t>
            </w: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制造</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年份</w:t>
            </w: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额定功率（KW）</w:t>
            </w: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生产</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能力</w:t>
            </w: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用于施工部位</w:t>
            </w: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4"/>
        <w:spacing w:line="400" w:lineRule="exact"/>
        <w:rPr>
          <w:rFonts w:ascii="Times New Roman" w:hAnsi="Times New Roman" w:eastAsia="黑体"/>
          <w:color w:val="000000"/>
          <w:sz w:val="19"/>
          <w:szCs w:val="19"/>
          <w:highlight w:val="none"/>
        </w:rPr>
      </w:pPr>
    </w:p>
    <w:p>
      <w:pPr>
        <w:pStyle w:val="104"/>
        <w:spacing w:line="400" w:lineRule="exact"/>
        <w:rPr>
          <w:rFonts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29" w:name="_Toc3512"/>
      <w:r>
        <w:rPr>
          <w:rFonts w:hint="eastAsia"/>
          <w:color w:val="000000"/>
          <w:highlight w:val="none"/>
        </w:rPr>
        <w:t>附表二：拟投入本标段的试验和检测仪器设备表</w:t>
      </w:r>
      <w:bookmarkEnd w:id="629"/>
    </w:p>
    <w:p>
      <w:pPr>
        <w:pStyle w:val="104"/>
        <w:spacing w:line="400" w:lineRule="exact"/>
        <w:rPr>
          <w:color w:val="000000"/>
          <w:sz w:val="19"/>
          <w:szCs w:val="19"/>
          <w:highlight w:val="none"/>
        </w:rPr>
      </w:pPr>
    </w:p>
    <w:tbl>
      <w:tblPr>
        <w:tblStyle w:val="36"/>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88"/>
        <w:gridCol w:w="876"/>
        <w:gridCol w:w="876"/>
        <w:gridCol w:w="673"/>
        <w:gridCol w:w="739"/>
        <w:gridCol w:w="1213"/>
        <w:gridCol w:w="1654"/>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序号</w:t>
            </w: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仪器设备名称</w:t>
            </w: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型号</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规格</w:t>
            </w: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数量</w:t>
            </w: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国别</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产地</w:t>
            </w: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制造</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年份</w:t>
            </w: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已使用台时数</w:t>
            </w: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用途</w:t>
            </w: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4"/>
        <w:spacing w:line="400" w:lineRule="exact"/>
        <w:rPr>
          <w:rFonts w:ascii="Times New Roman" w:hAnsi="Times New Roman"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30" w:name="_Toc24694"/>
      <w:r>
        <w:rPr>
          <w:rFonts w:hint="eastAsia"/>
          <w:color w:val="000000"/>
          <w:highlight w:val="none"/>
        </w:rPr>
        <w:t>附表三：拟投入本标段的劳动力计划表</w:t>
      </w:r>
      <w:bookmarkEnd w:id="630"/>
    </w:p>
    <w:p>
      <w:pPr>
        <w:pStyle w:val="104"/>
        <w:spacing w:line="400" w:lineRule="exact"/>
        <w:ind w:right="200"/>
        <w:jc w:val="right"/>
        <w:rPr>
          <w:rFonts w:ascii="宋体" w:hAnsi="宋体"/>
          <w:color w:val="000000"/>
          <w:szCs w:val="21"/>
          <w:highlight w:val="none"/>
        </w:rPr>
      </w:pPr>
      <w:r>
        <w:rPr>
          <w:rFonts w:hint="eastAsia" w:ascii="宋体" w:hAnsi="宋体"/>
          <w:color w:val="000000"/>
          <w:szCs w:val="21"/>
          <w:highlight w:val="none"/>
        </w:rPr>
        <w:t>单位：人</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305"/>
        <w:gridCol w:w="1066"/>
        <w:gridCol w:w="1066"/>
        <w:gridCol w:w="1066"/>
        <w:gridCol w:w="1066"/>
        <w:gridCol w:w="1066"/>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工种</w:t>
            </w:r>
          </w:p>
        </w:tc>
        <w:tc>
          <w:tcPr>
            <w:tcW w:w="4514" w:type="pct"/>
            <w:gridSpan w:val="7"/>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4"/>
        <w:spacing w:line="400" w:lineRule="exact"/>
        <w:rPr>
          <w:rFonts w:ascii="Times New Roman" w:hAnsi="Times New Roman" w:eastAsia="黑体"/>
          <w:color w:val="000000"/>
          <w:sz w:val="19"/>
          <w:szCs w:val="19"/>
          <w:highlight w:val="none"/>
        </w:rPr>
      </w:pPr>
    </w:p>
    <w:p>
      <w:pPr>
        <w:pStyle w:val="104"/>
        <w:spacing w:line="400" w:lineRule="exact"/>
        <w:rPr>
          <w:rFonts w:eastAsia="黑体"/>
          <w:color w:val="000000"/>
          <w:sz w:val="19"/>
          <w:szCs w:val="19"/>
          <w:highlight w:val="none"/>
        </w:rPr>
      </w:pPr>
    </w:p>
    <w:p>
      <w:pPr>
        <w:pStyle w:val="104"/>
        <w:topLinePunct/>
        <w:spacing w:line="400" w:lineRule="exact"/>
        <w:jc w:val="center"/>
        <w:rPr>
          <w:color w:val="000000"/>
          <w:sz w:val="20"/>
          <w:szCs w:val="20"/>
          <w:highlight w:val="none"/>
        </w:rPr>
      </w:pPr>
    </w:p>
    <w:p>
      <w:pPr>
        <w:pStyle w:val="104"/>
        <w:topLinePunct/>
        <w:spacing w:line="400" w:lineRule="exact"/>
        <w:jc w:val="center"/>
        <w:rPr>
          <w:color w:val="000000"/>
          <w:sz w:val="20"/>
          <w:szCs w:val="20"/>
          <w:highlight w:val="none"/>
        </w:rPr>
      </w:pPr>
    </w:p>
    <w:p>
      <w:pPr>
        <w:pStyle w:val="104"/>
        <w:topLinePunct/>
        <w:spacing w:line="400" w:lineRule="exact"/>
        <w:jc w:val="center"/>
        <w:rPr>
          <w:color w:val="000000"/>
          <w:sz w:val="20"/>
          <w:szCs w:val="20"/>
          <w:highlight w:val="none"/>
        </w:rPr>
      </w:pPr>
    </w:p>
    <w:p>
      <w:pPr>
        <w:pStyle w:val="105"/>
        <w:rPr>
          <w:color w:val="000000"/>
          <w:highlight w:val="none"/>
        </w:rPr>
      </w:pPr>
      <w:bookmarkStart w:id="631" w:name="_Toc18647"/>
      <w:r>
        <w:rPr>
          <w:rFonts w:hint="eastAsia"/>
          <w:color w:val="000000"/>
          <w:highlight w:val="none"/>
        </w:rPr>
        <w:t>附表四：计划开工日期、完工日期和施工进度网络图</w:t>
      </w:r>
      <w:bookmarkEnd w:id="631"/>
    </w:p>
    <w:p>
      <w:pPr>
        <w:pStyle w:val="104"/>
        <w:spacing w:line="400" w:lineRule="exact"/>
        <w:rPr>
          <w:rFonts w:eastAsia="黑体"/>
          <w:color w:val="000000"/>
          <w:sz w:val="19"/>
          <w:szCs w:val="19"/>
          <w:highlight w:val="none"/>
        </w:rPr>
      </w:pPr>
    </w:p>
    <w:p>
      <w:pPr>
        <w:pStyle w:val="104"/>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 投标人应递交施工进度网络图或施工进度表，说明按招标文件要求的计划工期进行施工的各个关键日期。</w:t>
      </w:r>
    </w:p>
    <w:p>
      <w:pPr>
        <w:pStyle w:val="104"/>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 施工进度表可采用</w:t>
      </w:r>
      <w:r>
        <w:rPr>
          <w:rFonts w:hint="eastAsia" w:ascii="宋体" w:hAnsi="宋体"/>
          <w:color w:val="000000"/>
          <w:szCs w:val="21"/>
          <w:highlight w:val="none"/>
          <w:u w:val="single"/>
        </w:rPr>
        <w:t xml:space="preserve">                 </w:t>
      </w:r>
      <w:r>
        <w:rPr>
          <w:rFonts w:hint="eastAsia" w:ascii="宋体" w:hAnsi="宋体"/>
          <w:color w:val="000000"/>
          <w:szCs w:val="21"/>
          <w:highlight w:val="none"/>
        </w:rPr>
        <w:t>网络图（或横道图）表示。</w:t>
      </w:r>
    </w:p>
    <w:p>
      <w:pPr>
        <w:pStyle w:val="104"/>
        <w:spacing w:line="400" w:lineRule="exact"/>
        <w:rPr>
          <w:rFonts w:ascii="Times New Roman" w:hAnsi="Times New Roman"/>
          <w:color w:val="000000"/>
          <w:sz w:val="19"/>
          <w:szCs w:val="19"/>
          <w:highlight w:val="none"/>
        </w:rPr>
      </w:pPr>
    </w:p>
    <w:p>
      <w:pPr>
        <w:pStyle w:val="104"/>
        <w:spacing w:line="400" w:lineRule="exact"/>
        <w:rPr>
          <w:rFonts w:eastAsia="黑体"/>
          <w:color w:val="000000"/>
          <w:sz w:val="19"/>
          <w:szCs w:val="19"/>
          <w:highlight w:val="none"/>
        </w:rPr>
      </w:pPr>
    </w:p>
    <w:p>
      <w:pPr>
        <w:pStyle w:val="104"/>
        <w:spacing w:line="400" w:lineRule="exact"/>
        <w:rPr>
          <w:rFonts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32" w:name="_Toc30678"/>
      <w:r>
        <w:rPr>
          <w:rFonts w:hint="eastAsia"/>
          <w:color w:val="000000"/>
          <w:highlight w:val="none"/>
        </w:rPr>
        <w:t>附表五：施工总平面图</w:t>
      </w:r>
      <w:bookmarkEnd w:id="632"/>
    </w:p>
    <w:p>
      <w:pPr>
        <w:pStyle w:val="104"/>
        <w:spacing w:line="400" w:lineRule="exact"/>
        <w:rPr>
          <w:rFonts w:eastAsia="黑体"/>
          <w:color w:val="000000"/>
          <w:sz w:val="19"/>
          <w:szCs w:val="19"/>
          <w:highlight w:val="none"/>
        </w:rPr>
      </w:pPr>
      <w:r>
        <w:rPr>
          <w:rFonts w:eastAsia="黑体"/>
          <w:color w:val="000000"/>
          <w:sz w:val="19"/>
          <w:szCs w:val="19"/>
          <w:highlight w:val="none"/>
        </w:rPr>
        <w:tab/>
      </w:r>
    </w:p>
    <w:p>
      <w:pPr>
        <w:pStyle w:val="104"/>
        <w:spacing w:line="400" w:lineRule="exact"/>
        <w:ind w:firstLine="420" w:firstLineChars="200"/>
        <w:rPr>
          <w:color w:val="000000"/>
          <w:szCs w:val="21"/>
          <w:highlight w:val="none"/>
        </w:rPr>
      </w:pPr>
      <w:r>
        <w:rPr>
          <w:rFonts w:hint="eastAsia"/>
          <w:color w:val="000000"/>
          <w:szCs w:val="21"/>
          <w:highlight w:val="none"/>
        </w:rPr>
        <w:t>投标人应递交一份施工总平面图，绘出现场临时设施布置图表并附文字说明，说明临时设施、加工车间、现场办公、设备及仓储、供电、供水、卫生、生活、道路、消防等设施的情况和布置。</w:t>
      </w:r>
    </w:p>
    <w:p>
      <w:pPr>
        <w:pStyle w:val="104"/>
        <w:spacing w:line="400" w:lineRule="exact"/>
        <w:rPr>
          <w:rFonts w:eastAsia="黑体"/>
          <w:color w:val="000000"/>
          <w:sz w:val="19"/>
          <w:szCs w:val="19"/>
          <w:highlight w:val="none"/>
        </w:rPr>
      </w:pPr>
    </w:p>
    <w:p>
      <w:pPr>
        <w:pStyle w:val="104"/>
        <w:spacing w:line="400" w:lineRule="exact"/>
        <w:rPr>
          <w:rFonts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33" w:name="_Toc21664"/>
      <w:r>
        <w:rPr>
          <w:rFonts w:hint="eastAsia"/>
          <w:color w:val="000000"/>
          <w:highlight w:val="none"/>
        </w:rPr>
        <w:t>附表六：临时用地表</w:t>
      </w:r>
      <w:bookmarkEnd w:id="633"/>
    </w:p>
    <w:p>
      <w:pPr>
        <w:pStyle w:val="104"/>
        <w:spacing w:line="400" w:lineRule="exact"/>
        <w:jc w:val="center"/>
        <w:rPr>
          <w:color w:val="000000"/>
          <w:sz w:val="22"/>
          <w:highlight w:val="none"/>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用 途</w:t>
            </w:r>
          </w:p>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面 积（㎡）</w:t>
            </w: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位 置</w:t>
            </w: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8"/>
        <w:outlineLvl w:val="1"/>
        <w:rPr>
          <w:highlight w:val="none"/>
        </w:rPr>
      </w:pPr>
      <w:r>
        <w:rPr>
          <w:highlight w:val="none"/>
        </w:rPr>
        <w:br w:type="page"/>
      </w:r>
      <w:bookmarkStart w:id="634" w:name="_Toc23132"/>
      <w:r>
        <w:rPr>
          <w:rFonts w:ascii="黑体" w:hAnsi="黑体" w:eastAsia="黑体" w:cs="黑体"/>
          <w:b/>
          <w:sz w:val="32"/>
          <w:highlight w:val="none"/>
        </w:rPr>
        <w:t>六、项目管理机构</w:t>
      </w:r>
      <w:bookmarkEnd w:id="634"/>
    </w:p>
    <w:p>
      <w:pPr>
        <w:pStyle w:val="109"/>
        <w:outlineLvl w:val="2"/>
        <w:rPr>
          <w:highlight w:val="none"/>
        </w:rPr>
      </w:pPr>
      <w:bookmarkStart w:id="635" w:name="_Toc10382"/>
      <w:r>
        <w:rPr>
          <w:rFonts w:ascii="黑体" w:hAnsi="黑体" w:eastAsia="黑体" w:cs="黑体"/>
          <w:b/>
          <w:sz w:val="28"/>
          <w:highlight w:val="none"/>
        </w:rPr>
        <w:t>(一)项目管理机构组成表</w:t>
      </w:r>
      <w:bookmarkEnd w:id="635"/>
    </w:p>
    <w:p>
      <w:pPr>
        <w:pStyle w:val="110"/>
        <w:spacing w:line="400" w:lineRule="exact"/>
        <w:jc w:val="center"/>
        <w:rPr>
          <w:rFonts w:eastAsia="黑体"/>
          <w:color w:val="000000"/>
          <w:sz w:val="22"/>
          <w:highlight w:val="none"/>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721"/>
        <w:gridCol w:w="720"/>
        <w:gridCol w:w="1081"/>
        <w:gridCol w:w="720"/>
        <w:gridCol w:w="721"/>
        <w:gridCol w:w="720"/>
        <w:gridCol w:w="2524"/>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vMerge w:val="restar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职务</w:t>
            </w:r>
          </w:p>
        </w:tc>
        <w:tc>
          <w:tcPr>
            <w:tcW w:w="423" w:type="pct"/>
            <w:vMerge w:val="restar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姓名</w:t>
            </w:r>
          </w:p>
        </w:tc>
        <w:tc>
          <w:tcPr>
            <w:tcW w:w="422" w:type="pct"/>
            <w:vMerge w:val="restar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职称</w:t>
            </w:r>
          </w:p>
        </w:tc>
        <w:tc>
          <w:tcPr>
            <w:tcW w:w="3381" w:type="pct"/>
            <w:gridSpan w:val="5"/>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执业或职业资格证明</w:t>
            </w: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0"/>
              <w:widowControl/>
              <w:jc w:val="lef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0"/>
              <w:widowControl/>
              <w:jc w:val="lef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0"/>
              <w:widowControl/>
              <w:jc w:val="left"/>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证书名称</w:t>
            </w: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级别</w:t>
            </w: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证号</w:t>
            </w: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专业</w:t>
            </w: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社会保险</w:t>
            </w: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bl>
    <w:p>
      <w:pPr>
        <w:pStyle w:val="111"/>
        <w:rPr>
          <w:highlight w:val="none"/>
        </w:rPr>
      </w:pPr>
      <w:r>
        <w:rPr>
          <w:highlight w:val="none"/>
        </w:rPr>
        <w:t xml:space="preserve">    备注：本表应附材料如下：</w:t>
      </w:r>
    </w:p>
    <w:p>
      <w:pPr>
        <w:pStyle w:val="90"/>
        <w:rPr>
          <w:highlight w:val="none"/>
        </w:rPr>
      </w:pPr>
      <w:r>
        <w:rPr>
          <w:highlight w:val="none"/>
        </w:rPr>
        <w:t>职称证（执业证或上岗证书）、养老保险证明、其他。</w:t>
      </w:r>
    </w:p>
    <w:p>
      <w:pPr>
        <w:pStyle w:val="112"/>
        <w:outlineLvl w:val="2"/>
        <w:rPr>
          <w:highlight w:val="none"/>
        </w:rPr>
      </w:pPr>
      <w:r>
        <w:rPr>
          <w:highlight w:val="none"/>
        </w:rPr>
        <w:br w:type="page"/>
      </w:r>
      <w:bookmarkStart w:id="636" w:name="_Toc17592"/>
      <w:r>
        <w:rPr>
          <w:rFonts w:ascii="黑体" w:hAnsi="黑体" w:eastAsia="黑体" w:cs="黑体"/>
          <w:b/>
          <w:sz w:val="28"/>
          <w:highlight w:val="none"/>
        </w:rPr>
        <w:t>(二)主要人员简历表</w:t>
      </w:r>
      <w:bookmarkEnd w:id="636"/>
    </w:p>
    <w:p>
      <w:pPr>
        <w:pStyle w:val="113"/>
        <w:rPr>
          <w:highlight w:val="none"/>
        </w:rPr>
      </w:pPr>
    </w:p>
    <w:tbl>
      <w:tblPr>
        <w:tblStyle w:val="36"/>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359"/>
        <w:gridCol w:w="720"/>
        <w:gridCol w:w="927"/>
        <w:gridCol w:w="1065"/>
        <w:gridCol w:w="708"/>
        <w:gridCol w:w="1261"/>
        <w:gridCol w:w="397"/>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姓  名</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927"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年 龄</w:t>
            </w:r>
          </w:p>
        </w:tc>
        <w:tc>
          <w:tcPr>
            <w:tcW w:w="106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2366" w:type="dxa"/>
            <w:gridSpan w:val="3"/>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学历</w:t>
            </w:r>
          </w:p>
        </w:tc>
        <w:tc>
          <w:tcPr>
            <w:tcW w:w="213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执业资格</w:t>
            </w:r>
          </w:p>
        </w:tc>
        <w:tc>
          <w:tcPr>
            <w:tcW w:w="3071"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2366" w:type="dxa"/>
            <w:gridSpan w:val="3"/>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安全生产考核合格证书</w:t>
            </w:r>
          </w:p>
        </w:tc>
        <w:tc>
          <w:tcPr>
            <w:tcW w:w="213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职  称</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927"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职 务</w:t>
            </w:r>
          </w:p>
        </w:tc>
        <w:tc>
          <w:tcPr>
            <w:tcW w:w="106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2366" w:type="dxa"/>
            <w:gridSpan w:val="3"/>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拟在本合同任职</w:t>
            </w:r>
          </w:p>
        </w:tc>
        <w:tc>
          <w:tcPr>
            <w:tcW w:w="213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毕业学校</w:t>
            </w:r>
          </w:p>
        </w:tc>
        <w:tc>
          <w:tcPr>
            <w:tcW w:w="7572" w:type="dxa"/>
            <w:gridSpan w:val="8"/>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r>
              <w:rPr>
                <w:rFonts w:hint="eastAsia" w:ascii="宋体" w:hAnsi="宋体"/>
                <w:color w:val="000000"/>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8" w:type="dxa"/>
            <w:gridSpan w:val="9"/>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主要施工管理经历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时  间</w:t>
            </w: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参加过的类似项目</w:t>
            </w: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担任职务</w:t>
            </w: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r>
              <w:rPr>
                <w:rFonts w:hint="eastAsia" w:ascii="宋体" w:hAnsi="宋体"/>
                <w:color w:val="000000"/>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bl>
    <w:p>
      <w:pPr>
        <w:pStyle w:val="113"/>
        <w:spacing w:line="400" w:lineRule="exact"/>
        <w:rPr>
          <w:rFonts w:ascii="Times New Roman" w:hAnsi="Times New Roman" w:eastAsia="黑体"/>
          <w:color w:val="000000"/>
          <w:sz w:val="19"/>
          <w:szCs w:val="19"/>
          <w:highlight w:val="none"/>
        </w:rPr>
      </w:pPr>
      <w:r>
        <w:rPr>
          <w:rFonts w:hint="eastAsia" w:ascii="宋体" w:hAnsi="宋体"/>
          <w:color w:val="000000"/>
          <w:szCs w:val="21"/>
          <w:highlight w:val="none"/>
        </w:rPr>
        <w:t>注</w:t>
      </w:r>
      <w:r>
        <w:rPr>
          <w:rFonts w:hint="eastAsia" w:ascii="宋体" w:hAnsi="宋体"/>
          <w:color w:val="000000"/>
          <w:highlight w:val="none"/>
        </w:rPr>
        <w:t>：主要人员指项目经理、技术负责人、安全管理人员（专职安全生产管理人员）、质量管理人员、财务负责人及其它主要人员。</w:t>
      </w:r>
    </w:p>
    <w:p>
      <w:pPr>
        <w:pStyle w:val="111"/>
        <w:rPr>
          <w:highlight w:val="none"/>
        </w:rPr>
      </w:pPr>
      <w:r>
        <w:rPr>
          <w:highlight w:val="none"/>
        </w:rPr>
        <w:t xml:space="preserve">    备注：本表应附材料如下：</w:t>
      </w:r>
    </w:p>
    <w:p>
      <w:pPr>
        <w:pStyle w:val="90"/>
        <w:rPr>
          <w:highlight w:val="none"/>
        </w:rPr>
      </w:pPr>
      <w:r>
        <w:rPr>
          <w:highlight w:val="none"/>
        </w:rPr>
        <w:t>建造师证书、项目经理身份证、项目经理职称证书。</w:t>
      </w:r>
    </w:p>
    <w:p>
      <w:pPr>
        <w:pStyle w:val="114"/>
        <w:outlineLvl w:val="1"/>
        <w:rPr>
          <w:highlight w:val="none"/>
        </w:rPr>
      </w:pPr>
      <w:r>
        <w:rPr>
          <w:highlight w:val="none"/>
        </w:rPr>
        <w:br w:type="page"/>
      </w:r>
      <w:bookmarkStart w:id="637" w:name="_Toc11555"/>
      <w:r>
        <w:rPr>
          <w:rFonts w:ascii="黑体" w:hAnsi="黑体" w:eastAsia="黑体" w:cs="黑体"/>
          <w:b/>
          <w:sz w:val="32"/>
          <w:highlight w:val="none"/>
        </w:rPr>
        <w:t>七、拟分包项目情况表</w:t>
      </w:r>
      <w:bookmarkEnd w:id="637"/>
    </w:p>
    <w:p>
      <w:pPr>
        <w:pStyle w:val="115"/>
        <w:jc w:val="center"/>
        <w:rPr>
          <w:rFonts w:ascii="黑体" w:hAnsi="黑体" w:eastAsia="黑体"/>
          <w:b/>
          <w:sz w:val="30"/>
          <w:szCs w:val="30"/>
          <w:highlight w:val="none"/>
        </w:rPr>
      </w:pPr>
      <w:r>
        <w:rPr>
          <w:rFonts w:hint="eastAsia" w:ascii="黑体" w:hAnsi="黑体" w:eastAsia="黑体"/>
          <w:b/>
          <w:sz w:val="30"/>
          <w:szCs w:val="30"/>
          <w:highlight w:val="none"/>
        </w:rPr>
        <w:t>拟分包项目情况表</w:t>
      </w:r>
    </w:p>
    <w:p>
      <w:pPr>
        <w:pStyle w:val="115"/>
        <w:spacing w:line="400" w:lineRule="exact"/>
        <w:rPr>
          <w:rFonts w:ascii="Times New Roman" w:hAnsi="Times New Roman" w:eastAsia="黑体"/>
          <w:color w:val="000000"/>
          <w:sz w:val="19"/>
          <w:szCs w:val="19"/>
          <w:highlight w:val="none"/>
        </w:rPr>
      </w:pPr>
      <w:r>
        <w:rPr>
          <w:rFonts w:eastAsia="黑体"/>
          <w:color w:val="000000"/>
          <w:sz w:val="19"/>
          <w:szCs w:val="19"/>
          <w:highlight w:val="none"/>
        </w:rPr>
        <w:t xml:space="preserve">                          </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2355"/>
        <w:gridCol w:w="1787"/>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分包人名称</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地  址</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法定代表人</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电  话</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营业执照号码</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资质等级</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拟分包的工程项目</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主要内容</w:t>
            </w: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r>
              <w:rPr>
                <w:rFonts w:hint="eastAsia" w:ascii="宋体" w:hAnsi="宋体"/>
                <w:color w:val="000000"/>
                <w:szCs w:val="21"/>
                <w:highlight w:val="none"/>
              </w:rPr>
              <w:t>预计造价（万元）</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已经做过的类似工程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452" w:type="pct"/>
            <w:vMerge w:val="restar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bl>
    <w:p>
      <w:pPr>
        <w:pStyle w:val="116"/>
        <w:outlineLvl w:val="1"/>
        <w:rPr>
          <w:highlight w:val="none"/>
        </w:rPr>
      </w:pPr>
      <w:r>
        <w:rPr>
          <w:highlight w:val="none"/>
        </w:rPr>
        <w:br w:type="page"/>
      </w:r>
      <w:bookmarkStart w:id="638" w:name="_Toc2459"/>
      <w:r>
        <w:rPr>
          <w:rFonts w:ascii="黑体" w:hAnsi="黑体" w:eastAsia="黑体" w:cs="黑体"/>
          <w:b/>
          <w:sz w:val="32"/>
          <w:highlight w:val="none"/>
        </w:rPr>
        <w:t>八、资格审查资料</w:t>
      </w:r>
      <w:bookmarkEnd w:id="638"/>
    </w:p>
    <w:p>
      <w:pPr>
        <w:pStyle w:val="117"/>
        <w:outlineLvl w:val="2"/>
        <w:rPr>
          <w:highlight w:val="none"/>
        </w:rPr>
      </w:pPr>
      <w:bookmarkStart w:id="639" w:name="_Toc3518"/>
      <w:r>
        <w:rPr>
          <w:rFonts w:ascii="黑体" w:hAnsi="黑体" w:eastAsia="黑体" w:cs="黑体"/>
          <w:b/>
          <w:sz w:val="28"/>
          <w:highlight w:val="none"/>
        </w:rPr>
        <w:t>(一)投标人基本情况表</w:t>
      </w:r>
      <w:bookmarkEnd w:id="639"/>
    </w:p>
    <w:p>
      <w:pPr>
        <w:pStyle w:val="118"/>
        <w:spacing w:line="400" w:lineRule="exact"/>
        <w:rPr>
          <w:color w:val="000000"/>
          <w:szCs w:val="21"/>
          <w:highlight w:val="none"/>
        </w:rPr>
      </w:pPr>
    </w:p>
    <w:tbl>
      <w:tblPr>
        <w:tblStyle w:val="36"/>
        <w:tblW w:w="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840"/>
        <w:gridCol w:w="420"/>
        <w:gridCol w:w="311"/>
        <w:gridCol w:w="1078"/>
        <w:gridCol w:w="182"/>
        <w:gridCol w:w="1168"/>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投标人名称</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注册地址</w:t>
            </w:r>
          </w:p>
        </w:tc>
        <w:tc>
          <w:tcPr>
            <w:tcW w:w="3420" w:type="dxa"/>
            <w:gridSpan w:val="5"/>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联系方式</w:t>
            </w: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联系人</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电</w:t>
            </w:r>
            <w:r>
              <w:rPr>
                <w:color w:val="000000"/>
                <w:sz w:val="20"/>
                <w:szCs w:val="20"/>
                <w:highlight w:val="none"/>
              </w:rPr>
              <w:t xml:space="preserve"> </w:t>
            </w:r>
            <w:r>
              <w:rPr>
                <w:rFonts w:hint="eastAsia"/>
                <w:color w:val="000000"/>
                <w:sz w:val="20"/>
                <w:szCs w:val="20"/>
                <w:highlight w:val="none"/>
              </w:rPr>
              <w:t>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传</w:t>
            </w:r>
            <w:r>
              <w:rPr>
                <w:color w:val="000000"/>
                <w:sz w:val="20"/>
                <w:szCs w:val="20"/>
                <w:highlight w:val="none"/>
              </w:rPr>
              <w:t xml:space="preserve">  </w:t>
            </w:r>
            <w:r>
              <w:rPr>
                <w:rFonts w:hint="eastAsia"/>
                <w:color w:val="000000"/>
                <w:sz w:val="20"/>
                <w:szCs w:val="20"/>
                <w:highlight w:val="none"/>
              </w:rPr>
              <w:t>真</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网</w:t>
            </w:r>
            <w:r>
              <w:rPr>
                <w:color w:val="000000"/>
                <w:sz w:val="20"/>
                <w:szCs w:val="20"/>
                <w:highlight w:val="none"/>
              </w:rPr>
              <w:t xml:space="preserve"> </w:t>
            </w:r>
            <w:r>
              <w:rPr>
                <w:rFonts w:hint="eastAsia"/>
                <w:color w:val="000000"/>
                <w:sz w:val="20"/>
                <w:szCs w:val="20"/>
                <w:highlight w:val="none"/>
              </w:rPr>
              <w:t>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组织结构</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法定代表人</w:t>
            </w: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姓名</w:t>
            </w:r>
          </w:p>
        </w:tc>
        <w:tc>
          <w:tcPr>
            <w:tcW w:w="951"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技术职称</w:t>
            </w:r>
          </w:p>
        </w:tc>
        <w:tc>
          <w:tcPr>
            <w:tcW w:w="1571"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电话</w:t>
            </w:r>
          </w:p>
        </w:tc>
        <w:tc>
          <w:tcPr>
            <w:tcW w:w="992"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技术负责人</w:t>
            </w: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姓名</w:t>
            </w:r>
          </w:p>
        </w:tc>
        <w:tc>
          <w:tcPr>
            <w:tcW w:w="951"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技术职称</w:t>
            </w:r>
          </w:p>
        </w:tc>
        <w:tc>
          <w:tcPr>
            <w:tcW w:w="1571"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电话</w:t>
            </w:r>
          </w:p>
        </w:tc>
        <w:tc>
          <w:tcPr>
            <w:tcW w:w="992"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gridSpan w:val="5"/>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员工总人数：</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ind w:firstLine="1000" w:firstLineChars="500"/>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企业资质等级</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840" w:type="dxa"/>
            <w:vMerge w:val="restart"/>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其中</w:t>
            </w: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项目经理</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营业执照号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高级职称人员</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注册资金</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中级职称人员</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开户银行</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初级职称人员</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账号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spacing w:line="400" w:lineRule="exact"/>
              <w:jc w:val="center"/>
              <w:rPr>
                <w:color w:val="000000"/>
                <w:sz w:val="20"/>
                <w:szCs w:val="20"/>
                <w:highlight w:val="none"/>
              </w:rPr>
            </w:pPr>
            <w:r>
              <w:rPr>
                <w:rFonts w:hint="eastAsia"/>
                <w:color w:val="000000"/>
                <w:sz w:val="20"/>
                <w:szCs w:val="20"/>
                <w:highlight w:val="none"/>
              </w:rPr>
              <w:t>技</w:t>
            </w:r>
            <w:r>
              <w:rPr>
                <w:color w:val="000000"/>
                <w:sz w:val="20"/>
                <w:szCs w:val="20"/>
                <w:highlight w:val="none"/>
              </w:rPr>
              <w:t xml:space="preserve">  </w:t>
            </w:r>
            <w:r>
              <w:rPr>
                <w:rFonts w:hint="eastAsia"/>
                <w:color w:val="000000"/>
                <w:sz w:val="20"/>
                <w:szCs w:val="20"/>
                <w:highlight w:val="none"/>
              </w:rPr>
              <w:t>工</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8" w:hRule="atLeast"/>
        </w:trPr>
        <w:tc>
          <w:tcPr>
            <w:tcW w:w="1728" w:type="dxa"/>
            <w:tcBorders>
              <w:top w:val="single" w:color="auto" w:sz="4" w:space="0"/>
              <w:left w:val="single" w:color="auto" w:sz="4" w:space="0"/>
              <w:bottom w:val="nil"/>
              <w:right w:val="single" w:color="auto" w:sz="4" w:space="0"/>
            </w:tcBorders>
            <w:vAlign w:val="center"/>
          </w:tcPr>
          <w:p>
            <w:pPr>
              <w:pStyle w:val="118"/>
              <w:topLinePunct/>
              <w:spacing w:line="400" w:lineRule="exact"/>
              <w:ind w:firstLine="200" w:firstLineChars="100"/>
              <w:jc w:val="center"/>
              <w:rPr>
                <w:color w:val="000000"/>
                <w:sz w:val="20"/>
                <w:szCs w:val="20"/>
                <w:highlight w:val="none"/>
              </w:rPr>
            </w:pPr>
            <w:r>
              <w:rPr>
                <w:rFonts w:hint="eastAsia"/>
                <w:color w:val="000000"/>
                <w:sz w:val="20"/>
                <w:szCs w:val="20"/>
                <w:highlight w:val="none"/>
              </w:rPr>
              <w:t>经营范围</w:t>
            </w:r>
          </w:p>
        </w:tc>
        <w:tc>
          <w:tcPr>
            <w:tcW w:w="6840" w:type="dxa"/>
            <w:gridSpan w:val="9"/>
            <w:tcBorders>
              <w:top w:val="single" w:color="auto" w:sz="4" w:space="0"/>
              <w:left w:val="single" w:color="auto" w:sz="4" w:space="0"/>
              <w:bottom w:val="nil"/>
              <w:right w:val="single" w:color="auto" w:sz="4" w:space="0"/>
            </w:tcBorders>
            <w:vAlign w:val="center"/>
          </w:tcPr>
          <w:p>
            <w:pPr>
              <w:pStyle w:val="118"/>
              <w:topLinePunct/>
              <w:spacing w:line="400" w:lineRule="exact"/>
              <w:rPr>
                <w:color w:val="000000"/>
                <w:sz w:val="20"/>
                <w:szCs w:val="20"/>
                <w:highlight w:val="none"/>
              </w:rPr>
            </w:pPr>
          </w:p>
          <w:p>
            <w:pPr>
              <w:pStyle w:val="118"/>
              <w:topLinePunct/>
              <w:spacing w:line="400" w:lineRule="exact"/>
              <w:jc w:val="center"/>
              <w:rPr>
                <w:color w:val="000000"/>
                <w:sz w:val="20"/>
                <w:szCs w:val="20"/>
                <w:highlight w:val="none"/>
              </w:rPr>
            </w:pPr>
          </w:p>
          <w:p>
            <w:pPr>
              <w:pStyle w:val="118"/>
              <w:topLinePunct/>
              <w:spacing w:line="400" w:lineRule="exact"/>
              <w:jc w:val="center"/>
              <w:rPr>
                <w:color w:val="000000"/>
                <w:sz w:val="20"/>
                <w:szCs w:val="20"/>
                <w:highlight w:val="none"/>
              </w:rPr>
            </w:pPr>
          </w:p>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备注</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bl>
    <w:p>
      <w:pPr>
        <w:pStyle w:val="118"/>
        <w:rPr>
          <w:highlight w:val="none"/>
        </w:rPr>
      </w:pPr>
      <w:r>
        <w:rPr>
          <w:rFonts w:hint="eastAsia"/>
          <w:color w:val="000000"/>
          <w:highlight w:val="none"/>
        </w:rPr>
        <w:t>注</w:t>
      </w:r>
      <w:r>
        <w:rPr>
          <w:color w:val="000000"/>
          <w:highlight w:val="none"/>
        </w:rPr>
        <w:t xml:space="preserve"> </w:t>
      </w:r>
      <w:r>
        <w:rPr>
          <w:rFonts w:hint="eastAsia"/>
          <w:color w:val="000000"/>
          <w:highlight w:val="none"/>
        </w:rPr>
        <w:t>相关材料复印件在“十、原件的复印件”中提供。</w:t>
      </w:r>
    </w:p>
    <w:p>
      <w:pPr>
        <w:pStyle w:val="111"/>
        <w:rPr>
          <w:highlight w:val="none"/>
        </w:rPr>
      </w:pPr>
      <w:r>
        <w:rPr>
          <w:highlight w:val="none"/>
        </w:rPr>
        <w:t xml:space="preserve">    备注：本表应附材料如下：</w:t>
      </w:r>
    </w:p>
    <w:p>
      <w:pPr>
        <w:pStyle w:val="90"/>
        <w:rPr>
          <w:highlight w:val="none"/>
        </w:rPr>
      </w:pPr>
      <w:r>
        <w:rPr>
          <w:highlight w:val="none"/>
        </w:rPr>
        <w:t>法人营业执照、施工企业安全生产许可证、组织机构代码证。</w:t>
      </w:r>
    </w:p>
    <w:p>
      <w:pPr>
        <w:pStyle w:val="119"/>
        <w:outlineLvl w:val="2"/>
        <w:rPr>
          <w:highlight w:val="none"/>
        </w:rPr>
      </w:pPr>
      <w:r>
        <w:rPr>
          <w:highlight w:val="none"/>
        </w:rPr>
        <w:br w:type="page"/>
      </w:r>
      <w:bookmarkStart w:id="640" w:name="_Toc25763"/>
      <w:r>
        <w:rPr>
          <w:rFonts w:ascii="黑体" w:hAnsi="黑体" w:eastAsia="黑体" w:cs="黑体"/>
          <w:b/>
          <w:sz w:val="28"/>
          <w:highlight w:val="none"/>
        </w:rPr>
        <w:t>(二)近3年财务状况表</w:t>
      </w:r>
      <w:bookmarkEnd w:id="640"/>
    </w:p>
    <w:p>
      <w:pPr>
        <w:pStyle w:val="120"/>
        <w:spacing w:line="400" w:lineRule="exact"/>
        <w:jc w:val="center"/>
        <w:rPr>
          <w:color w:val="000000"/>
          <w:szCs w:val="24"/>
          <w:highlight w:val="none"/>
          <w:u w:val="single"/>
        </w:rPr>
      </w:pPr>
      <w:r>
        <w:rPr>
          <w:rFonts w:hint="eastAsia"/>
          <w:color w:val="000000"/>
          <w:highlight w:val="none"/>
        </w:rPr>
        <w:t>（近</w:t>
      </w:r>
      <w:r>
        <w:rPr>
          <w:color w:val="000000"/>
          <w:highlight w:val="none"/>
        </w:rPr>
        <w:t>3</w:t>
      </w:r>
      <w:r>
        <w:rPr>
          <w:rFonts w:hint="eastAsia"/>
          <w:color w:val="000000"/>
          <w:highlight w:val="none"/>
        </w:rPr>
        <w:t>年指</w:t>
      </w:r>
      <w:r>
        <w:rPr>
          <w:color w:val="000000"/>
          <w:highlight w:val="none"/>
          <w:u w:val="single"/>
        </w:rPr>
        <w:t xml:space="preserve">   </w:t>
      </w:r>
      <w:r>
        <w:rPr>
          <w:rFonts w:hint="eastAsia"/>
          <w:color w:val="000000"/>
          <w:highlight w:val="none"/>
          <w:u w:val="single"/>
        </w:rPr>
        <w:t>2021</w:t>
      </w:r>
      <w:r>
        <w:rPr>
          <w:color w:val="000000"/>
          <w:highlight w:val="none"/>
          <w:u w:val="single"/>
        </w:rPr>
        <w:t xml:space="preserve"> </w:t>
      </w:r>
      <w:r>
        <w:rPr>
          <w:rFonts w:hint="eastAsia"/>
          <w:color w:val="000000"/>
          <w:highlight w:val="none"/>
        </w:rPr>
        <w:t>年</w:t>
      </w:r>
      <w:r>
        <w:rPr>
          <w:color w:val="000000"/>
          <w:highlight w:val="none"/>
          <w:u w:val="single"/>
        </w:rPr>
        <w:t xml:space="preserve">  </w:t>
      </w:r>
      <w:r>
        <w:rPr>
          <w:rFonts w:hint="eastAsia"/>
          <w:color w:val="000000"/>
          <w:highlight w:val="none"/>
          <w:u w:val="single"/>
        </w:rPr>
        <w:t>1</w:t>
      </w:r>
      <w:r>
        <w:rPr>
          <w:color w:val="000000"/>
          <w:highlight w:val="none"/>
          <w:u w:val="single"/>
        </w:rPr>
        <w:t xml:space="preserve">  </w:t>
      </w:r>
      <w:r>
        <w:rPr>
          <w:rFonts w:hint="eastAsia"/>
          <w:color w:val="000000"/>
          <w:highlight w:val="none"/>
        </w:rPr>
        <w:t>月至</w:t>
      </w:r>
      <w:r>
        <w:rPr>
          <w:rFonts w:hint="eastAsia"/>
          <w:color w:val="000000"/>
          <w:highlight w:val="none"/>
          <w:u w:val="single"/>
        </w:rPr>
        <w:t>今</w:t>
      </w:r>
      <w:r>
        <w:rPr>
          <w:rFonts w:hint="eastAsia"/>
          <w:color w:val="000000"/>
          <w:highlight w:val="none"/>
        </w:rPr>
        <w:t>）</w:t>
      </w:r>
    </w:p>
    <w:p>
      <w:pPr>
        <w:pStyle w:val="120"/>
        <w:spacing w:line="400" w:lineRule="exact"/>
        <w:rPr>
          <w:b/>
          <w:color w:val="000000"/>
          <w:highlight w:val="none"/>
        </w:rPr>
      </w:pPr>
      <w:r>
        <w:rPr>
          <w:b/>
          <w:color w:val="000000"/>
          <w:highlight w:val="none"/>
        </w:rPr>
        <w:t>1.</w:t>
      </w:r>
      <w:r>
        <w:rPr>
          <w:rFonts w:hint="eastAsia"/>
          <w:b/>
          <w:color w:val="000000"/>
          <w:highlight w:val="none"/>
        </w:rPr>
        <w:t>财务状况表</w:t>
      </w:r>
    </w:p>
    <w:p>
      <w:pPr>
        <w:pStyle w:val="120"/>
        <w:spacing w:line="400" w:lineRule="exact"/>
        <w:jc w:val="center"/>
        <w:rPr>
          <w:b/>
          <w:color w:val="000000"/>
          <w:highlight w:val="none"/>
        </w:rPr>
      </w:pPr>
      <w:r>
        <w:rPr>
          <w:rFonts w:hint="eastAsia"/>
          <w:b/>
          <w:color w:val="000000"/>
          <w:highlight w:val="none"/>
        </w:rPr>
        <w:t>财务状况表</w:t>
      </w:r>
    </w:p>
    <w:tbl>
      <w:tblPr>
        <w:tblStyle w:val="36"/>
        <w:tblW w:w="0" w:type="auto"/>
        <w:tblInd w:w="39" w:type="dxa"/>
        <w:tblLayout w:type="fixed"/>
        <w:tblCellMar>
          <w:top w:w="0" w:type="dxa"/>
          <w:left w:w="0" w:type="dxa"/>
          <w:bottom w:w="0" w:type="dxa"/>
          <w:right w:w="0" w:type="dxa"/>
        </w:tblCellMar>
      </w:tblPr>
      <w:tblGrid>
        <w:gridCol w:w="2338"/>
        <w:gridCol w:w="1483"/>
        <w:gridCol w:w="1483"/>
        <w:gridCol w:w="1483"/>
        <w:gridCol w:w="1483"/>
      </w:tblGrid>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名称</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单位</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 xml:space="preserve">  </w:t>
            </w:r>
            <w:r>
              <w:rPr>
                <w:rFonts w:hint="eastAsia" w:ascii="宋体"/>
                <w:color w:val="000000"/>
                <w:kern w:val="0"/>
                <w:szCs w:val="21"/>
                <w:highlight w:val="none"/>
                <w:u w:val="single"/>
              </w:rPr>
              <w:t xml:space="preserve">      </w:t>
            </w:r>
            <w:r>
              <w:rPr>
                <w:rFonts w:hint="eastAsia" w:ascii="宋体"/>
                <w:color w:val="000000"/>
                <w:kern w:val="0"/>
                <w:szCs w:val="21"/>
                <w:highlight w:val="none"/>
              </w:rPr>
              <w:t>年</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u w:val="single"/>
              </w:rPr>
              <w:t xml:space="preserve">      </w:t>
            </w:r>
            <w:r>
              <w:rPr>
                <w:rFonts w:hint="eastAsia" w:ascii="宋体"/>
                <w:color w:val="000000"/>
                <w:kern w:val="0"/>
                <w:szCs w:val="21"/>
                <w:highlight w:val="none"/>
              </w:rPr>
              <w:t>年</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u w:val="single"/>
              </w:rPr>
              <w:t xml:space="preserve">      </w:t>
            </w:r>
            <w:r>
              <w:rPr>
                <w:rFonts w:hint="eastAsia" w:ascii="宋体"/>
                <w:color w:val="000000"/>
                <w:kern w:val="0"/>
                <w:szCs w:val="21"/>
                <w:highlight w:val="none"/>
              </w:rPr>
              <w:t>年</w:t>
            </w: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一、注册资金</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二、净资产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三、总资产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四、固定资产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五、流动资产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六、流动负债</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七、负债合计</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八、营业收入</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九、净利润</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ascii="宋体"/>
                <w:color w:val="000000"/>
                <w:kern w:val="0"/>
                <w:szCs w:val="21"/>
                <w:highlight w:val="none"/>
              </w:rPr>
              <w:t>……</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bl>
    <w:p>
      <w:pPr>
        <w:pStyle w:val="120"/>
        <w:spacing w:line="400" w:lineRule="exact"/>
        <w:rPr>
          <w:rFonts w:ascii="Times New Roman" w:hAnsi="Times New Roman"/>
          <w:b/>
          <w:color w:val="000000"/>
          <w:highlight w:val="none"/>
        </w:rPr>
      </w:pPr>
    </w:p>
    <w:p>
      <w:pPr>
        <w:pStyle w:val="120"/>
        <w:spacing w:line="400" w:lineRule="exact"/>
        <w:rPr>
          <w:b/>
          <w:color w:val="000000"/>
          <w:highlight w:val="none"/>
        </w:rPr>
      </w:pPr>
      <w:r>
        <w:rPr>
          <w:b/>
          <w:color w:val="000000"/>
          <w:highlight w:val="none"/>
        </w:rPr>
        <w:t>2</w:t>
      </w:r>
      <w:r>
        <w:rPr>
          <w:rFonts w:hint="eastAsia"/>
          <w:b/>
          <w:color w:val="000000"/>
          <w:highlight w:val="none"/>
        </w:rPr>
        <w:t>．拟投人本项目的流动资金函</w:t>
      </w:r>
    </w:p>
    <w:p>
      <w:pPr>
        <w:pStyle w:val="120"/>
        <w:autoSpaceDE w:val="0"/>
        <w:autoSpaceDN w:val="0"/>
        <w:adjustRightInd w:val="0"/>
        <w:jc w:val="left"/>
        <w:rPr>
          <w:rFonts w:ascii="宋体"/>
          <w:color w:val="000000"/>
          <w:kern w:val="0"/>
          <w:szCs w:val="21"/>
          <w:highlight w:val="none"/>
        </w:rPr>
      </w:pPr>
      <w:r>
        <w:rPr>
          <w:rFonts w:hint="eastAsia" w:ascii="宋体"/>
          <w:color w:val="000000"/>
          <w:kern w:val="0"/>
          <w:sz w:val="18"/>
          <w:szCs w:val="18"/>
          <w:highlight w:val="none"/>
        </w:rPr>
        <w:t xml:space="preserve">                    </w:t>
      </w:r>
      <w:r>
        <w:rPr>
          <w:rFonts w:hint="eastAsia" w:ascii="宋体"/>
          <w:color w:val="000000"/>
          <w:kern w:val="0"/>
          <w:szCs w:val="21"/>
          <w:highlight w:val="none"/>
        </w:rPr>
        <w:t xml:space="preserve"> 拟投人本项目的流动资金函（格式）</w:t>
      </w:r>
    </w:p>
    <w:p>
      <w:pPr>
        <w:pStyle w:val="120"/>
        <w:autoSpaceDE w:val="0"/>
        <w:autoSpaceDN w:val="0"/>
        <w:adjustRightInd w:val="0"/>
        <w:ind w:firstLine="210" w:firstLineChars="100"/>
        <w:jc w:val="left"/>
        <w:rPr>
          <w:rFonts w:ascii="宋体"/>
          <w:color w:val="000000"/>
          <w:kern w:val="0"/>
          <w:szCs w:val="21"/>
          <w:highlight w:val="none"/>
        </w:rPr>
      </w:pPr>
      <w:r>
        <w:rPr>
          <w:rFonts w:hint="eastAsia" w:ascii="宋体"/>
          <w:color w:val="000000"/>
          <w:kern w:val="0"/>
          <w:szCs w:val="21"/>
          <w:highlight w:val="none"/>
          <w:u w:val="single"/>
        </w:rPr>
        <w:t xml:space="preserve">                    </w:t>
      </w:r>
      <w:r>
        <w:rPr>
          <w:rFonts w:hint="eastAsia" w:ascii="宋体"/>
          <w:color w:val="000000"/>
          <w:kern w:val="0"/>
          <w:szCs w:val="21"/>
          <w:highlight w:val="none"/>
        </w:rPr>
        <w:t>（招标人名称）:</w:t>
      </w: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ind w:firstLine="735" w:firstLineChars="350"/>
        <w:jc w:val="left"/>
        <w:rPr>
          <w:rFonts w:ascii="宋体"/>
          <w:color w:val="000000"/>
          <w:kern w:val="0"/>
          <w:szCs w:val="21"/>
          <w:highlight w:val="none"/>
        </w:rPr>
      </w:pPr>
      <w:r>
        <w:rPr>
          <w:rFonts w:hint="eastAsia" w:ascii="宋体"/>
          <w:color w:val="000000"/>
          <w:kern w:val="0"/>
          <w:szCs w:val="21"/>
          <w:highlight w:val="none"/>
        </w:rPr>
        <w:t>我方拟投人</w:t>
      </w:r>
      <w:r>
        <w:rPr>
          <w:rFonts w:hint="eastAsia" w:ascii="宋体"/>
          <w:color w:val="000000"/>
          <w:kern w:val="0"/>
          <w:szCs w:val="21"/>
          <w:highlight w:val="none"/>
          <w:u w:val="single"/>
        </w:rPr>
        <w:t xml:space="preserve">              </w:t>
      </w:r>
      <w:r>
        <w:rPr>
          <w:rFonts w:hint="eastAsia" w:ascii="宋体"/>
          <w:color w:val="000000"/>
          <w:kern w:val="0"/>
          <w:szCs w:val="21"/>
          <w:highlight w:val="none"/>
        </w:rPr>
        <w:t>（项目名称）</w:t>
      </w:r>
      <w:r>
        <w:rPr>
          <w:rFonts w:hint="eastAsia" w:ascii="宋体"/>
          <w:color w:val="000000"/>
          <w:kern w:val="0"/>
          <w:szCs w:val="21"/>
          <w:highlight w:val="none"/>
          <w:u w:val="single"/>
        </w:rPr>
        <w:t xml:space="preserve">           </w:t>
      </w:r>
      <w:r>
        <w:rPr>
          <w:rFonts w:hint="eastAsia" w:ascii="宋体"/>
          <w:color w:val="000000"/>
          <w:kern w:val="0"/>
          <w:szCs w:val="21"/>
          <w:highlight w:val="none"/>
        </w:rPr>
        <w:t>（标段名称）的流动资金为</w:t>
      </w:r>
      <w:r>
        <w:rPr>
          <w:rFonts w:hint="eastAsia" w:ascii="宋体"/>
          <w:color w:val="000000"/>
          <w:kern w:val="0"/>
          <w:szCs w:val="21"/>
          <w:highlight w:val="none"/>
          <w:u w:val="single"/>
        </w:rPr>
        <w:t xml:space="preserve">        </w:t>
      </w:r>
      <w:r>
        <w:rPr>
          <w:rFonts w:hint="eastAsia" w:ascii="宋体"/>
          <w:color w:val="000000"/>
          <w:kern w:val="0"/>
          <w:szCs w:val="21"/>
          <w:highlight w:val="none"/>
        </w:rPr>
        <w:t>万元，资金来源于</w:t>
      </w:r>
      <w:r>
        <w:rPr>
          <w:rFonts w:hint="eastAsia" w:ascii="宋体"/>
          <w:color w:val="000000"/>
          <w:kern w:val="0"/>
          <w:szCs w:val="21"/>
          <w:highlight w:val="none"/>
          <w:u w:val="single"/>
        </w:rPr>
        <w:t xml:space="preserve">             </w:t>
      </w:r>
      <w:r>
        <w:rPr>
          <w:rFonts w:hint="eastAsia" w:ascii="宋体"/>
          <w:color w:val="000000"/>
          <w:kern w:val="0"/>
          <w:szCs w:val="21"/>
          <w:highlight w:val="none"/>
        </w:rPr>
        <w:t>，资金来源证明文件附后。</w:t>
      </w: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right"/>
        <w:rPr>
          <w:rFonts w:ascii="宋体"/>
          <w:color w:val="000000"/>
          <w:kern w:val="0"/>
          <w:szCs w:val="21"/>
          <w:highlight w:val="none"/>
        </w:rPr>
      </w:pPr>
      <w:r>
        <w:rPr>
          <w:rFonts w:hint="eastAsia" w:ascii="宋体"/>
          <w:color w:val="000000"/>
          <w:kern w:val="0"/>
          <w:szCs w:val="21"/>
          <w:highlight w:val="none"/>
        </w:rPr>
        <w:t>申 请 人：</w:t>
      </w:r>
      <w:r>
        <w:rPr>
          <w:rFonts w:hint="eastAsia" w:ascii="宋体"/>
          <w:color w:val="000000"/>
          <w:kern w:val="0"/>
          <w:szCs w:val="21"/>
          <w:highlight w:val="none"/>
          <w:u w:val="single"/>
        </w:rPr>
        <w:t xml:space="preserve">                        </w:t>
      </w:r>
      <w:r>
        <w:rPr>
          <w:rFonts w:hint="eastAsia" w:ascii="宋体"/>
          <w:color w:val="000000"/>
          <w:kern w:val="0"/>
          <w:szCs w:val="21"/>
          <w:highlight w:val="none"/>
        </w:rPr>
        <w:t>（盖单位章）</w:t>
      </w:r>
    </w:p>
    <w:p>
      <w:pPr>
        <w:pStyle w:val="120"/>
        <w:autoSpaceDE w:val="0"/>
        <w:autoSpaceDN w:val="0"/>
        <w:adjustRightInd w:val="0"/>
        <w:jc w:val="left"/>
        <w:rPr>
          <w:rFonts w:ascii="宋体"/>
          <w:color w:val="000000"/>
          <w:kern w:val="0"/>
          <w:szCs w:val="21"/>
          <w:highlight w:val="none"/>
        </w:rPr>
      </w:pPr>
      <w:r>
        <w:rPr>
          <w:rFonts w:hint="eastAsia" w:ascii="宋体"/>
          <w:color w:val="000000"/>
          <w:kern w:val="0"/>
          <w:szCs w:val="21"/>
          <w:highlight w:val="none"/>
        </w:rPr>
        <w:t xml:space="preserve">                                           </w:t>
      </w:r>
      <w:r>
        <w:rPr>
          <w:rFonts w:hint="eastAsia" w:ascii="宋体"/>
          <w:color w:val="000000"/>
          <w:kern w:val="0"/>
          <w:szCs w:val="21"/>
          <w:highlight w:val="none"/>
          <w:u w:val="single"/>
        </w:rPr>
        <w:t xml:space="preserve">          </w:t>
      </w:r>
      <w:r>
        <w:rPr>
          <w:rFonts w:hint="eastAsia" w:ascii="宋体"/>
          <w:color w:val="000000"/>
          <w:kern w:val="0"/>
          <w:szCs w:val="21"/>
          <w:highlight w:val="none"/>
        </w:rPr>
        <w:t>年</w:t>
      </w:r>
      <w:r>
        <w:rPr>
          <w:rFonts w:hint="eastAsia" w:ascii="宋体"/>
          <w:color w:val="000000"/>
          <w:kern w:val="0"/>
          <w:szCs w:val="21"/>
          <w:highlight w:val="none"/>
          <w:u w:val="single"/>
        </w:rPr>
        <w:t xml:space="preserve">         </w:t>
      </w:r>
      <w:r>
        <w:rPr>
          <w:rFonts w:hint="eastAsia" w:ascii="宋体"/>
          <w:color w:val="000000"/>
          <w:kern w:val="0"/>
          <w:szCs w:val="21"/>
          <w:highlight w:val="none"/>
        </w:rPr>
        <w:t>月</w:t>
      </w:r>
      <w:r>
        <w:rPr>
          <w:rFonts w:hint="eastAsia" w:ascii="宋体"/>
          <w:color w:val="000000"/>
          <w:kern w:val="0"/>
          <w:szCs w:val="21"/>
          <w:highlight w:val="none"/>
          <w:u w:val="single"/>
        </w:rPr>
        <w:t xml:space="preserve">          </w:t>
      </w:r>
      <w:r>
        <w:rPr>
          <w:rFonts w:hint="eastAsia" w:ascii="宋体"/>
          <w:color w:val="000000"/>
          <w:kern w:val="0"/>
          <w:szCs w:val="21"/>
          <w:highlight w:val="none"/>
        </w:rPr>
        <w:t>日</w:t>
      </w: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r>
        <w:rPr>
          <w:rFonts w:hint="eastAsia" w:ascii="宋体"/>
          <w:color w:val="000000"/>
          <w:kern w:val="0"/>
          <w:szCs w:val="21"/>
          <w:highlight w:val="none"/>
        </w:rPr>
        <w:t>注：相关材料复印件在本章“十、原件的复印件”中提供。资金来源填写银行存款、银行信贷或其它形式。</w:t>
      </w:r>
    </w:p>
    <w:p>
      <w:pPr>
        <w:pStyle w:val="111"/>
        <w:rPr>
          <w:highlight w:val="none"/>
        </w:rPr>
      </w:pPr>
      <w:r>
        <w:rPr>
          <w:highlight w:val="none"/>
        </w:rPr>
        <w:t xml:space="preserve">    备注：本表应附材料如下：</w:t>
      </w:r>
    </w:p>
    <w:p>
      <w:pPr>
        <w:pStyle w:val="90"/>
        <w:rPr>
          <w:highlight w:val="none"/>
        </w:rPr>
      </w:pPr>
      <w:r>
        <w:rPr>
          <w:highlight w:val="none"/>
        </w:rPr>
        <w:t>经会计师事务所或审计机构审计的财务会计报表。</w:t>
      </w:r>
    </w:p>
    <w:p>
      <w:pPr>
        <w:pStyle w:val="121"/>
        <w:outlineLvl w:val="2"/>
        <w:rPr>
          <w:highlight w:val="none"/>
        </w:rPr>
      </w:pPr>
      <w:r>
        <w:rPr>
          <w:highlight w:val="none"/>
        </w:rPr>
        <w:br w:type="page"/>
      </w:r>
      <w:bookmarkStart w:id="641" w:name="_Toc26169"/>
      <w:r>
        <w:rPr>
          <w:rFonts w:ascii="黑体" w:hAnsi="黑体" w:eastAsia="黑体" w:cs="黑体"/>
          <w:b/>
          <w:sz w:val="28"/>
          <w:highlight w:val="none"/>
        </w:rPr>
        <w:t>(三)近</w:t>
      </w:r>
      <w:r>
        <w:rPr>
          <w:rFonts w:hint="eastAsia" w:ascii="黑体" w:hAnsi="黑体" w:eastAsia="黑体" w:cs="黑体"/>
          <w:b/>
          <w:sz w:val="28"/>
          <w:highlight w:val="none"/>
        </w:rPr>
        <w:t>5</w:t>
      </w:r>
      <w:r>
        <w:rPr>
          <w:rFonts w:ascii="黑体" w:hAnsi="黑体" w:eastAsia="黑体" w:cs="黑体"/>
          <w:b/>
          <w:sz w:val="28"/>
          <w:highlight w:val="none"/>
        </w:rPr>
        <w:t>年完成的类似项目情况表</w:t>
      </w:r>
      <w:bookmarkEnd w:id="641"/>
    </w:p>
    <w:p>
      <w:pPr>
        <w:pStyle w:val="122"/>
        <w:topLinePunct/>
        <w:spacing w:line="440" w:lineRule="exact"/>
        <w:jc w:val="center"/>
        <w:rPr>
          <w:color w:val="000000"/>
          <w:szCs w:val="21"/>
          <w:highlight w:val="none"/>
        </w:rPr>
      </w:pPr>
      <w:r>
        <w:rPr>
          <w:rFonts w:hint="eastAsia"/>
          <w:color w:val="000000"/>
          <w:szCs w:val="21"/>
          <w:highlight w:val="none"/>
        </w:rPr>
        <w:t>（近3年指</w:t>
      </w:r>
      <w:r>
        <w:rPr>
          <w:color w:val="000000"/>
          <w:szCs w:val="21"/>
          <w:highlight w:val="none"/>
          <w:u w:val="single"/>
        </w:rPr>
        <w:t xml:space="preserve"> </w:t>
      </w:r>
      <w:r>
        <w:rPr>
          <w:rFonts w:hint="eastAsia"/>
          <w:color w:val="000000"/>
          <w:szCs w:val="21"/>
          <w:highlight w:val="none"/>
          <w:u w:val="single"/>
        </w:rPr>
        <w:t>2019</w:t>
      </w:r>
      <w:r>
        <w:rPr>
          <w:color w:val="000000"/>
          <w:szCs w:val="21"/>
          <w:highlight w:val="none"/>
          <w:u w:val="single"/>
        </w:rPr>
        <w:t xml:space="preserve"> </w:t>
      </w:r>
      <w:r>
        <w:rPr>
          <w:rFonts w:hint="eastAsia"/>
          <w:color w:val="000000"/>
          <w:szCs w:val="21"/>
          <w:highlight w:val="none"/>
        </w:rPr>
        <w:t>年</w:t>
      </w:r>
      <w:r>
        <w:rPr>
          <w:color w:val="000000"/>
          <w:szCs w:val="21"/>
          <w:highlight w:val="none"/>
          <w:u w:val="single"/>
        </w:rPr>
        <w:t xml:space="preserve">   </w:t>
      </w:r>
      <w:r>
        <w:rPr>
          <w:rFonts w:hint="eastAsia"/>
          <w:color w:val="000000"/>
          <w:szCs w:val="21"/>
          <w:highlight w:val="none"/>
          <w:u w:val="single"/>
        </w:rPr>
        <w:t>1</w:t>
      </w:r>
      <w:r>
        <w:rPr>
          <w:color w:val="000000"/>
          <w:szCs w:val="21"/>
          <w:highlight w:val="none"/>
          <w:u w:val="single"/>
        </w:rPr>
        <w:t xml:space="preserve">  </w:t>
      </w:r>
      <w:r>
        <w:rPr>
          <w:rFonts w:hint="eastAsia"/>
          <w:color w:val="000000"/>
          <w:szCs w:val="21"/>
          <w:highlight w:val="none"/>
        </w:rPr>
        <w:t>月至</w:t>
      </w:r>
      <w:r>
        <w:rPr>
          <w:rFonts w:hint="eastAsia"/>
          <w:color w:val="000000"/>
          <w:szCs w:val="21"/>
          <w:highlight w:val="none"/>
          <w:u w:val="single"/>
        </w:rPr>
        <w:t>今</w:t>
      </w:r>
      <w:r>
        <w:rPr>
          <w:rFonts w:hint="eastAsia"/>
          <w:color w:val="000000"/>
          <w:szCs w:val="21"/>
          <w:highlight w:val="none"/>
        </w:rPr>
        <w:t>）</w:t>
      </w:r>
    </w:p>
    <w:p>
      <w:pPr>
        <w:pStyle w:val="122"/>
        <w:topLinePunct/>
        <w:spacing w:line="440" w:lineRule="exact"/>
        <w:jc w:val="center"/>
        <w:rPr>
          <w:color w:val="000000"/>
          <w:szCs w:val="21"/>
          <w:highlight w:val="none"/>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7"/>
        <w:gridCol w:w="5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合同名称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合同项目所在地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发包人名称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发包人地址</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发包人电话</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签约合同价</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开工日期</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完工日期</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承担的工作</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工程质量</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项目经理</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技术负责人</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监理人和总监理工程师以及电话</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合同项目描述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备注</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合同项目描述内容至少包括项目概况、本合同在项目中的地位（部位、合同价格所占比例）和合同工程完工验收证</w:t>
            </w:r>
            <w:r>
              <w:rPr>
                <w:rFonts w:hint="eastAsia" w:ascii="Times New Roman" w:hAnsi="Times New Roman" w:cs="Arial"/>
                <w:highlight w:val="none"/>
              </w:rPr>
              <w:t>明或竣工验收报告为准</w:t>
            </w:r>
          </w:p>
        </w:tc>
      </w:tr>
    </w:tbl>
    <w:p>
      <w:pPr>
        <w:pStyle w:val="122"/>
        <w:spacing w:line="400" w:lineRule="exact"/>
        <w:rPr>
          <w:rFonts w:ascii="Times New Roman" w:hAnsi="Times New Roman"/>
          <w:color w:val="000000"/>
          <w:szCs w:val="24"/>
          <w:highlight w:val="none"/>
        </w:rPr>
      </w:pPr>
      <w:r>
        <w:rPr>
          <w:rFonts w:hint="eastAsia"/>
          <w:color w:val="000000"/>
          <w:highlight w:val="none"/>
        </w:rPr>
        <w:t>注：相关材料复印件在本章“十、原件的复印件”中提供。</w:t>
      </w:r>
    </w:p>
    <w:p>
      <w:pPr>
        <w:pStyle w:val="111"/>
        <w:rPr>
          <w:highlight w:val="none"/>
        </w:rPr>
      </w:pPr>
      <w:r>
        <w:rPr>
          <w:highlight w:val="none"/>
        </w:rPr>
        <w:t xml:space="preserve">    备注：本表应附材料如下：</w:t>
      </w:r>
    </w:p>
    <w:p>
      <w:pPr>
        <w:pStyle w:val="90"/>
        <w:rPr>
          <w:highlight w:val="none"/>
        </w:rPr>
      </w:pPr>
      <w:r>
        <w:rPr>
          <w:highlight w:val="none"/>
        </w:rPr>
        <w:t>业绩中标通知书、业绩合同协议书、</w:t>
      </w:r>
      <w:r>
        <w:rPr>
          <w:rFonts w:hint="eastAsia"/>
          <w:highlight w:val="none"/>
        </w:rPr>
        <w:t>工程完工验收证明或竣工验收报告为准</w:t>
      </w:r>
    </w:p>
    <w:p>
      <w:pPr>
        <w:pStyle w:val="123"/>
        <w:outlineLvl w:val="2"/>
        <w:rPr>
          <w:highlight w:val="none"/>
        </w:rPr>
      </w:pPr>
      <w:r>
        <w:rPr>
          <w:highlight w:val="none"/>
        </w:rPr>
        <w:br w:type="page"/>
      </w:r>
      <w:bookmarkStart w:id="642" w:name="_Toc32281"/>
      <w:r>
        <w:rPr>
          <w:rFonts w:ascii="黑体" w:hAnsi="黑体" w:eastAsia="黑体" w:cs="黑体"/>
          <w:b/>
          <w:sz w:val="28"/>
          <w:highlight w:val="none"/>
        </w:rPr>
        <w:t>(四)正在施工的和新承接的项目情况表</w:t>
      </w:r>
      <w:bookmarkEnd w:id="642"/>
    </w:p>
    <w:p>
      <w:pPr>
        <w:pStyle w:val="124"/>
        <w:spacing w:line="400" w:lineRule="exact"/>
        <w:rPr>
          <w:color w:val="000000"/>
          <w:szCs w:val="24"/>
          <w:highlight w:val="none"/>
        </w:rPr>
      </w:pPr>
    </w:p>
    <w:tbl>
      <w:tblPr>
        <w:tblStyle w:val="36"/>
        <w:tblW w:w="51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7"/>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合同名称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合同项目所在地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发包人名称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发包人地址</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发包人电话</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签约合同价</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开工日期</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计划</w:t>
            </w:r>
            <w:r>
              <w:rPr>
                <w:rFonts w:hint="eastAsia" w:ascii="宋体" w:hAnsi="宋体"/>
                <w:color w:val="000000"/>
                <w:sz w:val="24"/>
                <w:highlight w:val="none"/>
              </w:rPr>
              <w:t>完工</w:t>
            </w:r>
            <w:r>
              <w:rPr>
                <w:rFonts w:hint="eastAsia" w:ascii="宋体" w:hAnsi="宋体"/>
                <w:color w:val="000000"/>
                <w:sz w:val="24"/>
                <w:szCs w:val="21"/>
                <w:highlight w:val="none"/>
              </w:rPr>
              <w:t>日期</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承担的工作</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工程质量</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项目经理</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技术负责人</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监理人和总监理工程师以及电话</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合同项目描述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p>
            <w:pPr>
              <w:pStyle w:val="124"/>
              <w:topLinePunct/>
              <w:spacing w:before="100" w:beforeAutospacing="1" w:after="100" w:afterAutospacing="1" w:line="440" w:lineRule="exact"/>
              <w:jc w:val="center"/>
              <w:rPr>
                <w:rFonts w:ascii="宋体" w:hAnsi="宋体"/>
                <w:color w:val="000000"/>
                <w:sz w:val="24"/>
                <w:szCs w:val="21"/>
                <w:highlight w:val="none"/>
              </w:rPr>
            </w:pPr>
          </w:p>
          <w:p>
            <w:pPr>
              <w:pStyle w:val="124"/>
              <w:topLinePunct/>
              <w:spacing w:before="100" w:beforeAutospacing="1" w:after="100" w:afterAutospacing="1" w:line="440" w:lineRule="exact"/>
              <w:jc w:val="center"/>
              <w:rPr>
                <w:rFonts w:ascii="宋体" w:hAnsi="宋体"/>
                <w:color w:val="000000"/>
                <w:sz w:val="24"/>
                <w:szCs w:val="21"/>
                <w:highlight w:val="none"/>
              </w:rPr>
            </w:pPr>
          </w:p>
          <w:p>
            <w:pPr>
              <w:pStyle w:val="124"/>
              <w:topLinePunct/>
              <w:spacing w:before="100" w:beforeAutospacing="1" w:after="100" w:afterAutospacing="1" w:line="440" w:lineRule="exact"/>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备注</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合同项目描述内容至少包括项目概况、本合同在项目中的地位（部位、合同价格所占比例）</w:t>
            </w:r>
          </w:p>
        </w:tc>
      </w:tr>
    </w:tbl>
    <w:p>
      <w:pPr>
        <w:pStyle w:val="124"/>
        <w:spacing w:line="400" w:lineRule="exact"/>
        <w:rPr>
          <w:rFonts w:ascii="Times New Roman" w:hAnsi="Times New Roman"/>
          <w:color w:val="000000"/>
          <w:highlight w:val="none"/>
        </w:rPr>
      </w:pPr>
      <w:r>
        <w:rPr>
          <w:rFonts w:hint="eastAsia"/>
          <w:color w:val="000000"/>
          <w:highlight w:val="none"/>
        </w:rPr>
        <w:t>注：相关材料复印件在本章“十、原件的复印件”中提供。</w:t>
      </w:r>
    </w:p>
    <w:p>
      <w:pPr>
        <w:pStyle w:val="125"/>
        <w:outlineLvl w:val="2"/>
        <w:rPr>
          <w:highlight w:val="none"/>
        </w:rPr>
      </w:pPr>
      <w:r>
        <w:rPr>
          <w:highlight w:val="none"/>
        </w:rPr>
        <w:br w:type="page"/>
      </w:r>
      <w:bookmarkStart w:id="643" w:name="_Toc4678"/>
      <w:r>
        <w:rPr>
          <w:rFonts w:ascii="黑体" w:hAnsi="黑体" w:eastAsia="黑体" w:cs="黑体"/>
          <w:b/>
          <w:sz w:val="28"/>
          <w:highlight w:val="none"/>
        </w:rPr>
        <w:t>(五)近3年发生的诉讼及仲裁情况</w:t>
      </w:r>
      <w:bookmarkEnd w:id="643"/>
    </w:p>
    <w:p>
      <w:pPr>
        <w:pStyle w:val="126"/>
        <w:spacing w:line="400" w:lineRule="exact"/>
        <w:jc w:val="center"/>
        <w:rPr>
          <w:color w:val="000000"/>
          <w:szCs w:val="24"/>
          <w:highlight w:val="none"/>
          <w:u w:val="single"/>
        </w:rPr>
      </w:pPr>
      <w:r>
        <w:rPr>
          <w:rFonts w:hint="eastAsia"/>
          <w:color w:val="000000"/>
          <w:highlight w:val="none"/>
        </w:rPr>
        <w:t>（近</w:t>
      </w:r>
      <w:r>
        <w:rPr>
          <w:color w:val="000000"/>
          <w:highlight w:val="none"/>
        </w:rPr>
        <w:t>3</w:t>
      </w:r>
      <w:r>
        <w:rPr>
          <w:rFonts w:hint="eastAsia"/>
          <w:color w:val="000000"/>
          <w:highlight w:val="none"/>
        </w:rPr>
        <w:t>年指</w:t>
      </w:r>
      <w:r>
        <w:rPr>
          <w:color w:val="000000"/>
          <w:highlight w:val="none"/>
          <w:u w:val="single"/>
        </w:rPr>
        <w:t xml:space="preserve"> </w:t>
      </w:r>
      <w:r>
        <w:rPr>
          <w:rFonts w:hint="eastAsia"/>
          <w:color w:val="000000"/>
          <w:highlight w:val="none"/>
          <w:u w:val="single"/>
        </w:rPr>
        <w:t>2021</w:t>
      </w:r>
      <w:r>
        <w:rPr>
          <w:color w:val="000000"/>
          <w:highlight w:val="none"/>
          <w:u w:val="single"/>
        </w:rPr>
        <w:t xml:space="preserve">   </w:t>
      </w:r>
      <w:r>
        <w:rPr>
          <w:rFonts w:hint="eastAsia"/>
          <w:color w:val="000000"/>
          <w:highlight w:val="none"/>
        </w:rPr>
        <w:t>年</w:t>
      </w:r>
      <w:r>
        <w:rPr>
          <w:color w:val="000000"/>
          <w:highlight w:val="none"/>
          <w:u w:val="single"/>
        </w:rPr>
        <w:t xml:space="preserve"> </w:t>
      </w:r>
      <w:r>
        <w:rPr>
          <w:rFonts w:hint="eastAsia"/>
          <w:color w:val="000000"/>
          <w:highlight w:val="none"/>
          <w:u w:val="single"/>
        </w:rPr>
        <w:t>1</w:t>
      </w:r>
      <w:r>
        <w:rPr>
          <w:color w:val="000000"/>
          <w:highlight w:val="none"/>
          <w:u w:val="single"/>
        </w:rPr>
        <w:t xml:space="preserve">   </w:t>
      </w:r>
      <w:r>
        <w:rPr>
          <w:rFonts w:hint="eastAsia"/>
          <w:color w:val="000000"/>
          <w:highlight w:val="none"/>
        </w:rPr>
        <w:t>月至今）</w:t>
      </w:r>
    </w:p>
    <w:p>
      <w:pPr>
        <w:pStyle w:val="126"/>
        <w:spacing w:line="400" w:lineRule="exact"/>
        <w:rPr>
          <w:color w:val="000000"/>
          <w:highlight w:val="none"/>
        </w:rPr>
      </w:pPr>
    </w:p>
    <w:tbl>
      <w:tblPr>
        <w:tblStyle w:val="36"/>
        <w:tblW w:w="8116"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866"/>
        <w:gridCol w:w="2277"/>
        <w:gridCol w:w="1133"/>
        <w:gridCol w:w="1012"/>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序号</w:t>
            </w: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诉讼及仲裁内容</w:t>
            </w: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诉讼及仲裁中的地位</w:t>
            </w: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缘由</w:t>
            </w: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结果</w:t>
            </w: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一</w:t>
            </w: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诉讼事项</w:t>
            </w: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二</w:t>
            </w: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仲裁事项</w:t>
            </w: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bl>
    <w:p>
      <w:pPr>
        <w:pStyle w:val="126"/>
        <w:rPr>
          <w:rFonts w:ascii="Arial" w:hAnsi="Arial" w:eastAsia="黑体"/>
          <w:color w:val="000000"/>
          <w:szCs w:val="21"/>
          <w:highlight w:val="none"/>
        </w:rPr>
      </w:pPr>
    </w:p>
    <w:p>
      <w:pPr>
        <w:pStyle w:val="126"/>
        <w:spacing w:line="400" w:lineRule="exact"/>
        <w:rPr>
          <w:rFonts w:ascii="Times New Roman" w:hAnsi="Times New Roman"/>
          <w:color w:val="000000"/>
          <w:szCs w:val="24"/>
          <w:highlight w:val="none"/>
        </w:rPr>
      </w:pPr>
      <w:r>
        <w:rPr>
          <w:rFonts w:hint="eastAsia"/>
          <w:color w:val="000000"/>
          <w:highlight w:val="none"/>
        </w:rPr>
        <w:t>注：相关材料复印件在本章“十、原件的复印件”中提供。</w:t>
      </w:r>
    </w:p>
    <w:p>
      <w:pPr>
        <w:pStyle w:val="127"/>
        <w:outlineLvl w:val="2"/>
        <w:rPr>
          <w:highlight w:val="none"/>
        </w:rPr>
      </w:pPr>
      <w:r>
        <w:rPr>
          <w:highlight w:val="none"/>
        </w:rPr>
        <w:br w:type="page"/>
      </w:r>
      <w:bookmarkStart w:id="644" w:name="_Toc27972"/>
      <w:r>
        <w:rPr>
          <w:rFonts w:ascii="黑体" w:hAnsi="黑体" w:eastAsia="黑体" w:cs="黑体"/>
          <w:b/>
          <w:sz w:val="28"/>
          <w:highlight w:val="none"/>
        </w:rPr>
        <w:t>(六)资格审查自审表</w:t>
      </w:r>
      <w:bookmarkEnd w:id="644"/>
    </w:p>
    <w:p>
      <w:pPr>
        <w:pStyle w:val="128"/>
        <w:outlineLvl w:val="2"/>
        <w:rPr>
          <w:rFonts w:eastAsia="宋体" w:cs="Times New Roman"/>
          <w:color w:val="000000"/>
          <w:sz w:val="21"/>
          <w:szCs w:val="24"/>
          <w:highlight w:val="none"/>
        </w:rPr>
      </w:pPr>
      <w:bookmarkStart w:id="645" w:name="_Toc21735"/>
      <w:r>
        <w:rPr>
          <w:rFonts w:hint="eastAsia"/>
          <w:color w:val="000000"/>
          <w:sz w:val="24"/>
          <w:szCs w:val="24"/>
          <w:highlight w:val="none"/>
        </w:rPr>
        <w:t>（六）、资格审查自审表</w:t>
      </w:r>
      <w:bookmarkEnd w:id="645"/>
    </w:p>
    <w:p>
      <w:pPr>
        <w:pStyle w:val="130"/>
        <w:spacing w:line="400" w:lineRule="exact"/>
        <w:rPr>
          <w:b/>
          <w:color w:val="000000"/>
          <w:highlight w:val="none"/>
        </w:rPr>
      </w:pPr>
    </w:p>
    <w:tbl>
      <w:tblPr>
        <w:tblStyle w:val="36"/>
        <w:tblW w:w="895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4140"/>
        <w:gridCol w:w="1260"/>
        <w:gridCol w:w="1080"/>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720" w:type="dxa"/>
            <w:vAlign w:val="center"/>
          </w:tcPr>
          <w:p>
            <w:pPr>
              <w:pStyle w:val="130"/>
              <w:topLinePunct/>
              <w:spacing w:line="440" w:lineRule="exact"/>
              <w:jc w:val="center"/>
              <w:rPr>
                <w:color w:val="000000"/>
                <w:szCs w:val="21"/>
                <w:highlight w:val="none"/>
              </w:rPr>
            </w:pPr>
            <w:r>
              <w:rPr>
                <w:rFonts w:hint="eastAsia"/>
                <w:color w:val="000000"/>
                <w:szCs w:val="21"/>
                <w:highlight w:val="none"/>
              </w:rPr>
              <w:t>序号</w:t>
            </w:r>
          </w:p>
        </w:tc>
        <w:tc>
          <w:tcPr>
            <w:tcW w:w="4140" w:type="dxa"/>
            <w:vAlign w:val="center"/>
          </w:tcPr>
          <w:p>
            <w:pPr>
              <w:pStyle w:val="130"/>
              <w:topLinePunct/>
              <w:spacing w:line="440" w:lineRule="exact"/>
              <w:jc w:val="center"/>
              <w:rPr>
                <w:color w:val="000000"/>
                <w:szCs w:val="21"/>
                <w:highlight w:val="none"/>
              </w:rPr>
            </w:pPr>
            <w:r>
              <w:rPr>
                <w:rFonts w:hint="eastAsia"/>
                <w:color w:val="000000"/>
                <w:szCs w:val="21"/>
                <w:highlight w:val="none"/>
              </w:rPr>
              <w:t>审查因素</w:t>
            </w:r>
          </w:p>
        </w:tc>
        <w:tc>
          <w:tcPr>
            <w:tcW w:w="1260" w:type="dxa"/>
            <w:vAlign w:val="center"/>
          </w:tcPr>
          <w:p>
            <w:pPr>
              <w:pStyle w:val="130"/>
              <w:topLinePunct/>
              <w:spacing w:line="440" w:lineRule="exact"/>
              <w:jc w:val="center"/>
              <w:rPr>
                <w:color w:val="000000"/>
                <w:szCs w:val="21"/>
                <w:highlight w:val="none"/>
              </w:rPr>
            </w:pPr>
            <w:r>
              <w:rPr>
                <w:rFonts w:hint="eastAsia"/>
                <w:color w:val="000000"/>
                <w:szCs w:val="21"/>
                <w:highlight w:val="none"/>
              </w:rPr>
              <w:t>审查标准</w:t>
            </w:r>
          </w:p>
        </w:tc>
        <w:tc>
          <w:tcPr>
            <w:tcW w:w="1080" w:type="dxa"/>
            <w:vAlign w:val="center"/>
          </w:tcPr>
          <w:p>
            <w:pPr>
              <w:pStyle w:val="130"/>
              <w:topLinePunct/>
              <w:spacing w:line="440" w:lineRule="exact"/>
              <w:jc w:val="center"/>
              <w:rPr>
                <w:color w:val="000000"/>
                <w:szCs w:val="21"/>
                <w:highlight w:val="none"/>
              </w:rPr>
            </w:pPr>
            <w:r>
              <w:rPr>
                <w:rFonts w:hint="eastAsia"/>
                <w:color w:val="000000"/>
                <w:szCs w:val="21"/>
                <w:highlight w:val="none"/>
              </w:rPr>
              <w:t>审查结果</w:t>
            </w:r>
          </w:p>
        </w:tc>
        <w:tc>
          <w:tcPr>
            <w:tcW w:w="1758" w:type="dxa"/>
            <w:vAlign w:val="center"/>
          </w:tcPr>
          <w:p>
            <w:pPr>
              <w:pStyle w:val="130"/>
              <w:topLinePunct/>
              <w:spacing w:line="440" w:lineRule="exact"/>
              <w:jc w:val="center"/>
              <w:rPr>
                <w:color w:val="000000"/>
                <w:szCs w:val="21"/>
                <w:highlight w:val="none"/>
              </w:rPr>
            </w:pPr>
            <w:r>
              <w:rPr>
                <w:rFonts w:hint="eastAsia"/>
                <w:color w:val="000000"/>
                <w:szCs w:val="21"/>
                <w:highlight w:val="none"/>
              </w:rPr>
              <w:t>引用的证明</w:t>
            </w:r>
          </w:p>
          <w:p>
            <w:pPr>
              <w:pStyle w:val="130"/>
              <w:topLinePunct/>
              <w:spacing w:line="440" w:lineRule="exact"/>
              <w:jc w:val="center"/>
              <w:rPr>
                <w:color w:val="000000"/>
                <w:szCs w:val="21"/>
                <w:highlight w:val="none"/>
              </w:rPr>
            </w:pPr>
            <w:r>
              <w:rPr>
                <w:rFonts w:hint="eastAsia"/>
                <w:color w:val="000000"/>
                <w:szCs w:val="21"/>
                <w:highlight w:val="none"/>
              </w:rPr>
              <w:t>材料对应页码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营业执照</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安全生产许可证</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资质证书及等级</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财务状况</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类似项目业绩</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信誉</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项目经理资格</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联合体协议书</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企业主要负责人安全生产考核合格证书</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技术负责人资格</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委托代理人、安全管理人员（专职安全生产管理人员）、质量管理人员、财务负责人</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color w:val="000000"/>
                <w:szCs w:val="21"/>
                <w:highlight w:val="none"/>
              </w:rPr>
              <w:t>……</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bl>
    <w:p>
      <w:pPr>
        <w:pStyle w:val="130"/>
        <w:rPr>
          <w:color w:val="000000"/>
          <w:highlight w:val="none"/>
        </w:rPr>
      </w:pPr>
    </w:p>
    <w:p>
      <w:pPr>
        <w:pStyle w:val="132"/>
        <w:outlineLvl w:val="1"/>
        <w:rPr>
          <w:highlight w:val="none"/>
        </w:rPr>
      </w:pPr>
      <w:r>
        <w:rPr>
          <w:highlight w:val="none"/>
        </w:rPr>
        <w:br w:type="page"/>
      </w:r>
      <w:bookmarkStart w:id="646" w:name="_Toc13974"/>
      <w:r>
        <w:rPr>
          <w:rFonts w:ascii="黑体" w:hAnsi="黑体" w:eastAsia="黑体" w:cs="黑体"/>
          <w:b/>
          <w:sz w:val="32"/>
          <w:highlight w:val="none"/>
        </w:rPr>
        <w:t>九、原件的复印件</w:t>
      </w:r>
      <w:bookmarkEnd w:id="646"/>
    </w:p>
    <w:p>
      <w:pPr>
        <w:pStyle w:val="133"/>
        <w:jc w:val="center"/>
        <w:rPr>
          <w:rFonts w:ascii="黑体" w:hAnsi="黑体" w:eastAsia="黑体"/>
          <w:b/>
          <w:sz w:val="30"/>
          <w:szCs w:val="30"/>
          <w:highlight w:val="none"/>
        </w:rPr>
      </w:pPr>
      <w:r>
        <w:rPr>
          <w:rFonts w:hint="eastAsia" w:ascii="黑体" w:hAnsi="黑体" w:eastAsia="黑体"/>
          <w:b/>
          <w:sz w:val="30"/>
          <w:szCs w:val="30"/>
          <w:highlight w:val="none"/>
        </w:rPr>
        <w:t>原件的复印件</w:t>
      </w:r>
    </w:p>
    <w:p>
      <w:pPr>
        <w:pStyle w:val="133"/>
        <w:rPr>
          <w:color w:val="000000"/>
          <w:szCs w:val="24"/>
          <w:highlight w:val="none"/>
        </w:rPr>
      </w:pPr>
    </w:p>
    <w:tbl>
      <w:tblPr>
        <w:tblStyle w:val="3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5397"/>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序号</w:t>
            </w: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名称</w:t>
            </w: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bl>
    <w:p>
      <w:pPr>
        <w:pStyle w:val="134"/>
        <w:outlineLvl w:val="1"/>
        <w:rPr>
          <w:highlight w:val="none"/>
        </w:rPr>
      </w:pPr>
      <w:r>
        <w:rPr>
          <w:highlight w:val="none"/>
        </w:rPr>
        <w:br w:type="page"/>
      </w:r>
      <w:bookmarkStart w:id="647" w:name="_Toc118"/>
      <w:r>
        <w:rPr>
          <w:rFonts w:ascii="黑体" w:hAnsi="黑体" w:eastAsia="黑体" w:cs="黑体"/>
          <w:b/>
          <w:sz w:val="32"/>
          <w:highlight w:val="none"/>
        </w:rPr>
        <w:t>十、投标人告知承诺书</w:t>
      </w:r>
      <w:bookmarkEnd w:id="647"/>
    </w:p>
    <w:p>
      <w:pPr>
        <w:spacing w:line="580" w:lineRule="exact"/>
        <w:rPr>
          <w:rFonts w:ascii="仿宋_GB2312" w:eastAsia="仿宋_GB2312"/>
          <w:sz w:val="24"/>
          <w:szCs w:val="24"/>
          <w:highlight w:val="none"/>
          <w:u w:val="single"/>
        </w:rPr>
      </w:pPr>
      <w:r>
        <w:rPr>
          <w:rFonts w:hint="eastAsia" w:ascii="仿宋_GB2312" w:eastAsia="仿宋_GB2312"/>
          <w:sz w:val="24"/>
          <w:szCs w:val="24"/>
          <w:highlight w:val="none"/>
          <w:u w:val="single"/>
        </w:rPr>
        <w:t>招标人名称、行政监管部门：</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我单位参与</w:t>
      </w:r>
      <w:r>
        <w:rPr>
          <w:rFonts w:hint="eastAsia" w:ascii="仿宋_GB2312" w:eastAsia="仿宋_GB2312"/>
          <w:sz w:val="24"/>
          <w:szCs w:val="24"/>
          <w:highlight w:val="none"/>
          <w:u w:val="single"/>
        </w:rPr>
        <w:t xml:space="preserve">  （招标项目名称）   </w:t>
      </w:r>
      <w:r>
        <w:rPr>
          <w:rFonts w:hint="eastAsia" w:ascii="仿宋_GB2312" w:eastAsia="仿宋_GB2312"/>
          <w:sz w:val="24"/>
          <w:szCs w:val="24"/>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一、我单位和我本人遵循公开、公平、公正、诚实守信的原则，依法依规参与本项目投标。</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二、我单位具有参与本次投标的资质和能力，公司运营状况良好，不存在挂靠投标、不“受让、租借、出租、出借”资格或资质证书，无处罚期内的不良行为等。</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三、我单位在本项目投标过程中从招标公告/投标邀请书列明的渠道获取招标文件，没有通过其他不正当渠道获取招标文件。</w:t>
      </w:r>
    </w:p>
    <w:p>
      <w:pPr>
        <w:spacing w:line="580" w:lineRule="exact"/>
        <w:rPr>
          <w:rFonts w:ascii="仿宋_GB2312" w:eastAsia="仿宋_GB2312"/>
          <w:sz w:val="24"/>
          <w:szCs w:val="24"/>
          <w:highlight w:val="none"/>
        </w:rPr>
      </w:pPr>
      <w:r>
        <w:rPr>
          <w:rFonts w:hint="eastAsia" w:ascii="仿宋_GB2312" w:eastAsia="仿宋_GB2312"/>
          <w:sz w:val="24"/>
          <w:szCs w:val="24"/>
          <w:highlight w:val="none"/>
        </w:rPr>
        <w:t xml:space="preserve">    四、我单位承诺投标文件由本单位员工独立编制，严格遵守保密义务。所提供的一切投标相关材料都是真实、有效、合法的。</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五、我单位不与其他投标人相互串通投标报价，不恶意压低或抬高投标报价，不排挤其他投标人的公平竞争，不损害招标人或其他投标人的合法权益。</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六、我单位不与招标人或招标代理机构串通投标，损害国家利益、社会公共利益或者他人的合法权益;</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七、我单位不向招标人或者评标委员会成员行贿以牟取中标，不在开标后进行虚假恶意投诉。</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八、我单位和我个人清楚并知晓《中华人民共和国刑法》第二百二十三条“投标人相互串通投标报价，损害招标人或者其他投标人利益，情节严重的，处三年以下有期徒刑或者拘役，并 处或者单处罚金。投标人与招标人串通投标，损害国家、集体、公民的合法利益的，依照前款的规定处罚”的规定。</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九、我单位如在本项目招标投标活动评标工作中存在串通投标、弄虚作假等行为的，本单位及本人自愿承担法律责任，接受相应刑事、纪律和行政处罚以及失信惩戒。</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十、本承诺函由我单位盖章及法定代表（授权委托人）人本人亲自签字确认。</w:t>
      </w:r>
    </w:p>
    <w:p>
      <w:pPr>
        <w:spacing w:line="580" w:lineRule="exact"/>
        <w:ind w:firstLine="480" w:firstLineChars="200"/>
        <w:rPr>
          <w:rFonts w:ascii="仿宋_GB2312" w:eastAsia="仿宋_GB2312"/>
          <w:sz w:val="24"/>
          <w:szCs w:val="24"/>
          <w:highlight w:val="none"/>
          <w:shd w:val="clear" w:color="auto" w:fill="FFFFFF"/>
        </w:rPr>
      </w:pPr>
    </w:p>
    <w:p>
      <w:pPr>
        <w:spacing w:line="580" w:lineRule="exact"/>
        <w:ind w:firstLine="480" w:firstLineChars="200"/>
        <w:rPr>
          <w:rFonts w:ascii="仿宋_GB2312" w:eastAsia="仿宋_GB2312"/>
          <w:sz w:val="24"/>
          <w:szCs w:val="24"/>
          <w:highlight w:val="none"/>
          <w:shd w:val="clear" w:color="auto" w:fill="FFFFFF"/>
        </w:rPr>
      </w:pPr>
    </w:p>
    <w:p>
      <w:pPr>
        <w:spacing w:line="580" w:lineRule="exact"/>
        <w:ind w:firstLine="360" w:firstLineChars="150"/>
        <w:rPr>
          <w:rFonts w:ascii="仿宋_GB2312" w:eastAsia="仿宋_GB2312"/>
          <w:sz w:val="24"/>
          <w:szCs w:val="24"/>
          <w:highlight w:val="none"/>
        </w:rPr>
      </w:pPr>
      <w:r>
        <w:rPr>
          <w:rFonts w:hint="eastAsia" w:ascii="仿宋_GB2312" w:eastAsia="仿宋_GB2312"/>
          <w:sz w:val="24"/>
          <w:szCs w:val="24"/>
          <w:highlight w:val="none"/>
        </w:rPr>
        <w:t xml:space="preserve">承诺单位：   </w:t>
      </w:r>
      <w:r>
        <w:rPr>
          <w:rFonts w:ascii="仿宋_GB2312" w:eastAsia="仿宋_GB2312"/>
          <w:sz w:val="24"/>
          <w:szCs w:val="24"/>
          <w:highlight w:val="none"/>
        </w:rPr>
        <w:t xml:space="preserve">  </w:t>
      </w:r>
      <w:r>
        <w:rPr>
          <w:rFonts w:hint="eastAsia" w:ascii="仿宋_GB2312" w:eastAsia="仿宋_GB2312"/>
          <w:sz w:val="24"/>
          <w:szCs w:val="24"/>
          <w:highlight w:val="none"/>
        </w:rPr>
        <w:t>（盖单位公章）</w:t>
      </w:r>
    </w:p>
    <w:p>
      <w:pPr>
        <w:spacing w:line="580" w:lineRule="exact"/>
        <w:rPr>
          <w:rFonts w:ascii="仿宋_GB2312" w:eastAsia="仿宋_GB2312"/>
          <w:sz w:val="24"/>
          <w:szCs w:val="24"/>
          <w:highlight w:val="none"/>
        </w:rPr>
      </w:pPr>
    </w:p>
    <w:p>
      <w:pPr>
        <w:spacing w:line="580" w:lineRule="exact"/>
        <w:ind w:firstLine="360" w:firstLineChars="150"/>
        <w:rPr>
          <w:rFonts w:ascii="仿宋_GB2312" w:eastAsia="仿宋_GB2312"/>
          <w:sz w:val="24"/>
          <w:szCs w:val="24"/>
          <w:highlight w:val="none"/>
        </w:rPr>
      </w:pPr>
      <w:r>
        <w:rPr>
          <w:rFonts w:hint="eastAsia" w:ascii="仿宋_GB2312" w:eastAsia="仿宋_GB2312"/>
          <w:sz w:val="24"/>
          <w:szCs w:val="24"/>
          <w:highlight w:val="none"/>
        </w:rPr>
        <w:t xml:space="preserve">法定代表人（授权委托人）：     </w:t>
      </w:r>
      <w:r>
        <w:rPr>
          <w:rFonts w:ascii="仿宋_GB2312" w:eastAsia="仿宋_GB2312"/>
          <w:sz w:val="24"/>
          <w:szCs w:val="24"/>
          <w:highlight w:val="none"/>
        </w:rPr>
        <w:t xml:space="preserve">   </w:t>
      </w:r>
      <w:r>
        <w:rPr>
          <w:rFonts w:hint="eastAsia" w:ascii="仿宋_GB2312" w:eastAsia="仿宋_GB2312"/>
          <w:sz w:val="24"/>
          <w:szCs w:val="24"/>
          <w:highlight w:val="none"/>
        </w:rPr>
        <w:t>（签字）</w:t>
      </w:r>
    </w:p>
    <w:p>
      <w:pPr>
        <w:spacing w:line="580" w:lineRule="exact"/>
        <w:rPr>
          <w:rFonts w:ascii="仿宋_GB2312" w:eastAsia="仿宋_GB2312"/>
          <w:sz w:val="24"/>
          <w:szCs w:val="24"/>
          <w:highlight w:val="none"/>
        </w:rPr>
      </w:pPr>
    </w:p>
    <w:p>
      <w:pPr>
        <w:spacing w:line="580" w:lineRule="exact"/>
        <w:rPr>
          <w:rFonts w:ascii="仿宋_GB2312" w:eastAsia="仿宋_GB2312"/>
          <w:sz w:val="24"/>
          <w:szCs w:val="24"/>
          <w:highlight w:val="none"/>
        </w:rPr>
      </w:pPr>
    </w:p>
    <w:p>
      <w:pPr>
        <w:spacing w:line="580" w:lineRule="exact"/>
        <w:ind w:right="640"/>
        <w:jc w:val="right"/>
        <w:rPr>
          <w:rFonts w:ascii="仿宋_GB2312" w:eastAsia="仿宋_GB2312"/>
          <w:sz w:val="24"/>
          <w:szCs w:val="24"/>
          <w:highlight w:val="none"/>
        </w:rPr>
      </w:pPr>
      <w:r>
        <w:rPr>
          <w:rFonts w:hint="eastAsia" w:ascii="仿宋_GB2312" w:eastAsia="仿宋_GB2312"/>
          <w:sz w:val="24"/>
          <w:szCs w:val="24"/>
          <w:highlight w:val="none"/>
        </w:rPr>
        <w:t xml:space="preserve">承诺时间： </w:t>
      </w:r>
      <w:r>
        <w:rPr>
          <w:rFonts w:ascii="仿宋_GB2312" w:eastAsia="仿宋_GB2312"/>
          <w:sz w:val="24"/>
          <w:szCs w:val="24"/>
          <w:highlight w:val="none"/>
        </w:rPr>
        <w:t xml:space="preserve">   </w:t>
      </w:r>
      <w:r>
        <w:rPr>
          <w:rFonts w:hint="eastAsia" w:ascii="仿宋_GB2312" w:eastAsia="仿宋_GB2312"/>
          <w:sz w:val="24"/>
          <w:szCs w:val="24"/>
          <w:highlight w:val="none"/>
        </w:rPr>
        <w:t xml:space="preserve">年  </w:t>
      </w:r>
      <w:r>
        <w:rPr>
          <w:rFonts w:ascii="仿宋_GB2312" w:eastAsia="仿宋_GB2312"/>
          <w:sz w:val="24"/>
          <w:szCs w:val="24"/>
          <w:highlight w:val="none"/>
        </w:rPr>
        <w:t xml:space="preserve">  </w:t>
      </w:r>
      <w:r>
        <w:rPr>
          <w:rFonts w:hint="eastAsia" w:ascii="仿宋_GB2312" w:eastAsia="仿宋_GB2312"/>
          <w:sz w:val="24"/>
          <w:szCs w:val="24"/>
          <w:highlight w:val="none"/>
        </w:rPr>
        <w:t>月  日</w:t>
      </w:r>
    </w:p>
    <w:p>
      <w:pPr>
        <w:pStyle w:val="135"/>
        <w:spacing w:line="560" w:lineRule="exact"/>
        <w:rPr>
          <w:rFonts w:eastAsia="仿宋_GB2312"/>
          <w:sz w:val="24"/>
          <w:szCs w:val="24"/>
          <w:highlight w:val="none"/>
        </w:rPr>
      </w:pPr>
    </w:p>
    <w:p>
      <w:pPr>
        <w:pStyle w:val="135"/>
        <w:spacing w:line="560" w:lineRule="exact"/>
        <w:rPr>
          <w:rFonts w:eastAsia="仿宋_GB2312"/>
          <w:sz w:val="24"/>
          <w:szCs w:val="24"/>
          <w:highlight w:val="none"/>
        </w:rPr>
      </w:pPr>
    </w:p>
    <w:p>
      <w:pPr>
        <w:pStyle w:val="135"/>
        <w:spacing w:line="480" w:lineRule="auto"/>
        <w:rPr>
          <w:rFonts w:ascii="宋体" w:hAnsi="宋体" w:cs="宋体"/>
          <w:szCs w:val="24"/>
          <w:highlight w:val="none"/>
        </w:rPr>
      </w:pPr>
    </w:p>
    <w:p>
      <w:pPr>
        <w:pStyle w:val="136"/>
        <w:outlineLvl w:val="1"/>
        <w:rPr>
          <w:highlight w:val="none"/>
        </w:rPr>
      </w:pPr>
      <w:r>
        <w:rPr>
          <w:highlight w:val="none"/>
        </w:rPr>
        <w:br w:type="page"/>
      </w:r>
    </w:p>
    <w:p>
      <w:pPr>
        <w:pStyle w:val="137"/>
        <w:outlineLvl w:val="2"/>
        <w:rPr>
          <w:highlight w:val="none"/>
        </w:rPr>
      </w:pPr>
    </w:p>
    <w:p>
      <w:pPr>
        <w:pStyle w:val="48"/>
        <w:jc w:val="center"/>
        <w:rPr>
          <w:rFonts w:ascii="黑体" w:hAnsi="黑体" w:cs="黑体"/>
          <w:b/>
          <w:sz w:val="32"/>
          <w:szCs w:val="24"/>
          <w:highlight w:val="none"/>
        </w:rPr>
      </w:pPr>
      <w:r>
        <w:rPr>
          <w:rFonts w:hint="eastAsia"/>
          <w:color w:val="000080"/>
          <w:sz w:val="20"/>
          <w:highlight w:val="none"/>
        </w:rPr>
        <w:t xml:space="preserve"> </w:t>
      </w:r>
      <w:bookmarkEnd w:id="619"/>
      <w:bookmarkStart w:id="648" w:name="_Toc27648"/>
      <w:r>
        <w:rPr>
          <w:rFonts w:hint="eastAsia" w:ascii="黑体" w:hAnsi="黑体" w:cs="黑体"/>
          <w:b/>
          <w:sz w:val="32"/>
          <w:szCs w:val="24"/>
          <w:highlight w:val="none"/>
        </w:rPr>
        <w:t>十一、项目经理无在建项目承诺书</w:t>
      </w:r>
      <w:bookmarkEnd w:id="648"/>
    </w:p>
    <w:p>
      <w:pPr>
        <w:pStyle w:val="33"/>
        <w:spacing w:before="330" w:beforeAutospacing="0" w:after="0" w:afterAutospacing="0"/>
        <w:rPr>
          <w:rFonts w:ascii="宋体" w:hAnsi="宋体" w:cs="宋体"/>
          <w:sz w:val="21"/>
          <w:szCs w:val="21"/>
          <w:highlight w:val="none"/>
          <w:shd w:val="clear" w:color="auto" w:fill="FFFFFF"/>
        </w:rPr>
      </w:pPr>
      <w:r>
        <w:rPr>
          <w:rFonts w:hint="eastAsia" w:ascii="宋体" w:hAnsi="宋体" w:cs="宋体"/>
          <w:sz w:val="21"/>
          <w:szCs w:val="21"/>
          <w:highlight w:val="none"/>
          <w:shd w:val="clear" w:color="auto" w:fill="FFFFFF"/>
        </w:rPr>
        <w:t xml:space="preserve"> </w:t>
      </w:r>
    </w:p>
    <w:p>
      <w:pPr>
        <w:pStyle w:val="33"/>
        <w:spacing w:before="330" w:beforeAutospacing="0" w:after="0" w:afterAutospacing="0"/>
        <w:rPr>
          <w:rFonts w:ascii="宋体" w:hAnsi="宋体" w:cs="宋体"/>
          <w:sz w:val="21"/>
          <w:szCs w:val="21"/>
          <w:highlight w:val="none"/>
          <w:shd w:val="clear" w:color="auto" w:fill="FFFFFF"/>
        </w:rPr>
      </w:pPr>
    </w:p>
    <w:p>
      <w:pPr>
        <w:pStyle w:val="33"/>
        <w:spacing w:before="330" w:beforeAutospacing="0" w:after="0" w:afterAutospacing="0"/>
        <w:rPr>
          <w:rFonts w:ascii="宋体" w:hAnsi="宋体" w:cs="宋体"/>
          <w:sz w:val="21"/>
          <w:szCs w:val="21"/>
          <w:highlight w:val="none"/>
        </w:rPr>
      </w:pPr>
      <w:r>
        <w:rPr>
          <w:rFonts w:hint="eastAsia" w:ascii="宋体" w:hAnsi="宋体" w:cs="宋体"/>
          <w:sz w:val="21"/>
          <w:szCs w:val="21"/>
          <w:highlight w:val="none"/>
          <w:shd w:val="clear" w:color="auto" w:fill="FFFFFF"/>
        </w:rPr>
        <w:t xml:space="preserve"> </w:t>
      </w:r>
      <w:r>
        <w:rPr>
          <w:rFonts w:hint="eastAsia" w:ascii="宋体" w:hAnsi="宋体" w:cs="宋体"/>
          <w:sz w:val="21"/>
          <w:szCs w:val="21"/>
          <w:highlight w:val="none"/>
          <w:u w:val="single"/>
          <w:shd w:val="clear" w:color="auto" w:fill="FFFFFF"/>
        </w:rPr>
        <w:t xml:space="preserve">            （招标人名称）</w:t>
      </w:r>
      <w:r>
        <w:rPr>
          <w:rFonts w:hint="eastAsia" w:ascii="宋体" w:hAnsi="宋体" w:cs="宋体"/>
          <w:sz w:val="21"/>
          <w:szCs w:val="21"/>
          <w:highlight w:val="none"/>
          <w:shd w:val="clear" w:color="auto" w:fill="FFFFFF"/>
        </w:rPr>
        <w:t>：</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shd w:val="clear" w:color="auto" w:fill="FFFFFF"/>
        </w:rPr>
        <w:t>我方在此声明，我方拟派往</w:t>
      </w:r>
      <w:r>
        <w:rPr>
          <w:rFonts w:hint="eastAsia" w:ascii="宋体" w:hAnsi="宋体" w:cs="宋体"/>
          <w:szCs w:val="21"/>
          <w:highlight w:val="none"/>
          <w:u w:val="single"/>
        </w:rPr>
        <w:t xml:space="preserve">               </w:t>
      </w:r>
      <w:r>
        <w:rPr>
          <w:rFonts w:hint="eastAsia" w:ascii="宋体" w:hAnsi="宋体" w:cs="宋体"/>
          <w:szCs w:val="21"/>
          <w:highlight w:val="none"/>
        </w:rPr>
        <w:t>（项目名称）</w:t>
      </w:r>
      <w:r>
        <w:rPr>
          <w:rFonts w:hint="eastAsia" w:ascii="宋体" w:hAnsi="宋体" w:cs="宋体"/>
          <w:szCs w:val="21"/>
          <w:highlight w:val="none"/>
          <w:u w:val="single"/>
        </w:rPr>
        <w:t xml:space="preserve">     </w:t>
      </w:r>
      <w:r>
        <w:rPr>
          <w:rFonts w:hint="eastAsia" w:ascii="宋体" w:hAnsi="宋体" w:cs="宋体"/>
          <w:szCs w:val="21"/>
          <w:highlight w:val="none"/>
        </w:rPr>
        <w:t>标段</w:t>
      </w:r>
      <w:r>
        <w:rPr>
          <w:rFonts w:hint="eastAsia" w:ascii="宋体" w:hAnsi="宋体" w:cs="宋体"/>
          <w:szCs w:val="21"/>
          <w:highlight w:val="none"/>
          <w:shd w:val="clear" w:color="auto" w:fill="FFFFFF"/>
        </w:rPr>
        <w:t>的项目经理</w:t>
      </w:r>
      <w:r>
        <w:rPr>
          <w:rFonts w:hint="eastAsia" w:ascii="宋体" w:hAnsi="宋体" w:cs="宋体"/>
          <w:szCs w:val="21"/>
          <w:highlight w:val="none"/>
          <w:u w:val="single"/>
          <w:shd w:val="clear" w:color="auto" w:fill="FFFFFF"/>
        </w:rPr>
        <w:t>        </w:t>
      </w:r>
      <w:r>
        <w:rPr>
          <w:rFonts w:hint="eastAsia" w:ascii="宋体" w:hAnsi="宋体" w:cs="宋体"/>
          <w:szCs w:val="21"/>
          <w:highlight w:val="none"/>
          <w:shd w:val="clear" w:color="auto" w:fill="FFFFFF"/>
        </w:rPr>
        <w:t>（项目经理姓名）目</w:t>
      </w:r>
      <w:r>
        <w:rPr>
          <w:rFonts w:hint="eastAsia" w:ascii="宋体" w:hAnsi="宋体" w:cs="宋体"/>
          <w:szCs w:val="21"/>
          <w:highlight w:val="none"/>
        </w:rPr>
        <w:t>前没有担任任何在施建设工程项目的项目经理。</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rPr>
        <w:t>我方保证上述信息的真实和准确，并愿意承担因我方就此弄虚作假所引起的一切法律后果。</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rPr>
        <w:t>特此承诺</w:t>
      </w:r>
    </w:p>
    <w:p>
      <w:pPr>
        <w:pStyle w:val="33"/>
        <w:spacing w:before="330" w:beforeAutospacing="0" w:after="0" w:afterAutospacing="0"/>
        <w:ind w:firstLine="480"/>
        <w:jc w:val="right"/>
        <w:rPr>
          <w:rFonts w:ascii="宋体" w:hAnsi="宋体" w:cs="宋体"/>
          <w:sz w:val="21"/>
          <w:szCs w:val="21"/>
          <w:highlight w:val="none"/>
          <w:shd w:val="clear" w:color="auto" w:fill="FFFFFF"/>
        </w:rPr>
      </w:pPr>
    </w:p>
    <w:p>
      <w:pPr>
        <w:pStyle w:val="33"/>
        <w:spacing w:before="330" w:beforeAutospacing="0" w:after="0" w:afterAutospacing="0"/>
        <w:ind w:firstLine="480"/>
        <w:jc w:val="right"/>
        <w:rPr>
          <w:rFonts w:ascii="宋体" w:hAnsi="宋体" w:cs="宋体"/>
          <w:sz w:val="21"/>
          <w:szCs w:val="21"/>
          <w:highlight w:val="none"/>
        </w:rPr>
      </w:pPr>
      <w:r>
        <w:rPr>
          <w:rFonts w:hint="eastAsia" w:ascii="宋体" w:hAnsi="宋体" w:cs="宋体"/>
          <w:sz w:val="21"/>
          <w:szCs w:val="21"/>
          <w:highlight w:val="none"/>
          <w:shd w:val="clear" w:color="auto" w:fill="FFFFFF"/>
        </w:rPr>
        <w:t>投标人：</w:t>
      </w:r>
      <w:r>
        <w:rPr>
          <w:rFonts w:hint="eastAsia" w:ascii="宋体" w:hAnsi="宋体" w:cs="宋体"/>
          <w:sz w:val="21"/>
          <w:szCs w:val="21"/>
          <w:highlight w:val="none"/>
          <w:u w:val="single"/>
          <w:shd w:val="clear" w:color="auto" w:fill="FFFFFF"/>
        </w:rPr>
        <w:t xml:space="preserve">          </w:t>
      </w:r>
      <w:r>
        <w:rPr>
          <w:rFonts w:hint="eastAsia" w:ascii="宋体" w:hAnsi="宋体" w:cs="宋体"/>
          <w:sz w:val="21"/>
          <w:szCs w:val="21"/>
          <w:highlight w:val="none"/>
          <w:shd w:val="clear" w:color="auto" w:fill="FFFFFF"/>
        </w:rPr>
        <w:t>（盖单位章）</w:t>
      </w:r>
    </w:p>
    <w:p>
      <w:pPr>
        <w:pStyle w:val="33"/>
        <w:spacing w:before="330" w:beforeAutospacing="0" w:after="0" w:afterAutospacing="0"/>
        <w:ind w:firstLine="480"/>
        <w:jc w:val="right"/>
        <w:rPr>
          <w:rFonts w:ascii="宋体" w:hAnsi="宋体" w:cs="宋体"/>
          <w:sz w:val="21"/>
          <w:szCs w:val="21"/>
          <w:highlight w:val="none"/>
        </w:rPr>
      </w:pPr>
      <w:r>
        <w:rPr>
          <w:rFonts w:hint="eastAsia" w:ascii="宋体" w:hAnsi="宋体" w:cs="宋体"/>
          <w:sz w:val="21"/>
          <w:szCs w:val="21"/>
          <w:highlight w:val="none"/>
          <w:shd w:val="clear" w:color="auto" w:fill="FFFFFF"/>
        </w:rPr>
        <w:t>法定代表人或其委托代理人： （签字）</w:t>
      </w:r>
    </w:p>
    <w:p>
      <w:pPr>
        <w:pStyle w:val="33"/>
        <w:spacing w:before="330" w:beforeAutospacing="0" w:after="0" w:afterAutospacing="0"/>
        <w:ind w:firstLine="480"/>
        <w:jc w:val="right"/>
        <w:rPr>
          <w:rFonts w:ascii="宋体" w:hAnsi="宋体" w:cs="宋体"/>
          <w:sz w:val="21"/>
          <w:szCs w:val="21"/>
          <w:highlight w:val="none"/>
        </w:rPr>
      </w:pPr>
      <w:r>
        <w:rPr>
          <w:rFonts w:hint="eastAsia" w:ascii="宋体" w:hAnsi="宋体" w:cs="宋体"/>
          <w:sz w:val="21"/>
          <w:szCs w:val="21"/>
          <w:highlight w:val="none"/>
          <w:shd w:val="clear" w:color="auto" w:fill="FFFFFF"/>
        </w:rPr>
        <w:t>年  月  日</w:t>
      </w:r>
    </w:p>
    <w:p>
      <w:pPr>
        <w:rPr>
          <w:color w:val="000080"/>
          <w:sz w:val="20"/>
          <w:highlight w:val="none"/>
        </w:rPr>
        <w:sectPr>
          <w:footerReference r:id="rId4" w:type="default"/>
          <w:headerReference r:id="rId3" w:type="even"/>
          <w:footerReference r:id="rId5" w:type="even"/>
          <w:pgSz w:w="11906" w:h="16838"/>
          <w:pgMar w:top="1440" w:right="1797" w:bottom="1440" w:left="1797" w:header="851" w:footer="992" w:gutter="0"/>
          <w:cols w:space="425" w:num="1"/>
          <w:docGrid w:type="lines" w:linePitch="312" w:charSpace="0"/>
        </w:sectPr>
      </w:pPr>
      <w:r>
        <w:rPr>
          <w:highlight w:val="none"/>
        </w:rPr>
        <w:br w:type="page"/>
      </w:r>
    </w:p>
    <w:p>
      <w:pPr>
        <w:numPr>
          <w:ilvl w:val="0"/>
          <w:numId w:val="5"/>
        </w:numPr>
        <w:jc w:val="center"/>
        <w:rPr>
          <w:rFonts w:ascii="黑体" w:hAnsi="黑体" w:eastAsia="黑体" w:cs="黑体"/>
          <w:b/>
          <w:sz w:val="32"/>
          <w:highlight w:val="none"/>
        </w:rPr>
      </w:pPr>
      <w:r>
        <w:rPr>
          <w:rFonts w:ascii="黑体" w:hAnsi="黑体" w:eastAsia="黑体" w:cs="黑体"/>
          <w:b/>
          <w:sz w:val="32"/>
          <w:highlight w:val="none"/>
        </w:rPr>
        <w:t>其他材料</w:t>
      </w:r>
    </w:p>
    <w:p>
      <w:pPr>
        <w:jc w:val="center"/>
        <w:rPr>
          <w:rFonts w:ascii="宋体" w:hAnsi="宋体"/>
          <w:color w:val="000000"/>
          <w:sz w:val="32"/>
          <w:szCs w:val="32"/>
          <w:highlight w:val="none"/>
        </w:rPr>
      </w:pPr>
      <w:r>
        <w:rPr>
          <w:rFonts w:hint="eastAsia" w:ascii="宋体" w:hAnsi="宋体"/>
          <w:color w:val="000000"/>
          <w:sz w:val="32"/>
          <w:szCs w:val="32"/>
          <w:highlight w:val="none"/>
        </w:rPr>
        <w:t>辽宁省水利建设市场主体信用信息表</w:t>
      </w:r>
    </w:p>
    <w:p>
      <w:pPr>
        <w:rPr>
          <w:highlight w:val="none"/>
        </w:rPr>
      </w:pPr>
      <w:r>
        <w:rPr>
          <w:rFonts w:hint="eastAsia"/>
          <w:highlight w:val="none"/>
        </w:rPr>
        <w:drawing>
          <wp:inline distT="0" distB="0" distL="114300" distR="114300">
            <wp:extent cx="5273040" cy="7018020"/>
            <wp:effectExtent l="0" t="0" r="3810" b="11430"/>
            <wp:docPr id="1" name="图片 1" descr="信用动态查询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信用动态查询说明"/>
                    <pic:cNvPicPr>
                      <a:picLocks noChangeAspect="1"/>
                    </pic:cNvPicPr>
                  </pic:nvPicPr>
                  <pic:blipFill>
                    <a:blip r:embed="rId8"/>
                    <a:stretch>
                      <a:fillRect/>
                    </a:stretch>
                  </pic:blipFill>
                  <pic:spPr>
                    <a:xfrm>
                      <a:off x="0" y="0"/>
                      <a:ext cx="5273040" cy="7018020"/>
                    </a:xfrm>
                    <a:prstGeom prst="rect">
                      <a:avLst/>
                    </a:prstGeom>
                  </pic:spPr>
                </pic:pic>
              </a:graphicData>
            </a:graphic>
          </wp:inline>
        </w:drawing>
      </w:r>
    </w:p>
    <w:p>
      <w:pPr>
        <w:pStyle w:val="2"/>
        <w:rPr>
          <w:highlight w:val="none"/>
        </w:rPr>
      </w:pPr>
    </w:p>
    <w:p>
      <w:pPr>
        <w:rPr>
          <w:highlight w:val="none"/>
        </w:rPr>
      </w:pPr>
    </w:p>
    <w:p>
      <w:pPr>
        <w:pStyle w:val="2"/>
        <w:rPr>
          <w:b/>
          <w:bCs/>
          <w:i w:val="0"/>
          <w:iCs w:val="0"/>
          <w:sz w:val="21"/>
          <w:szCs w:val="21"/>
          <w:highlight w:val="none"/>
        </w:rPr>
      </w:pPr>
      <w:r>
        <w:rPr>
          <w:rFonts w:hint="eastAsia"/>
          <w:b/>
          <w:bCs/>
          <w:i w:val="0"/>
          <w:iCs w:val="0"/>
          <w:sz w:val="21"/>
          <w:szCs w:val="21"/>
          <w:highlight w:val="none"/>
        </w:rPr>
        <w:t>附2024年3月14日最新动态扣分表</w:t>
      </w:r>
    </w:p>
    <w:p>
      <w:pPr>
        <w:rPr>
          <w:highlight w:val="none"/>
        </w:rPr>
      </w:pPr>
      <w:r>
        <w:rPr>
          <w:highlight w:val="none"/>
        </w:rPr>
        <w:drawing>
          <wp:inline distT="0" distB="0" distL="114300" distR="114300">
            <wp:extent cx="5273675" cy="4589145"/>
            <wp:effectExtent l="0" t="0" r="3175" b="1905"/>
            <wp:docPr id="2"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
                    <pic:cNvPicPr>
                      <a:picLocks noChangeAspect="1"/>
                    </pic:cNvPicPr>
                  </pic:nvPicPr>
                  <pic:blipFill>
                    <a:blip r:embed="rId9"/>
                    <a:stretch>
                      <a:fillRect/>
                    </a:stretch>
                  </pic:blipFill>
                  <pic:spPr>
                    <a:xfrm>
                      <a:off x="0" y="0"/>
                      <a:ext cx="5273675" cy="4589145"/>
                    </a:xfrm>
                    <a:prstGeom prst="rect">
                      <a:avLst/>
                    </a:prstGeom>
                  </pic:spPr>
                </pic:pic>
              </a:graphicData>
            </a:graphic>
          </wp:inline>
        </w:drawing>
      </w:r>
      <w:r>
        <w:rPr>
          <w:rFonts w:hint="eastAsia"/>
          <w:highlight w:val="none"/>
        </w:rPr>
        <w:drawing>
          <wp:inline distT="0" distB="0" distL="114300" distR="114300">
            <wp:extent cx="4375150" cy="3671570"/>
            <wp:effectExtent l="0" t="0" r="6350" b="5080"/>
            <wp:docPr id="3" name="图片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
                    <pic:cNvPicPr>
                      <a:picLocks noChangeAspect="1"/>
                    </pic:cNvPicPr>
                  </pic:nvPicPr>
                  <pic:blipFill>
                    <a:blip r:embed="rId10"/>
                    <a:stretch>
                      <a:fillRect/>
                    </a:stretch>
                  </pic:blipFill>
                  <pic:spPr>
                    <a:xfrm>
                      <a:off x="0" y="0"/>
                      <a:ext cx="4375150" cy="3671570"/>
                    </a:xfrm>
                    <a:prstGeom prst="rect">
                      <a:avLst/>
                    </a:prstGeom>
                  </pic:spPr>
                </pic:pic>
              </a:graphicData>
            </a:graphic>
          </wp:inline>
        </w:drawing>
      </w:r>
    </w:p>
    <w:p>
      <w:pPr>
        <w:pStyle w:val="2"/>
        <w:rPr>
          <w:highlight w:val="none"/>
        </w:rPr>
      </w:pPr>
      <w:r>
        <w:rPr>
          <w:rFonts w:hint="eastAsia"/>
          <w:highlight w:val="none"/>
        </w:rPr>
        <w:drawing>
          <wp:inline distT="0" distB="0" distL="114300" distR="114300">
            <wp:extent cx="5272405" cy="5151120"/>
            <wp:effectExtent l="0" t="0" r="4445" b="11430"/>
            <wp:docPr id="4" name="图片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
                    <pic:cNvPicPr>
                      <a:picLocks noChangeAspect="1"/>
                    </pic:cNvPicPr>
                  </pic:nvPicPr>
                  <pic:blipFill>
                    <a:blip r:embed="rId11"/>
                    <a:stretch>
                      <a:fillRect/>
                    </a:stretch>
                  </pic:blipFill>
                  <pic:spPr>
                    <a:xfrm>
                      <a:off x="0" y="0"/>
                      <a:ext cx="5272405" cy="5151120"/>
                    </a:xfrm>
                    <a:prstGeom prst="rect">
                      <a:avLst/>
                    </a:prstGeom>
                  </pic:spPr>
                </pic:pic>
              </a:graphicData>
            </a:graphic>
          </wp:inline>
        </w:drawing>
      </w:r>
      <w:r>
        <w:rPr>
          <w:rFonts w:hint="eastAsia"/>
          <w:highlight w:val="none"/>
        </w:rPr>
        <w:drawing>
          <wp:inline distT="0" distB="0" distL="114300" distR="114300">
            <wp:extent cx="5276850" cy="2540635"/>
            <wp:effectExtent l="0" t="0" r="0" b="12065"/>
            <wp:docPr id="5" name="图片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
                    <pic:cNvPicPr>
                      <a:picLocks noChangeAspect="1"/>
                    </pic:cNvPicPr>
                  </pic:nvPicPr>
                  <pic:blipFill>
                    <a:blip r:embed="rId12"/>
                    <a:stretch>
                      <a:fillRect/>
                    </a:stretch>
                  </pic:blipFill>
                  <pic:spPr>
                    <a:xfrm>
                      <a:off x="0" y="0"/>
                      <a:ext cx="5276850" cy="2540635"/>
                    </a:xfrm>
                    <a:prstGeom prst="rect">
                      <a:avLst/>
                    </a:prstGeom>
                  </pic:spPr>
                </pic:pic>
              </a:graphicData>
            </a:graphic>
          </wp:inline>
        </w:drawing>
      </w:r>
    </w:p>
    <w:p>
      <w:pPr>
        <w:rPr>
          <w:rFonts w:ascii="黑体" w:hAnsi="黑体" w:eastAsia="黑体" w:cs="黑体"/>
          <w:b/>
          <w:sz w:val="32"/>
          <w:highlight w:val="none"/>
        </w:rPr>
      </w:pPr>
      <w:r>
        <w:rPr>
          <w:rFonts w:hint="eastAsia" w:ascii="黑体" w:hAnsi="黑体" w:eastAsia="黑体" w:cs="黑体"/>
          <w:b/>
          <w:sz w:val="32"/>
          <w:highlight w:val="none"/>
        </w:rPr>
        <w:drawing>
          <wp:inline distT="0" distB="0" distL="114300" distR="114300">
            <wp:extent cx="5272405" cy="4441190"/>
            <wp:effectExtent l="0" t="0" r="4445" b="16510"/>
            <wp:docPr id="6" name="图片 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5"/>
                    <pic:cNvPicPr>
                      <a:picLocks noChangeAspect="1"/>
                    </pic:cNvPicPr>
                  </pic:nvPicPr>
                  <pic:blipFill>
                    <a:blip r:embed="rId13"/>
                    <a:stretch>
                      <a:fillRect/>
                    </a:stretch>
                  </pic:blipFill>
                  <pic:spPr>
                    <a:xfrm>
                      <a:off x="0" y="0"/>
                      <a:ext cx="5272405" cy="4441190"/>
                    </a:xfrm>
                    <a:prstGeom prst="rect">
                      <a:avLst/>
                    </a:prstGeom>
                  </pic:spPr>
                </pic:pic>
              </a:graphicData>
            </a:graphic>
          </wp:inline>
        </w:drawing>
      </w:r>
      <w:r>
        <w:rPr>
          <w:rFonts w:hint="eastAsia" w:ascii="黑体" w:hAnsi="黑体" w:eastAsia="黑体" w:cs="黑体"/>
          <w:b/>
          <w:sz w:val="32"/>
          <w:highlight w:val="none"/>
        </w:rPr>
        <w:drawing>
          <wp:inline distT="0" distB="0" distL="114300" distR="114300">
            <wp:extent cx="5278120" cy="2826385"/>
            <wp:effectExtent l="0" t="0" r="17780" b="12065"/>
            <wp:docPr id="7" name="图片 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6"/>
                    <pic:cNvPicPr>
                      <a:picLocks noChangeAspect="1"/>
                    </pic:cNvPicPr>
                  </pic:nvPicPr>
                  <pic:blipFill>
                    <a:blip r:embed="rId14"/>
                    <a:stretch>
                      <a:fillRect/>
                    </a:stretch>
                  </pic:blipFill>
                  <pic:spPr>
                    <a:xfrm>
                      <a:off x="0" y="0"/>
                      <a:ext cx="5278120" cy="2826385"/>
                    </a:xfrm>
                    <a:prstGeom prst="rect">
                      <a:avLst/>
                    </a:prstGeom>
                  </pic:spPr>
                </pic:pic>
              </a:graphicData>
            </a:graphic>
          </wp:inline>
        </w:drawing>
      </w:r>
      <w:r>
        <w:rPr>
          <w:rFonts w:hint="eastAsia" w:ascii="黑体" w:hAnsi="黑体" w:eastAsia="黑体" w:cs="黑体"/>
          <w:b/>
          <w:sz w:val="32"/>
          <w:highlight w:val="none"/>
        </w:rPr>
        <w:drawing>
          <wp:inline distT="0" distB="0" distL="114300" distR="114300">
            <wp:extent cx="5276850" cy="6308725"/>
            <wp:effectExtent l="0" t="0" r="0" b="15875"/>
            <wp:docPr id="8" name="图片 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7"/>
                    <pic:cNvPicPr>
                      <a:picLocks noChangeAspect="1"/>
                    </pic:cNvPicPr>
                  </pic:nvPicPr>
                  <pic:blipFill>
                    <a:blip r:embed="rId15"/>
                    <a:stretch>
                      <a:fillRect/>
                    </a:stretch>
                  </pic:blipFill>
                  <pic:spPr>
                    <a:xfrm>
                      <a:off x="0" y="0"/>
                      <a:ext cx="5276850" cy="6308725"/>
                    </a:xfrm>
                    <a:prstGeom prst="rect">
                      <a:avLst/>
                    </a:prstGeom>
                  </pic:spPr>
                </pic:pic>
              </a:graphicData>
            </a:graphic>
          </wp:inline>
        </w:drawing>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华文仿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PGG605AgAAc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tDBunpf&#10;dRcwh5aFrX6wPKaJUnm7OgRImxSPAnWqoFNxg0lMPetfTRz1P/cp6ul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PGG605AgAAcQQAAA4AAAAAAAAAAQAgAAAAHwEAAGRycy9lMm9Eb2Mu&#10;eG1sUEsFBgAAAAAGAAYAWQEAAMoFAAAAAA==&#10;">
          <v:path/>
          <v:fill on="f" focussize="0,0"/>
          <v:stroke on="f" weight="0.5pt" joinstyle="miter"/>
          <v:imagedata o:title=""/>
          <o:lock v:ext="edit"/>
          <v:textbox inset="0mm,0mm,0mm,0mm" style="mso-fit-shape-to-text:t;">
            <w:txbxContent>
              <w:p>
                <w:pPr>
                  <w:pStyle w:val="24"/>
                </w:pPr>
                <w:r>
                  <w:fldChar w:fldCharType="begin"/>
                </w:r>
                <w:r>
                  <w:instrText xml:space="preserve"> PAGE  \* MERGEFORMAT </w:instrText>
                </w:r>
                <w:r>
                  <w:fldChar w:fldCharType="separate"/>
                </w:r>
                <w:r>
                  <w:t>119</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1"/>
        <w:sz w:val="20"/>
        <w:szCs w:val="20"/>
      </w:rPr>
    </w:pPr>
    <w:r>
      <w:rPr>
        <w:rStyle w:val="41"/>
        <w:sz w:val="20"/>
        <w:szCs w:val="20"/>
      </w:rPr>
      <w:fldChar w:fldCharType="begin"/>
    </w:r>
    <w:r>
      <w:rPr>
        <w:rStyle w:val="41"/>
        <w:sz w:val="20"/>
        <w:szCs w:val="20"/>
        <w:highlight w:val="white"/>
      </w:rPr>
      <w:instrText xml:space="preserve">PAGE  </w:instrText>
    </w:r>
    <w:r>
      <w:rPr>
        <w:rStyle w:val="41"/>
        <w:sz w:val="20"/>
        <w:szCs w:val="20"/>
      </w:rPr>
      <w:fldChar w:fldCharType="end"/>
    </w:r>
  </w:p>
  <w:p>
    <w:pPr>
      <w:pStyle w:val="24"/>
      <w:jc w:val="center"/>
      <w:rPr>
        <w:sz w:val="17"/>
        <w:szCs w:val="17"/>
      </w:rPr>
    </w:pPr>
    <w:r>
      <w:rPr>
        <w:rStyle w:val="41"/>
        <w:sz w:val="20"/>
        <w:szCs w:val="20"/>
        <w:highlight w:val="white"/>
      </w:rPr>
      <w:t>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sz w:val="17"/>
        <w:szCs w:val="17"/>
      </w:rPr>
    </w:pPr>
    <w:r>
      <w:rPr>
        <w:rFonts w:hint="eastAsia"/>
        <w:sz w:val="17"/>
        <w:szCs w:val="17"/>
        <w:highlight w:val="white"/>
      </w:rPr>
      <w:t>第</w:t>
    </w:r>
    <w:r>
      <w:rPr>
        <w:sz w:val="17"/>
        <w:szCs w:val="17"/>
        <w:highlight w:val="white"/>
      </w:rPr>
      <w:t>6</w:t>
    </w:r>
    <w:r>
      <w:rPr>
        <w:rFonts w:hint="eastAsia"/>
        <w:sz w:val="17"/>
        <w:szCs w:val="17"/>
        <w:highlight w:val="white"/>
      </w:rPr>
      <w:t>章 工程量清单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9DA7A0"/>
    <w:multiLevelType w:val="singleLevel"/>
    <w:tmpl w:val="9B9DA7A0"/>
    <w:lvl w:ilvl="0" w:tentative="0">
      <w:start w:val="6"/>
      <w:numFmt w:val="decimal"/>
      <w:suff w:val="nothing"/>
      <w:lvlText w:val="（%1）"/>
      <w:lvlJc w:val="left"/>
    </w:lvl>
  </w:abstractNum>
  <w:abstractNum w:abstractNumId="1">
    <w:nsid w:val="B05FC5D1"/>
    <w:multiLevelType w:val="singleLevel"/>
    <w:tmpl w:val="B05FC5D1"/>
    <w:lvl w:ilvl="0" w:tentative="0">
      <w:start w:val="1"/>
      <w:numFmt w:val="decimal"/>
      <w:suff w:val="nothing"/>
      <w:lvlText w:val="%1、"/>
      <w:lvlJc w:val="left"/>
    </w:lvl>
  </w:abstractNum>
  <w:abstractNum w:abstractNumId="2">
    <w:nsid w:val="C9D47727"/>
    <w:multiLevelType w:val="singleLevel"/>
    <w:tmpl w:val="C9D47727"/>
    <w:lvl w:ilvl="0" w:tentative="0">
      <w:start w:val="2024"/>
      <w:numFmt w:val="decimal"/>
      <w:suff w:val="space"/>
      <w:lvlText w:val="%1-"/>
      <w:lvlJc w:val="left"/>
    </w:lvl>
  </w:abstractNum>
  <w:abstractNum w:abstractNumId="3">
    <w:nsid w:val="0BEC7F99"/>
    <w:multiLevelType w:val="multilevel"/>
    <w:tmpl w:val="0BEC7F99"/>
    <w:lvl w:ilvl="0" w:tentative="0">
      <w:start w:val="1"/>
      <w:numFmt w:val="japaneseCounting"/>
      <w:lvlText w:val="第%1章"/>
      <w:lvlJc w:val="left"/>
      <w:pPr>
        <w:ind w:left="1090" w:hanging="10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8D7F724"/>
    <w:multiLevelType w:val="singleLevel"/>
    <w:tmpl w:val="78D7F724"/>
    <w:lvl w:ilvl="0" w:tentative="0">
      <w:start w:val="12"/>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U5MzdlODM2Y2RmNDhhMmUxNzAwMzczMDhjNWQyZDUifQ=="/>
  </w:docVars>
  <w:rsids>
    <w:rsidRoot w:val="007B6761"/>
    <w:rsid w:val="00047C95"/>
    <w:rsid w:val="000602E5"/>
    <w:rsid w:val="0009075B"/>
    <w:rsid w:val="00112981"/>
    <w:rsid w:val="002E0DA8"/>
    <w:rsid w:val="003D41B5"/>
    <w:rsid w:val="0048188E"/>
    <w:rsid w:val="004D5B46"/>
    <w:rsid w:val="004E2E66"/>
    <w:rsid w:val="00642CE3"/>
    <w:rsid w:val="00685CAE"/>
    <w:rsid w:val="007124E2"/>
    <w:rsid w:val="007B6761"/>
    <w:rsid w:val="0082555C"/>
    <w:rsid w:val="00A31733"/>
    <w:rsid w:val="00A473BE"/>
    <w:rsid w:val="00A72960"/>
    <w:rsid w:val="00BA3ECF"/>
    <w:rsid w:val="00C17383"/>
    <w:rsid w:val="00CB40A6"/>
    <w:rsid w:val="00D55E9B"/>
    <w:rsid w:val="00DB764A"/>
    <w:rsid w:val="00F578FF"/>
    <w:rsid w:val="00F646D0"/>
    <w:rsid w:val="00FD112A"/>
    <w:rsid w:val="012651AE"/>
    <w:rsid w:val="017A22D5"/>
    <w:rsid w:val="01C419B3"/>
    <w:rsid w:val="01EB25E0"/>
    <w:rsid w:val="02070CCA"/>
    <w:rsid w:val="023615AF"/>
    <w:rsid w:val="02C848FD"/>
    <w:rsid w:val="03621012"/>
    <w:rsid w:val="04096F7B"/>
    <w:rsid w:val="050E45DD"/>
    <w:rsid w:val="051B5827"/>
    <w:rsid w:val="059D7FF1"/>
    <w:rsid w:val="071D3588"/>
    <w:rsid w:val="07A04665"/>
    <w:rsid w:val="07DA32E3"/>
    <w:rsid w:val="07DB63FB"/>
    <w:rsid w:val="083245C7"/>
    <w:rsid w:val="087F780C"/>
    <w:rsid w:val="0AB408B9"/>
    <w:rsid w:val="0AC61BE1"/>
    <w:rsid w:val="0B4712E4"/>
    <w:rsid w:val="0BE01EF1"/>
    <w:rsid w:val="0BEB6F66"/>
    <w:rsid w:val="0C0D3381"/>
    <w:rsid w:val="0C747355"/>
    <w:rsid w:val="0CFC504F"/>
    <w:rsid w:val="0D496672"/>
    <w:rsid w:val="0D714F5D"/>
    <w:rsid w:val="0ED4462A"/>
    <w:rsid w:val="0F5616AC"/>
    <w:rsid w:val="102962AF"/>
    <w:rsid w:val="106F460A"/>
    <w:rsid w:val="108D4A90"/>
    <w:rsid w:val="1116563F"/>
    <w:rsid w:val="11B5604C"/>
    <w:rsid w:val="11C71CC7"/>
    <w:rsid w:val="123F1DBA"/>
    <w:rsid w:val="12723B3F"/>
    <w:rsid w:val="1292638E"/>
    <w:rsid w:val="1338413A"/>
    <w:rsid w:val="134D72B7"/>
    <w:rsid w:val="13EA4220"/>
    <w:rsid w:val="14595878"/>
    <w:rsid w:val="14F41582"/>
    <w:rsid w:val="154A2B4A"/>
    <w:rsid w:val="158021E4"/>
    <w:rsid w:val="15A9411A"/>
    <w:rsid w:val="15C41A43"/>
    <w:rsid w:val="15C70A44"/>
    <w:rsid w:val="16622331"/>
    <w:rsid w:val="178766DD"/>
    <w:rsid w:val="181F06C4"/>
    <w:rsid w:val="18C179CD"/>
    <w:rsid w:val="19377449"/>
    <w:rsid w:val="196E7882"/>
    <w:rsid w:val="19C22B27"/>
    <w:rsid w:val="1A042A8F"/>
    <w:rsid w:val="1A4E0666"/>
    <w:rsid w:val="1B866CAC"/>
    <w:rsid w:val="1D7E5E8C"/>
    <w:rsid w:val="1E2C6FA1"/>
    <w:rsid w:val="1E4875EE"/>
    <w:rsid w:val="1EFB4C72"/>
    <w:rsid w:val="1FBA662C"/>
    <w:rsid w:val="20254CE5"/>
    <w:rsid w:val="204A3B16"/>
    <w:rsid w:val="21596E8E"/>
    <w:rsid w:val="215B0293"/>
    <w:rsid w:val="21634FF1"/>
    <w:rsid w:val="21974D92"/>
    <w:rsid w:val="21B412AC"/>
    <w:rsid w:val="21D31C35"/>
    <w:rsid w:val="21E464DA"/>
    <w:rsid w:val="22B6537E"/>
    <w:rsid w:val="231A009B"/>
    <w:rsid w:val="23747613"/>
    <w:rsid w:val="23E135E9"/>
    <w:rsid w:val="24707D13"/>
    <w:rsid w:val="2513335E"/>
    <w:rsid w:val="25FD4E92"/>
    <w:rsid w:val="26003694"/>
    <w:rsid w:val="261D5E19"/>
    <w:rsid w:val="266B4AD5"/>
    <w:rsid w:val="26A35CF6"/>
    <w:rsid w:val="26AF70B6"/>
    <w:rsid w:val="26EF1BA9"/>
    <w:rsid w:val="271E423C"/>
    <w:rsid w:val="27FC5131"/>
    <w:rsid w:val="28126853"/>
    <w:rsid w:val="2B5E283B"/>
    <w:rsid w:val="2B6E186C"/>
    <w:rsid w:val="2D1660E1"/>
    <w:rsid w:val="2D581D3E"/>
    <w:rsid w:val="2D6C3F53"/>
    <w:rsid w:val="2DDD3731"/>
    <w:rsid w:val="2EB675FD"/>
    <w:rsid w:val="2ED0291F"/>
    <w:rsid w:val="2FD6780D"/>
    <w:rsid w:val="309612E7"/>
    <w:rsid w:val="30F235D8"/>
    <w:rsid w:val="317A3629"/>
    <w:rsid w:val="31862C08"/>
    <w:rsid w:val="31E34F31"/>
    <w:rsid w:val="31E52343"/>
    <w:rsid w:val="324E451E"/>
    <w:rsid w:val="326428CF"/>
    <w:rsid w:val="3277593D"/>
    <w:rsid w:val="33156290"/>
    <w:rsid w:val="346C69DA"/>
    <w:rsid w:val="34BD5946"/>
    <w:rsid w:val="34DC160D"/>
    <w:rsid w:val="35FC2BBF"/>
    <w:rsid w:val="36203B2D"/>
    <w:rsid w:val="36647DD9"/>
    <w:rsid w:val="36751884"/>
    <w:rsid w:val="37460AB5"/>
    <w:rsid w:val="378400EB"/>
    <w:rsid w:val="378F245F"/>
    <w:rsid w:val="379D3D8C"/>
    <w:rsid w:val="388B5174"/>
    <w:rsid w:val="388C7A51"/>
    <w:rsid w:val="38DB607F"/>
    <w:rsid w:val="38FC0CD5"/>
    <w:rsid w:val="391A4FFC"/>
    <w:rsid w:val="399D78B3"/>
    <w:rsid w:val="3A2F1C03"/>
    <w:rsid w:val="3A313FD8"/>
    <w:rsid w:val="3A5B4F58"/>
    <w:rsid w:val="3B637FD8"/>
    <w:rsid w:val="3BB439AE"/>
    <w:rsid w:val="3BB52F69"/>
    <w:rsid w:val="3C135F1D"/>
    <w:rsid w:val="3C1C4D96"/>
    <w:rsid w:val="3CB46720"/>
    <w:rsid w:val="3D700511"/>
    <w:rsid w:val="3E341126"/>
    <w:rsid w:val="3E5B4F04"/>
    <w:rsid w:val="3E691381"/>
    <w:rsid w:val="3F277CDA"/>
    <w:rsid w:val="3FBD3256"/>
    <w:rsid w:val="40B825E9"/>
    <w:rsid w:val="40BF7252"/>
    <w:rsid w:val="41EB2DE7"/>
    <w:rsid w:val="431467C7"/>
    <w:rsid w:val="43CE0061"/>
    <w:rsid w:val="43E43907"/>
    <w:rsid w:val="44721B3F"/>
    <w:rsid w:val="454E1262"/>
    <w:rsid w:val="45D7167C"/>
    <w:rsid w:val="46C71DA3"/>
    <w:rsid w:val="46C85B55"/>
    <w:rsid w:val="46CA0775"/>
    <w:rsid w:val="47465120"/>
    <w:rsid w:val="47790B31"/>
    <w:rsid w:val="48605F4B"/>
    <w:rsid w:val="49BE02BB"/>
    <w:rsid w:val="49FB423D"/>
    <w:rsid w:val="4AC15124"/>
    <w:rsid w:val="4C433BB8"/>
    <w:rsid w:val="4E092CA1"/>
    <w:rsid w:val="4E0C11E4"/>
    <w:rsid w:val="4EEA2AD2"/>
    <w:rsid w:val="4F275AD4"/>
    <w:rsid w:val="507773FC"/>
    <w:rsid w:val="507B00A0"/>
    <w:rsid w:val="51330FBE"/>
    <w:rsid w:val="518014CC"/>
    <w:rsid w:val="51A67D87"/>
    <w:rsid w:val="51E629BD"/>
    <w:rsid w:val="51F53C68"/>
    <w:rsid w:val="51FB0B52"/>
    <w:rsid w:val="52467BA6"/>
    <w:rsid w:val="524B2632"/>
    <w:rsid w:val="526B2619"/>
    <w:rsid w:val="53975356"/>
    <w:rsid w:val="54414F42"/>
    <w:rsid w:val="55290311"/>
    <w:rsid w:val="5543596A"/>
    <w:rsid w:val="55D23095"/>
    <w:rsid w:val="55E72A54"/>
    <w:rsid w:val="576505D8"/>
    <w:rsid w:val="58660CE3"/>
    <w:rsid w:val="59070F4D"/>
    <w:rsid w:val="59E94766"/>
    <w:rsid w:val="5A387D96"/>
    <w:rsid w:val="5A925980"/>
    <w:rsid w:val="5AA03158"/>
    <w:rsid w:val="5AC71355"/>
    <w:rsid w:val="5AE12FDB"/>
    <w:rsid w:val="5B5C1BC2"/>
    <w:rsid w:val="5B6F6839"/>
    <w:rsid w:val="5BE517EC"/>
    <w:rsid w:val="5D046CC3"/>
    <w:rsid w:val="5D2B2C34"/>
    <w:rsid w:val="5E0250EF"/>
    <w:rsid w:val="5E0A5EAD"/>
    <w:rsid w:val="5F5D39BD"/>
    <w:rsid w:val="5FC804E7"/>
    <w:rsid w:val="5FE22FDD"/>
    <w:rsid w:val="605602F3"/>
    <w:rsid w:val="60E56EBF"/>
    <w:rsid w:val="610C6769"/>
    <w:rsid w:val="61767A86"/>
    <w:rsid w:val="617E3BBD"/>
    <w:rsid w:val="6224410D"/>
    <w:rsid w:val="623A7551"/>
    <w:rsid w:val="625234F5"/>
    <w:rsid w:val="62C531E2"/>
    <w:rsid w:val="633330CC"/>
    <w:rsid w:val="63E94CAF"/>
    <w:rsid w:val="64CD14D9"/>
    <w:rsid w:val="650C52CC"/>
    <w:rsid w:val="6617720A"/>
    <w:rsid w:val="66602AFD"/>
    <w:rsid w:val="66A6332B"/>
    <w:rsid w:val="66AC1B17"/>
    <w:rsid w:val="66BF39A8"/>
    <w:rsid w:val="67264120"/>
    <w:rsid w:val="673F1D93"/>
    <w:rsid w:val="67515045"/>
    <w:rsid w:val="67F05B91"/>
    <w:rsid w:val="67F325A0"/>
    <w:rsid w:val="689B5C8E"/>
    <w:rsid w:val="68D37D11"/>
    <w:rsid w:val="6A5D6D0A"/>
    <w:rsid w:val="6B5D34D5"/>
    <w:rsid w:val="6C1A059A"/>
    <w:rsid w:val="6C1B6850"/>
    <w:rsid w:val="6C4E01EF"/>
    <w:rsid w:val="6C8066EF"/>
    <w:rsid w:val="6C821F46"/>
    <w:rsid w:val="6C8A5FC6"/>
    <w:rsid w:val="6E0472B5"/>
    <w:rsid w:val="6E274D51"/>
    <w:rsid w:val="70CB1296"/>
    <w:rsid w:val="715220E5"/>
    <w:rsid w:val="74AA27A7"/>
    <w:rsid w:val="764C43BE"/>
    <w:rsid w:val="76EC5B4A"/>
    <w:rsid w:val="776B6BD0"/>
    <w:rsid w:val="77790485"/>
    <w:rsid w:val="77933457"/>
    <w:rsid w:val="77936D8F"/>
    <w:rsid w:val="78522C2F"/>
    <w:rsid w:val="786F3158"/>
    <w:rsid w:val="786F4218"/>
    <w:rsid w:val="78E71D51"/>
    <w:rsid w:val="78F97F66"/>
    <w:rsid w:val="7B0E1773"/>
    <w:rsid w:val="7BA21EBB"/>
    <w:rsid w:val="7BD65048"/>
    <w:rsid w:val="7C1C3A1B"/>
    <w:rsid w:val="7C5533D1"/>
    <w:rsid w:val="7CE7227B"/>
    <w:rsid w:val="7D146DE8"/>
    <w:rsid w:val="7D6364D3"/>
    <w:rsid w:val="7D8546D2"/>
    <w:rsid w:val="7D9677FD"/>
    <w:rsid w:val="7DDD73B7"/>
    <w:rsid w:val="7E6B28C4"/>
    <w:rsid w:val="7EAB1087"/>
    <w:rsid w:val="7F28092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44"/>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5"/>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qFormat/>
    <w:uiPriority w:val="0"/>
    <w:pPr>
      <w:keepNext/>
      <w:keepLines/>
      <w:spacing w:before="120" w:after="120" w:line="400" w:lineRule="exact"/>
      <w:jc w:val="left"/>
      <w:outlineLvl w:val="2"/>
    </w:pPr>
    <w:rPr>
      <w:rFonts w:ascii="宋体"/>
      <w:b/>
      <w:bCs/>
      <w:color w:val="FF0000"/>
      <w:sz w:val="24"/>
    </w:rPr>
  </w:style>
  <w:style w:type="paragraph" w:styleId="6">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autoRedefine/>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autoRedefine/>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autoRedefine/>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autoRedefine/>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0">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2">
    <w:name w:val="toc 3"/>
    <w:basedOn w:val="1"/>
    <w:next w:val="1"/>
    <w:autoRedefine/>
    <w:qFormat/>
    <w:uiPriority w:val="39"/>
    <w:pPr>
      <w:ind w:left="420"/>
      <w:jc w:val="left"/>
    </w:pPr>
    <w:rPr>
      <w:rFonts w:cs="Calibri"/>
      <w:i/>
      <w:iCs/>
      <w:sz w:val="20"/>
      <w:szCs w:val="20"/>
    </w:rPr>
  </w:style>
  <w:style w:type="paragraph" w:styleId="11">
    <w:name w:val="toc 7"/>
    <w:basedOn w:val="1"/>
    <w:next w:val="1"/>
    <w:autoRedefine/>
    <w:qFormat/>
    <w:uiPriority w:val="0"/>
    <w:pPr>
      <w:ind w:left="1260"/>
      <w:jc w:val="left"/>
    </w:pPr>
    <w:rPr>
      <w:rFonts w:cs="Calibri"/>
      <w:sz w:val="18"/>
      <w:szCs w:val="18"/>
    </w:rPr>
  </w:style>
  <w:style w:type="paragraph" w:styleId="12">
    <w:name w:val="Normal Indent"/>
    <w:basedOn w:val="1"/>
    <w:autoRedefine/>
    <w:qFormat/>
    <w:uiPriority w:val="0"/>
    <w:pPr>
      <w:ind w:firstLine="420" w:firstLineChars="200"/>
    </w:pPr>
  </w:style>
  <w:style w:type="paragraph" w:styleId="13">
    <w:name w:val="Document Map"/>
    <w:basedOn w:val="1"/>
    <w:autoRedefine/>
    <w:semiHidden/>
    <w:qFormat/>
    <w:uiPriority w:val="0"/>
    <w:pPr>
      <w:shd w:val="clear" w:color="auto" w:fill="000080"/>
    </w:pPr>
  </w:style>
  <w:style w:type="paragraph" w:styleId="14">
    <w:name w:val="annotation text"/>
    <w:basedOn w:val="1"/>
    <w:autoRedefine/>
    <w:qFormat/>
    <w:uiPriority w:val="0"/>
    <w:pPr>
      <w:jc w:val="left"/>
    </w:pPr>
  </w:style>
  <w:style w:type="paragraph" w:styleId="15">
    <w:name w:val="Body Text 3"/>
    <w:basedOn w:val="1"/>
    <w:autoRedefine/>
    <w:qFormat/>
    <w:uiPriority w:val="0"/>
    <w:rPr>
      <w:rFonts w:ascii="宋体"/>
      <w:sz w:val="24"/>
      <w:szCs w:val="20"/>
    </w:rPr>
  </w:style>
  <w:style w:type="paragraph" w:styleId="16">
    <w:name w:val="Body Text"/>
    <w:basedOn w:val="1"/>
    <w:autoRedefine/>
    <w:qFormat/>
    <w:uiPriority w:val="0"/>
    <w:pPr>
      <w:spacing w:after="120"/>
    </w:pPr>
  </w:style>
  <w:style w:type="paragraph" w:styleId="17">
    <w:name w:val="Body Text Indent"/>
    <w:basedOn w:val="1"/>
    <w:autoRedefine/>
    <w:qFormat/>
    <w:uiPriority w:val="0"/>
    <w:pPr>
      <w:spacing w:after="120"/>
      <w:ind w:left="420" w:leftChars="200"/>
    </w:pPr>
  </w:style>
  <w:style w:type="paragraph" w:styleId="18">
    <w:name w:val="toc 5"/>
    <w:basedOn w:val="1"/>
    <w:next w:val="1"/>
    <w:autoRedefine/>
    <w:qFormat/>
    <w:uiPriority w:val="0"/>
    <w:pPr>
      <w:ind w:left="840"/>
      <w:jc w:val="left"/>
    </w:pPr>
    <w:rPr>
      <w:rFonts w:cs="Calibri"/>
      <w:sz w:val="18"/>
      <w:szCs w:val="18"/>
    </w:rPr>
  </w:style>
  <w:style w:type="paragraph" w:styleId="19">
    <w:name w:val="Plain Text"/>
    <w:basedOn w:val="1"/>
    <w:autoRedefine/>
    <w:qFormat/>
    <w:uiPriority w:val="0"/>
    <w:rPr>
      <w:rFonts w:ascii="Courier New" w:hAnsi="Courier New"/>
      <w:szCs w:val="20"/>
    </w:rPr>
  </w:style>
  <w:style w:type="paragraph" w:styleId="20">
    <w:name w:val="toc 8"/>
    <w:basedOn w:val="1"/>
    <w:next w:val="1"/>
    <w:autoRedefine/>
    <w:qFormat/>
    <w:uiPriority w:val="0"/>
    <w:pPr>
      <w:ind w:left="1470"/>
      <w:jc w:val="left"/>
    </w:pPr>
    <w:rPr>
      <w:rFonts w:cs="Calibri"/>
      <w:sz w:val="18"/>
      <w:szCs w:val="18"/>
    </w:rPr>
  </w:style>
  <w:style w:type="paragraph" w:styleId="21">
    <w:name w:val="Date"/>
    <w:basedOn w:val="1"/>
    <w:next w:val="1"/>
    <w:autoRedefine/>
    <w:qFormat/>
    <w:uiPriority w:val="0"/>
    <w:rPr>
      <w:sz w:val="24"/>
      <w:szCs w:val="20"/>
    </w:rPr>
  </w:style>
  <w:style w:type="paragraph" w:styleId="22">
    <w:name w:val="Body Text Indent 2"/>
    <w:basedOn w:val="1"/>
    <w:autoRedefine/>
    <w:qFormat/>
    <w:uiPriority w:val="0"/>
    <w:pPr>
      <w:spacing w:after="120" w:line="480" w:lineRule="auto"/>
      <w:ind w:left="420" w:leftChars="200"/>
    </w:pPr>
  </w:style>
  <w:style w:type="paragraph" w:styleId="23">
    <w:name w:val="Balloon Text"/>
    <w:basedOn w:val="1"/>
    <w:autoRedefine/>
    <w:semiHidden/>
    <w:qFormat/>
    <w:uiPriority w:val="0"/>
    <w:rPr>
      <w:sz w:val="18"/>
      <w:szCs w:val="18"/>
    </w:rPr>
  </w:style>
  <w:style w:type="paragraph" w:styleId="24">
    <w:name w:val="footer"/>
    <w:basedOn w:val="1"/>
    <w:autoRedefine/>
    <w:qFormat/>
    <w:uiPriority w:val="0"/>
    <w:pPr>
      <w:tabs>
        <w:tab w:val="center" w:pos="4153"/>
        <w:tab w:val="right" w:pos="8306"/>
      </w:tabs>
      <w:snapToGrid w:val="0"/>
      <w:jc w:val="left"/>
    </w:pPr>
    <w:rPr>
      <w:sz w:val="18"/>
      <w:szCs w:val="18"/>
    </w:rPr>
  </w:style>
  <w:style w:type="paragraph" w:styleId="2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autoRedefine/>
    <w:qFormat/>
    <w:uiPriority w:val="39"/>
    <w:pPr>
      <w:spacing w:before="120" w:after="120"/>
      <w:jc w:val="left"/>
    </w:pPr>
    <w:rPr>
      <w:rFonts w:cs="Calibri"/>
      <w:b/>
      <w:bCs/>
      <w:caps/>
      <w:sz w:val="20"/>
      <w:szCs w:val="20"/>
    </w:rPr>
  </w:style>
  <w:style w:type="paragraph" w:styleId="27">
    <w:name w:val="toc 4"/>
    <w:basedOn w:val="1"/>
    <w:next w:val="1"/>
    <w:autoRedefine/>
    <w:qFormat/>
    <w:uiPriority w:val="0"/>
    <w:pPr>
      <w:ind w:left="630"/>
      <w:jc w:val="left"/>
    </w:pPr>
    <w:rPr>
      <w:rFonts w:cs="Calibri"/>
      <w:sz w:val="18"/>
      <w:szCs w:val="18"/>
    </w:rPr>
  </w:style>
  <w:style w:type="paragraph" w:styleId="28">
    <w:name w:val="toc 6"/>
    <w:basedOn w:val="1"/>
    <w:next w:val="1"/>
    <w:autoRedefine/>
    <w:qFormat/>
    <w:uiPriority w:val="0"/>
    <w:pPr>
      <w:ind w:left="1050"/>
      <w:jc w:val="left"/>
    </w:pPr>
    <w:rPr>
      <w:rFonts w:cs="Calibri"/>
      <w:sz w:val="18"/>
      <w:szCs w:val="18"/>
    </w:rPr>
  </w:style>
  <w:style w:type="paragraph" w:styleId="29">
    <w:name w:val="Body Text Indent 3"/>
    <w:basedOn w:val="1"/>
    <w:autoRedefine/>
    <w:qFormat/>
    <w:uiPriority w:val="0"/>
    <w:pPr>
      <w:spacing w:after="120"/>
      <w:ind w:left="420" w:leftChars="200"/>
    </w:pPr>
    <w:rPr>
      <w:sz w:val="16"/>
      <w:szCs w:val="16"/>
    </w:rPr>
  </w:style>
  <w:style w:type="paragraph" w:styleId="30">
    <w:name w:val="toc 2"/>
    <w:basedOn w:val="1"/>
    <w:next w:val="1"/>
    <w:autoRedefine/>
    <w:qFormat/>
    <w:uiPriority w:val="39"/>
    <w:pPr>
      <w:ind w:left="210"/>
      <w:jc w:val="left"/>
    </w:pPr>
    <w:rPr>
      <w:rFonts w:cs="Calibri"/>
      <w:smallCaps/>
      <w:sz w:val="20"/>
      <w:szCs w:val="20"/>
    </w:rPr>
  </w:style>
  <w:style w:type="paragraph" w:styleId="31">
    <w:name w:val="toc 9"/>
    <w:basedOn w:val="1"/>
    <w:next w:val="1"/>
    <w:autoRedefine/>
    <w:qFormat/>
    <w:uiPriority w:val="0"/>
    <w:pPr>
      <w:ind w:left="1680"/>
      <w:jc w:val="left"/>
    </w:pPr>
    <w:rPr>
      <w:rFonts w:cs="Calibri"/>
      <w:sz w:val="18"/>
      <w:szCs w:val="18"/>
    </w:rPr>
  </w:style>
  <w:style w:type="paragraph" w:styleId="32">
    <w:name w:val="Body Text 2"/>
    <w:basedOn w:val="1"/>
    <w:autoRedefine/>
    <w:qFormat/>
    <w:uiPriority w:val="0"/>
    <w:pPr>
      <w:spacing w:after="120" w:line="480" w:lineRule="auto"/>
    </w:pPr>
  </w:style>
  <w:style w:type="paragraph" w:styleId="33">
    <w:name w:val="Normal (Web)"/>
    <w:basedOn w:val="1"/>
    <w:autoRedefine/>
    <w:qFormat/>
    <w:uiPriority w:val="0"/>
    <w:pPr>
      <w:widowControl/>
      <w:spacing w:before="100" w:beforeAutospacing="1" w:after="100" w:afterAutospacing="1"/>
      <w:jc w:val="left"/>
    </w:pPr>
    <w:rPr>
      <w:kern w:val="0"/>
      <w:sz w:val="24"/>
    </w:rPr>
  </w:style>
  <w:style w:type="paragraph" w:styleId="34">
    <w:name w:val="index 1"/>
    <w:basedOn w:val="1"/>
    <w:next w:val="1"/>
    <w:autoRedefine/>
    <w:semiHidden/>
    <w:qFormat/>
    <w:uiPriority w:val="0"/>
    <w:pPr>
      <w:spacing w:line="220" w:lineRule="exact"/>
      <w:jc w:val="center"/>
    </w:pPr>
    <w:rPr>
      <w:rFonts w:ascii="仿宋_GB2312" w:eastAsia="仿宋_GB2312"/>
      <w:szCs w:val="21"/>
    </w:rPr>
  </w:style>
  <w:style w:type="paragraph" w:styleId="35">
    <w:name w:val="Title"/>
    <w:basedOn w:val="1"/>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table" w:styleId="37">
    <w:name w:val="Table Grid"/>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8">
    <w:name w:val="Table Theme"/>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Table Professional"/>
    <w:basedOn w:val="36"/>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41">
    <w:name w:val="page number"/>
    <w:autoRedefine/>
    <w:qFormat/>
    <w:uiPriority w:val="0"/>
    <w:rPr>
      <w:rFonts w:ascii="Arial" w:hAnsi="Arial" w:eastAsia="黑体"/>
      <w:kern w:val="2"/>
      <w:sz w:val="21"/>
      <w:szCs w:val="21"/>
      <w:lang w:val="en-US" w:eastAsia="zh-CN" w:bidi="ar-SA"/>
    </w:rPr>
  </w:style>
  <w:style w:type="character" w:styleId="42">
    <w:name w:val="FollowedHyperlink"/>
    <w:autoRedefine/>
    <w:qFormat/>
    <w:uiPriority w:val="0"/>
    <w:rPr>
      <w:rFonts w:ascii="Arial" w:hAnsi="Arial" w:eastAsia="黑体"/>
      <w:color w:val="800080"/>
      <w:kern w:val="2"/>
      <w:sz w:val="21"/>
      <w:szCs w:val="21"/>
      <w:u w:val="single"/>
      <w:lang w:val="en-US" w:eastAsia="zh-CN" w:bidi="ar-SA"/>
    </w:rPr>
  </w:style>
  <w:style w:type="character" w:styleId="43">
    <w:name w:val="Hyperlink"/>
    <w:autoRedefine/>
    <w:qFormat/>
    <w:uiPriority w:val="99"/>
    <w:rPr>
      <w:rFonts w:ascii="Arial" w:hAnsi="Arial" w:eastAsia="黑体"/>
      <w:color w:val="0000FF"/>
      <w:kern w:val="2"/>
      <w:sz w:val="21"/>
      <w:szCs w:val="21"/>
      <w:u w:val="single"/>
      <w:lang w:val="en-US" w:eastAsia="zh-CN" w:bidi="ar-SA"/>
    </w:rPr>
  </w:style>
  <w:style w:type="character" w:customStyle="1" w:styleId="44">
    <w:name w:val="标题 1 Char"/>
    <w:link w:val="3"/>
    <w:autoRedefine/>
    <w:qFormat/>
    <w:uiPriority w:val="0"/>
    <w:rPr>
      <w:rFonts w:eastAsia="宋体"/>
      <w:b/>
      <w:bCs/>
      <w:kern w:val="44"/>
      <w:sz w:val="44"/>
      <w:szCs w:val="44"/>
      <w:lang w:val="en-US" w:eastAsia="zh-CN" w:bidi="ar-SA"/>
    </w:rPr>
  </w:style>
  <w:style w:type="character" w:customStyle="1" w:styleId="45">
    <w:name w:val="标题 2 Char"/>
    <w:link w:val="4"/>
    <w:autoRedefine/>
    <w:qFormat/>
    <w:uiPriority w:val="0"/>
    <w:rPr>
      <w:rFonts w:ascii="Arial" w:hAnsi="Arial" w:eastAsia="黑体"/>
      <w:b/>
      <w:bCs/>
      <w:kern w:val="2"/>
      <w:sz w:val="32"/>
      <w:szCs w:val="32"/>
      <w:lang w:val="en-US" w:eastAsia="zh-CN" w:bidi="ar-SA"/>
    </w:rPr>
  </w:style>
  <w:style w:type="paragraph" w:customStyle="1" w:styleId="46">
    <w:name w:val="标题2"/>
    <w:basedOn w:val="4"/>
    <w:next w:val="1"/>
    <w:autoRedefine/>
    <w:qFormat/>
    <w:uiPriority w:val="0"/>
    <w:pPr>
      <w:snapToGrid w:val="0"/>
      <w:spacing w:before="120" w:after="120" w:line="240" w:lineRule="auto"/>
      <w:jc w:val="left"/>
    </w:pPr>
    <w:rPr>
      <w:b w:val="0"/>
      <w:bCs w:val="0"/>
      <w:sz w:val="21"/>
      <w:szCs w:val="21"/>
    </w:rPr>
  </w:style>
  <w:style w:type="paragraph" w:customStyle="1" w:styleId="47">
    <w:name w:val="样式 标题 3 + (中文) 黑体 小四 非加粗 段前: 7.8 磅 段后: 0 磅 行距: 固定值 20 磅"/>
    <w:basedOn w:val="5"/>
    <w:autoRedefine/>
    <w:qFormat/>
    <w:uiPriority w:val="0"/>
    <w:pPr>
      <w:spacing w:before="0" w:after="0"/>
    </w:pPr>
    <w:rPr>
      <w:rFonts w:eastAsia="黑体" w:cs="宋体"/>
      <w:b w:val="0"/>
      <w:bCs w:val="0"/>
      <w:szCs w:val="20"/>
    </w:rPr>
  </w:style>
  <w:style w:type="paragraph" w:customStyle="1" w:styleId="48">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bCs w:val="0"/>
      <w:sz w:val="28"/>
      <w:szCs w:val="20"/>
    </w:rPr>
  </w:style>
  <w:style w:type="paragraph" w:customStyle="1" w:styleId="49">
    <w:name w:val="样式 标题 1 + 黑体 三号 非加粗 居中 段前: 6 磅 段后: 6 磅 行距: 固定值 20 磅"/>
    <w:basedOn w:val="3"/>
    <w:autoRedefine/>
    <w:qFormat/>
    <w:uiPriority w:val="0"/>
    <w:pPr>
      <w:spacing w:before="120" w:after="120" w:line="400" w:lineRule="exact"/>
      <w:jc w:val="center"/>
    </w:pPr>
    <w:rPr>
      <w:rFonts w:ascii="黑体" w:hAnsi="黑体" w:eastAsia="黑体" w:cs="宋体"/>
      <w:b w:val="0"/>
      <w:bCs w:val="0"/>
      <w:sz w:val="32"/>
      <w:szCs w:val="20"/>
    </w:rPr>
  </w:style>
  <w:style w:type="paragraph" w:customStyle="1" w:styleId="50">
    <w:name w:val="1"/>
    <w:basedOn w:val="1"/>
    <w:autoRedefine/>
    <w:qFormat/>
    <w:uiPriority w:val="0"/>
  </w:style>
  <w:style w:type="character" w:customStyle="1" w:styleId="51">
    <w:name w:val="font161"/>
    <w:autoRedefine/>
    <w:qFormat/>
    <w:uiPriority w:val="0"/>
    <w:rPr>
      <w:rFonts w:ascii="Arial" w:hAnsi="Arial" w:eastAsia="黑体"/>
      <w:b/>
      <w:bCs/>
      <w:kern w:val="2"/>
      <w:sz w:val="32"/>
      <w:szCs w:val="32"/>
      <w:lang w:val="en-US" w:eastAsia="zh-CN" w:bidi="ar-SA"/>
    </w:rPr>
  </w:style>
  <w:style w:type="paragraph" w:customStyle="1" w:styleId="52">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53">
    <w:name w:val="表格"/>
    <w:basedOn w:val="1"/>
    <w:autoRedefine/>
    <w:qFormat/>
    <w:uiPriority w:val="0"/>
    <w:pPr>
      <w:jc w:val="center"/>
      <w:textAlignment w:val="center"/>
    </w:pPr>
    <w:rPr>
      <w:rFonts w:ascii="华文细黑" w:hAnsi="华文细黑"/>
      <w:kern w:val="0"/>
      <w:szCs w:val="20"/>
    </w:rPr>
  </w:style>
  <w:style w:type="paragraph" w:customStyle="1" w:styleId="54">
    <w:name w:val="表格文字"/>
    <w:basedOn w:val="1"/>
    <w:autoRedefine/>
    <w:qFormat/>
    <w:uiPriority w:val="0"/>
    <w:pPr>
      <w:adjustRightInd w:val="0"/>
      <w:spacing w:line="420" w:lineRule="atLeast"/>
      <w:jc w:val="left"/>
      <w:textAlignment w:val="baseline"/>
    </w:pPr>
    <w:rPr>
      <w:kern w:val="0"/>
      <w:szCs w:val="20"/>
    </w:rPr>
  </w:style>
  <w:style w:type="paragraph" w:customStyle="1" w:styleId="55">
    <w:name w:val="xl47"/>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56">
    <w:name w:val="font5"/>
    <w:basedOn w:val="1"/>
    <w:link w:val="57"/>
    <w:autoRedefine/>
    <w:qFormat/>
    <w:uiPriority w:val="0"/>
    <w:pPr>
      <w:widowControl/>
      <w:spacing w:before="100" w:beforeAutospacing="1" w:after="100" w:afterAutospacing="1"/>
      <w:jc w:val="left"/>
    </w:pPr>
    <w:rPr>
      <w:rFonts w:ascii="宋体" w:hAnsi="宋体"/>
      <w:kern w:val="0"/>
      <w:sz w:val="24"/>
    </w:rPr>
  </w:style>
  <w:style w:type="character" w:customStyle="1" w:styleId="57">
    <w:name w:val="font5 Char"/>
    <w:link w:val="56"/>
    <w:autoRedefine/>
    <w:qFormat/>
    <w:uiPriority w:val="0"/>
    <w:rPr>
      <w:rFonts w:ascii="宋体" w:hAnsi="宋体" w:eastAsia="宋体"/>
      <w:sz w:val="24"/>
      <w:szCs w:val="24"/>
      <w:lang w:val="en-US" w:eastAsia="zh-CN" w:bidi="ar-SA"/>
    </w:rPr>
  </w:style>
  <w:style w:type="paragraph" w:customStyle="1" w:styleId="58">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59">
    <w:name w:val="xl31"/>
    <w:basedOn w:val="1"/>
    <w:autoRedefine/>
    <w:qFormat/>
    <w:uiPriority w:val="0"/>
    <w:pPr>
      <w:widowControl/>
      <w:spacing w:before="100" w:beforeAutospacing="1" w:after="100" w:afterAutospacing="1"/>
      <w:jc w:val="center"/>
    </w:pPr>
    <w:rPr>
      <w:rFonts w:ascii="宋体" w:hAnsi="宋体"/>
      <w:kern w:val="0"/>
      <w:sz w:val="24"/>
    </w:rPr>
  </w:style>
  <w:style w:type="paragraph" w:customStyle="1" w:styleId="60">
    <w:name w:val="表格2"/>
    <w:basedOn w:val="1"/>
    <w:autoRedefine/>
    <w:qFormat/>
    <w:uiPriority w:val="0"/>
    <w:pPr>
      <w:adjustRightInd w:val="0"/>
      <w:spacing w:before="60" w:after="60"/>
      <w:jc w:val="center"/>
    </w:pPr>
    <w:rPr>
      <w:rFonts w:ascii="宋体"/>
      <w:color w:val="000000"/>
      <w:kern w:val="0"/>
      <w:sz w:val="24"/>
      <w:szCs w:val="20"/>
    </w:rPr>
  </w:style>
  <w:style w:type="paragraph" w:customStyle="1" w:styleId="61">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62">
    <w:name w:val="Char"/>
    <w:basedOn w:val="1"/>
    <w:autoRedefine/>
    <w:qFormat/>
    <w:uiPriority w:val="0"/>
    <w:pPr>
      <w:snapToGrid w:val="0"/>
      <w:spacing w:line="360" w:lineRule="auto"/>
      <w:ind w:firstLine="200" w:firstLineChars="200"/>
    </w:pPr>
    <w:rPr>
      <w:rFonts w:ascii="Arial" w:hAnsi="Arial" w:eastAsia="黑体"/>
      <w:szCs w:val="21"/>
    </w:rPr>
  </w:style>
  <w:style w:type="paragraph" w:customStyle="1" w:styleId="63">
    <w:name w:val="Normal_0"/>
    <w:autoRedefine/>
    <w:qFormat/>
    <w:uiPriority w:val="0"/>
    <w:pPr>
      <w:widowControl w:val="0"/>
      <w:jc w:val="both"/>
    </w:pPr>
    <w:rPr>
      <w:rFonts w:ascii="Calibri" w:hAnsi="Calibri" w:eastAsia="Calibri" w:cs="Times New Roman"/>
      <w:szCs w:val="24"/>
      <w:lang w:val="en-US" w:eastAsia="zh-CN" w:bidi="ar-SA"/>
    </w:rPr>
  </w:style>
  <w:style w:type="paragraph" w:customStyle="1" w:styleId="64">
    <w:name w:val="正文文本1"/>
    <w:basedOn w:val="63"/>
    <w:link w:val="65"/>
    <w:autoRedefine/>
    <w:qFormat/>
    <w:uiPriority w:val="0"/>
    <w:pPr>
      <w:spacing w:after="120"/>
    </w:pPr>
  </w:style>
  <w:style w:type="character" w:customStyle="1" w:styleId="65">
    <w:name w:val="正文文本 Char"/>
    <w:basedOn w:val="40"/>
    <w:link w:val="64"/>
    <w:autoRedefine/>
    <w:qFormat/>
    <w:uiPriority w:val="0"/>
    <w:rPr>
      <w:rFonts w:ascii="Calibri" w:hAnsi="Calibri" w:eastAsia="Calibri" w:cs="Times New Roman"/>
      <w:szCs w:val="24"/>
    </w:rPr>
  </w:style>
  <w:style w:type="character" w:customStyle="1" w:styleId="66">
    <w:name w:val="超链接1"/>
    <w:autoRedefine/>
    <w:qFormat/>
    <w:uiPriority w:val="0"/>
    <w:rPr>
      <w:rFonts w:ascii="Arial" w:hAnsi="Arial" w:eastAsia="黑体" w:cs="Times New Roman"/>
      <w:color w:val="0000FF"/>
      <w:kern w:val="2"/>
      <w:sz w:val="21"/>
      <w:szCs w:val="21"/>
      <w:u w:val="single"/>
      <w:lang w:val="en-US" w:eastAsia="zh-CN" w:bidi="ar-SA"/>
    </w:rPr>
  </w:style>
  <w:style w:type="paragraph" w:customStyle="1" w:styleId="67">
    <w:name w:val="Normal_1"/>
    <w:autoRedefine/>
    <w:qFormat/>
    <w:uiPriority w:val="0"/>
    <w:pPr>
      <w:widowControl w:val="0"/>
      <w:jc w:val="both"/>
    </w:pPr>
    <w:rPr>
      <w:rFonts w:ascii="Calibri" w:hAnsi="Calibri" w:eastAsia="Calibri" w:cs="Times New Roman"/>
      <w:szCs w:val="24"/>
      <w:lang w:val="en-US" w:eastAsia="zh-CN" w:bidi="ar-SA"/>
    </w:rPr>
  </w:style>
  <w:style w:type="paragraph" w:customStyle="1" w:styleId="68">
    <w:name w:val="Body Text_0"/>
    <w:basedOn w:val="67"/>
    <w:link w:val="69"/>
    <w:autoRedefine/>
    <w:qFormat/>
    <w:uiPriority w:val="0"/>
    <w:pPr>
      <w:spacing w:after="120"/>
    </w:pPr>
    <w:rPr>
      <w:rFonts w:ascii="Times New Roman" w:hAnsi="Times New Roman" w:eastAsia="宋体"/>
    </w:rPr>
  </w:style>
  <w:style w:type="character" w:customStyle="1" w:styleId="69">
    <w:name w:val="正文文本 Char_0"/>
    <w:basedOn w:val="40"/>
    <w:link w:val="68"/>
    <w:autoRedefine/>
    <w:qFormat/>
    <w:uiPriority w:val="0"/>
    <w:rPr>
      <w:rFonts w:ascii="Times New Roman" w:hAnsi="Times New Roman" w:eastAsia="宋体" w:cs="Times New Roman"/>
      <w:szCs w:val="24"/>
    </w:rPr>
  </w:style>
  <w:style w:type="paragraph" w:customStyle="1" w:styleId="70">
    <w:name w:val="Heading 2"/>
    <w:basedOn w:val="67"/>
    <w:next w:val="67"/>
    <w:link w:val="71"/>
    <w:autoRedefine/>
    <w:qFormat/>
    <w:uiPriority w:val="0"/>
    <w:pPr>
      <w:keepNext/>
      <w:keepLines/>
      <w:spacing w:before="260" w:after="260" w:line="416" w:lineRule="auto"/>
      <w:outlineLvl w:val="1"/>
    </w:pPr>
    <w:rPr>
      <w:rFonts w:ascii="Arial" w:hAnsi="Arial" w:eastAsia="黑体"/>
      <w:b/>
      <w:bCs/>
      <w:sz w:val="32"/>
      <w:szCs w:val="32"/>
    </w:rPr>
  </w:style>
  <w:style w:type="character" w:customStyle="1" w:styleId="71">
    <w:name w:val="标题 2 Char_0"/>
    <w:basedOn w:val="40"/>
    <w:link w:val="70"/>
    <w:autoRedefine/>
    <w:qFormat/>
    <w:uiPriority w:val="0"/>
    <w:rPr>
      <w:rFonts w:ascii="Arial" w:hAnsi="Arial" w:eastAsia="黑体" w:cs="Times New Roman"/>
      <w:b/>
      <w:bCs/>
      <w:sz w:val="32"/>
      <w:szCs w:val="32"/>
    </w:rPr>
  </w:style>
  <w:style w:type="paragraph" w:customStyle="1" w:styleId="72">
    <w:name w:val="Heading 4"/>
    <w:basedOn w:val="67"/>
    <w:next w:val="67"/>
    <w:link w:val="73"/>
    <w:autoRedefine/>
    <w:qFormat/>
    <w:uiPriority w:val="0"/>
    <w:pPr>
      <w:keepNext/>
      <w:keepLines/>
      <w:spacing w:before="280" w:after="290" w:line="376" w:lineRule="auto"/>
      <w:outlineLvl w:val="3"/>
    </w:pPr>
    <w:rPr>
      <w:rFonts w:ascii="Arial" w:hAnsi="Arial" w:eastAsia="黑体"/>
      <w:b/>
      <w:bCs/>
      <w:sz w:val="28"/>
      <w:szCs w:val="28"/>
    </w:rPr>
  </w:style>
  <w:style w:type="character" w:customStyle="1" w:styleId="73">
    <w:name w:val="标题 4 Char"/>
    <w:basedOn w:val="40"/>
    <w:link w:val="72"/>
    <w:autoRedefine/>
    <w:qFormat/>
    <w:uiPriority w:val="0"/>
    <w:rPr>
      <w:rFonts w:ascii="Arial" w:hAnsi="Arial" w:eastAsia="黑体" w:cs="Times New Roman"/>
      <w:b/>
      <w:bCs/>
      <w:sz w:val="28"/>
      <w:szCs w:val="28"/>
    </w:rPr>
  </w:style>
  <w:style w:type="paragraph" w:customStyle="1" w:styleId="74">
    <w:name w:val="正文文本缩进 21"/>
    <w:basedOn w:val="67"/>
    <w:link w:val="75"/>
    <w:autoRedefine/>
    <w:qFormat/>
    <w:uiPriority w:val="0"/>
    <w:pPr>
      <w:spacing w:after="120" w:line="480" w:lineRule="auto"/>
      <w:ind w:left="420" w:leftChars="200"/>
    </w:pPr>
    <w:rPr>
      <w:rFonts w:ascii="Times New Roman" w:hAnsi="Times New Roman" w:eastAsia="宋体"/>
    </w:rPr>
  </w:style>
  <w:style w:type="character" w:customStyle="1" w:styleId="75">
    <w:name w:val="正文文本缩进 2 Char"/>
    <w:basedOn w:val="40"/>
    <w:link w:val="74"/>
    <w:autoRedefine/>
    <w:qFormat/>
    <w:uiPriority w:val="0"/>
    <w:rPr>
      <w:rFonts w:ascii="Times New Roman" w:hAnsi="Times New Roman" w:eastAsia="宋体" w:cs="Times New Roman"/>
      <w:szCs w:val="24"/>
    </w:rPr>
  </w:style>
  <w:style w:type="paragraph" w:customStyle="1" w:styleId="76">
    <w:name w:val="Heading 3"/>
    <w:basedOn w:val="67"/>
    <w:next w:val="67"/>
    <w:link w:val="77"/>
    <w:autoRedefine/>
    <w:qFormat/>
    <w:uiPriority w:val="0"/>
    <w:pPr>
      <w:keepNext/>
      <w:keepLines/>
      <w:spacing w:before="120" w:after="120" w:line="400" w:lineRule="exact"/>
      <w:jc w:val="left"/>
      <w:outlineLvl w:val="2"/>
    </w:pPr>
    <w:rPr>
      <w:rFonts w:ascii="宋体" w:hAnsi="Times New Roman" w:eastAsia="宋体"/>
      <w:b/>
      <w:bCs/>
      <w:color w:val="FF0000"/>
      <w:sz w:val="24"/>
    </w:rPr>
  </w:style>
  <w:style w:type="character" w:customStyle="1" w:styleId="77">
    <w:name w:val="标题 3 Char"/>
    <w:basedOn w:val="40"/>
    <w:link w:val="76"/>
    <w:autoRedefine/>
    <w:qFormat/>
    <w:uiPriority w:val="0"/>
    <w:rPr>
      <w:rFonts w:ascii="宋体" w:hAnsi="Times New Roman" w:eastAsia="宋体" w:cs="Times New Roman"/>
      <w:b/>
      <w:bCs/>
      <w:color w:val="FF0000"/>
      <w:sz w:val="24"/>
      <w:szCs w:val="24"/>
    </w:rPr>
  </w:style>
  <w:style w:type="paragraph" w:customStyle="1" w:styleId="78">
    <w:name w:val="样式 标题 3 + (中文) 黑体 小四 非加粗 段前: 7.8 磅 段后: 0 磅 行距: 固定值 20 磅_0"/>
    <w:basedOn w:val="76"/>
    <w:autoRedefine/>
    <w:qFormat/>
    <w:uiPriority w:val="0"/>
    <w:pPr>
      <w:spacing w:before="0" w:after="0"/>
    </w:pPr>
    <w:rPr>
      <w:rFonts w:eastAsia="黑体" w:cs="宋体"/>
      <w:b w:val="0"/>
      <w:bCs w:val="0"/>
      <w:szCs w:val="20"/>
    </w:rPr>
  </w:style>
  <w:style w:type="paragraph" w:customStyle="1" w:styleId="79">
    <w:name w:val="Heading 1"/>
    <w:basedOn w:val="80"/>
    <w:next w:val="80"/>
    <w:link w:val="81"/>
    <w:autoRedefine/>
    <w:qFormat/>
    <w:uiPriority w:val="0"/>
    <w:pPr>
      <w:keepNext/>
      <w:keepLines/>
      <w:spacing w:before="340" w:after="330" w:line="578" w:lineRule="auto"/>
      <w:outlineLvl w:val="0"/>
    </w:pPr>
    <w:rPr>
      <w:b/>
      <w:bCs/>
      <w:kern w:val="44"/>
      <w:sz w:val="44"/>
      <w:szCs w:val="44"/>
    </w:rPr>
  </w:style>
  <w:style w:type="paragraph" w:customStyle="1" w:styleId="80">
    <w:name w:val="Normal_2"/>
    <w:autoRedefine/>
    <w:qFormat/>
    <w:uiPriority w:val="0"/>
    <w:pPr>
      <w:widowControl w:val="0"/>
      <w:jc w:val="both"/>
    </w:pPr>
    <w:rPr>
      <w:rFonts w:ascii="Times New Roman" w:hAnsi="Times New Roman" w:eastAsia="宋体" w:cs="Times New Roman"/>
      <w:szCs w:val="24"/>
      <w:lang w:val="en-US" w:eastAsia="zh-CN" w:bidi="ar-SA"/>
    </w:rPr>
  </w:style>
  <w:style w:type="character" w:customStyle="1" w:styleId="81">
    <w:name w:val="标题 1 Char_0"/>
    <w:basedOn w:val="40"/>
    <w:link w:val="79"/>
    <w:autoRedefine/>
    <w:qFormat/>
    <w:uiPriority w:val="0"/>
    <w:rPr>
      <w:rFonts w:ascii="Times New Roman" w:hAnsi="Times New Roman" w:eastAsia="宋体" w:cs="Times New Roman"/>
      <w:b/>
      <w:bCs/>
      <w:kern w:val="44"/>
      <w:sz w:val="44"/>
      <w:szCs w:val="44"/>
    </w:rPr>
  </w:style>
  <w:style w:type="paragraph" w:customStyle="1" w:styleId="82">
    <w:name w:val="Body Text_1"/>
    <w:basedOn w:val="80"/>
    <w:link w:val="83"/>
    <w:autoRedefine/>
    <w:qFormat/>
    <w:uiPriority w:val="0"/>
    <w:pPr>
      <w:spacing w:after="120"/>
    </w:pPr>
  </w:style>
  <w:style w:type="character" w:customStyle="1" w:styleId="83">
    <w:name w:val="正文文本 Char_1"/>
    <w:basedOn w:val="40"/>
    <w:link w:val="82"/>
    <w:autoRedefine/>
    <w:qFormat/>
    <w:uiPriority w:val="0"/>
    <w:rPr>
      <w:rFonts w:ascii="Times New Roman" w:hAnsi="Times New Roman" w:eastAsia="宋体" w:cs="Times New Roman"/>
      <w:szCs w:val="24"/>
    </w:rPr>
  </w:style>
  <w:style w:type="paragraph" w:customStyle="1" w:styleId="84">
    <w:name w:val="Normal_3"/>
    <w:autoRedefine/>
    <w:qFormat/>
    <w:uiPriority w:val="0"/>
    <w:rPr>
      <w:rFonts w:ascii="Times New Roman" w:hAnsi="Times New Roman" w:eastAsia="Times New Roman" w:cs="Times New Roman"/>
      <w:sz w:val="24"/>
      <w:szCs w:val="24"/>
      <w:lang w:val="en-US" w:eastAsia="zh-CN" w:bidi="ar-SA"/>
    </w:rPr>
  </w:style>
  <w:style w:type="paragraph" w:customStyle="1" w:styleId="85">
    <w:name w:val="Normal_4"/>
    <w:autoRedefine/>
    <w:qFormat/>
    <w:uiPriority w:val="0"/>
    <w:rPr>
      <w:rFonts w:ascii="Times New Roman" w:hAnsi="Times New Roman" w:eastAsia="Times New Roman" w:cs="Times New Roman"/>
      <w:sz w:val="24"/>
      <w:szCs w:val="24"/>
      <w:lang w:val="en-US" w:eastAsia="zh-CN" w:bidi="ar-SA"/>
    </w:rPr>
  </w:style>
  <w:style w:type="paragraph" w:customStyle="1" w:styleId="86">
    <w:name w:val="Normal_5"/>
    <w:autoRedefine/>
    <w:qFormat/>
    <w:uiPriority w:val="0"/>
    <w:rPr>
      <w:rFonts w:ascii="Times New Roman" w:hAnsi="Times New Roman" w:eastAsia="Times New Roman" w:cs="Times New Roman"/>
      <w:sz w:val="24"/>
      <w:szCs w:val="24"/>
      <w:lang w:val="en-US" w:eastAsia="zh-CN" w:bidi="ar-SA"/>
    </w:rPr>
  </w:style>
  <w:style w:type="paragraph" w:customStyle="1" w:styleId="87">
    <w:name w:val="Normal_6"/>
    <w:autoRedefine/>
    <w:qFormat/>
    <w:uiPriority w:val="0"/>
    <w:rPr>
      <w:rFonts w:ascii="Times New Roman" w:hAnsi="Times New Roman" w:eastAsia="Times New Roman" w:cs="Times New Roman"/>
      <w:sz w:val="24"/>
      <w:szCs w:val="24"/>
      <w:lang w:val="en-US" w:eastAsia="zh-CN" w:bidi="ar-SA"/>
    </w:rPr>
  </w:style>
  <w:style w:type="paragraph" w:customStyle="1" w:styleId="88">
    <w:name w:val="Normal_7"/>
    <w:autoRedefine/>
    <w:qFormat/>
    <w:uiPriority w:val="0"/>
    <w:rPr>
      <w:rFonts w:ascii="Times New Roman" w:hAnsi="Times New Roman" w:eastAsia="Times New Roman" w:cs="Times New Roman"/>
      <w:sz w:val="24"/>
      <w:szCs w:val="24"/>
      <w:lang w:val="en-US" w:eastAsia="zh-CN" w:bidi="ar-SA"/>
    </w:rPr>
  </w:style>
  <w:style w:type="paragraph" w:customStyle="1" w:styleId="89">
    <w:name w:val="正文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Normal_0_0"/>
    <w:autoRedefine/>
    <w:qFormat/>
    <w:uiPriority w:val="0"/>
    <w:rPr>
      <w:rFonts w:ascii="Times New Roman" w:hAnsi="Times New Roman" w:eastAsia="Times New Roman" w:cs="Times New Roman"/>
      <w:sz w:val="24"/>
      <w:szCs w:val="24"/>
      <w:lang w:val="en-US" w:eastAsia="zh-CN" w:bidi="ar-SA"/>
    </w:rPr>
  </w:style>
  <w:style w:type="paragraph" w:customStyle="1" w:styleId="91">
    <w:name w:val="Heading 2_0"/>
    <w:basedOn w:val="92"/>
    <w:next w:val="92"/>
    <w:link w:val="93"/>
    <w:autoRedefine/>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92">
    <w:name w:val="Normal_1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93">
    <w:name w:val="标题 2 Char_1"/>
    <w:link w:val="91"/>
    <w:autoRedefine/>
    <w:qFormat/>
    <w:uiPriority w:val="0"/>
    <w:rPr>
      <w:rFonts w:ascii="Arial" w:hAnsi="Arial" w:eastAsia="黑体"/>
      <w:b/>
      <w:bCs/>
      <w:kern w:val="2"/>
      <w:sz w:val="32"/>
      <w:szCs w:val="32"/>
    </w:rPr>
  </w:style>
  <w:style w:type="paragraph" w:customStyle="1" w:styleId="94">
    <w:name w:val="样式 标题 3 + (中文) 黑体 小四 非加粗 段前: 7.8 磅 段后: 0 磅 行距: 固定值 20 磅_1"/>
    <w:basedOn w:val="95"/>
    <w:autoRedefine/>
    <w:qFormat/>
    <w:uiPriority w:val="0"/>
    <w:pPr>
      <w:spacing w:before="0" w:after="0" w:line="400" w:lineRule="exact"/>
      <w:jc w:val="left"/>
    </w:pPr>
    <w:rPr>
      <w:rFonts w:ascii="宋体" w:hAnsi="Times New Roman" w:eastAsia="黑体" w:cs="宋体"/>
      <w:b w:val="0"/>
      <w:bCs w:val="0"/>
      <w:color w:val="FF0000"/>
      <w:sz w:val="24"/>
      <w:szCs w:val="20"/>
    </w:rPr>
  </w:style>
  <w:style w:type="paragraph" w:customStyle="1" w:styleId="95">
    <w:name w:val="Heading 3_0"/>
    <w:basedOn w:val="92"/>
    <w:next w:val="92"/>
    <w:link w:val="96"/>
    <w:autoRedefine/>
    <w:semiHidden/>
    <w:unhideWhenUsed/>
    <w:qFormat/>
    <w:uiPriority w:val="9"/>
    <w:pPr>
      <w:keepNext/>
      <w:keepLines/>
      <w:spacing w:before="260" w:after="260" w:line="416" w:lineRule="auto"/>
      <w:outlineLvl w:val="2"/>
    </w:pPr>
    <w:rPr>
      <w:b/>
      <w:bCs/>
      <w:sz w:val="32"/>
      <w:szCs w:val="32"/>
    </w:rPr>
  </w:style>
  <w:style w:type="character" w:customStyle="1" w:styleId="96">
    <w:name w:val="标题 3 Char_0"/>
    <w:link w:val="95"/>
    <w:autoRedefine/>
    <w:semiHidden/>
    <w:qFormat/>
    <w:uiPriority w:val="9"/>
    <w:rPr>
      <w:b/>
      <w:bCs/>
      <w:kern w:val="2"/>
      <w:sz w:val="32"/>
      <w:szCs w:val="32"/>
    </w:rPr>
  </w:style>
  <w:style w:type="paragraph" w:customStyle="1" w:styleId="97">
    <w:name w:val="Normal_2_0"/>
    <w:autoRedefine/>
    <w:qFormat/>
    <w:uiPriority w:val="0"/>
    <w:rPr>
      <w:rFonts w:ascii="Times New Roman" w:hAnsi="Times New Roman" w:eastAsia="Times New Roman" w:cs="Times New Roman"/>
      <w:sz w:val="24"/>
      <w:szCs w:val="24"/>
      <w:lang w:val="en-US" w:eastAsia="zh-CN" w:bidi="ar-SA"/>
    </w:rPr>
  </w:style>
  <w:style w:type="paragraph" w:customStyle="1" w:styleId="98">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
    <w:name w:val="Normal_3_0"/>
    <w:autoRedefine/>
    <w:qFormat/>
    <w:uiPriority w:val="0"/>
    <w:rPr>
      <w:rFonts w:ascii="Times New Roman" w:hAnsi="Times New Roman" w:eastAsia="Times New Roman" w:cs="Times New Roman"/>
      <w:sz w:val="24"/>
      <w:szCs w:val="24"/>
      <w:lang w:val="en-US" w:eastAsia="zh-CN" w:bidi="ar-SA"/>
    </w:rPr>
  </w:style>
  <w:style w:type="paragraph" w:customStyle="1" w:styleId="100">
    <w:name w:val="正文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
    <w:name w:val="Normal_4_0"/>
    <w:autoRedefine/>
    <w:qFormat/>
    <w:uiPriority w:val="0"/>
    <w:rPr>
      <w:rFonts w:ascii="Times New Roman" w:hAnsi="Times New Roman" w:eastAsia="Times New Roman" w:cs="Times New Roman"/>
      <w:sz w:val="24"/>
      <w:szCs w:val="24"/>
      <w:lang w:val="en-US" w:eastAsia="zh-CN" w:bidi="ar-SA"/>
    </w:rPr>
  </w:style>
  <w:style w:type="paragraph" w:customStyle="1" w:styleId="102">
    <w:name w:val="正文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Normal_5_0"/>
    <w:autoRedefine/>
    <w:qFormat/>
    <w:uiPriority w:val="0"/>
    <w:rPr>
      <w:rFonts w:ascii="Times New Roman" w:hAnsi="Times New Roman" w:eastAsia="Times New Roman" w:cs="Times New Roman"/>
      <w:sz w:val="24"/>
      <w:szCs w:val="24"/>
      <w:lang w:val="en-US" w:eastAsia="zh-CN" w:bidi="ar-SA"/>
    </w:rPr>
  </w:style>
  <w:style w:type="paragraph" w:customStyle="1" w:styleId="104">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
    <w:name w:val="样式 标题 3 + (中文) 黑体 小四 非加粗 段前: 7.8 磅 段后: 0 磅 行距: 固定值 20 磅_0_0"/>
    <w:basedOn w:val="106"/>
    <w:autoRedefine/>
    <w:qFormat/>
    <w:uiPriority w:val="0"/>
    <w:pPr>
      <w:spacing w:before="0" w:after="0" w:line="400" w:lineRule="exact"/>
      <w:jc w:val="left"/>
    </w:pPr>
    <w:rPr>
      <w:rFonts w:ascii="宋体" w:hAnsi="Times New Roman" w:eastAsia="黑体" w:cs="宋体"/>
      <w:b w:val="0"/>
      <w:bCs w:val="0"/>
      <w:color w:val="FF0000"/>
      <w:sz w:val="24"/>
      <w:szCs w:val="20"/>
    </w:rPr>
  </w:style>
  <w:style w:type="paragraph" w:customStyle="1" w:styleId="106">
    <w:name w:val="标题 3_0"/>
    <w:basedOn w:val="104"/>
    <w:next w:val="104"/>
    <w:link w:val="107"/>
    <w:autoRedefine/>
    <w:semiHidden/>
    <w:unhideWhenUsed/>
    <w:qFormat/>
    <w:uiPriority w:val="9"/>
    <w:pPr>
      <w:keepNext/>
      <w:keepLines/>
      <w:spacing w:before="260" w:after="260" w:line="416" w:lineRule="auto"/>
      <w:outlineLvl w:val="2"/>
    </w:pPr>
    <w:rPr>
      <w:b/>
      <w:bCs/>
      <w:sz w:val="32"/>
      <w:szCs w:val="32"/>
    </w:rPr>
  </w:style>
  <w:style w:type="character" w:customStyle="1" w:styleId="107">
    <w:name w:val="标题 3 Char_0_0"/>
    <w:link w:val="106"/>
    <w:autoRedefine/>
    <w:semiHidden/>
    <w:qFormat/>
    <w:uiPriority w:val="9"/>
    <w:rPr>
      <w:b/>
      <w:bCs/>
      <w:kern w:val="2"/>
      <w:sz w:val="32"/>
      <w:szCs w:val="32"/>
    </w:rPr>
  </w:style>
  <w:style w:type="paragraph" w:customStyle="1" w:styleId="108">
    <w:name w:val="Normal_6_0"/>
    <w:autoRedefine/>
    <w:qFormat/>
    <w:uiPriority w:val="0"/>
    <w:rPr>
      <w:rFonts w:ascii="Times New Roman" w:hAnsi="Times New Roman" w:eastAsia="Times New Roman" w:cs="Times New Roman"/>
      <w:sz w:val="24"/>
      <w:szCs w:val="24"/>
      <w:lang w:val="en-US" w:eastAsia="zh-CN" w:bidi="ar-SA"/>
    </w:rPr>
  </w:style>
  <w:style w:type="paragraph" w:customStyle="1" w:styleId="109">
    <w:name w:val="Normal_7_0"/>
    <w:autoRedefine/>
    <w:qFormat/>
    <w:uiPriority w:val="0"/>
    <w:rPr>
      <w:rFonts w:ascii="Times New Roman" w:hAnsi="Times New Roman" w:eastAsia="Times New Roman" w:cs="Times New Roman"/>
      <w:sz w:val="24"/>
      <w:szCs w:val="24"/>
      <w:lang w:val="en-US" w:eastAsia="zh-CN" w:bidi="ar-SA"/>
    </w:rPr>
  </w:style>
  <w:style w:type="paragraph" w:customStyle="1" w:styleId="110">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
    <w:name w:val="Normal_23"/>
    <w:autoRedefine/>
    <w:qFormat/>
    <w:uiPriority w:val="0"/>
    <w:rPr>
      <w:rFonts w:ascii="Times New Roman" w:hAnsi="Times New Roman" w:eastAsia="Times New Roman" w:cs="Times New Roman"/>
      <w:sz w:val="24"/>
      <w:szCs w:val="24"/>
      <w:lang w:val="en-US" w:eastAsia="zh-CN" w:bidi="ar-SA"/>
    </w:rPr>
  </w:style>
  <w:style w:type="paragraph" w:customStyle="1" w:styleId="112">
    <w:name w:val="Normal_8"/>
    <w:autoRedefine/>
    <w:qFormat/>
    <w:uiPriority w:val="0"/>
    <w:rPr>
      <w:rFonts w:ascii="Times New Roman" w:hAnsi="Times New Roman" w:eastAsia="Times New Roman" w:cs="Times New Roman"/>
      <w:sz w:val="24"/>
      <w:szCs w:val="24"/>
      <w:lang w:val="en-US" w:eastAsia="zh-CN" w:bidi="ar-SA"/>
    </w:rPr>
  </w:style>
  <w:style w:type="paragraph" w:customStyle="1" w:styleId="113">
    <w:name w:val="正文_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4">
    <w:name w:val="Normal_9"/>
    <w:autoRedefine/>
    <w:qFormat/>
    <w:uiPriority w:val="0"/>
    <w:rPr>
      <w:rFonts w:ascii="Times New Roman" w:hAnsi="Times New Roman" w:eastAsia="Times New Roman" w:cs="Times New Roman"/>
      <w:sz w:val="24"/>
      <w:szCs w:val="24"/>
      <w:lang w:val="en-US" w:eastAsia="zh-CN" w:bidi="ar-SA"/>
    </w:rPr>
  </w:style>
  <w:style w:type="paragraph" w:customStyle="1" w:styleId="115">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
    <w:name w:val="Normal_10"/>
    <w:autoRedefine/>
    <w:qFormat/>
    <w:uiPriority w:val="0"/>
    <w:rPr>
      <w:rFonts w:ascii="Times New Roman" w:hAnsi="Times New Roman" w:eastAsia="Times New Roman" w:cs="Times New Roman"/>
      <w:sz w:val="24"/>
      <w:szCs w:val="24"/>
      <w:lang w:val="en-US" w:eastAsia="zh-CN" w:bidi="ar-SA"/>
    </w:rPr>
  </w:style>
  <w:style w:type="paragraph" w:customStyle="1" w:styleId="117">
    <w:name w:val="Normal_11"/>
    <w:autoRedefine/>
    <w:qFormat/>
    <w:uiPriority w:val="0"/>
    <w:rPr>
      <w:rFonts w:ascii="Times New Roman" w:hAnsi="Times New Roman" w:eastAsia="Times New Roman" w:cs="Times New Roman"/>
      <w:sz w:val="24"/>
      <w:szCs w:val="24"/>
      <w:lang w:val="en-US" w:eastAsia="zh-CN" w:bidi="ar-SA"/>
    </w:rPr>
  </w:style>
  <w:style w:type="paragraph" w:customStyle="1" w:styleId="118">
    <w:name w:val="正文_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Normal_12"/>
    <w:autoRedefine/>
    <w:qFormat/>
    <w:uiPriority w:val="0"/>
    <w:rPr>
      <w:rFonts w:ascii="Times New Roman" w:hAnsi="Times New Roman" w:eastAsia="Times New Roman" w:cs="Times New Roman"/>
      <w:sz w:val="24"/>
      <w:szCs w:val="24"/>
      <w:lang w:val="en-US" w:eastAsia="zh-CN" w:bidi="ar-SA"/>
    </w:rPr>
  </w:style>
  <w:style w:type="paragraph" w:customStyle="1" w:styleId="120">
    <w:name w:val="正文_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1">
    <w:name w:val="Normal_13"/>
    <w:autoRedefine/>
    <w:qFormat/>
    <w:uiPriority w:val="0"/>
    <w:rPr>
      <w:rFonts w:ascii="Times New Roman" w:hAnsi="Times New Roman" w:eastAsia="Times New Roman" w:cs="Times New Roman"/>
      <w:sz w:val="24"/>
      <w:szCs w:val="24"/>
      <w:lang w:val="en-US" w:eastAsia="zh-CN" w:bidi="ar-SA"/>
    </w:rPr>
  </w:style>
  <w:style w:type="paragraph" w:customStyle="1" w:styleId="122">
    <w:name w:val="正文_9"/>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3">
    <w:name w:val="Normal_14"/>
    <w:autoRedefine/>
    <w:qFormat/>
    <w:uiPriority w:val="0"/>
    <w:rPr>
      <w:rFonts w:ascii="Times New Roman" w:hAnsi="Times New Roman" w:eastAsia="Times New Roman" w:cs="Times New Roman"/>
      <w:sz w:val="24"/>
      <w:szCs w:val="24"/>
      <w:lang w:val="en-US" w:eastAsia="zh-CN" w:bidi="ar-SA"/>
    </w:rPr>
  </w:style>
  <w:style w:type="paragraph" w:customStyle="1" w:styleId="124">
    <w:name w:val="Normal_1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5">
    <w:name w:val="Normal_16"/>
    <w:autoRedefine/>
    <w:qFormat/>
    <w:uiPriority w:val="0"/>
    <w:rPr>
      <w:rFonts w:ascii="Times New Roman" w:hAnsi="Times New Roman" w:eastAsia="Times New Roman" w:cs="Times New Roman"/>
      <w:sz w:val="24"/>
      <w:szCs w:val="24"/>
      <w:lang w:val="en-US" w:eastAsia="zh-CN" w:bidi="ar-SA"/>
    </w:rPr>
  </w:style>
  <w:style w:type="paragraph" w:customStyle="1" w:styleId="126">
    <w:name w:val="Normal_1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7">
    <w:name w:val="Normal_18"/>
    <w:autoRedefine/>
    <w:qFormat/>
    <w:uiPriority w:val="0"/>
    <w:rPr>
      <w:rFonts w:ascii="Times New Roman" w:hAnsi="Times New Roman" w:eastAsia="Times New Roman" w:cs="Times New Roman"/>
      <w:sz w:val="24"/>
      <w:szCs w:val="24"/>
      <w:lang w:val="en-US" w:eastAsia="zh-CN" w:bidi="ar-SA"/>
    </w:rPr>
  </w:style>
  <w:style w:type="paragraph" w:customStyle="1" w:styleId="128">
    <w:name w:val="样式 标题 2 + Times New Roman 四号 非加粗 段前: 5 磅 段后: 0 磅 行距: 固定值 20..._0"/>
    <w:basedOn w:val="129"/>
    <w:autoRedefine/>
    <w:qFormat/>
    <w:uiPriority w:val="0"/>
    <w:pPr>
      <w:spacing w:before="100" w:after="0" w:line="400" w:lineRule="exact"/>
    </w:pPr>
    <w:rPr>
      <w:rFonts w:ascii="Times New Roman" w:hAnsi="Times New Roman" w:eastAsia="黑体" w:cs="宋体"/>
      <w:b w:val="0"/>
      <w:bCs w:val="0"/>
      <w:sz w:val="28"/>
      <w:szCs w:val="20"/>
    </w:rPr>
  </w:style>
  <w:style w:type="paragraph" w:customStyle="1" w:styleId="129">
    <w:name w:val="标题 2_0"/>
    <w:basedOn w:val="130"/>
    <w:next w:val="130"/>
    <w:link w:val="131"/>
    <w:autoRedefine/>
    <w:semiHidden/>
    <w:unhideWhenUsed/>
    <w:qFormat/>
    <w:uiPriority w:val="9"/>
    <w:pPr>
      <w:keepNext/>
      <w:keepLines/>
      <w:spacing w:before="260" w:after="260" w:line="416" w:lineRule="auto"/>
      <w:outlineLvl w:val="1"/>
    </w:pPr>
    <w:rPr>
      <w:rFonts w:ascii="Cambria" w:hAnsi="Cambria"/>
      <w:b/>
      <w:bCs/>
      <w:sz w:val="32"/>
      <w:szCs w:val="32"/>
    </w:rPr>
  </w:style>
  <w:style w:type="paragraph" w:customStyle="1" w:styleId="130">
    <w:name w:val="正文_1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1">
    <w:name w:val="标题 2 Char_0_0"/>
    <w:link w:val="129"/>
    <w:autoRedefine/>
    <w:semiHidden/>
    <w:qFormat/>
    <w:uiPriority w:val="9"/>
    <w:rPr>
      <w:rFonts w:ascii="Cambria" w:hAnsi="Cambria" w:eastAsia="宋体" w:cs="Times New Roman"/>
      <w:b/>
      <w:bCs/>
      <w:sz w:val="32"/>
      <w:szCs w:val="32"/>
    </w:rPr>
  </w:style>
  <w:style w:type="paragraph" w:customStyle="1" w:styleId="132">
    <w:name w:val="Normal_19"/>
    <w:autoRedefine/>
    <w:qFormat/>
    <w:uiPriority w:val="0"/>
    <w:rPr>
      <w:rFonts w:ascii="Times New Roman" w:hAnsi="Times New Roman" w:eastAsia="Times New Roman" w:cs="Times New Roman"/>
      <w:sz w:val="24"/>
      <w:szCs w:val="24"/>
      <w:lang w:val="en-US" w:eastAsia="zh-CN" w:bidi="ar-SA"/>
    </w:rPr>
  </w:style>
  <w:style w:type="paragraph" w:customStyle="1" w:styleId="133">
    <w:name w:val="正文_1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4">
    <w:name w:val="Normal_20"/>
    <w:autoRedefine/>
    <w:qFormat/>
    <w:uiPriority w:val="0"/>
    <w:rPr>
      <w:rFonts w:ascii="Times New Roman" w:hAnsi="Times New Roman" w:eastAsia="Times New Roman" w:cs="Times New Roman"/>
      <w:sz w:val="24"/>
      <w:szCs w:val="24"/>
      <w:lang w:val="en-US" w:eastAsia="zh-CN" w:bidi="ar-SA"/>
    </w:rPr>
  </w:style>
  <w:style w:type="paragraph" w:customStyle="1" w:styleId="135">
    <w:name w:val="正文_1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6">
    <w:name w:val="Normal_21"/>
    <w:autoRedefine/>
    <w:qFormat/>
    <w:uiPriority w:val="0"/>
    <w:rPr>
      <w:rFonts w:ascii="Times New Roman" w:hAnsi="Times New Roman" w:eastAsia="Times New Roman" w:cs="Times New Roman"/>
      <w:sz w:val="24"/>
      <w:szCs w:val="24"/>
      <w:lang w:val="en-US" w:eastAsia="zh-CN" w:bidi="ar-SA"/>
    </w:rPr>
  </w:style>
  <w:style w:type="paragraph" w:customStyle="1" w:styleId="137">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138">
    <w:name w:val="Normal_24"/>
    <w:autoRedefine/>
    <w:qFormat/>
    <w:uiPriority w:val="0"/>
    <w:rPr>
      <w:rFonts w:ascii="Times New Roman" w:hAnsi="Times New Roman" w:eastAsia="Times New Roman" w:cs="Times New Roman"/>
      <w:sz w:val="24"/>
      <w:szCs w:val="24"/>
      <w:lang w:val="en-US" w:eastAsia="zh-CN" w:bidi="ar-SA"/>
    </w:rPr>
  </w:style>
  <w:style w:type="paragraph" w:customStyle="1" w:styleId="139">
    <w:name w:val="Table Text"/>
    <w:basedOn w:val="1"/>
    <w:autoRedefine/>
    <w:semiHidden/>
    <w:qFormat/>
    <w:uiPriority w:val="0"/>
    <w:rPr>
      <w:rFonts w:ascii="宋体" w:hAnsi="宋体" w:cs="宋体"/>
      <w:szCs w:val="21"/>
      <w:lang w:eastAsia="en-US"/>
    </w:rPr>
  </w:style>
  <w:style w:type="table" w:customStyle="1" w:styleId="140">
    <w:name w:val="Table Normal"/>
    <w:autoRedefine/>
    <w:semiHidden/>
    <w:unhideWhenUsed/>
    <w:qFormat/>
    <w:uiPriority w:val="0"/>
    <w:tblPr>
      <w:tblCellMar>
        <w:top w:w="0" w:type="dxa"/>
        <w:left w:w="0" w:type="dxa"/>
        <w:bottom w:w="0" w:type="dxa"/>
        <w:right w:w="0" w:type="dxa"/>
      </w:tblCellMar>
    </w:tblPr>
  </w:style>
  <w:style w:type="paragraph" w:customStyle="1" w:styleId="1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42">
    <w:name w:val="List Paragraph"/>
    <w:basedOn w:val="1"/>
    <w:autoRedefine/>
    <w:qFormat/>
    <w:uiPriority w:val="34"/>
    <w:pPr>
      <w:ind w:firstLine="420" w:firstLineChars="200"/>
    </w:pPr>
  </w:style>
  <w:style w:type="paragraph" w:customStyle="1" w:styleId="143">
    <w:name w:val="Body text|1"/>
    <w:basedOn w:val="1"/>
    <w:autoRedefine/>
    <w:qFormat/>
    <w:uiPriority w:val="0"/>
    <w:pPr>
      <w:spacing w:line="343" w:lineRule="auto"/>
      <w:ind w:firstLine="400"/>
    </w:pPr>
    <w:rPr>
      <w:rFonts w:ascii="宋体" w:hAnsi="宋体" w:cs="宋体"/>
      <w:sz w:val="20"/>
      <w:szCs w:val="20"/>
      <w:lang w:val="zh-TW" w:eastAsia="zh-TW" w:bidi="zh-TW"/>
    </w:rPr>
  </w:style>
  <w:style w:type="paragraph" w:customStyle="1" w:styleId="144">
    <w:name w:val="Footer_0"/>
    <w:basedOn w:val="67"/>
    <w:autoRedefine/>
    <w:unhideWhenUsed/>
    <w:qFormat/>
    <w:uiPriority w:val="99"/>
    <w:pPr>
      <w:tabs>
        <w:tab w:val="center" w:pos="4153"/>
        <w:tab w:val="right" w:pos="8306"/>
      </w:tabs>
      <w:snapToGrid w:val="0"/>
      <w:jc w:val="left"/>
    </w:pPr>
    <w:rPr>
      <w:sz w:val="18"/>
      <w:szCs w:val="18"/>
    </w:rPr>
  </w:style>
  <w:style w:type="paragraph" w:customStyle="1" w:styleId="145">
    <w:name w:val="p0"/>
    <w:basedOn w:val="1"/>
    <w:autoRedefine/>
    <w:qFormat/>
    <w:uiPriority w:val="0"/>
    <w:pPr>
      <w:widowControl/>
    </w:pPr>
    <w:rPr>
      <w:szCs w:val="21"/>
    </w:rPr>
  </w:style>
  <w:style w:type="paragraph" w:customStyle="1" w:styleId="146">
    <w:name w:val="(1)"/>
    <w:basedOn w:val="1"/>
    <w:next w:val="1"/>
    <w:autoRedefine/>
    <w:qFormat/>
    <w:uiPriority w:val="0"/>
    <w:pPr>
      <w:tabs>
        <w:tab w:val="left" w:pos="780"/>
      </w:tabs>
      <w:ind w:left="780" w:leftChars="200" w:hanging="360" w:hanging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801D8E-5566-418A-B974-3EA938C26944}">
  <ds:schemaRefs/>
</ds:datastoreItem>
</file>

<file path=docProps/app.xml><?xml version="1.0" encoding="utf-8"?>
<Properties xmlns="http://schemas.openxmlformats.org/officeDocument/2006/extended-properties" xmlns:vt="http://schemas.openxmlformats.org/officeDocument/2006/docPropsVTypes">
  <Template>Normal</Template>
  <Company>安徽安兆工程技术咨询服务中心</Company>
  <Pages>157</Pages>
  <Words>15803</Words>
  <Characters>90081</Characters>
  <Lines>750</Lines>
  <Paragraphs>211</Paragraphs>
  <TotalTime>0</TotalTime>
  <ScaleCrop>false</ScaleCrop>
  <LinksUpToDate>false</LinksUpToDate>
  <CharactersWithSpaces>105673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2023-09-26T05:49:00Z</dcterms:created>
  <dc:creator>j</dc:creator>
  <cp:lastModifiedBy>WPS_1700618138</cp:lastModifiedBy>
  <cp:lastPrinted>2113-01-01T00:00:00Z</cp:lastPrinted>
  <dcterms:modified xsi:type="dcterms:W3CDTF">2024-04-17T01:07:41Z</dcterms:modified>
  <dc:title>水利水电工程标准施工招标文件</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2C8E68F5A899411F953C58F0A77FB2E8_13</vt:lpwstr>
  </property>
</Properties>
</file>